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pPr>
    </w:p>
    <w:p>
      <w:pPr>
        <w:pStyle w:val="2"/>
        <w:jc w:val="center"/>
        <w:rPr>
          <w:rFonts w:ascii="微软雅黑" w:hAnsi="宋体" w:eastAsia="微软雅黑" w:cs="宋体"/>
          <w:b/>
          <w:sz w:val="36"/>
          <w:szCs w:val="36"/>
        </w:rPr>
      </w:pPr>
    </w:p>
    <w:p>
      <w:pPr>
        <w:pStyle w:val="7"/>
        <w:spacing w:before="4"/>
        <w:jc w:val="center"/>
        <w:rPr>
          <w:rFonts w:ascii="微软雅黑" w:eastAsia="微软雅黑"/>
          <w:b/>
          <w:sz w:val="36"/>
          <w:szCs w:val="36"/>
          <w:lang w:eastAsia="zh-CN"/>
        </w:rPr>
      </w:pPr>
      <w:bookmarkStart w:id="0" w:name="OLE_LINK4"/>
      <w:r>
        <w:rPr>
          <w:rFonts w:hint="eastAsia" w:ascii="微软雅黑" w:eastAsia="微软雅黑"/>
          <w:b/>
          <w:sz w:val="36"/>
          <w:szCs w:val="36"/>
          <w:lang w:eastAsia="zh-CN"/>
        </w:rPr>
        <w:t>福海创，腾龙芳烃和翔鹭石化三家公司两化融合管理体系认证的辅导咨询及评定</w:t>
      </w:r>
      <w:bookmarkEnd w:id="0"/>
      <w:r>
        <w:rPr>
          <w:rFonts w:hint="eastAsia" w:ascii="微软雅黑" w:eastAsia="微软雅黑"/>
          <w:b/>
          <w:sz w:val="36"/>
          <w:szCs w:val="36"/>
          <w:lang w:eastAsia="zh-CN"/>
        </w:rPr>
        <w:t>发包比选文件</w:t>
      </w:r>
    </w:p>
    <w:p>
      <w:pPr>
        <w:pStyle w:val="7"/>
        <w:spacing w:before="4"/>
        <w:jc w:val="center"/>
        <w:rPr>
          <w:rFonts w:ascii="微软雅黑" w:eastAsia="微软雅黑"/>
          <w:b/>
          <w:sz w:val="36"/>
          <w:szCs w:val="36"/>
          <w:lang w:eastAsia="zh-CN"/>
        </w:rPr>
      </w:pPr>
    </w:p>
    <w:p>
      <w:pPr>
        <w:pStyle w:val="2"/>
        <w:jc w:val="center"/>
        <w:rPr>
          <w:sz w:val="28"/>
          <w:szCs w:val="28"/>
        </w:rPr>
      </w:pPr>
      <w:r>
        <w:rPr>
          <w:rFonts w:hint="eastAsia"/>
          <w:sz w:val="28"/>
          <w:szCs w:val="28"/>
        </w:rPr>
        <w:t>（文件编号：</w:t>
      </w:r>
      <w:r>
        <w:rPr>
          <w:rFonts w:hint="eastAsia"/>
          <w:sz w:val="28"/>
          <w:szCs w:val="28"/>
          <w:u w:val="single"/>
        </w:rPr>
        <w:t>FHC-PTCG20230215002</w:t>
      </w:r>
      <w:r>
        <w:rPr>
          <w:rFonts w:hint="eastAsia"/>
          <w:sz w:val="28"/>
          <w:szCs w:val="28"/>
        </w:rPr>
        <w:t>）</w:t>
      </w:r>
    </w:p>
    <w:p>
      <w:pPr>
        <w:pStyle w:val="7"/>
        <w:rPr>
          <w:rFonts w:ascii="微软雅黑"/>
          <w:b/>
          <w:sz w:val="94"/>
          <w:lang w:eastAsia="zh-CN"/>
        </w:rPr>
      </w:pPr>
    </w:p>
    <w:p>
      <w:pPr>
        <w:pStyle w:val="7"/>
        <w:rPr>
          <w:rFonts w:ascii="微软雅黑"/>
          <w:b/>
          <w:sz w:val="94"/>
          <w:lang w:eastAsia="zh-CN"/>
        </w:rPr>
      </w:pP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w:t>
      </w:r>
      <w:r>
        <w:rPr>
          <w:rFonts w:ascii="微软雅黑" w:eastAsia="微软雅黑"/>
          <w:b/>
          <w:w w:val="95"/>
          <w:sz w:val="32"/>
          <w:lang w:eastAsia="zh-CN"/>
        </w:rPr>
        <w:t>202</w:t>
      </w:r>
      <w:r>
        <w:rPr>
          <w:rFonts w:hint="eastAsia" w:ascii="微软雅黑" w:eastAsia="微软雅黑"/>
          <w:b/>
          <w:w w:val="95"/>
          <w:sz w:val="32"/>
          <w:lang w:eastAsia="zh-CN"/>
        </w:rPr>
        <w:t xml:space="preserve">3 年 </w:t>
      </w:r>
      <w:r>
        <w:rPr>
          <w:rFonts w:hint="eastAsia" w:ascii="微软雅黑" w:eastAsia="微软雅黑"/>
          <w:b/>
          <w:w w:val="95"/>
          <w:sz w:val="32"/>
          <w:lang w:val="en-US" w:eastAsia="zh-CN"/>
        </w:rPr>
        <w:t>0</w:t>
      </w:r>
      <w:r>
        <w:rPr>
          <w:rFonts w:hint="eastAsia" w:ascii="微软雅黑" w:eastAsia="微软雅黑"/>
          <w:b/>
          <w:w w:val="95"/>
          <w:sz w:val="32"/>
          <w:lang w:eastAsia="zh-CN"/>
        </w:rPr>
        <w:t>3 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cols w:space="720" w:num="1"/>
        </w:sectPr>
      </w:pPr>
    </w:p>
    <w:p>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
        <w:rPr>
          <w:sz w:val="21"/>
          <w:szCs w:val="21"/>
        </w:rPr>
      </w:pPr>
    </w:p>
    <w:p>
      <w:pPr>
        <w:snapToGrid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福建福海创石油化工有限公司拟对本公司</w:t>
      </w:r>
      <w:r>
        <w:rPr>
          <w:rFonts w:ascii="Times New Roman" w:hAnsi="Times New Roman" w:cs="Times New Roman"/>
          <w:sz w:val="24"/>
          <w:szCs w:val="24"/>
          <w:u w:val="single"/>
          <w:lang w:eastAsia="zh-CN"/>
        </w:rPr>
        <w:t xml:space="preserve"> 福海创</w:t>
      </w:r>
      <w:r>
        <w:rPr>
          <w:rFonts w:hint="eastAsia" w:ascii="Times New Roman" w:hAnsi="Times New Roman" w:cs="Times New Roman"/>
          <w:sz w:val="24"/>
          <w:szCs w:val="24"/>
          <w:u w:val="single"/>
          <w:lang w:eastAsia="zh-CN"/>
        </w:rPr>
        <w:t>、</w:t>
      </w:r>
      <w:r>
        <w:rPr>
          <w:rFonts w:ascii="Times New Roman" w:hAnsi="Times New Roman" w:cs="Times New Roman"/>
          <w:sz w:val="24"/>
          <w:szCs w:val="24"/>
          <w:u w:val="single"/>
          <w:lang w:eastAsia="zh-CN"/>
        </w:rPr>
        <w:t>腾龙芳烃和翔鹭石化三家公司</w:t>
      </w:r>
      <w:r>
        <w:rPr>
          <w:rFonts w:hint="eastAsia" w:ascii="Times New Roman" w:hAnsi="Times New Roman" w:cs="Times New Roman"/>
          <w:sz w:val="24"/>
          <w:szCs w:val="24"/>
          <w:u w:val="single"/>
          <w:lang w:eastAsia="zh-CN"/>
        </w:rPr>
        <w:t>两化融合管理体系认证</w:t>
      </w:r>
      <w:r>
        <w:rPr>
          <w:rFonts w:hint="eastAsia"/>
          <w:sz w:val="24"/>
          <w:u w:val="single"/>
          <w:lang w:eastAsia="zh-CN"/>
        </w:rPr>
        <w:t>(A级能力不变)</w:t>
      </w:r>
      <w:r>
        <w:rPr>
          <w:rFonts w:hint="eastAsia" w:ascii="Times New Roman" w:hAnsi="Times New Roman" w:cs="Times New Roman"/>
          <w:sz w:val="24"/>
          <w:szCs w:val="24"/>
          <w:u w:val="single"/>
          <w:lang w:eastAsia="zh-CN"/>
        </w:rPr>
        <w:t>辅导咨询及评定项目</w:t>
      </w:r>
      <w:r>
        <w:rPr>
          <w:rFonts w:ascii="Times New Roman" w:hAnsi="Times New Roman" w:cs="Times New Roman"/>
          <w:sz w:val="24"/>
          <w:szCs w:val="24"/>
          <w:lang w:eastAsia="zh-CN"/>
        </w:rPr>
        <w:t>进行公开比选。为了“公开、公平、公正、透明”，引导参选人进行正确参选，特制定本规定文件。福建福海创石油化工有限公司承诺本次自主比选不存在任何障碍，保证本公告的内容不存在任何重大遗漏、虚假陈述或严重误导，并对其内容的真实性、完整性和有效性负责。</w:t>
      </w:r>
    </w:p>
    <w:p>
      <w:pPr>
        <w:pStyle w:val="4"/>
        <w:numPr>
          <w:ilvl w:val="0"/>
          <w:numId w:val="1"/>
        </w:numPr>
        <w:spacing w:line="360" w:lineRule="auto"/>
        <w:ind w:left="561" w:hanging="561"/>
        <w:rPr>
          <w:rFonts w:ascii="Times New Roman" w:hAnsi="Times New Roman" w:cs="Times New Roman"/>
          <w:b w:val="0"/>
          <w:bCs w:val="0"/>
          <w:color w:val="000000"/>
          <w:lang w:eastAsia="zh-CN"/>
        </w:rPr>
      </w:pPr>
      <w:r>
        <w:rPr>
          <w:rFonts w:ascii="Times New Roman" w:hAnsi="Times New Roman" w:cs="Times New Roman"/>
          <w:b w:val="0"/>
          <w:bCs w:val="0"/>
          <w:color w:val="000000"/>
          <w:lang w:eastAsia="zh-CN"/>
        </w:rPr>
        <w:t>参选人资格要求：</w:t>
      </w:r>
    </w:p>
    <w:p>
      <w:pPr>
        <w:spacing w:line="360" w:lineRule="auto"/>
        <w:ind w:left="574" w:leftChars="81" w:hanging="396" w:hangingChars="165"/>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中华人民共和国境内注册、具有独立法人资格、具有一般纳税人资格、且具有良好的财务状况和商业信誉（需提供营业执照复印件）。</w:t>
      </w:r>
    </w:p>
    <w:p>
      <w:pPr>
        <w:spacing w:line="360" w:lineRule="auto"/>
        <w:ind w:left="574" w:leftChars="81" w:hanging="396" w:hangingChars="165"/>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参选单位具备辅导企业两化融合管理体系贯标的经验及能力，需提供近两年至少3家及以上企业两化融合管理体系贯标获证成功案例证明，时间点以本比选公告开始之日起算两年，根据业绩证明合同签订时间为准。</w:t>
      </w:r>
    </w:p>
    <w:p>
      <w:pPr>
        <w:widowControl/>
        <w:autoSpaceDE/>
        <w:autoSpaceDN/>
        <w:spacing w:line="360" w:lineRule="auto"/>
        <w:ind w:left="574" w:leftChars="81" w:hanging="396" w:hangingChars="165"/>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left="574" w:leftChars="81" w:hanging="396" w:hangingChars="165"/>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574" w:leftChars="81" w:hanging="396" w:hangingChars="165"/>
        <w:rPr>
          <w:sz w:val="24"/>
          <w:szCs w:val="24"/>
          <w:lang w:eastAsia="zh-CN"/>
        </w:rPr>
      </w:pPr>
      <w:r>
        <w:rPr>
          <w:rFonts w:hint="eastAsia" w:asciiTheme="majorEastAsia" w:hAnsiTheme="majorEastAsia" w:eastAsiaTheme="majorEastAsia"/>
          <w:sz w:val="24"/>
          <w:szCs w:val="24"/>
          <w:lang w:eastAsia="zh-CN"/>
        </w:rPr>
        <w:t>5、本项目不接受联合体投标</w:t>
      </w:r>
      <w:r>
        <w:rPr>
          <w:rFonts w:ascii="Times New Roman" w:hAnsi="Times New Roman" w:cs="Times New Roman"/>
          <w:sz w:val="24"/>
          <w:szCs w:val="24"/>
          <w:lang w:eastAsia="zh-CN"/>
        </w:rPr>
        <w:t>，不允许转包或分包。</w:t>
      </w:r>
    </w:p>
    <w:p>
      <w:pPr>
        <w:spacing w:line="360" w:lineRule="auto"/>
        <w:rPr>
          <w:rFonts w:ascii="Times New Roman" w:hAnsi="Times New Roman" w:cs="Times New Roman"/>
          <w:b/>
          <w:sz w:val="24"/>
          <w:szCs w:val="24"/>
          <w:lang w:eastAsia="zh-CN"/>
        </w:rPr>
      </w:pPr>
      <w:r>
        <w:rPr>
          <w:rFonts w:ascii="Times New Roman" w:hAnsi="Times New Roman" w:cs="Times New Roman"/>
          <w:b/>
          <w:snapToGrid w:val="0"/>
          <w:spacing w:val="8"/>
          <w:sz w:val="24"/>
          <w:szCs w:val="24"/>
          <w:lang w:eastAsia="zh-CN"/>
        </w:rPr>
        <w:t>二、参选文件递交的截止时间：</w:t>
      </w:r>
    </w:p>
    <w:p>
      <w:pPr>
        <w:spacing w:line="360" w:lineRule="auto"/>
        <w:ind w:firstLine="257" w:firstLineChars="100"/>
        <w:rPr>
          <w:rFonts w:ascii="Times New Roman" w:hAnsi="Times New Roman" w:cs="Times New Roman"/>
          <w:b/>
          <w:snapToGrid w:val="0"/>
          <w:spacing w:val="8"/>
          <w:sz w:val="24"/>
          <w:szCs w:val="24"/>
          <w:lang w:eastAsia="zh-CN"/>
        </w:rPr>
      </w:pPr>
      <w:r>
        <w:rPr>
          <w:rFonts w:hint="eastAsia" w:ascii="Times New Roman" w:hAnsi="Times New Roman" w:cs="Times New Roman"/>
          <w:b/>
          <w:snapToGrid w:val="0"/>
          <w:spacing w:val="8"/>
          <w:sz w:val="24"/>
          <w:szCs w:val="24"/>
          <w:lang w:eastAsia="zh-CN"/>
        </w:rPr>
        <w:t>1、</w:t>
      </w:r>
      <w:r>
        <w:rPr>
          <w:rFonts w:ascii="Times New Roman" w:hAnsi="Times New Roman" w:cs="Times New Roman"/>
          <w:b/>
          <w:snapToGrid w:val="0"/>
          <w:spacing w:val="8"/>
          <w:sz w:val="24"/>
          <w:szCs w:val="24"/>
          <w:lang w:eastAsia="zh-CN"/>
        </w:rPr>
        <w:t>比选公示时间：</w:t>
      </w:r>
      <w:r>
        <w:rPr>
          <w:rFonts w:hint="eastAsia" w:ascii="Times New Roman" w:hAnsi="Times New Roman" w:cs="Times New Roman"/>
          <w:b/>
          <w:snapToGrid w:val="0"/>
          <w:spacing w:val="8"/>
          <w:sz w:val="24"/>
          <w:szCs w:val="24"/>
          <w:lang w:eastAsia="zh-CN"/>
        </w:rPr>
        <w:t>自公示之日起12天，即自</w:t>
      </w:r>
      <w:r>
        <w:rPr>
          <w:rFonts w:ascii="Times New Roman" w:hAnsi="Times New Roman" w:cs="Times New Roman"/>
          <w:b/>
          <w:snapToGrid w:val="0"/>
          <w:spacing w:val="8"/>
          <w:sz w:val="24"/>
          <w:szCs w:val="24"/>
          <w:lang w:eastAsia="zh-CN"/>
        </w:rPr>
        <w:t>202</w:t>
      </w:r>
      <w:r>
        <w:rPr>
          <w:rFonts w:hint="eastAsia" w:ascii="Times New Roman" w:hAnsi="Times New Roman" w:cs="Times New Roman"/>
          <w:b/>
          <w:snapToGrid w:val="0"/>
          <w:spacing w:val="8"/>
          <w:sz w:val="24"/>
          <w:szCs w:val="24"/>
          <w:lang w:eastAsia="zh-CN"/>
        </w:rPr>
        <w:t>3</w:t>
      </w:r>
      <w:r>
        <w:rPr>
          <w:rFonts w:ascii="Times New Roman" w:hAnsi="Times New Roman" w:cs="Times New Roman"/>
          <w:b/>
          <w:snapToGrid w:val="0"/>
          <w:spacing w:val="8"/>
          <w:sz w:val="24"/>
          <w:szCs w:val="24"/>
          <w:lang w:eastAsia="zh-CN"/>
        </w:rPr>
        <w:t>年</w:t>
      </w:r>
      <w:r>
        <w:rPr>
          <w:rFonts w:hint="eastAsia" w:ascii="Times New Roman" w:hAnsi="Times New Roman" w:cs="Times New Roman"/>
          <w:b/>
          <w:snapToGrid w:val="0"/>
          <w:spacing w:val="8"/>
          <w:sz w:val="24"/>
          <w:szCs w:val="24"/>
          <w:lang w:val="en-US" w:eastAsia="zh-CN"/>
        </w:rPr>
        <w:t>03</w:t>
      </w:r>
      <w:r>
        <w:rPr>
          <w:rFonts w:ascii="Times New Roman" w:hAnsi="Times New Roman" w:cs="Times New Roman"/>
          <w:b/>
          <w:snapToGrid w:val="0"/>
          <w:spacing w:val="8"/>
          <w:sz w:val="24"/>
          <w:szCs w:val="24"/>
          <w:lang w:eastAsia="zh-CN"/>
        </w:rPr>
        <w:t>月</w:t>
      </w:r>
      <w:r>
        <w:rPr>
          <w:rFonts w:hint="eastAsia" w:ascii="Times New Roman" w:hAnsi="Times New Roman" w:cs="Times New Roman"/>
          <w:b/>
          <w:snapToGrid w:val="0"/>
          <w:spacing w:val="8"/>
          <w:sz w:val="24"/>
          <w:szCs w:val="24"/>
          <w:lang w:val="en-US" w:eastAsia="zh-CN"/>
        </w:rPr>
        <w:t>07</w:t>
      </w:r>
      <w:r>
        <w:rPr>
          <w:rFonts w:ascii="Times New Roman" w:hAnsi="Times New Roman" w:cs="Times New Roman"/>
          <w:b/>
          <w:snapToGrid w:val="0"/>
          <w:spacing w:val="8"/>
          <w:sz w:val="24"/>
          <w:szCs w:val="24"/>
          <w:lang w:eastAsia="zh-CN"/>
        </w:rPr>
        <w:t>日-</w:t>
      </w:r>
      <w:r>
        <w:rPr>
          <w:rFonts w:hint="eastAsia" w:ascii="Times New Roman" w:hAnsi="Times New Roman" w:cs="Times New Roman"/>
          <w:b/>
          <w:snapToGrid w:val="0"/>
          <w:spacing w:val="8"/>
          <w:sz w:val="24"/>
          <w:szCs w:val="24"/>
          <w:lang w:val="en-US" w:eastAsia="zh-CN"/>
        </w:rPr>
        <w:t>03</w:t>
      </w:r>
      <w:r>
        <w:rPr>
          <w:rFonts w:ascii="Times New Roman" w:hAnsi="Times New Roman" w:cs="Times New Roman"/>
          <w:b/>
          <w:snapToGrid w:val="0"/>
          <w:spacing w:val="8"/>
          <w:sz w:val="24"/>
          <w:szCs w:val="24"/>
          <w:lang w:eastAsia="zh-CN"/>
        </w:rPr>
        <w:t>月</w:t>
      </w:r>
      <w:r>
        <w:rPr>
          <w:rFonts w:hint="eastAsia" w:ascii="Times New Roman" w:hAnsi="Times New Roman" w:cs="Times New Roman"/>
          <w:b/>
          <w:snapToGrid w:val="0"/>
          <w:spacing w:val="8"/>
          <w:sz w:val="24"/>
          <w:szCs w:val="24"/>
          <w:lang w:val="en-US" w:eastAsia="zh-CN"/>
        </w:rPr>
        <w:t>18</w:t>
      </w:r>
      <w:r>
        <w:rPr>
          <w:rFonts w:ascii="Times New Roman" w:hAnsi="Times New Roman" w:cs="Times New Roman"/>
          <w:b/>
          <w:snapToGrid w:val="0"/>
          <w:spacing w:val="8"/>
          <w:sz w:val="24"/>
          <w:szCs w:val="24"/>
          <w:lang w:eastAsia="zh-CN"/>
        </w:rPr>
        <w:t>日</w:t>
      </w:r>
      <w:r>
        <w:rPr>
          <w:rFonts w:hint="eastAsia" w:ascii="Times New Roman" w:hAnsi="Times New Roman" w:cs="Times New Roman"/>
          <w:b/>
          <w:snapToGrid w:val="0"/>
          <w:spacing w:val="8"/>
          <w:sz w:val="24"/>
          <w:szCs w:val="24"/>
          <w:lang w:eastAsia="zh-CN"/>
        </w:rPr>
        <w:t>止</w:t>
      </w:r>
      <w:r>
        <w:rPr>
          <w:rFonts w:ascii="Times New Roman" w:hAnsi="Times New Roman" w:cs="Times New Roman"/>
          <w:b/>
          <w:snapToGrid w:val="0"/>
          <w:spacing w:val="8"/>
          <w:sz w:val="24"/>
          <w:szCs w:val="24"/>
          <w:lang w:eastAsia="zh-CN"/>
        </w:rPr>
        <w:t>，公示期间请有意向参选人联系比选人进行交流澄清。</w:t>
      </w:r>
    </w:p>
    <w:p>
      <w:pPr>
        <w:pStyle w:val="4"/>
        <w:tabs>
          <w:tab w:val="left" w:pos="6879"/>
        </w:tabs>
        <w:spacing w:line="360" w:lineRule="auto"/>
        <w:ind w:left="118" w:right="106"/>
        <w:rPr>
          <w:rFonts w:ascii="Times New Roman" w:hAnsi="Times New Roman" w:cs="Times New Roman"/>
          <w:b w:val="0"/>
          <w:snapToGrid w:val="0"/>
          <w:spacing w:val="8"/>
          <w:lang w:eastAsia="zh-CN"/>
        </w:rPr>
      </w:pPr>
      <w:r>
        <w:rPr>
          <w:rFonts w:hint="eastAsia" w:ascii="Times New Roman" w:hAnsi="Times New Roman" w:cs="Times New Roman"/>
          <w:snapToGrid w:val="0"/>
          <w:spacing w:val="8"/>
          <w:lang w:eastAsia="zh-CN"/>
        </w:rPr>
        <w:t>2、</w:t>
      </w:r>
      <w:r>
        <w:rPr>
          <w:rFonts w:ascii="Times New Roman" w:hAnsi="Times New Roman" w:cs="Times New Roman"/>
          <w:snapToGrid w:val="0"/>
          <w:spacing w:val="8"/>
          <w:lang w:eastAsia="zh-CN"/>
        </w:rPr>
        <w:t>参选文件递交的截止时</w:t>
      </w:r>
      <w:r>
        <w:rPr>
          <w:rFonts w:ascii="Times New Roman" w:hAnsi="Times New Roman" w:cs="Times New Roman"/>
          <w:bCs w:val="0"/>
          <w:snapToGrid w:val="0"/>
          <w:spacing w:val="8"/>
          <w:lang w:eastAsia="zh-CN"/>
        </w:rPr>
        <w:t>间：202</w:t>
      </w:r>
      <w:r>
        <w:rPr>
          <w:rFonts w:hint="eastAsia" w:ascii="Times New Roman" w:hAnsi="Times New Roman" w:cs="Times New Roman"/>
          <w:bCs w:val="0"/>
          <w:snapToGrid w:val="0"/>
          <w:spacing w:val="8"/>
          <w:lang w:eastAsia="zh-CN"/>
        </w:rPr>
        <w:t>3</w:t>
      </w:r>
      <w:r>
        <w:rPr>
          <w:rFonts w:ascii="Times New Roman" w:hAnsi="Times New Roman" w:cs="Times New Roman"/>
          <w:bCs w:val="0"/>
          <w:snapToGrid w:val="0"/>
          <w:spacing w:val="8"/>
          <w:lang w:eastAsia="zh-CN"/>
        </w:rPr>
        <w:t>年</w:t>
      </w:r>
      <w:r>
        <w:rPr>
          <w:rFonts w:hint="eastAsia" w:ascii="Times New Roman" w:hAnsi="Times New Roman" w:cs="Times New Roman"/>
          <w:bCs w:val="0"/>
          <w:snapToGrid w:val="0"/>
          <w:spacing w:val="8"/>
          <w:lang w:val="en-US" w:eastAsia="zh-CN"/>
        </w:rPr>
        <w:t>03</w:t>
      </w:r>
      <w:r>
        <w:rPr>
          <w:rFonts w:ascii="Times New Roman" w:hAnsi="Times New Roman" w:cs="Times New Roman"/>
          <w:bCs w:val="0"/>
          <w:snapToGrid w:val="0"/>
          <w:spacing w:val="8"/>
          <w:lang w:eastAsia="zh-CN"/>
        </w:rPr>
        <w:t>月</w:t>
      </w:r>
      <w:r>
        <w:rPr>
          <w:rFonts w:hint="eastAsia" w:ascii="Times New Roman" w:hAnsi="Times New Roman" w:cs="Times New Roman"/>
          <w:bCs w:val="0"/>
          <w:snapToGrid w:val="0"/>
          <w:spacing w:val="8"/>
          <w:lang w:val="en-US" w:eastAsia="zh-CN"/>
        </w:rPr>
        <w:t>18</w:t>
      </w:r>
      <w:r>
        <w:rPr>
          <w:rFonts w:ascii="Times New Roman" w:hAnsi="Times New Roman" w:cs="Times New Roman"/>
          <w:bCs w:val="0"/>
          <w:snapToGrid w:val="0"/>
          <w:spacing w:val="8"/>
          <w:lang w:eastAsia="zh-CN"/>
        </w:rPr>
        <w:t>日</w:t>
      </w:r>
      <w:r>
        <w:rPr>
          <w:rFonts w:hint="eastAsia" w:ascii="Times New Roman" w:hAnsi="Times New Roman" w:cs="Times New Roman"/>
          <w:bCs w:val="0"/>
          <w:snapToGrid w:val="0"/>
          <w:spacing w:val="8"/>
          <w:lang w:val="en-US" w:eastAsia="zh-CN"/>
        </w:rPr>
        <w:t>24:</w:t>
      </w:r>
      <w:r>
        <w:rPr>
          <w:rFonts w:ascii="Times New Roman" w:hAnsi="Times New Roman" w:cs="Times New Roman"/>
          <w:bCs w:val="0"/>
          <w:snapToGrid w:val="0"/>
          <w:spacing w:val="8"/>
          <w:lang w:eastAsia="zh-CN"/>
        </w:rPr>
        <w:t>00之前（</w:t>
      </w:r>
      <w:r>
        <w:rPr>
          <w:rFonts w:ascii="Times New Roman" w:hAnsi="Times New Roman" w:cs="Times New Roman"/>
          <w:lang w:eastAsia="zh-CN"/>
        </w:rPr>
        <w:t>以收到参选文件为准）</w:t>
      </w:r>
      <w:r>
        <w:rPr>
          <w:rFonts w:ascii="Times New Roman" w:hAnsi="Times New Roman" w:cs="Times New Roman"/>
          <w:b w:val="0"/>
          <w:snapToGrid w:val="0"/>
          <w:spacing w:val="8"/>
          <w:lang w:eastAsia="zh-CN"/>
        </w:rPr>
        <w:t>。</w:t>
      </w:r>
    </w:p>
    <w:p>
      <w:pPr>
        <w:spacing w:line="360" w:lineRule="auto"/>
        <w:ind w:firstLine="257" w:firstLineChars="100"/>
        <w:rPr>
          <w:rFonts w:ascii="Times New Roman" w:hAnsi="Times New Roman" w:cs="Times New Roman"/>
          <w:b/>
          <w:bCs/>
          <w:snapToGrid w:val="0"/>
          <w:spacing w:val="8"/>
          <w:sz w:val="24"/>
          <w:szCs w:val="24"/>
          <w:lang w:eastAsia="zh-CN"/>
        </w:rPr>
      </w:pPr>
      <w:r>
        <w:rPr>
          <w:rFonts w:ascii="Times New Roman" w:hAnsi="Times New Roman" w:cs="Times New Roman"/>
          <w:b/>
          <w:bCs/>
          <w:snapToGrid w:val="0"/>
          <w:spacing w:val="8"/>
          <w:sz w:val="24"/>
          <w:szCs w:val="24"/>
          <w:lang w:eastAsia="zh-CN"/>
        </w:rPr>
        <w:t>三、本自主比选采用综合评标办法，经技术评选和商务评选后选择综合总分最高者作为中选单位，技术标和商务标占比</w:t>
      </w:r>
      <w:r>
        <w:rPr>
          <w:rFonts w:hint="eastAsia" w:ascii="Times New Roman" w:hAnsi="Times New Roman" w:cs="Times New Roman"/>
          <w:b/>
          <w:bCs/>
          <w:snapToGrid w:val="0"/>
          <w:spacing w:val="8"/>
          <w:sz w:val="24"/>
          <w:szCs w:val="24"/>
          <w:lang w:eastAsia="zh-CN"/>
        </w:rPr>
        <w:t>2:8</w:t>
      </w:r>
      <w:r>
        <w:rPr>
          <w:rFonts w:ascii="Times New Roman" w:hAnsi="Times New Roman" w:cs="Times New Roman"/>
          <w:b/>
          <w:bCs/>
          <w:snapToGrid w:val="0"/>
          <w:spacing w:val="8"/>
          <w:sz w:val="24"/>
          <w:szCs w:val="24"/>
          <w:lang w:eastAsia="zh-CN"/>
        </w:rPr>
        <w:t>。</w:t>
      </w:r>
    </w:p>
    <w:p>
      <w:pPr>
        <w:spacing w:line="360" w:lineRule="auto"/>
        <w:ind w:firstLine="480" w:firstLineChars="200"/>
        <w:rPr>
          <w:rFonts w:ascii="Times New Roman" w:hAnsi="Times New Roman" w:cs="Times New Roman"/>
          <w:sz w:val="24"/>
          <w:szCs w:val="24"/>
          <w:lang w:eastAsia="zh-CN"/>
        </w:rPr>
      </w:pPr>
      <w:bookmarkStart w:id="2" w:name="_GoBack"/>
      <w:bookmarkEnd w:id="2"/>
      <w:r>
        <w:rPr>
          <w:rFonts w:ascii="Times New Roman" w:hAnsi="Times New Roman" w:cs="Times New Roman"/>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为了“公开、公平、公正、透明”，引导参选人进行正确参选，特制定本规定文件。</w:t>
      </w:r>
    </w:p>
    <w:p>
      <w:pPr>
        <w:spacing w:line="360" w:lineRule="auto"/>
        <w:ind w:left="250" w:leftChars="109" w:hanging="10"/>
        <w:rPr>
          <w:rFonts w:ascii="Times New Roman" w:hAnsi="Times New Roman" w:cs="Times New Roman"/>
          <w:sz w:val="24"/>
          <w:szCs w:val="24"/>
          <w:lang w:eastAsia="zh-CN"/>
        </w:rPr>
      </w:pPr>
      <w:r>
        <w:rPr>
          <w:rFonts w:ascii="Times New Roman" w:hAnsi="Times New Roman" w:cs="Times New Roman"/>
          <w:sz w:val="24"/>
          <w:szCs w:val="24"/>
          <w:lang w:eastAsia="zh-CN"/>
        </w:rPr>
        <w:t>商务联系人：</w:t>
      </w:r>
      <w:r>
        <w:rPr>
          <w:rFonts w:hint="eastAsia" w:ascii="Times New Roman" w:hAnsi="Times New Roman" w:cs="Times New Roman"/>
          <w:sz w:val="24"/>
          <w:szCs w:val="24"/>
          <w:lang w:eastAsia="zh-CN"/>
        </w:rPr>
        <w:t xml:space="preserve">黄梅钦 </w:t>
      </w:r>
      <w:r>
        <w:rPr>
          <w:rFonts w:ascii="Times New Roman" w:hAnsi="Times New Roman" w:cs="Times New Roman"/>
          <w:sz w:val="24"/>
          <w:szCs w:val="24"/>
          <w:lang w:eastAsia="zh-CN"/>
        </w:rPr>
        <w:t>0596-6311</w:t>
      </w:r>
      <w:r>
        <w:rPr>
          <w:rFonts w:hint="eastAsia" w:ascii="Times New Roman" w:hAnsi="Times New Roman" w:cs="Times New Roman"/>
          <w:sz w:val="24"/>
          <w:szCs w:val="24"/>
          <w:lang w:eastAsia="zh-CN"/>
        </w:rPr>
        <w:t>073</w:t>
      </w:r>
      <w:r>
        <w:rPr>
          <w:rFonts w:ascii="Times New Roman" w:hAnsi="Times New Roman" w:cs="Times New Roman"/>
          <w:sz w:val="24"/>
          <w:szCs w:val="24"/>
          <w:lang w:eastAsia="zh-CN"/>
        </w:rPr>
        <w:t>，h</w:t>
      </w:r>
      <w:r>
        <w:rPr>
          <w:rFonts w:hint="eastAsia" w:ascii="Times New Roman" w:hAnsi="Times New Roman" w:cs="Times New Roman"/>
          <w:sz w:val="24"/>
          <w:szCs w:val="24"/>
          <w:lang w:eastAsia="zh-CN"/>
        </w:rPr>
        <w:t>uangmq</w:t>
      </w:r>
      <w:r>
        <w:rPr>
          <w:rFonts w:ascii="Times New Roman" w:hAnsi="Times New Roman" w:cs="Times New Roman"/>
          <w:sz w:val="24"/>
          <w:szCs w:val="24"/>
          <w:lang w:eastAsia="zh-CN"/>
        </w:rPr>
        <w:t>@f</w:t>
      </w:r>
      <w:r>
        <w:rPr>
          <w:rFonts w:hint="eastAsia" w:ascii="Times New Roman" w:hAnsi="Times New Roman" w:cs="Times New Roman"/>
          <w:sz w:val="24"/>
          <w:szCs w:val="24"/>
          <w:lang w:eastAsia="zh-CN"/>
        </w:rPr>
        <w:t>j</w:t>
      </w:r>
      <w:r>
        <w:rPr>
          <w:rFonts w:ascii="Times New Roman" w:hAnsi="Times New Roman" w:cs="Times New Roman"/>
          <w:sz w:val="24"/>
          <w:szCs w:val="24"/>
          <w:lang w:eastAsia="zh-CN"/>
        </w:rPr>
        <w:t>pec.com</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cn</w:t>
      </w:r>
    </w:p>
    <w:p>
      <w:pPr>
        <w:spacing w:line="360" w:lineRule="auto"/>
        <w:ind w:left="250" w:leftChars="109" w:hanging="10"/>
        <w:rPr>
          <w:rFonts w:ascii="Times New Roman" w:hAnsi="Times New Roman" w:cs="Times New Roman"/>
          <w:sz w:val="24"/>
          <w:szCs w:val="24"/>
          <w:lang w:eastAsia="zh-CN"/>
        </w:rPr>
      </w:pPr>
      <w:r>
        <w:rPr>
          <w:rFonts w:ascii="Times New Roman" w:hAnsi="Times New Roman" w:cs="Times New Roman"/>
          <w:sz w:val="24"/>
          <w:szCs w:val="24"/>
          <w:lang w:eastAsia="zh-CN"/>
        </w:rPr>
        <w:t>技术联系人：林</w:t>
      </w:r>
      <w:r>
        <w:rPr>
          <w:rFonts w:hint="eastAsia" w:ascii="Times New Roman" w:hAnsi="Times New Roman" w:cs="Times New Roman"/>
          <w:sz w:val="24"/>
          <w:szCs w:val="24"/>
          <w:lang w:eastAsia="zh-CN"/>
        </w:rPr>
        <w:t xml:space="preserve">月辉 </w:t>
      </w:r>
      <w:r>
        <w:rPr>
          <w:rFonts w:ascii="Times New Roman" w:hAnsi="Times New Roman" w:cs="Times New Roman"/>
          <w:sz w:val="24"/>
          <w:szCs w:val="24"/>
          <w:lang w:eastAsia="zh-CN"/>
        </w:rPr>
        <w:t>15959492256</w:t>
      </w:r>
      <w:r>
        <w:rPr>
          <w:rFonts w:hint="eastAsia" w:ascii="Times New Roman" w:hAnsi="Times New Roman" w:cs="Times New Roman"/>
          <w:sz w:val="24"/>
          <w:szCs w:val="24"/>
          <w:lang w:eastAsia="zh-CN"/>
        </w:rPr>
        <w:t>，yhlin@fhcpec.com.cn</w:t>
      </w:r>
    </w:p>
    <w:p>
      <w:pPr>
        <w:pStyle w:val="2"/>
        <w:spacing w:line="360" w:lineRule="auto"/>
        <w:ind w:left="250" w:leftChars="109" w:hanging="10"/>
      </w:pPr>
      <w:r>
        <w:rPr>
          <w:rFonts w:hint="eastAsia" w:hAnsi="宋体" w:cs="宋体"/>
          <w:sz w:val="24"/>
          <w:szCs w:val="24"/>
        </w:rPr>
        <w:t>纪检监察室电话：0596-6311774</w:t>
      </w:r>
    </w:p>
    <w:p>
      <w:pPr>
        <w:spacing w:line="360" w:lineRule="auto"/>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联系地址：福建省漳州市漳浦县杜浔镇杜昌路9号（福海创办公楼</w:t>
      </w:r>
      <w:r>
        <w:rPr>
          <w:rFonts w:hint="eastAsia" w:ascii="Times New Roman" w:hAnsi="Times New Roman" w:cs="Times New Roman"/>
          <w:sz w:val="24"/>
          <w:szCs w:val="24"/>
          <w:lang w:eastAsia="zh-CN"/>
        </w:rPr>
        <w:t>三</w:t>
      </w:r>
      <w:r>
        <w:rPr>
          <w:rFonts w:ascii="Times New Roman" w:hAnsi="Times New Roman" w:cs="Times New Roman"/>
          <w:sz w:val="24"/>
          <w:szCs w:val="24"/>
          <w:lang w:eastAsia="zh-CN"/>
        </w:rPr>
        <w:t>楼，</w:t>
      </w:r>
      <w:r>
        <w:rPr>
          <w:rFonts w:hint="eastAsia" w:ascii="Times New Roman" w:hAnsi="Times New Roman" w:cs="Times New Roman"/>
          <w:sz w:val="24"/>
          <w:szCs w:val="24"/>
          <w:lang w:eastAsia="zh-CN"/>
        </w:rPr>
        <w:t>设备及服务团队</w:t>
      </w:r>
      <w:r>
        <w:rPr>
          <w:rFonts w:ascii="Times New Roman" w:hAnsi="Times New Roman" w:cs="Times New Roman"/>
          <w:sz w:val="24"/>
          <w:szCs w:val="24"/>
          <w:lang w:eastAsia="zh-CN"/>
        </w:rPr>
        <w:t>）</w:t>
      </w:r>
    </w:p>
    <w:p>
      <w:pPr>
        <w:spacing w:line="360" w:lineRule="auto"/>
        <w:ind w:firstLine="480" w:firstLineChars="200"/>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邮    编：363216 </w:t>
      </w:r>
    </w:p>
    <w:p>
      <w:pPr>
        <w:spacing w:line="324"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24" w:lineRule="auto"/>
        <w:ind w:firstLine="480" w:firstLineChars="200"/>
        <w:rPr>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3年3月</w:t>
      </w:r>
      <w:r>
        <w:rPr>
          <w:rFonts w:hint="eastAsia"/>
          <w:sz w:val="24"/>
          <w:szCs w:val="24"/>
          <w:lang w:val="en-US" w:eastAsia="zh-CN"/>
        </w:rPr>
        <w:t>06</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spacing w:before="3"/>
        <w:rPr>
          <w:b/>
          <w:sz w:val="26"/>
          <w:lang w:eastAsia="zh-CN"/>
        </w:rPr>
      </w:pPr>
    </w:p>
    <w:p>
      <w:pPr>
        <w:spacing w:before="15"/>
        <w:ind w:left="482" w:leftChars="-9" w:hanging="502" w:hangingChars="188"/>
        <w:rPr>
          <w:b/>
          <w:sz w:val="28"/>
          <w:lang w:eastAsia="zh-CN"/>
        </w:rPr>
      </w:pPr>
      <w:r>
        <w:rPr>
          <w:b/>
          <w:w w:val="95"/>
          <w:sz w:val="28"/>
          <w:lang w:eastAsia="zh-CN"/>
        </w:rPr>
        <w:t>一、比选内容</w:t>
      </w:r>
    </w:p>
    <w:p>
      <w:pPr>
        <w:pStyle w:val="7"/>
        <w:spacing w:before="186" w:line="322" w:lineRule="auto"/>
        <w:ind w:left="431" w:leftChars="-9" w:hanging="451" w:hangingChars="188"/>
        <w:rPr>
          <w:sz w:val="22"/>
          <w:u w:val="single"/>
          <w:lang w:eastAsia="zh-CN"/>
        </w:rPr>
      </w:pPr>
      <w:r>
        <w:rPr>
          <w:lang w:eastAsia="zh-CN"/>
        </w:rPr>
        <w:t>(一)</w:t>
      </w:r>
      <w:r>
        <w:rPr>
          <w:rFonts w:hint="eastAsia"/>
          <w:lang w:eastAsia="zh-CN"/>
        </w:rPr>
        <w:t>项目</w:t>
      </w:r>
      <w:r>
        <w:rPr>
          <w:lang w:eastAsia="zh-CN"/>
        </w:rPr>
        <w:t>名称：</w:t>
      </w:r>
      <w:r>
        <w:rPr>
          <w:rFonts w:hint="eastAsia"/>
          <w:u w:val="single"/>
          <w:lang w:eastAsia="zh-CN"/>
        </w:rPr>
        <w:t>福海创、腾龙芳烃和翔鹭石化三家公司两化融合管理体系认证(A级能力不变)辅导咨询及评定发包。</w:t>
      </w:r>
    </w:p>
    <w:p>
      <w:pPr>
        <w:pStyle w:val="7"/>
        <w:spacing w:before="131" w:line="322" w:lineRule="auto"/>
        <w:ind w:left="431" w:leftChars="-9" w:hanging="451" w:hangingChars="188"/>
        <w:rPr>
          <w:lang w:eastAsia="zh-CN"/>
        </w:rPr>
      </w:pPr>
      <w:r>
        <w:rPr>
          <w:lang w:eastAsia="zh-CN"/>
        </w:rPr>
        <w:t>(二)</w:t>
      </w:r>
      <w:r>
        <w:rPr>
          <w:rFonts w:hint="eastAsia"/>
          <w:lang w:eastAsia="zh-CN"/>
        </w:rPr>
        <w:t>项目</w:t>
      </w:r>
      <w:r>
        <w:rPr>
          <w:lang w:eastAsia="zh-CN"/>
        </w:rPr>
        <w:t>地点：</w:t>
      </w:r>
      <w:r>
        <w:rPr>
          <w:u w:val="single"/>
          <w:lang w:eastAsia="zh-CN"/>
        </w:rPr>
        <w:t>福建福海创石油化工有限公司</w:t>
      </w:r>
      <w:r>
        <w:rPr>
          <w:rFonts w:hint="eastAsia"/>
          <w:u w:val="single"/>
          <w:lang w:eastAsia="zh-CN"/>
        </w:rPr>
        <w:t>现场指定地点。</w:t>
      </w:r>
    </w:p>
    <w:p>
      <w:pPr>
        <w:pStyle w:val="7"/>
        <w:spacing w:before="131" w:line="322" w:lineRule="auto"/>
        <w:ind w:left="431" w:leftChars="-9" w:hanging="451" w:hangingChars="188"/>
        <w:rPr>
          <w:sz w:val="22"/>
          <w:szCs w:val="22"/>
          <w:highlight w:val="green"/>
          <w:u w:val="single"/>
          <w:lang w:eastAsia="zh-CN"/>
        </w:rPr>
      </w:pPr>
      <w:r>
        <w:rPr>
          <w:lang w:eastAsia="zh-CN"/>
        </w:rPr>
        <w:t>(三)</w:t>
      </w:r>
      <w:r>
        <w:rPr>
          <w:rFonts w:hint="eastAsia"/>
          <w:lang w:eastAsia="zh-CN"/>
        </w:rPr>
        <w:t>承包方式：</w:t>
      </w:r>
      <w:r>
        <w:rPr>
          <w:rFonts w:hint="eastAsia"/>
          <w:u w:val="single"/>
          <w:lang w:eastAsia="zh-CN"/>
        </w:rPr>
        <w:t>本项目采用发包范围内含税包干总价的发包方式。</w:t>
      </w:r>
    </w:p>
    <w:p>
      <w:pPr>
        <w:spacing w:before="15"/>
        <w:ind w:left="426" w:leftChars="-36" w:hanging="505" w:hangingChars="189"/>
        <w:rPr>
          <w:b/>
          <w:w w:val="95"/>
          <w:sz w:val="28"/>
          <w:lang w:eastAsia="zh-CN"/>
        </w:rPr>
      </w:pPr>
      <w:r>
        <w:rPr>
          <w:rFonts w:hint="eastAsia"/>
          <w:b/>
          <w:w w:val="95"/>
          <w:sz w:val="28"/>
          <w:lang w:eastAsia="zh-CN"/>
        </w:rPr>
        <w:t>二、项目概况：</w:t>
      </w:r>
    </w:p>
    <w:p>
      <w:pPr>
        <w:pStyle w:val="2"/>
        <w:tabs>
          <w:tab w:val="left" w:pos="220"/>
        </w:tabs>
        <w:spacing w:line="360" w:lineRule="auto"/>
        <w:ind w:left="341" w:hanging="340" w:hangingChars="142"/>
        <w:rPr>
          <w:sz w:val="24"/>
          <w:szCs w:val="24"/>
        </w:rPr>
      </w:pPr>
      <w:r>
        <w:rPr>
          <w:rFonts w:hint="eastAsia"/>
          <w:sz w:val="24"/>
          <w:szCs w:val="24"/>
        </w:rPr>
        <w:t>1、2020年-2023年度福海创、腾龙芳烃和翔鹭石化三家公司已通过两化融合管理体系认证评定，该证书有效期：2023年11月23日到期。由于两化融合是国家标准（GB/T 23001-2017）,也是工信部立部之本，两化融合管理体系的推广是工信部两化融合的重点工作之一，全国工信系统（包括福建省经信委、漳州市工信局）对贯标工作高度重视。两化融合管理体系的核心作用，是优化企业管理、规范企业两化融合和信息化建设进程，帮助企业打造在信息化环境下的新型能力，形成与企业战略匹配的可持续竞争优势。现拟继续对福建福海创石油化工有限公司、腾龙芳烃（漳州）有限公司、翔鹭石化（漳州）有限公司等三家公司申请2023年-2025年度两化融合管理体系认证(A级、能力不变)评审。</w:t>
      </w:r>
    </w:p>
    <w:p>
      <w:pPr>
        <w:pStyle w:val="2"/>
        <w:tabs>
          <w:tab w:val="left" w:pos="220"/>
        </w:tabs>
        <w:spacing w:line="360" w:lineRule="auto"/>
        <w:ind w:left="341" w:hanging="340" w:hangingChars="142"/>
        <w:rPr>
          <w:sz w:val="24"/>
          <w:szCs w:val="24"/>
        </w:rPr>
      </w:pPr>
      <w:r>
        <w:rPr>
          <w:rFonts w:hint="eastAsia"/>
          <w:sz w:val="24"/>
          <w:szCs w:val="24"/>
        </w:rPr>
        <w:t>2、根据《信息化和工业化融合管理体系评定管理办法》中评定程序，评定机构应对颁发评定证书有效期为三年，证书有效期依据发证机构的定期监督获得保持，企业每年需定期进行监督复核评审才能确保证书有效性，每次监督审核的时间间隔不超过12个月。</w:t>
      </w:r>
    </w:p>
    <w:p>
      <w:pPr>
        <w:pStyle w:val="2"/>
        <w:tabs>
          <w:tab w:val="left" w:pos="220"/>
        </w:tabs>
        <w:spacing w:line="360" w:lineRule="auto"/>
        <w:ind w:left="341" w:hanging="340" w:hangingChars="142"/>
        <w:rPr>
          <w:sz w:val="24"/>
          <w:szCs w:val="24"/>
        </w:rPr>
      </w:pPr>
      <w:r>
        <w:rPr>
          <w:rFonts w:hint="eastAsia"/>
          <w:sz w:val="24"/>
          <w:szCs w:val="24"/>
        </w:rPr>
        <w:t>3、由于信息化与工业化深度融合是一个庞大而复杂的系统性工程，而体系的导入和运行文件的更新维护需要有专业的咨询团队，为了确保我司顺利通过首次认证及两年监督复核评审工作，拟三家公司2023年-2025年度两化融合管理体系认证(A级、能力不变)评审工作委托第三方机构进行专业辅导，帮助我司建立两化融合体系，确保我司顺利通过两化融合体系认证并取得认证证书。</w:t>
      </w:r>
    </w:p>
    <w:p>
      <w:pPr>
        <w:spacing w:beforeLines="50" w:line="360" w:lineRule="auto"/>
        <w:rPr>
          <w:rFonts w:ascii="Times New Roman" w:hAnsi="Times New Roman" w:cs="Times New Roman"/>
          <w:sz w:val="24"/>
          <w:szCs w:val="24"/>
          <w:lang w:eastAsia="zh-CN"/>
        </w:rPr>
      </w:pPr>
      <w:r>
        <w:rPr>
          <w:rFonts w:hint="eastAsia" w:ascii="Times New Roman" w:hAnsi="Times New Roman" w:cs="Times New Roman"/>
          <w:b/>
          <w:sz w:val="24"/>
          <w:szCs w:val="24"/>
          <w:lang w:eastAsia="zh-CN"/>
        </w:rPr>
        <w:t>三、</w:t>
      </w:r>
      <w:r>
        <w:rPr>
          <w:rFonts w:ascii="Times New Roman" w:hAnsi="Times New Roman" w:cs="Times New Roman"/>
          <w:b/>
          <w:sz w:val="24"/>
          <w:szCs w:val="24"/>
          <w:lang w:eastAsia="zh-CN"/>
        </w:rPr>
        <w:t>比选范围及内容</w:t>
      </w:r>
      <w:r>
        <w:rPr>
          <w:rFonts w:hint="eastAsia" w:ascii="Times New Roman" w:hAnsi="Times New Roman" w:cs="Times New Roman"/>
          <w:b/>
          <w:sz w:val="24"/>
          <w:szCs w:val="24"/>
          <w:lang w:eastAsia="zh-CN"/>
        </w:rPr>
        <w:t>要求</w:t>
      </w:r>
      <w:r>
        <w:rPr>
          <w:rFonts w:ascii="Times New Roman" w:hAnsi="Times New Roman" w:cs="Times New Roman"/>
          <w:b/>
          <w:sz w:val="24"/>
          <w:szCs w:val="24"/>
          <w:lang w:eastAsia="zh-CN"/>
        </w:rPr>
        <w:t>：</w:t>
      </w:r>
    </w:p>
    <w:p>
      <w:pPr>
        <w:spacing w:line="360" w:lineRule="auto"/>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本次发包服务内容主要有以下两点：</w:t>
      </w:r>
    </w:p>
    <w:p>
      <w:pPr>
        <w:spacing w:line="360" w:lineRule="auto"/>
        <w:ind w:left="319" w:hanging="319" w:hangingChars="133"/>
        <w:rPr>
          <w:rFonts w:hAnsi="Calibri" w:cs="Times New Roman"/>
          <w:sz w:val="24"/>
          <w:szCs w:val="24"/>
          <w:lang w:eastAsia="zh-CN"/>
        </w:rPr>
      </w:pPr>
      <w:r>
        <w:rPr>
          <w:rFonts w:hint="eastAsia" w:hAnsi="Calibri" w:cs="Times New Roman"/>
          <w:sz w:val="24"/>
          <w:szCs w:val="24"/>
          <w:lang w:eastAsia="zh-CN"/>
        </w:rPr>
        <w:t>1. 服务内容：指导、帮助委托方初次建立、实施及两年监督复核评审两化融合管理体系认证，要求乙方完成工信部要求的所有两化融合管理体系贯标的所有文件、资料及报告，并提供电子版；</w:t>
      </w:r>
    </w:p>
    <w:p>
      <w:pPr>
        <w:spacing w:line="360" w:lineRule="auto"/>
        <w:ind w:left="319" w:hanging="319" w:hangingChars="133"/>
        <w:rPr>
          <w:rFonts w:hAnsi="Calibri" w:cs="Times New Roman"/>
          <w:sz w:val="24"/>
          <w:szCs w:val="24"/>
          <w:lang w:eastAsia="zh-CN"/>
        </w:rPr>
      </w:pPr>
      <w:r>
        <w:rPr>
          <w:rFonts w:hint="eastAsia" w:hAnsi="Calibri" w:cs="Times New Roman"/>
          <w:sz w:val="24"/>
          <w:szCs w:val="24"/>
          <w:lang w:eastAsia="zh-CN"/>
        </w:rPr>
        <w:t xml:space="preserve">2. 验收标准：辅导甲方通过工信部审核及取得两化融合管理体系认证证书（包含2024年初次证书、2025年、2026年监督复核评审证书）。 </w:t>
      </w:r>
    </w:p>
    <w:p>
      <w:pPr>
        <w:spacing w:line="360" w:lineRule="auto"/>
        <w:rPr>
          <w:rFonts w:hAnsi="Calibri" w:cs="Times New Roman"/>
          <w:sz w:val="24"/>
          <w:szCs w:val="24"/>
          <w:lang w:eastAsia="zh-CN"/>
        </w:rPr>
      </w:pPr>
      <w:r>
        <w:rPr>
          <w:rFonts w:hint="eastAsia" w:hAnsi="Calibri" w:cs="Times New Roman"/>
          <w:sz w:val="24"/>
          <w:szCs w:val="24"/>
          <w:lang w:eastAsia="zh-CN"/>
        </w:rPr>
        <w:t>3</w:t>
      </w:r>
      <w:r>
        <w:rPr>
          <w:rFonts w:hAnsi="Calibri" w:cs="Times New Roman"/>
          <w:sz w:val="24"/>
          <w:szCs w:val="24"/>
          <w:lang w:eastAsia="zh-CN"/>
        </w:rPr>
        <w:t>.</w:t>
      </w:r>
      <w:r>
        <w:rPr>
          <w:rFonts w:hint="eastAsia" w:hAnsi="Calibri" w:cs="Times New Roman"/>
          <w:sz w:val="24"/>
          <w:szCs w:val="24"/>
          <w:lang w:eastAsia="zh-CN"/>
        </w:rPr>
        <w:t xml:space="preserve"> </w:t>
      </w:r>
      <w:r>
        <w:rPr>
          <w:rFonts w:hAnsi="Calibri" w:cs="Times New Roman"/>
          <w:sz w:val="24"/>
          <w:szCs w:val="24"/>
          <w:lang w:eastAsia="zh-CN"/>
        </w:rPr>
        <w:t>相关要求、标准、规范及规定：</w:t>
      </w:r>
    </w:p>
    <w:p>
      <w:pPr>
        <w:spacing w:line="360" w:lineRule="auto"/>
        <w:ind w:firstLine="480" w:firstLineChars="200"/>
        <w:rPr>
          <w:rFonts w:hAnsi="Calibri" w:cs="Times New Roman"/>
          <w:b/>
          <w:bCs/>
          <w:sz w:val="24"/>
          <w:szCs w:val="24"/>
          <w:u w:val="single"/>
          <w:lang w:eastAsia="zh-CN"/>
        </w:rPr>
      </w:pPr>
      <w:r>
        <w:rPr>
          <w:rFonts w:hAnsi="Calibri" w:cs="Times New Roman"/>
          <w:sz w:val="24"/>
          <w:szCs w:val="24"/>
          <w:lang w:eastAsia="zh-CN"/>
        </w:rPr>
        <w:t>福建福海创石油化工有限公司、腾龙芳烃（漳州）有限公司、翔鹭石化（漳州）有限公司三家公司为三个独立项目，要求参选人能为三家公司安排一名项目经理全面负责，并且分为三个小组，，所有工作分开、同步进行，</w:t>
      </w:r>
      <w:r>
        <w:rPr>
          <w:rFonts w:hint="eastAsia"/>
          <w:sz w:val="24"/>
          <w:szCs w:val="24"/>
          <w:lang w:eastAsia="zh-CN"/>
        </w:rPr>
        <w:t>需分别出具初次认证及两年监督复核评审</w:t>
      </w:r>
      <w:r>
        <w:rPr>
          <w:sz w:val="24"/>
          <w:szCs w:val="24"/>
          <w:lang w:eastAsia="zh-CN"/>
        </w:rPr>
        <w:t>两化融合管理体系贯标有关文件</w:t>
      </w:r>
      <w:r>
        <w:rPr>
          <w:rFonts w:hint="eastAsia"/>
          <w:sz w:val="24"/>
          <w:szCs w:val="24"/>
          <w:lang w:eastAsia="zh-CN"/>
        </w:rPr>
        <w:t>、</w:t>
      </w:r>
      <w:r>
        <w:rPr>
          <w:sz w:val="24"/>
          <w:szCs w:val="24"/>
          <w:lang w:eastAsia="zh-CN"/>
        </w:rPr>
        <w:t>资料及报告</w:t>
      </w:r>
      <w:r>
        <w:rPr>
          <w:rFonts w:hint="eastAsia"/>
          <w:sz w:val="24"/>
          <w:szCs w:val="24"/>
          <w:lang w:eastAsia="zh-CN"/>
        </w:rPr>
        <w:t>，并分别提供电子版。</w:t>
      </w:r>
      <w:r>
        <w:rPr>
          <w:rFonts w:hAnsi="Calibri" w:cs="Times New Roman"/>
          <w:b/>
          <w:bCs/>
          <w:sz w:val="24"/>
          <w:szCs w:val="24"/>
          <w:u w:val="single"/>
          <w:lang w:eastAsia="zh-CN"/>
        </w:rPr>
        <w:t>所提供资料需按照工信部相关标准要求编制。</w:t>
      </w:r>
    </w:p>
    <w:p>
      <w:pPr>
        <w:spacing w:line="360" w:lineRule="auto"/>
        <w:rPr>
          <w:rFonts w:hAnsi="Calibri" w:cs="Times New Roman"/>
          <w:sz w:val="24"/>
          <w:szCs w:val="24"/>
          <w:lang w:eastAsia="zh-CN"/>
        </w:rPr>
      </w:pPr>
      <w:r>
        <w:rPr>
          <w:rFonts w:hAnsi="Calibri" w:cs="Times New Roman"/>
          <w:sz w:val="24"/>
          <w:szCs w:val="24"/>
          <w:lang w:eastAsia="zh-CN"/>
        </w:rPr>
        <w:t>4.</w:t>
      </w:r>
      <w:r>
        <w:rPr>
          <w:rFonts w:hint="eastAsia" w:hAnsi="Calibri" w:cs="Times New Roman"/>
          <w:sz w:val="24"/>
          <w:szCs w:val="24"/>
          <w:lang w:eastAsia="zh-CN"/>
        </w:rPr>
        <w:t xml:space="preserve"> 工期、交货期或完工期：2023-2025年，共三年</w:t>
      </w:r>
      <w:r>
        <w:rPr>
          <w:rFonts w:hAnsi="Calibri" w:cs="Times New Roman"/>
          <w:sz w:val="24"/>
          <w:szCs w:val="24"/>
          <w:lang w:eastAsia="zh-CN"/>
        </w:rPr>
        <w:t>。</w:t>
      </w:r>
    </w:p>
    <w:p>
      <w:pPr>
        <w:widowControl/>
        <w:tabs>
          <w:tab w:val="left" w:pos="0"/>
          <w:tab w:val="left" w:pos="993"/>
          <w:tab w:val="left" w:pos="1134"/>
        </w:tabs>
        <w:autoSpaceDE/>
        <w:autoSpaceDN/>
        <w:spacing w:line="360" w:lineRule="auto"/>
        <w:jc w:val="both"/>
        <w:rPr>
          <w:rFonts w:hAnsi="Calibri" w:cs="Times New Roman"/>
          <w:sz w:val="24"/>
          <w:szCs w:val="24"/>
          <w:lang w:eastAsia="zh-CN"/>
        </w:rPr>
      </w:pPr>
      <w:r>
        <w:rPr>
          <w:rFonts w:hAnsi="Calibri" w:cs="Times New Roman"/>
          <w:sz w:val="24"/>
          <w:szCs w:val="24"/>
          <w:lang w:eastAsia="zh-CN"/>
        </w:rPr>
        <w:t>5.</w:t>
      </w:r>
      <w:r>
        <w:rPr>
          <w:rFonts w:hint="eastAsia" w:hAnsi="Calibri" w:cs="Times New Roman"/>
          <w:sz w:val="24"/>
          <w:szCs w:val="24"/>
          <w:lang w:eastAsia="zh-CN"/>
        </w:rPr>
        <w:t xml:space="preserve"> </w:t>
      </w:r>
      <w:r>
        <w:rPr>
          <w:rFonts w:hAnsi="Calibri" w:cs="Times New Roman"/>
          <w:sz w:val="24"/>
          <w:szCs w:val="24"/>
          <w:lang w:eastAsia="zh-CN"/>
        </w:rPr>
        <w:t>控制价：</w:t>
      </w:r>
    </w:p>
    <w:p>
      <w:pPr>
        <w:widowControl/>
        <w:tabs>
          <w:tab w:val="left" w:pos="0"/>
          <w:tab w:val="left" w:pos="993"/>
          <w:tab w:val="left" w:pos="1134"/>
        </w:tabs>
        <w:autoSpaceDE/>
        <w:autoSpaceDN/>
        <w:spacing w:line="360" w:lineRule="auto"/>
        <w:jc w:val="both"/>
        <w:rPr>
          <w:rFonts w:hAnsi="Calibri" w:cs="Times New Roman"/>
          <w:sz w:val="24"/>
          <w:szCs w:val="24"/>
          <w:lang w:eastAsia="zh-CN"/>
        </w:rPr>
      </w:pPr>
      <w:r>
        <w:rPr>
          <w:rFonts w:hAnsi="Calibri" w:cs="Times New Roman"/>
          <w:sz w:val="24"/>
          <w:szCs w:val="24"/>
          <w:lang w:eastAsia="zh-CN"/>
        </w:rPr>
        <w:t>本项目最高限价为含税包干总价</w:t>
      </w:r>
      <w:r>
        <w:rPr>
          <w:rFonts w:hAnsi="Calibri" w:cs="Times New Roman"/>
          <w:b/>
          <w:bCs/>
          <w:sz w:val="24"/>
          <w:szCs w:val="24"/>
          <w:lang w:eastAsia="zh-CN"/>
        </w:rPr>
        <w:t>不超高RMB3</w:t>
      </w:r>
      <w:r>
        <w:rPr>
          <w:rFonts w:hint="eastAsia" w:hAnsi="Calibri" w:cs="Times New Roman"/>
          <w:b/>
          <w:bCs/>
          <w:sz w:val="24"/>
          <w:szCs w:val="24"/>
          <w:lang w:eastAsia="zh-CN"/>
        </w:rPr>
        <w:t>1</w:t>
      </w:r>
      <w:r>
        <w:rPr>
          <w:rFonts w:hAnsi="Calibri" w:cs="Times New Roman"/>
          <w:b/>
          <w:bCs/>
          <w:sz w:val="24"/>
          <w:szCs w:val="24"/>
          <w:lang w:eastAsia="zh-CN"/>
        </w:rPr>
        <w:t>万元</w:t>
      </w:r>
      <w:r>
        <w:rPr>
          <w:rFonts w:hAnsi="Calibri" w:cs="Times New Roman"/>
          <w:sz w:val="24"/>
          <w:szCs w:val="24"/>
          <w:lang w:eastAsia="zh-CN"/>
        </w:rPr>
        <w:t>。参选人在比选文件中填报的投标含税总价高于最高限价的，视为未实质性响应招标文件要求，其报价将被视为无效报价。</w:t>
      </w:r>
    </w:p>
    <w:p>
      <w:pPr>
        <w:pStyle w:val="3"/>
        <w:spacing w:beforeLines="50" w:afterLines="50" w:line="360" w:lineRule="auto"/>
        <w:ind w:left="0" w:firstLine="482" w:firstLineChars="200"/>
        <w:rPr>
          <w:rFonts w:hAnsi="Calibri" w:cs="Times New Roman"/>
          <w:sz w:val="24"/>
          <w:szCs w:val="24"/>
          <w:lang w:eastAsia="zh-CN"/>
        </w:rPr>
      </w:pPr>
      <w:r>
        <w:rPr>
          <w:rFonts w:hint="eastAsia" w:hAnsi="Calibri" w:cs="Times New Roman"/>
          <w:sz w:val="24"/>
          <w:szCs w:val="24"/>
          <w:lang w:eastAsia="zh-CN"/>
        </w:rPr>
        <w:t>二、定义和解释</w:t>
      </w:r>
    </w:p>
    <w:p>
      <w:pPr>
        <w:pStyle w:val="7"/>
        <w:spacing w:before="186" w:line="360" w:lineRule="auto"/>
        <w:ind w:left="598"/>
        <w:rPr>
          <w:rFonts w:hAnsi="Calibri" w:cs="Times New Roman"/>
          <w:lang w:eastAsia="zh-CN"/>
        </w:rPr>
      </w:pPr>
      <w:r>
        <w:rPr>
          <w:rFonts w:hint="eastAsia" w:hAnsi="Calibri" w:cs="Times New Roman"/>
          <w:lang w:eastAsia="zh-CN"/>
        </w:rPr>
        <w:t>1.“比选人”系福建福海创石油化工有限公司，即业主方。</w:t>
      </w:r>
    </w:p>
    <w:p>
      <w:pPr>
        <w:pStyle w:val="7"/>
        <w:spacing w:before="108" w:line="360" w:lineRule="auto"/>
        <w:ind w:left="118" w:right="222" w:firstLine="480"/>
        <w:rPr>
          <w:rFonts w:hAnsi="Calibri" w:cs="Times New Roman"/>
          <w:lang w:eastAsia="zh-CN"/>
        </w:rPr>
      </w:pPr>
      <w:r>
        <w:rPr>
          <w:rFonts w:hint="eastAsia" w:hAnsi="Calibri" w:cs="Times New Roman"/>
          <w:lang w:eastAsia="zh-CN"/>
        </w:rPr>
        <w:t>2.“参选人”系指向比选人报名并接受邀请，领取比选文件，且已经提交或准备提交本次参选文件的法人。</w:t>
      </w:r>
    </w:p>
    <w:p>
      <w:pPr>
        <w:pStyle w:val="7"/>
        <w:spacing w:before="27" w:line="360" w:lineRule="auto"/>
        <w:ind w:left="118" w:right="222" w:firstLine="480"/>
        <w:rPr>
          <w:rFonts w:hAnsi="Calibri" w:cs="Times New Roman"/>
          <w:lang w:eastAsia="zh-CN"/>
        </w:rPr>
      </w:pPr>
      <w:r>
        <w:rPr>
          <w:rFonts w:hint="eastAsia" w:hAnsi="Calibri" w:cs="Times New Roman"/>
          <w:lang w:eastAsia="zh-CN"/>
        </w:rPr>
        <w:t>3.“参选人代表”系指全权代表参选人参加本次比选活动并签署参选文件的人，如果参选人代表不是参选人的法定代表人，须持有《法定代表人授权委托书》详见附件。</w:t>
      </w:r>
    </w:p>
    <w:p>
      <w:pPr>
        <w:pStyle w:val="3"/>
        <w:spacing w:before="95" w:line="360" w:lineRule="auto"/>
        <w:ind w:left="239" w:hanging="239" w:hangingChars="99"/>
        <w:rPr>
          <w:rFonts w:hAnsi="Calibri" w:cs="Times New Roman"/>
          <w:sz w:val="24"/>
          <w:szCs w:val="24"/>
          <w:lang w:eastAsia="zh-CN"/>
        </w:rPr>
      </w:pPr>
      <w:r>
        <w:rPr>
          <w:rFonts w:hint="eastAsia" w:hAnsi="Calibri" w:cs="Times New Roman"/>
          <w:sz w:val="24"/>
          <w:szCs w:val="24"/>
          <w:lang w:eastAsia="zh-CN"/>
        </w:rPr>
        <w:t>三、比选文件组成</w:t>
      </w:r>
    </w:p>
    <w:p>
      <w:pPr>
        <w:pStyle w:val="7"/>
        <w:spacing w:before="188" w:line="360" w:lineRule="auto"/>
        <w:ind w:left="238" w:hanging="237" w:hangingChars="99"/>
        <w:rPr>
          <w:rFonts w:hAnsi="Calibri" w:cs="Times New Roman"/>
          <w:lang w:eastAsia="zh-CN"/>
        </w:rPr>
      </w:pPr>
      <w:r>
        <w:rPr>
          <w:rFonts w:hint="eastAsia" w:hAnsi="Calibri" w:cs="Times New Roman"/>
          <w:lang w:eastAsia="zh-CN"/>
        </w:rPr>
        <w:t>1.比选文件包括下列内容：</w:t>
      </w:r>
    </w:p>
    <w:p>
      <w:pPr>
        <w:pStyle w:val="7"/>
        <w:spacing w:before="105" w:line="360" w:lineRule="auto"/>
        <w:ind w:firstLine="240" w:firstLineChars="100"/>
        <w:rPr>
          <w:rFonts w:hAnsi="Calibri" w:cs="Times New Roman"/>
          <w:lang w:eastAsia="zh-CN"/>
        </w:rPr>
      </w:pPr>
      <w:r>
        <w:rPr>
          <w:rFonts w:hint="eastAsia" w:hAnsi="Calibri" w:cs="Times New Roman"/>
          <w:lang w:eastAsia="zh-CN"/>
        </w:rPr>
        <w:t>比选公告、比选须知、项目内容、合同书格式、报价单、承诺函等。</w:t>
      </w:r>
    </w:p>
    <w:p>
      <w:pPr>
        <w:pStyle w:val="7"/>
        <w:spacing w:before="105" w:line="360" w:lineRule="auto"/>
        <w:ind w:left="238" w:hanging="237" w:hangingChars="99"/>
        <w:rPr>
          <w:rFonts w:hAnsi="Calibri" w:cs="Times New Roman"/>
          <w:lang w:eastAsia="zh-CN"/>
        </w:rPr>
      </w:pPr>
      <w:r>
        <w:rPr>
          <w:rFonts w:hint="eastAsia" w:hAnsi="Calibri" w:cs="Times New Roman"/>
          <w:lang w:eastAsia="zh-CN"/>
        </w:rPr>
        <w:t>2.比选文件除 1 中内容外，比选人在比选期间发出的书面文件和其他修改或补充函件，均是比选文件不可分割的组成部分。</w:t>
      </w:r>
    </w:p>
    <w:p>
      <w:pPr>
        <w:pStyle w:val="7"/>
        <w:spacing w:before="105" w:line="360" w:lineRule="auto"/>
        <w:ind w:left="238" w:hanging="237" w:hangingChars="99"/>
        <w:rPr>
          <w:rFonts w:hAnsi="Calibri" w:cs="Times New Roman"/>
          <w:lang w:eastAsia="zh-CN"/>
        </w:rPr>
      </w:pPr>
      <w:r>
        <w:rPr>
          <w:rFonts w:hint="eastAsia" w:hAnsi="Calibri" w:cs="Times New Roman"/>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265" w:hanging="264" w:hangingChars="99"/>
        <w:rPr>
          <w:w w:val="95"/>
          <w:lang w:eastAsia="zh-CN"/>
        </w:rPr>
      </w:pPr>
    </w:p>
    <w:p>
      <w:pPr>
        <w:pStyle w:val="3"/>
        <w:spacing w:before="97"/>
        <w:ind w:left="227" w:hanging="227" w:hangingChars="99"/>
        <w:rPr>
          <w:sz w:val="24"/>
          <w:szCs w:val="24"/>
          <w:lang w:eastAsia="zh-CN"/>
        </w:rPr>
      </w:pPr>
      <w:r>
        <w:rPr>
          <w:w w:val="95"/>
          <w:sz w:val="24"/>
          <w:szCs w:val="24"/>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rPr>
          <w:sz w:val="24"/>
          <w:szCs w:val="24"/>
          <w:lang w:eastAsia="zh-CN"/>
        </w:rPr>
      </w:pPr>
      <w:r>
        <w:rPr>
          <w:w w:val="95"/>
          <w:sz w:val="24"/>
          <w:szCs w:val="24"/>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ind w:left="0"/>
        <w:rPr>
          <w:sz w:val="24"/>
          <w:szCs w:val="24"/>
          <w:lang w:eastAsia="zh-CN"/>
        </w:rPr>
      </w:pPr>
      <w:r>
        <w:rPr>
          <w:w w:val="95"/>
          <w:sz w:val="24"/>
          <w:szCs w:val="24"/>
          <w:lang w:eastAsia="zh-CN"/>
        </w:rPr>
        <w:t>六、参选人资格</w:t>
      </w:r>
    </w:p>
    <w:p>
      <w:pPr>
        <w:spacing w:line="360" w:lineRule="auto"/>
        <w:ind w:left="574" w:leftChars="81" w:hanging="396" w:hangingChars="165"/>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中华人民共和国境内注册、具有独立法人资格、具有一般纳税人资格、且具有良好的财务状况和商业信誉（需提供营业执照复印件）。</w:t>
      </w:r>
    </w:p>
    <w:p>
      <w:pPr>
        <w:spacing w:line="360" w:lineRule="auto"/>
        <w:ind w:left="574" w:leftChars="81" w:hanging="396" w:hangingChars="165"/>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参选单位具备辅导企业两化融合管理体系贯标的经验及能力，需提供近两年至少3家及以上企业两化融合管理体系贯标获证成功案例证明，时间点以本比选公告开始之日起算两年，根据业绩证明合同签订时间为准。</w:t>
      </w:r>
    </w:p>
    <w:p>
      <w:pPr>
        <w:widowControl/>
        <w:autoSpaceDE/>
        <w:autoSpaceDN/>
        <w:spacing w:line="360" w:lineRule="auto"/>
        <w:ind w:left="574" w:leftChars="81" w:hanging="396" w:hangingChars="165"/>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left="574" w:leftChars="81" w:hanging="396" w:hangingChars="165"/>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574" w:leftChars="81" w:hanging="396" w:hangingChars="165"/>
        <w:rPr>
          <w:sz w:val="24"/>
          <w:szCs w:val="24"/>
          <w:lang w:eastAsia="zh-CN"/>
        </w:rPr>
      </w:pPr>
      <w:r>
        <w:rPr>
          <w:rFonts w:hint="eastAsia" w:asciiTheme="majorEastAsia" w:hAnsiTheme="majorEastAsia" w:eastAsiaTheme="majorEastAsia"/>
          <w:sz w:val="24"/>
          <w:szCs w:val="24"/>
          <w:lang w:eastAsia="zh-CN"/>
        </w:rPr>
        <w:t>5、本项目不接受联合体投标</w:t>
      </w:r>
      <w:r>
        <w:rPr>
          <w:rFonts w:ascii="Times New Roman" w:hAnsi="Times New Roman" w:cs="Times New Roman"/>
          <w:sz w:val="24"/>
          <w:szCs w:val="24"/>
          <w:lang w:eastAsia="zh-CN"/>
        </w:rPr>
        <w:t>，不允许转包或分包。</w:t>
      </w:r>
    </w:p>
    <w:p>
      <w:pPr>
        <w:pStyle w:val="3"/>
        <w:spacing w:before="95"/>
        <w:ind w:left="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七、参选保证金：无</w:t>
      </w:r>
    </w:p>
    <w:p>
      <w:pPr>
        <w:rPr>
          <w:rFonts w:ascii="Times New Roman" w:hAnsi="Times New Roman" w:cs="Times New Roman"/>
          <w:sz w:val="24"/>
          <w:szCs w:val="24"/>
          <w:lang w:eastAsia="zh-CN"/>
        </w:rPr>
      </w:pPr>
    </w:p>
    <w:p>
      <w:pPr>
        <w:spacing w:line="324"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八、比选公示及参选文件的递交：</w:t>
      </w:r>
    </w:p>
    <w:p>
      <w:pPr>
        <w:spacing w:line="324" w:lineRule="auto"/>
        <w:ind w:left="382" w:hanging="382" w:hangingChars="164"/>
        <w:rPr>
          <w:b/>
          <w:bCs/>
          <w:spacing w:val="-4"/>
          <w:sz w:val="24"/>
          <w:szCs w:val="24"/>
          <w:lang w:eastAsia="zh-CN"/>
        </w:rPr>
      </w:pPr>
      <w:r>
        <w:rPr>
          <w:rFonts w:hint="eastAsia"/>
          <w:b/>
          <w:bCs/>
          <w:spacing w:val="-4"/>
          <w:sz w:val="24"/>
          <w:szCs w:val="24"/>
          <w:lang w:eastAsia="zh-CN"/>
        </w:rPr>
        <w:t xml:space="preserve">1. </w:t>
      </w:r>
      <w:r>
        <w:rPr>
          <w:b/>
          <w:bCs/>
          <w:spacing w:val="-4"/>
          <w:sz w:val="24"/>
          <w:szCs w:val="24"/>
          <w:lang w:eastAsia="zh-CN"/>
        </w:rPr>
        <w:t>比选公示时间：2023 年</w:t>
      </w:r>
      <w:r>
        <w:rPr>
          <w:rFonts w:hint="eastAsia"/>
          <w:b/>
          <w:bCs/>
          <w:spacing w:val="-4"/>
          <w:sz w:val="24"/>
          <w:szCs w:val="24"/>
          <w:lang w:val="en-US" w:eastAsia="zh-CN"/>
        </w:rPr>
        <w:t>03</w:t>
      </w:r>
      <w:r>
        <w:rPr>
          <w:b/>
          <w:bCs/>
          <w:spacing w:val="-4"/>
          <w:sz w:val="24"/>
          <w:szCs w:val="24"/>
          <w:lang w:eastAsia="zh-CN"/>
        </w:rPr>
        <w:t>月</w:t>
      </w:r>
      <w:r>
        <w:rPr>
          <w:rFonts w:hint="eastAsia"/>
          <w:b/>
          <w:bCs/>
          <w:spacing w:val="-4"/>
          <w:sz w:val="24"/>
          <w:szCs w:val="24"/>
          <w:lang w:val="en-US" w:eastAsia="zh-CN"/>
        </w:rPr>
        <w:t>07</w:t>
      </w:r>
      <w:r>
        <w:rPr>
          <w:b/>
          <w:bCs/>
          <w:spacing w:val="-4"/>
          <w:sz w:val="24"/>
          <w:szCs w:val="24"/>
          <w:lang w:eastAsia="zh-CN"/>
        </w:rPr>
        <w:t xml:space="preserve">日- </w:t>
      </w:r>
      <w:r>
        <w:rPr>
          <w:rFonts w:hint="eastAsia"/>
          <w:b/>
          <w:bCs/>
          <w:spacing w:val="-4"/>
          <w:sz w:val="24"/>
          <w:szCs w:val="24"/>
          <w:lang w:val="en-US" w:eastAsia="zh-CN"/>
        </w:rPr>
        <w:t>03</w:t>
      </w:r>
      <w:r>
        <w:rPr>
          <w:b/>
          <w:bCs/>
          <w:spacing w:val="-4"/>
          <w:sz w:val="24"/>
          <w:szCs w:val="24"/>
          <w:lang w:eastAsia="zh-CN"/>
        </w:rPr>
        <w:t>月</w:t>
      </w:r>
      <w:r>
        <w:rPr>
          <w:rFonts w:hint="eastAsia"/>
          <w:b/>
          <w:bCs/>
          <w:spacing w:val="-4"/>
          <w:sz w:val="24"/>
          <w:szCs w:val="24"/>
          <w:lang w:val="en-US" w:eastAsia="zh-CN"/>
        </w:rPr>
        <w:t>18</w:t>
      </w:r>
      <w:r>
        <w:rPr>
          <w:b/>
          <w:bCs/>
          <w:spacing w:val="-4"/>
          <w:sz w:val="24"/>
          <w:szCs w:val="24"/>
          <w:lang w:eastAsia="zh-CN"/>
        </w:rPr>
        <w:t>日，公示期间请有意向参选人联系比选人进行交流澄清。</w:t>
      </w:r>
    </w:p>
    <w:p>
      <w:pPr>
        <w:pStyle w:val="4"/>
        <w:tabs>
          <w:tab w:val="left" w:pos="6879"/>
        </w:tabs>
        <w:spacing w:before="107" w:line="321" w:lineRule="auto"/>
        <w:ind w:left="480" w:leftChars="172" w:right="106" w:hanging="102" w:hangingChars="44"/>
        <w:rPr>
          <w:spacing w:val="-4"/>
          <w:lang w:eastAsia="zh-CN"/>
        </w:rPr>
      </w:pPr>
      <w:r>
        <w:rPr>
          <w:spacing w:val="-4"/>
          <w:lang w:eastAsia="zh-CN"/>
        </w:rPr>
        <w:t>参选文件递交截止时间：2023 年</w:t>
      </w:r>
      <w:r>
        <w:rPr>
          <w:rFonts w:hint="eastAsia"/>
          <w:spacing w:val="-4"/>
          <w:lang w:val="en-US" w:eastAsia="zh-CN"/>
        </w:rPr>
        <w:t>03</w:t>
      </w:r>
      <w:r>
        <w:rPr>
          <w:spacing w:val="-4"/>
          <w:lang w:eastAsia="zh-CN"/>
        </w:rPr>
        <w:t>月</w:t>
      </w:r>
      <w:r>
        <w:rPr>
          <w:rFonts w:hint="eastAsia"/>
          <w:spacing w:val="-4"/>
          <w:lang w:val="en-US" w:eastAsia="zh-CN"/>
        </w:rPr>
        <w:t>18</w:t>
      </w:r>
      <w:r>
        <w:rPr>
          <w:spacing w:val="-4"/>
          <w:lang w:eastAsia="zh-CN"/>
        </w:rPr>
        <w:t>日</w:t>
      </w:r>
      <w:r>
        <w:rPr>
          <w:rFonts w:hint="eastAsia"/>
          <w:spacing w:val="-4"/>
          <w:lang w:val="en-US" w:eastAsia="zh-CN"/>
        </w:rPr>
        <w:t>24:</w:t>
      </w:r>
      <w:r>
        <w:rPr>
          <w:spacing w:val="-4"/>
          <w:lang w:eastAsia="zh-CN"/>
        </w:rPr>
        <w:t>00之前（以收到参选文件为准）。</w:t>
      </w:r>
    </w:p>
    <w:p>
      <w:pPr>
        <w:pStyle w:val="4"/>
        <w:tabs>
          <w:tab w:val="left" w:pos="6879"/>
        </w:tabs>
        <w:spacing w:before="107" w:line="321" w:lineRule="auto"/>
        <w:ind w:left="382" w:right="106" w:hanging="382" w:hangingChars="164"/>
        <w:rPr>
          <w:spacing w:val="-4"/>
          <w:lang w:eastAsia="zh-CN"/>
        </w:rPr>
      </w:pPr>
      <w:r>
        <w:rPr>
          <w:spacing w:val="-4"/>
          <w:lang w:eastAsia="zh-CN"/>
        </w:rPr>
        <w:t>2.</w:t>
      </w:r>
      <w:r>
        <w:rPr>
          <w:rFonts w:hint="eastAsia"/>
          <w:spacing w:val="-4"/>
          <w:lang w:eastAsia="zh-CN"/>
        </w:rPr>
        <w:t xml:space="preserve"> </w:t>
      </w:r>
      <w:r>
        <w:rPr>
          <w:spacing w:val="-4"/>
          <w:lang w:eastAsia="zh-CN"/>
        </w:rPr>
        <w:t>递交参选文件的地点为：福建福海创石油化工有限公司办公楼（福建省漳州市漳浦县杜浔镇杜昌路9号），联系人：黄梅钦    联系电话：0596-6311073</w:t>
      </w:r>
    </w:p>
    <w:p>
      <w:pPr>
        <w:pStyle w:val="4"/>
        <w:tabs>
          <w:tab w:val="left" w:pos="6879"/>
        </w:tabs>
        <w:spacing w:before="107" w:line="321" w:lineRule="auto"/>
        <w:ind w:left="376" w:leftChars="104" w:right="106" w:hanging="147" w:hangingChars="63"/>
        <w:rPr>
          <w:spacing w:val="-4"/>
          <w:lang w:eastAsia="zh-CN"/>
        </w:rPr>
      </w:pPr>
      <w:r>
        <w:rPr>
          <w:spacing w:val="-4"/>
          <w:lang w:eastAsia="zh-CN"/>
        </w:rPr>
        <w:t>注：请使用顺丰快递或中国邮政 EMS 快递，其他快递不能保证送达目的地。</w:t>
      </w:r>
    </w:p>
    <w:p>
      <w:pPr>
        <w:ind w:left="373" w:leftChars="103" w:hanging="146" w:hangingChars="63"/>
        <w:rPr>
          <w:spacing w:val="-4"/>
          <w:sz w:val="24"/>
          <w:szCs w:val="24"/>
          <w:lang w:eastAsia="zh-CN"/>
        </w:rPr>
      </w:pPr>
      <w:r>
        <w:rPr>
          <w:spacing w:val="-4"/>
          <w:sz w:val="24"/>
          <w:szCs w:val="24"/>
          <w:lang w:eastAsia="zh-CN"/>
        </w:rPr>
        <w:t xml:space="preserve">寄送快递时，请在快递件上面写备注清楚寄件人公司名称及相应标书项目名称！！ </w:t>
      </w:r>
    </w:p>
    <w:p>
      <w:pPr>
        <w:pStyle w:val="7"/>
        <w:spacing w:before="108"/>
        <w:ind w:left="394" w:hanging="393" w:hangingChars="164"/>
        <w:rPr>
          <w:lang w:eastAsia="zh-CN"/>
        </w:rPr>
      </w:pPr>
      <w:r>
        <w:rPr>
          <w:lang w:eastAsia="zh-CN"/>
        </w:rPr>
        <w:t>3.只允许参选人有一个参选方案，否则将被视为无效参选。</w:t>
      </w:r>
    </w:p>
    <w:p>
      <w:pPr>
        <w:pStyle w:val="7"/>
        <w:spacing w:before="105" w:line="324" w:lineRule="auto"/>
        <w:ind w:left="293" w:right="106" w:hanging="292" w:hangingChars="122"/>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293" w:right="106" w:hanging="292" w:hangingChars="122"/>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293" w:right="106" w:hanging="292" w:hangingChars="122"/>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ind w:left="484" w:hanging="484" w:hangingChars="220"/>
        <w:jc w:val="both"/>
        <w:rPr>
          <w:lang w:eastAsia="zh-CN"/>
        </w:rPr>
        <w:sectPr>
          <w:pgSz w:w="11910" w:h="16840"/>
          <w:pgMar w:top="1420" w:right="137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①参选单位企业概况（企业简介、经营状况</w:t>
      </w:r>
      <w:r>
        <w:rPr>
          <w:rFonts w:hint="eastAsia"/>
          <w:lang w:eastAsia="zh-CN"/>
        </w:rPr>
        <w:t>、业绩情况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7"/>
        <w:spacing w:before="186" w:line="321" w:lineRule="auto"/>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包括拟派遣工作人员的相关资质情况及团队安排情况！！！</w:t>
      </w:r>
      <w:r>
        <w:rPr>
          <w:rFonts w:hint="eastAsia"/>
          <w:spacing w:val="-7"/>
          <w:lang w:eastAsia="zh-CN"/>
        </w:rPr>
        <w:t>）。</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④提供参选报价表(详见附件)。</w:t>
      </w:r>
    </w:p>
    <w:p>
      <w:pPr>
        <w:pStyle w:val="7"/>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pPr>
        <w:pStyle w:val="3"/>
        <w:spacing w:before="176"/>
        <w:rPr>
          <w:bCs w:val="0"/>
          <w:w w:val="95"/>
          <w:szCs w:val="22"/>
          <w:lang w:eastAsia="zh-CN"/>
        </w:rPr>
      </w:pPr>
      <w:r>
        <w:rPr>
          <w:bCs w:val="0"/>
          <w:w w:val="95"/>
          <w:szCs w:val="22"/>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rPr>
          <w:bCs w:val="0"/>
          <w:w w:val="95"/>
          <w:szCs w:val="22"/>
          <w:lang w:eastAsia="zh-CN"/>
        </w:rPr>
      </w:pPr>
      <w:r>
        <w:rPr>
          <w:bCs w:val="0"/>
          <w:w w:val="95"/>
          <w:szCs w:val="22"/>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176"/>
        <w:rPr>
          <w:bCs w:val="0"/>
          <w:w w:val="95"/>
          <w:szCs w:val="22"/>
          <w:lang w:eastAsia="zh-CN"/>
        </w:rPr>
      </w:pPr>
      <w:r>
        <w:rPr>
          <w:bCs w:val="0"/>
          <w:w w:val="95"/>
          <w:szCs w:val="22"/>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spacing w:before="15"/>
        <w:ind w:left="680"/>
        <w:rPr>
          <w:b/>
          <w:sz w:val="28"/>
          <w:lang w:eastAsia="zh-CN"/>
        </w:rPr>
      </w:pPr>
      <w:r>
        <w:rPr>
          <w:b/>
          <w:w w:val="95"/>
          <w:sz w:val="28"/>
          <w:lang w:eastAsia="zh-CN"/>
        </w:rPr>
        <w:t>一、规则：</w:t>
      </w:r>
    </w:p>
    <w:p>
      <w:pPr>
        <w:spacing w:line="324" w:lineRule="auto"/>
        <w:ind w:left="282" w:hanging="282" w:hangingChars="126"/>
        <w:rPr>
          <w:spacing w:val="-8"/>
          <w:sz w:val="24"/>
          <w:szCs w:val="24"/>
          <w:lang w:eastAsia="zh-CN"/>
        </w:rPr>
      </w:pPr>
      <w:r>
        <w:rPr>
          <w:spacing w:val="-8"/>
          <w:sz w:val="24"/>
          <w:szCs w:val="24"/>
          <w:lang w:eastAsia="zh-CN"/>
        </w:rPr>
        <w:t>1. 比选人在评选时，</w:t>
      </w:r>
      <w:r>
        <w:rPr>
          <w:rFonts w:hint="eastAsia"/>
          <w:spacing w:val="-8"/>
          <w:sz w:val="24"/>
          <w:szCs w:val="24"/>
          <w:lang w:eastAsia="zh-CN"/>
        </w:rPr>
        <w:t>先针对参选人的技术部分进行评选，技术合格的参选人的商务标方可进入最终商务评选，经技术评选和商务评选后选择综合总分最高者作为中选单位，技术标和商务标占比2：8。</w:t>
      </w:r>
    </w:p>
    <w:p>
      <w:pPr>
        <w:pStyle w:val="7"/>
        <w:spacing w:before="210" w:line="357" w:lineRule="auto"/>
        <w:ind w:left="302" w:right="222" w:hanging="302" w:hangingChars="126"/>
        <w:rPr>
          <w:lang w:eastAsia="zh-CN"/>
        </w:rPr>
      </w:pPr>
      <w:r>
        <w:rPr>
          <w:lang w:eastAsia="zh-CN"/>
        </w:rPr>
        <w:t>2.参选人串选、相互勾结故意压低标价以排挤竞争对手的公平竞争的，其参选无效。</w:t>
      </w:r>
    </w:p>
    <w:p>
      <w:pPr>
        <w:pStyle w:val="7"/>
        <w:spacing w:before="153" w:line="357" w:lineRule="auto"/>
        <w:ind w:left="302" w:right="92" w:hanging="302" w:hangingChars="126"/>
        <w:rPr>
          <w:lang w:eastAsia="zh-CN"/>
        </w:rPr>
      </w:pPr>
      <w:r>
        <w:rPr>
          <w:lang w:eastAsia="zh-CN"/>
        </w:rPr>
        <w:t>3.</w:t>
      </w:r>
      <w:r>
        <w:rPr>
          <w:spacing w:val="-8"/>
          <w:lang w:eastAsia="zh-CN"/>
        </w:rPr>
        <w:t>替补候选人的设定与使用：在合同签订前，比选</w:t>
      </w:r>
      <w:r>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w:t>
      </w:r>
      <w:r>
        <w:rPr>
          <w:rFonts w:hint="eastAsia"/>
          <w:spacing w:val="-22"/>
          <w:lang w:eastAsia="zh-CN"/>
        </w:rPr>
        <w:t>可</w:t>
      </w:r>
      <w:r>
        <w:rPr>
          <w:spacing w:val="-22"/>
          <w:lang w:eastAsia="zh-CN"/>
        </w:rPr>
        <w:t>依法确定排名第二名的中选候选人为本项目的中选人</w:t>
      </w:r>
      <w:r>
        <w:rPr>
          <w:rFonts w:hint="eastAsia"/>
          <w:spacing w:val="-22"/>
          <w:lang w:eastAsia="zh-CN"/>
        </w:rPr>
        <w:t>或重新组织比选</w:t>
      </w:r>
      <w:r>
        <w:rPr>
          <w:spacing w:val="-22"/>
          <w:lang w:eastAsia="zh-CN"/>
        </w:rPr>
        <w:t>。</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afterLines="100"/>
        <w:ind w:left="595"/>
        <w:rPr>
          <w:b/>
          <w:w w:val="95"/>
          <w:sz w:val="28"/>
          <w:lang w:eastAsia="zh-CN"/>
        </w:rPr>
      </w:pPr>
      <w:r>
        <w:rPr>
          <w:b/>
          <w:w w:val="95"/>
          <w:sz w:val="28"/>
          <w:lang w:eastAsia="zh-CN"/>
        </w:rPr>
        <w:t>三、评选办法：</w:t>
      </w:r>
    </w:p>
    <w:p>
      <w:pPr>
        <w:spacing w:line="324" w:lineRule="auto"/>
        <w:ind w:firstLine="436" w:firstLineChars="200"/>
        <w:rPr>
          <w:spacing w:val="-11"/>
          <w:sz w:val="24"/>
          <w:szCs w:val="24"/>
          <w:lang w:eastAsia="zh-CN"/>
        </w:rPr>
      </w:pPr>
      <w:r>
        <w:rPr>
          <w:spacing w:val="-11"/>
          <w:sz w:val="24"/>
          <w:szCs w:val="24"/>
          <w:lang w:eastAsia="zh-CN"/>
        </w:rPr>
        <w:t>评选委员会将对通过资格及实质响应性审查的各合格参选人，</w:t>
      </w:r>
      <w:r>
        <w:rPr>
          <w:rFonts w:hint="eastAsia"/>
          <w:spacing w:val="-11"/>
          <w:sz w:val="24"/>
          <w:szCs w:val="24"/>
          <w:lang w:eastAsia="zh-CN"/>
        </w:rPr>
        <w:t>经技术评选和商务评选后选择综合总分最高者作为中选单位，本案采用综合评标法，技术标和商务标占比2：8 。</w:t>
      </w:r>
    </w:p>
    <w:p>
      <w:pPr>
        <w:spacing w:beforeLines="50" w:afterLines="50"/>
        <w:rPr>
          <w:sz w:val="24"/>
          <w:szCs w:val="24"/>
          <w:lang w:eastAsia="zh-CN"/>
        </w:rPr>
      </w:pPr>
      <w:r>
        <w:rPr>
          <w:rFonts w:hint="eastAsia"/>
          <w:sz w:val="24"/>
          <w:szCs w:val="24"/>
          <w:lang w:eastAsia="zh-CN"/>
        </w:rPr>
        <w:t>1．技术部分：满分</w:t>
      </w:r>
      <w:r>
        <w:rPr>
          <w:sz w:val="24"/>
          <w:szCs w:val="24"/>
          <w:lang w:eastAsia="zh-CN"/>
        </w:rPr>
        <w:t>2</w:t>
      </w:r>
      <w:r>
        <w:rPr>
          <w:rFonts w:hint="eastAsia"/>
          <w:sz w:val="24"/>
          <w:szCs w:val="24"/>
          <w:lang w:eastAsia="zh-CN"/>
        </w:rPr>
        <w:t>0分，</w:t>
      </w:r>
      <w:r>
        <w:rPr>
          <w:rFonts w:hint="eastAsia"/>
          <w:color w:val="000000"/>
          <w:sz w:val="24"/>
          <w:lang w:eastAsia="zh-CN"/>
        </w:rPr>
        <w:t>商务部分：</w:t>
      </w:r>
      <w:r>
        <w:rPr>
          <w:rFonts w:hint="eastAsia"/>
          <w:sz w:val="24"/>
          <w:szCs w:val="24"/>
          <w:lang w:eastAsia="zh-CN"/>
        </w:rPr>
        <w:t>满分</w:t>
      </w:r>
      <w:r>
        <w:rPr>
          <w:sz w:val="24"/>
          <w:szCs w:val="24"/>
          <w:lang w:eastAsia="zh-CN"/>
        </w:rPr>
        <w:t>8</w:t>
      </w:r>
      <w:r>
        <w:rPr>
          <w:rFonts w:hint="eastAsia"/>
          <w:sz w:val="24"/>
          <w:szCs w:val="24"/>
          <w:lang w:eastAsia="zh-CN"/>
        </w:rPr>
        <w:t>0分。</w:t>
      </w:r>
    </w:p>
    <w:p>
      <w:pPr>
        <w:spacing w:line="360" w:lineRule="auto"/>
        <w:ind w:firstLine="436" w:firstLineChars="200"/>
        <w:rPr>
          <w:spacing w:val="-11"/>
          <w:sz w:val="24"/>
          <w:szCs w:val="24"/>
          <w:lang w:eastAsia="zh-CN"/>
        </w:rPr>
      </w:pPr>
      <w:r>
        <w:rPr>
          <w:rFonts w:hint="eastAsia"/>
          <w:spacing w:val="-11"/>
          <w:sz w:val="24"/>
          <w:szCs w:val="24"/>
          <w:lang w:eastAsia="zh-CN"/>
        </w:rPr>
        <w:t>其中技术标评分分值满分2</w:t>
      </w:r>
      <w:r>
        <w:rPr>
          <w:spacing w:val="-11"/>
          <w:sz w:val="24"/>
          <w:szCs w:val="24"/>
          <w:lang w:eastAsia="zh-CN"/>
        </w:rPr>
        <w:t>0</w:t>
      </w:r>
      <w:r>
        <w:rPr>
          <w:rFonts w:hint="eastAsia"/>
          <w:spacing w:val="-11"/>
          <w:sz w:val="24"/>
          <w:szCs w:val="24"/>
          <w:lang w:eastAsia="zh-CN"/>
        </w:rPr>
        <w:t>分，技术标评分标准见附件一合同模版中附件1《</w:t>
      </w:r>
      <w:r>
        <w:rPr>
          <w:rFonts w:hint="eastAsia" w:ascii="Times New Roman" w:hAnsi="Times New Roman" w:cs="Times New Roman"/>
          <w:sz w:val="24"/>
          <w:szCs w:val="24"/>
          <w:u w:val="single"/>
          <w:lang w:eastAsia="zh-CN"/>
        </w:rPr>
        <w:t>两化融合管理体系认证的辅导咨询及评定</w:t>
      </w:r>
      <w:r>
        <w:rPr>
          <w:rFonts w:hint="eastAsia"/>
          <w:spacing w:val="-11"/>
          <w:sz w:val="24"/>
          <w:szCs w:val="24"/>
          <w:lang w:eastAsia="zh-CN"/>
        </w:rPr>
        <w:t>项目相关说明》，各评委技术标评分的平均值作为该参选人技术标得分。</w:t>
      </w:r>
    </w:p>
    <w:p>
      <w:pPr>
        <w:spacing w:line="360" w:lineRule="auto"/>
        <w:rPr>
          <w:color w:val="000000"/>
        </w:rPr>
      </w:pPr>
      <w:r>
        <w:rPr>
          <w:rFonts w:hint="eastAsia"/>
          <w:bCs/>
          <w:color w:val="000000"/>
          <w:sz w:val="24"/>
          <w:szCs w:val="24"/>
          <w:lang w:eastAsia="zh-CN"/>
        </w:rPr>
        <w:t>1.1</w:t>
      </w:r>
      <w:r>
        <w:rPr>
          <w:rFonts w:hint="eastAsia"/>
          <w:bCs/>
          <w:color w:val="000000"/>
          <w:sz w:val="24"/>
          <w:szCs w:val="24"/>
        </w:rPr>
        <w:t>技术评分表（</w:t>
      </w:r>
      <w:r>
        <w:rPr>
          <w:bCs/>
          <w:color w:val="000000"/>
          <w:sz w:val="24"/>
          <w:szCs w:val="24"/>
        </w:rPr>
        <w:t>2</w:t>
      </w:r>
      <w:r>
        <w:rPr>
          <w:rFonts w:hint="eastAsia"/>
          <w:bCs/>
          <w:color w:val="000000"/>
          <w:sz w:val="24"/>
          <w:szCs w:val="24"/>
        </w:rPr>
        <w:t>0分）</w:t>
      </w:r>
    </w:p>
    <w:tbl>
      <w:tblPr>
        <w:tblStyle w:val="15"/>
        <w:tblW w:w="9782" w:type="dxa"/>
        <w:jc w:val="center"/>
        <w:tblInd w:w="0" w:type="dxa"/>
        <w:tblLayout w:type="fixed"/>
        <w:tblCellMar>
          <w:top w:w="0" w:type="dxa"/>
          <w:left w:w="108" w:type="dxa"/>
          <w:bottom w:w="0" w:type="dxa"/>
          <w:right w:w="108" w:type="dxa"/>
        </w:tblCellMar>
      </w:tblPr>
      <w:tblGrid>
        <w:gridCol w:w="741"/>
        <w:gridCol w:w="1882"/>
        <w:gridCol w:w="709"/>
        <w:gridCol w:w="6450"/>
      </w:tblGrid>
      <w:tr>
        <w:tblPrEx>
          <w:tblLayout w:type="fixed"/>
          <w:tblCellMar>
            <w:top w:w="0" w:type="dxa"/>
            <w:left w:w="108" w:type="dxa"/>
            <w:bottom w:w="0" w:type="dxa"/>
            <w:right w:w="108" w:type="dxa"/>
          </w:tblCellMar>
        </w:tblPrEx>
        <w:trPr>
          <w:trHeight w:val="513" w:hRule="atLeast"/>
          <w:tblHeader/>
          <w:jc w:val="center"/>
        </w:trPr>
        <w:tc>
          <w:tcPr>
            <w:tcW w:w="741" w:type="dxa"/>
            <w:tcBorders>
              <w:top w:val="single" w:color="auto" w:sz="8" w:space="0"/>
              <w:left w:val="single" w:color="auto" w:sz="8" w:space="0"/>
              <w:bottom w:val="single" w:color="auto" w:sz="4" w:space="0"/>
              <w:right w:val="single" w:color="auto" w:sz="4" w:space="0"/>
            </w:tcBorders>
            <w:vAlign w:val="center"/>
          </w:tcPr>
          <w:p>
            <w:pPr>
              <w:spacing w:line="0" w:lineRule="atLeast"/>
              <w:rPr>
                <w:bCs/>
                <w:color w:val="000000"/>
                <w:sz w:val="24"/>
              </w:rPr>
            </w:pPr>
            <w:r>
              <w:rPr>
                <w:rFonts w:hint="eastAsia"/>
                <w:bCs/>
                <w:color w:val="000000"/>
                <w:sz w:val="24"/>
              </w:rPr>
              <w:t>序号</w:t>
            </w:r>
          </w:p>
        </w:tc>
        <w:tc>
          <w:tcPr>
            <w:tcW w:w="1882" w:type="dxa"/>
            <w:tcBorders>
              <w:top w:val="single" w:color="auto" w:sz="8" w:space="0"/>
              <w:left w:val="single" w:color="auto" w:sz="4" w:space="0"/>
              <w:bottom w:val="single" w:color="auto" w:sz="4" w:space="0"/>
              <w:right w:val="single" w:color="auto" w:sz="4" w:space="0"/>
            </w:tcBorders>
            <w:vAlign w:val="center"/>
          </w:tcPr>
          <w:p>
            <w:pPr>
              <w:spacing w:line="0" w:lineRule="atLeast"/>
              <w:rPr>
                <w:bCs/>
                <w:color w:val="000000"/>
                <w:sz w:val="24"/>
              </w:rPr>
            </w:pPr>
            <w:r>
              <w:rPr>
                <w:rFonts w:hint="eastAsia"/>
                <w:bCs/>
                <w:color w:val="000000"/>
                <w:sz w:val="24"/>
              </w:rPr>
              <w:t>评分内容、要素</w:t>
            </w:r>
          </w:p>
        </w:tc>
        <w:tc>
          <w:tcPr>
            <w:tcW w:w="709" w:type="dxa"/>
            <w:tcBorders>
              <w:top w:val="single" w:color="auto" w:sz="4" w:space="0"/>
              <w:left w:val="nil"/>
              <w:bottom w:val="single" w:color="auto" w:sz="4" w:space="0"/>
              <w:right w:val="single" w:color="auto" w:sz="4" w:space="0"/>
            </w:tcBorders>
            <w:vAlign w:val="center"/>
          </w:tcPr>
          <w:p>
            <w:pPr>
              <w:spacing w:line="0" w:lineRule="atLeast"/>
              <w:rPr>
                <w:bCs/>
                <w:color w:val="000000"/>
                <w:sz w:val="24"/>
              </w:rPr>
            </w:pPr>
            <w:r>
              <w:rPr>
                <w:rFonts w:hint="eastAsia"/>
                <w:bCs/>
                <w:color w:val="000000"/>
                <w:sz w:val="24"/>
              </w:rPr>
              <w:t>满分</w:t>
            </w:r>
          </w:p>
        </w:tc>
        <w:tc>
          <w:tcPr>
            <w:tcW w:w="6450" w:type="dxa"/>
            <w:tcBorders>
              <w:top w:val="single" w:color="auto" w:sz="4" w:space="0"/>
              <w:left w:val="nil"/>
              <w:bottom w:val="single" w:color="auto" w:sz="4" w:space="0"/>
              <w:right w:val="single" w:color="auto" w:sz="4" w:space="0"/>
            </w:tcBorders>
            <w:vAlign w:val="center"/>
          </w:tcPr>
          <w:p>
            <w:pPr>
              <w:spacing w:line="0" w:lineRule="atLeast"/>
              <w:ind w:firstLine="480"/>
              <w:jc w:val="center"/>
              <w:rPr>
                <w:bCs/>
                <w:color w:val="000000"/>
                <w:sz w:val="24"/>
              </w:rPr>
            </w:pPr>
            <w:r>
              <w:rPr>
                <w:rFonts w:hint="eastAsia"/>
                <w:bCs/>
                <w:color w:val="000000"/>
                <w:sz w:val="24"/>
              </w:rPr>
              <w:t>评分标准</w:t>
            </w:r>
          </w:p>
        </w:tc>
      </w:tr>
      <w:tr>
        <w:tblPrEx>
          <w:tblLayout w:type="fixed"/>
          <w:tblCellMar>
            <w:top w:w="0" w:type="dxa"/>
            <w:left w:w="108" w:type="dxa"/>
            <w:bottom w:w="0" w:type="dxa"/>
            <w:right w:w="108" w:type="dxa"/>
          </w:tblCellMar>
        </w:tblPrEx>
        <w:trPr>
          <w:trHeight w:val="595" w:hRule="atLeast"/>
          <w:jc w:val="center"/>
        </w:trPr>
        <w:tc>
          <w:tcPr>
            <w:tcW w:w="741" w:type="dxa"/>
            <w:tcBorders>
              <w:top w:val="nil"/>
              <w:left w:val="single" w:color="auto" w:sz="8" w:space="0"/>
              <w:bottom w:val="single" w:color="auto" w:sz="4" w:space="0"/>
              <w:right w:val="single" w:color="auto" w:sz="4" w:space="0"/>
            </w:tcBorders>
            <w:vAlign w:val="center"/>
          </w:tcPr>
          <w:p>
            <w:pPr>
              <w:spacing w:line="0" w:lineRule="atLeast"/>
              <w:jc w:val="center"/>
              <w:rPr>
                <w:bCs/>
                <w:color w:val="000000"/>
                <w:sz w:val="24"/>
              </w:rPr>
            </w:pPr>
            <w:r>
              <w:rPr>
                <w:rFonts w:hint="eastAsia"/>
                <w:bCs/>
                <w:color w:val="000000"/>
                <w:sz w:val="24"/>
              </w:rPr>
              <w:t>1</w:t>
            </w:r>
          </w:p>
        </w:tc>
        <w:tc>
          <w:tcPr>
            <w:tcW w:w="1882" w:type="dxa"/>
            <w:tcBorders>
              <w:top w:val="nil"/>
              <w:left w:val="nil"/>
              <w:bottom w:val="single" w:color="auto" w:sz="4" w:space="0"/>
              <w:right w:val="single" w:color="auto" w:sz="4" w:space="0"/>
            </w:tcBorders>
            <w:vAlign w:val="center"/>
          </w:tcPr>
          <w:p>
            <w:pPr>
              <w:spacing w:line="0" w:lineRule="atLeast"/>
              <w:rPr>
                <w:rFonts w:eastAsia="仿宋"/>
                <w:bCs/>
                <w:color w:val="000000"/>
                <w:sz w:val="24"/>
              </w:rPr>
            </w:pPr>
            <w:r>
              <w:rPr>
                <w:rFonts w:hint="eastAsia"/>
                <w:bCs/>
                <w:color w:val="000000"/>
                <w:sz w:val="24"/>
              </w:rPr>
              <w:t>综合实力</w:t>
            </w:r>
          </w:p>
        </w:tc>
        <w:tc>
          <w:tcPr>
            <w:tcW w:w="709" w:type="dxa"/>
            <w:tcBorders>
              <w:top w:val="nil"/>
              <w:left w:val="nil"/>
              <w:bottom w:val="single" w:color="auto" w:sz="4" w:space="0"/>
              <w:right w:val="single" w:color="auto" w:sz="4" w:space="0"/>
            </w:tcBorders>
            <w:vAlign w:val="center"/>
          </w:tcPr>
          <w:p>
            <w:pPr>
              <w:spacing w:line="0" w:lineRule="atLeast"/>
              <w:jc w:val="center"/>
              <w:rPr>
                <w:rFonts w:eastAsia="仿宋"/>
                <w:bCs/>
                <w:color w:val="000000"/>
                <w:sz w:val="24"/>
              </w:rPr>
            </w:pPr>
            <w:r>
              <w:rPr>
                <w:rFonts w:eastAsia="仿宋"/>
                <w:bCs/>
                <w:color w:val="000000"/>
                <w:sz w:val="24"/>
              </w:rPr>
              <w:t>15</w:t>
            </w:r>
          </w:p>
        </w:tc>
        <w:tc>
          <w:tcPr>
            <w:tcW w:w="6450" w:type="dxa"/>
            <w:tcBorders>
              <w:top w:val="nil"/>
              <w:left w:val="nil"/>
              <w:bottom w:val="single" w:color="auto" w:sz="4" w:space="0"/>
              <w:right w:val="single" w:color="auto" w:sz="4" w:space="0"/>
            </w:tcBorders>
            <w:vAlign w:val="center"/>
          </w:tcPr>
          <w:p>
            <w:pPr>
              <w:spacing w:line="0" w:lineRule="atLeast"/>
              <w:rPr>
                <w:rFonts w:eastAsia="仿宋"/>
                <w:color w:val="C00000"/>
                <w:sz w:val="24"/>
                <w:lang w:eastAsia="zh-CN"/>
              </w:rPr>
            </w:pPr>
            <w:r>
              <w:rPr>
                <w:rFonts w:hint="eastAsia"/>
                <w:sz w:val="24"/>
                <w:lang w:eastAsia="zh-CN"/>
              </w:rPr>
              <w:t>根据参选人提供的咨询服务</w:t>
            </w:r>
            <w:r>
              <w:rPr>
                <w:rFonts w:hint="eastAsia"/>
                <w:snapToGrid w:val="0"/>
                <w:sz w:val="24"/>
                <w:lang w:eastAsia="zh-CN"/>
              </w:rPr>
              <w:t>计划方案，</w:t>
            </w:r>
            <w:r>
              <w:rPr>
                <w:rFonts w:hint="eastAsia"/>
                <w:sz w:val="24"/>
                <w:lang w:eastAsia="zh-CN"/>
              </w:rPr>
              <w:t>由评委会进行评议并在0-15分之间进行评分，参选人未提供任何相关证明资料的本项的0分。</w:t>
            </w:r>
          </w:p>
        </w:tc>
      </w:tr>
      <w:tr>
        <w:tblPrEx>
          <w:tblLayout w:type="fixed"/>
          <w:tblCellMar>
            <w:top w:w="0" w:type="dxa"/>
            <w:left w:w="108" w:type="dxa"/>
            <w:bottom w:w="0" w:type="dxa"/>
            <w:right w:w="108" w:type="dxa"/>
          </w:tblCellMar>
        </w:tblPrEx>
        <w:trPr>
          <w:trHeight w:val="1196"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000000"/>
                <w:sz w:val="24"/>
              </w:rPr>
            </w:pPr>
            <w:r>
              <w:rPr>
                <w:rFonts w:hint="eastAsia"/>
                <w:color w:val="000000"/>
                <w:sz w:val="24"/>
              </w:rPr>
              <w:t>3</w:t>
            </w:r>
          </w:p>
        </w:tc>
        <w:tc>
          <w:tcPr>
            <w:tcW w:w="1882"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rFonts w:hint="eastAsia"/>
                <w:color w:val="000000"/>
                <w:sz w:val="24"/>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000000"/>
                <w:sz w:val="24"/>
              </w:rPr>
            </w:pPr>
            <w:r>
              <w:rPr>
                <w:rFonts w:eastAsia="仿宋"/>
                <w:color w:val="000000"/>
                <w:sz w:val="24"/>
              </w:rPr>
              <w:t>5</w:t>
            </w:r>
          </w:p>
        </w:tc>
        <w:tc>
          <w:tcPr>
            <w:tcW w:w="6450" w:type="dxa"/>
            <w:tcBorders>
              <w:top w:val="single" w:color="auto" w:sz="4" w:space="0"/>
              <w:left w:val="single" w:color="auto" w:sz="4" w:space="0"/>
              <w:bottom w:val="single" w:color="auto" w:sz="4" w:space="0"/>
              <w:right w:val="single" w:color="auto" w:sz="4" w:space="0"/>
            </w:tcBorders>
            <w:vAlign w:val="center"/>
          </w:tcPr>
          <w:p>
            <w:pPr>
              <w:spacing w:line="0" w:lineRule="atLeast"/>
              <w:rPr>
                <w:rFonts w:eastAsia="仿宋"/>
                <w:color w:val="C00000"/>
                <w:sz w:val="24"/>
                <w:lang w:eastAsia="zh-CN"/>
              </w:rPr>
            </w:pPr>
            <w:r>
              <w:rPr>
                <w:rFonts w:hint="eastAsia"/>
                <w:sz w:val="24"/>
                <w:lang w:eastAsia="zh-CN"/>
              </w:rPr>
              <w:t>根据参选人提供的相关类似业绩证明（如合同），近两年关于两化融合管理体系咨询服务，其他可以证明参选单位具有类似服务良好业绩，得到用户好评的相关资料，由评委会进行评议并在0-5分之间进行评分，参选人未提供任何相关证明资料的本项的0分。</w:t>
            </w:r>
          </w:p>
        </w:tc>
      </w:tr>
      <w:tr>
        <w:tblPrEx>
          <w:tblLayout w:type="fixed"/>
          <w:tblCellMar>
            <w:top w:w="0" w:type="dxa"/>
            <w:left w:w="108" w:type="dxa"/>
            <w:bottom w:w="0" w:type="dxa"/>
            <w:right w:w="108" w:type="dxa"/>
          </w:tblCellMar>
        </w:tblPrEx>
        <w:trPr>
          <w:trHeight w:val="340" w:hRule="atLeast"/>
          <w:jc w:val="center"/>
        </w:trPr>
        <w:tc>
          <w:tcPr>
            <w:tcW w:w="9782"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color w:val="000000"/>
                <w:sz w:val="24"/>
              </w:rPr>
            </w:pPr>
            <w:r>
              <w:rPr>
                <w:rFonts w:hint="eastAsia"/>
                <w:color w:val="000000"/>
                <w:sz w:val="24"/>
              </w:rPr>
              <w:t>合  计：2</w:t>
            </w:r>
            <w:r>
              <w:rPr>
                <w:color w:val="000000"/>
                <w:sz w:val="24"/>
              </w:rPr>
              <w:t>0分</w:t>
            </w:r>
          </w:p>
        </w:tc>
      </w:tr>
    </w:tbl>
    <w:p>
      <w:pPr>
        <w:pStyle w:val="2"/>
      </w:pPr>
    </w:p>
    <w:p>
      <w:pPr>
        <w:spacing w:line="600" w:lineRule="exact"/>
        <w:ind w:firstLine="436" w:firstLineChars="200"/>
        <w:rPr>
          <w:spacing w:val="-11"/>
          <w:sz w:val="24"/>
          <w:szCs w:val="24"/>
          <w:lang w:eastAsia="zh-CN"/>
        </w:rPr>
      </w:pPr>
      <w:r>
        <w:rPr>
          <w:rFonts w:hint="eastAsia"/>
          <w:spacing w:val="-11"/>
          <w:sz w:val="24"/>
          <w:szCs w:val="24"/>
          <w:lang w:eastAsia="zh-CN"/>
        </w:rPr>
        <w:t>1.2  报价商务部分满分8</w:t>
      </w:r>
      <w:r>
        <w:rPr>
          <w:spacing w:val="-11"/>
          <w:sz w:val="24"/>
          <w:szCs w:val="24"/>
          <w:lang w:eastAsia="zh-CN"/>
        </w:rPr>
        <w:t>0分：</w:t>
      </w:r>
    </w:p>
    <w:p>
      <w:pPr>
        <w:spacing w:line="600" w:lineRule="exact"/>
        <w:ind w:firstLine="436" w:firstLineChars="200"/>
        <w:rPr>
          <w:spacing w:val="-11"/>
          <w:sz w:val="24"/>
          <w:szCs w:val="24"/>
          <w:lang w:eastAsia="zh-CN"/>
        </w:rPr>
      </w:pPr>
      <w:r>
        <w:rPr>
          <w:rFonts w:hint="eastAsia"/>
          <w:spacing w:val="-11"/>
          <w:sz w:val="24"/>
          <w:szCs w:val="24"/>
          <w:lang w:eastAsia="zh-CN"/>
        </w:rPr>
        <w:t>评标委员会将对各合格的投标人的投标总价先进行算术性错误修正，如有算术性错误需现场电话确认修正。经修正后的商务报价按照以下公式计算得分，计算分数时均四舍五入取小数点后2位数。</w:t>
      </w:r>
    </w:p>
    <w:p>
      <w:pPr>
        <w:spacing w:line="460" w:lineRule="exact"/>
        <w:ind w:firstLine="545" w:firstLineChars="250"/>
        <w:rPr>
          <w:spacing w:val="-11"/>
          <w:sz w:val="24"/>
          <w:szCs w:val="24"/>
          <w:lang w:eastAsia="zh-CN"/>
        </w:rPr>
      </w:pPr>
      <w:r>
        <w:rPr>
          <w:rFonts w:hint="eastAsia"/>
          <w:spacing w:val="-11"/>
          <w:sz w:val="24"/>
          <w:szCs w:val="24"/>
          <w:lang w:eastAsia="zh-CN"/>
        </w:rPr>
        <w:t>评标委员会将按下列方法计算合格参选人的商务标得分：</w:t>
      </w:r>
    </w:p>
    <w:p>
      <w:pPr>
        <w:spacing w:line="500" w:lineRule="exact"/>
        <w:ind w:firstLine="1526" w:firstLineChars="700"/>
        <w:rPr>
          <w:spacing w:val="-11"/>
          <w:sz w:val="24"/>
          <w:szCs w:val="24"/>
          <w:lang w:eastAsia="zh-CN"/>
        </w:rPr>
      </w:pPr>
      <w:r>
        <w:rPr>
          <w:rFonts w:hint="eastAsia"/>
          <w:spacing w:val="-11"/>
          <w:sz w:val="24"/>
          <w:szCs w:val="24"/>
          <w:lang w:eastAsia="zh-CN"/>
        </w:rPr>
        <w:t>PF=( F低/ Fn)×8</w:t>
      </w:r>
      <w:r>
        <w:rPr>
          <w:spacing w:val="-11"/>
          <w:sz w:val="24"/>
          <w:szCs w:val="24"/>
          <w:lang w:eastAsia="zh-CN"/>
        </w:rPr>
        <w:t>0</w:t>
      </w:r>
    </w:p>
    <w:p>
      <w:pPr>
        <w:spacing w:line="500" w:lineRule="exact"/>
        <w:ind w:firstLine="436" w:firstLineChars="200"/>
        <w:rPr>
          <w:spacing w:val="-11"/>
          <w:sz w:val="24"/>
          <w:szCs w:val="24"/>
          <w:lang w:eastAsia="zh-CN"/>
        </w:rPr>
      </w:pPr>
      <w:r>
        <w:rPr>
          <w:rFonts w:hint="eastAsia"/>
          <w:spacing w:val="-11"/>
          <w:sz w:val="24"/>
          <w:szCs w:val="24"/>
          <w:lang w:eastAsia="zh-CN"/>
        </w:rPr>
        <w:t>式中：①PF为投标价格得分。</w:t>
      </w:r>
    </w:p>
    <w:p>
      <w:pPr>
        <w:spacing w:line="500" w:lineRule="exact"/>
        <w:ind w:firstLine="1090" w:firstLineChars="500"/>
        <w:rPr>
          <w:spacing w:val="-11"/>
          <w:sz w:val="24"/>
          <w:szCs w:val="24"/>
          <w:lang w:eastAsia="zh-CN"/>
        </w:rPr>
      </w:pPr>
      <w:r>
        <w:rPr>
          <w:rFonts w:hint="eastAsia"/>
          <w:spacing w:val="-11"/>
          <w:sz w:val="24"/>
          <w:szCs w:val="24"/>
          <w:lang w:eastAsia="zh-CN"/>
        </w:rPr>
        <w:t>②F低为评标基准价=进入报价部分评分的各合格参选人中最低的报价评标价（未税价）。</w:t>
      </w:r>
    </w:p>
    <w:p>
      <w:pPr>
        <w:pStyle w:val="7"/>
        <w:spacing w:before="210" w:line="357" w:lineRule="auto"/>
        <w:ind w:left="120" w:right="222" w:firstLine="967" w:firstLineChars="444"/>
        <w:rPr>
          <w:spacing w:val="-11"/>
          <w:lang w:eastAsia="zh-CN"/>
        </w:rPr>
      </w:pPr>
      <w:r>
        <w:rPr>
          <w:rFonts w:hint="eastAsia"/>
          <w:spacing w:val="-11"/>
          <w:lang w:eastAsia="zh-CN"/>
        </w:rPr>
        <w:t>③Fn为进入报价部分评分的各合格参选人的报价评标价（未税价）。</w:t>
      </w:r>
    </w:p>
    <w:p>
      <w:pPr>
        <w:spacing w:before="15"/>
        <w:ind w:left="638"/>
        <w:rPr>
          <w:b/>
          <w:w w:val="95"/>
          <w:sz w:val="28"/>
          <w:lang w:eastAsia="zh-CN"/>
        </w:rPr>
      </w:pPr>
    </w:p>
    <w:p>
      <w:pPr>
        <w:spacing w:before="15"/>
        <w:ind w:left="638"/>
        <w:rPr>
          <w:b/>
          <w:sz w:val="28"/>
          <w:lang w:eastAsia="zh-CN"/>
        </w:rPr>
      </w:pPr>
      <w:r>
        <w:rPr>
          <w:b/>
          <w:w w:val="95"/>
          <w:sz w:val="28"/>
          <w:lang w:eastAsia="zh-CN"/>
        </w:rPr>
        <w:t>四、以下情况作废选处理：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rPr>
          <w:lang w:eastAsia="zh-CN"/>
        </w:rPr>
        <w:sectPr>
          <w:pgSz w:w="11910" w:h="16840"/>
          <w:pgMar w:top="1440" w:right="900" w:bottom="740" w:left="1200" w:header="0" w:footer="551" w:gutter="0"/>
          <w:cols w:space="720" w:num="1"/>
        </w:sectPr>
      </w:pPr>
    </w:p>
    <w:p>
      <w:pPr>
        <w:pStyle w:val="3"/>
        <w:spacing w:line="355" w:lineRule="exact"/>
        <w:rPr>
          <w:lang w:eastAsia="zh-CN"/>
        </w:rPr>
      </w:pPr>
      <w:r>
        <w:rPr>
          <w:w w:val="95"/>
          <w:lang w:eastAsia="zh-CN"/>
        </w:rPr>
        <w:t>五、评选</w:t>
      </w:r>
    </w:p>
    <w:p>
      <w:pPr>
        <w:pStyle w:val="7"/>
        <w:spacing w:before="186" w:line="321" w:lineRule="auto"/>
        <w:ind w:left="118" w:firstLine="480"/>
        <w:rPr>
          <w:spacing w:val="-5"/>
          <w:lang w:eastAsia="zh-CN"/>
        </w:rPr>
      </w:pPr>
      <w:r>
        <w:rPr>
          <w:spacing w:val="-5"/>
          <w:lang w:eastAsia="zh-CN"/>
        </w:rPr>
        <w:t>1.比选人将在参选文件截止日期后另行择日组织比选会，参选人选定工作在比选人有关部门监督下，由比选人依法组建的评选委员会负责。</w:t>
      </w:r>
    </w:p>
    <w:p>
      <w:pPr>
        <w:pStyle w:val="7"/>
        <w:spacing w:before="186" w:line="321" w:lineRule="auto"/>
        <w:ind w:left="118" w:firstLine="480"/>
        <w:rPr>
          <w:spacing w:val="-5"/>
          <w:lang w:eastAsia="zh-CN"/>
        </w:rPr>
      </w:pPr>
      <w:r>
        <w:rPr>
          <w:spacing w:val="-5"/>
          <w:lang w:eastAsia="zh-CN"/>
        </w:rPr>
        <w:t>2.在开选时没有启封和读出的参选文件，在评选时将不予考虑。</w:t>
      </w:r>
    </w:p>
    <w:p>
      <w:pPr>
        <w:pStyle w:val="7"/>
        <w:spacing w:before="186" w:line="321" w:lineRule="auto"/>
        <w:ind w:left="118" w:firstLine="480"/>
        <w:rPr>
          <w:spacing w:val="-5"/>
          <w:lang w:eastAsia="zh-CN"/>
        </w:rPr>
      </w:pPr>
      <w:r>
        <w:rPr>
          <w:spacing w:val="-5"/>
          <w:lang w:eastAsia="zh-CN"/>
        </w:rPr>
        <w:t>3.比选人将做开选记录。</w:t>
      </w:r>
    </w:p>
    <w:p>
      <w:pPr>
        <w:pStyle w:val="7"/>
        <w:spacing w:before="186" w:line="321" w:lineRule="auto"/>
        <w:ind w:left="118" w:firstLine="480"/>
        <w:rPr>
          <w:spacing w:val="-5"/>
          <w:lang w:eastAsia="zh-CN"/>
        </w:rPr>
      </w:pPr>
      <w:r>
        <w:rPr>
          <w:rFonts w:hint="eastAsia"/>
          <w:spacing w:val="-5"/>
          <w:lang w:eastAsia="zh-CN"/>
        </w:rPr>
        <w:t>4.</w:t>
      </w:r>
      <w:r>
        <w:rPr>
          <w:spacing w:val="-5"/>
          <w:lang w:eastAsia="zh-CN"/>
        </w:rPr>
        <w:t xml:space="preserve"> </w:t>
      </w:r>
      <w:r>
        <w:rPr>
          <w:rFonts w:hint="eastAsia"/>
          <w:spacing w:val="-5"/>
          <w:lang w:eastAsia="zh-CN"/>
        </w:rPr>
        <w:t>比选</w:t>
      </w:r>
      <w:r>
        <w:rPr>
          <w:spacing w:val="-5"/>
          <w:lang w:eastAsia="zh-CN"/>
        </w:rPr>
        <w:t>人</w:t>
      </w:r>
      <w:r>
        <w:rPr>
          <w:rFonts w:hint="eastAsia"/>
          <w:spacing w:val="-5"/>
          <w:lang w:eastAsia="zh-CN"/>
        </w:rPr>
        <w:t>将</w:t>
      </w:r>
      <w:r>
        <w:rPr>
          <w:spacing w:val="-5"/>
          <w:lang w:eastAsia="zh-CN"/>
        </w:rPr>
        <w:t>根据评</w:t>
      </w:r>
      <w:r>
        <w:rPr>
          <w:rFonts w:hint="eastAsia"/>
          <w:spacing w:val="-5"/>
          <w:lang w:eastAsia="zh-CN"/>
        </w:rPr>
        <w:t>选</w:t>
      </w:r>
      <w:r>
        <w:rPr>
          <w:spacing w:val="-5"/>
          <w:lang w:eastAsia="zh-CN"/>
        </w:rPr>
        <w:t>委员会的推荐</w:t>
      </w:r>
      <w:r>
        <w:rPr>
          <w:rFonts w:hint="eastAsia"/>
          <w:spacing w:val="-5"/>
          <w:lang w:eastAsia="zh-CN"/>
        </w:rPr>
        <w:t>结果</w:t>
      </w:r>
      <w:r>
        <w:rPr>
          <w:spacing w:val="-5"/>
          <w:lang w:eastAsia="zh-CN"/>
        </w:rPr>
        <w:t>确定中标人。</w:t>
      </w:r>
    </w:p>
    <w:p>
      <w:pPr>
        <w:pStyle w:val="7"/>
        <w:spacing w:before="186" w:line="321" w:lineRule="auto"/>
        <w:ind w:left="118" w:firstLine="480"/>
        <w:rPr>
          <w:spacing w:val="-5"/>
          <w:lang w:eastAsia="zh-CN"/>
        </w:rPr>
      </w:pPr>
      <w:r>
        <w:rPr>
          <w:rFonts w:hint="eastAsia"/>
          <w:spacing w:val="-5"/>
          <w:lang w:eastAsia="zh-CN"/>
        </w:rPr>
        <w:t>5、若发生中标人被取消中标资格的，则由比选人依照评选委员会推荐的中标候选人递补确定中标人或重新组织比选。</w:t>
      </w:r>
    </w:p>
    <w:p>
      <w:pPr>
        <w:pStyle w:val="7"/>
        <w:spacing w:before="186" w:line="321" w:lineRule="auto"/>
        <w:ind w:left="118" w:firstLine="480"/>
        <w:rPr>
          <w:spacing w:val="-5"/>
          <w:lang w:eastAsia="zh-CN"/>
        </w:rPr>
      </w:pPr>
    </w:p>
    <w:p>
      <w:pPr>
        <w:pStyle w:val="7"/>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ind w:left="598"/>
        <w:rPr>
          <w:lang w:eastAsia="zh-CN"/>
        </w:rPr>
      </w:pPr>
    </w:p>
    <w:p>
      <w:pPr>
        <w:pStyle w:val="7"/>
        <w:ind w:left="98" w:firstLine="499" w:firstLineChars="208"/>
        <w:rPr>
          <w:lang w:eastAsia="zh-CN"/>
        </w:rPr>
      </w:pPr>
      <w:r>
        <w:rPr>
          <w:lang w:eastAsia="zh-CN"/>
        </w:rPr>
        <w:t>1.比选人将把合同授予中选人；在授予前，仍需进行资格审查。</w:t>
      </w:r>
    </w:p>
    <w:p>
      <w:pPr>
        <w:pStyle w:val="7"/>
        <w:spacing w:before="108"/>
        <w:ind w:left="98" w:firstLine="499" w:firstLineChars="208"/>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相关</w:t>
      </w:r>
      <w:r>
        <w:rPr>
          <w:lang w:eastAsia="zh-CN"/>
        </w:rPr>
        <w:t>官网。</w:t>
      </w:r>
    </w:p>
    <w:p>
      <w:pPr>
        <w:pStyle w:val="7"/>
        <w:spacing w:before="24" w:line="321" w:lineRule="auto"/>
        <w:ind w:left="118" w:right="92" w:firstLine="480"/>
        <w:rPr>
          <w:lang w:eastAsia="zh-CN"/>
        </w:rPr>
      </w:pPr>
      <w:r>
        <w:rPr>
          <w:lang w:eastAsia="zh-CN"/>
        </w:rPr>
        <w:t>3.中选通知对比选人和参选人具有法律效力。</w:t>
      </w:r>
      <w:r>
        <w:rPr>
          <w:rFonts w:hint="eastAsia"/>
          <w:lang w:eastAsia="zh-CN"/>
        </w:rPr>
        <w:t>福建福海创石油化工有限公司及其权属子公司“腾龙芳烃（漳州）有限公司”和“翔鹭石化（漳州）有限公司”同时作为合同执行主体，将于中选结果公示流程结束之日起30日内与中选人完成合同签订事宜。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7"/>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pStyle w:val="7"/>
        <w:rPr>
          <w:rFonts w:ascii="Times New Roman"/>
          <w:b/>
          <w:bCs/>
          <w:lang w:eastAsia="zh-CN"/>
        </w:rPr>
      </w:pPr>
      <w:bookmarkStart w:id="1" w:name="_Toc251742852"/>
      <w:r>
        <w:rPr>
          <w:rFonts w:hint="eastAsia" w:ascii="Times New Roman"/>
          <w:b/>
          <w:bCs/>
          <w:lang w:eastAsia="zh-CN"/>
        </w:rPr>
        <w:t>附件一</w:t>
      </w:r>
    </w:p>
    <w:p>
      <w:pPr>
        <w:spacing w:line="1000" w:lineRule="exact"/>
        <w:jc w:val="center"/>
        <w:rPr>
          <w:rFonts w:ascii="黑体" w:eastAsia="黑体"/>
          <w:b/>
          <w:spacing w:val="-16"/>
          <w:sz w:val="32"/>
          <w:szCs w:val="32"/>
          <w:lang w:eastAsia="zh-CN"/>
        </w:rPr>
      </w:pPr>
      <w:r>
        <w:rPr>
          <w:rFonts w:hint="eastAsia" w:ascii="黑体" w:eastAsia="黑体"/>
          <w:b/>
          <w:spacing w:val="-16"/>
          <w:sz w:val="32"/>
          <w:szCs w:val="32"/>
          <w:lang w:eastAsia="zh-CN"/>
        </w:rPr>
        <w:t>福海创，腾龙芳烃和翔鹭石化三家公司两化融合管理体系认证(A级能力不变)辅导咨询及评定技术服务合同</w:t>
      </w:r>
    </w:p>
    <w:p>
      <w:pPr>
        <w:pStyle w:val="8"/>
        <w:spacing w:line="400" w:lineRule="exact"/>
        <w:jc w:val="center"/>
        <w:rPr>
          <w:rFonts w:hAnsi="宋体"/>
          <w:b/>
          <w:sz w:val="28"/>
          <w:szCs w:val="28"/>
          <w:lang w:eastAsia="zh-CN"/>
        </w:rPr>
      </w:pPr>
      <w:r>
        <w:rPr>
          <w:rFonts w:hint="eastAsia" w:hAnsi="宋体"/>
          <w:lang w:eastAsia="zh-CN"/>
        </w:rPr>
        <w:t xml:space="preserve">     </w:t>
      </w:r>
      <w:r>
        <w:rPr>
          <w:rFonts w:hAnsi="宋体"/>
          <w:lang w:eastAsia="zh-CN"/>
        </w:rPr>
        <w:t xml:space="preserve">  </w:t>
      </w:r>
      <w:r>
        <w:rPr>
          <w:rFonts w:hint="eastAsia" w:hAnsi="宋体"/>
          <w:lang w:eastAsia="zh-CN"/>
        </w:rPr>
        <w:t xml:space="preserve">        合同编号：</w:t>
      </w:r>
    </w:p>
    <w:p>
      <w:pPr>
        <w:pStyle w:val="8"/>
        <w:spacing w:line="400" w:lineRule="exact"/>
        <w:rPr>
          <w:rFonts w:hAnsi="宋体"/>
          <w:lang w:eastAsia="zh-CN"/>
        </w:rPr>
      </w:pPr>
      <w:r>
        <w:rPr>
          <w:rFonts w:hint="eastAsia" w:hAnsi="宋体"/>
          <w:lang w:eastAsia="zh-CN"/>
        </w:rPr>
        <w:t xml:space="preserve">                                          签订日期：    年    月    日</w:t>
      </w:r>
    </w:p>
    <w:p>
      <w:pPr>
        <w:pStyle w:val="8"/>
        <w:spacing w:line="400" w:lineRule="exact"/>
        <w:rPr>
          <w:rFonts w:hAnsi="宋体"/>
          <w:lang w:eastAsia="zh-CN"/>
        </w:rPr>
      </w:pPr>
      <w:r>
        <w:rPr>
          <w:rFonts w:hint="eastAsia" w:hAnsi="宋体"/>
          <w:lang w:eastAsia="zh-CN"/>
        </w:rPr>
        <w:t xml:space="preserve">                                          签订地点：福建漳州杜浔</w:t>
      </w:r>
    </w:p>
    <w:p>
      <w:pPr>
        <w:pStyle w:val="8"/>
        <w:spacing w:line="400" w:lineRule="exact"/>
        <w:rPr>
          <w:rFonts w:hAnsi="宋体"/>
          <w:lang w:eastAsia="zh-CN"/>
        </w:rPr>
      </w:pPr>
    </w:p>
    <w:p>
      <w:pPr>
        <w:rPr>
          <w:sz w:val="24"/>
          <w:szCs w:val="24"/>
          <w:lang w:eastAsia="zh-CN"/>
        </w:rPr>
      </w:pPr>
      <w:r>
        <w:rPr>
          <w:lang w:eastAsia="zh-CN"/>
        </w:rPr>
        <w:t>委托方（甲方）</w:t>
      </w:r>
      <w:r>
        <w:rPr>
          <w:rFonts w:hint="eastAsia"/>
          <w:lang w:eastAsia="zh-CN"/>
        </w:rPr>
        <w:t>：</w:t>
      </w:r>
      <w:r>
        <w:rPr>
          <w:rFonts w:hint="eastAsia"/>
          <w:sz w:val="24"/>
          <w:szCs w:val="24"/>
          <w:lang w:eastAsia="zh-CN"/>
        </w:rPr>
        <w:t>福建福海创石油化工有限公司</w:t>
      </w:r>
    </w:p>
    <w:p>
      <w:pPr>
        <w:ind w:firstLine="1680" w:firstLineChars="700"/>
        <w:rPr>
          <w:sz w:val="24"/>
          <w:szCs w:val="24"/>
          <w:lang w:eastAsia="zh-CN"/>
        </w:rPr>
      </w:pPr>
      <w:r>
        <w:rPr>
          <w:rFonts w:hint="eastAsia"/>
          <w:sz w:val="24"/>
          <w:szCs w:val="24"/>
          <w:lang w:eastAsia="zh-CN"/>
        </w:rPr>
        <w:t>腾龙芳烃（漳州）有限公司</w:t>
      </w:r>
    </w:p>
    <w:p>
      <w:pPr>
        <w:ind w:firstLine="1680" w:firstLineChars="700"/>
        <w:rPr>
          <w:rFonts w:eastAsia="仿宋_GB2312"/>
          <w:b/>
          <w:color w:val="000000"/>
          <w:sz w:val="28"/>
          <w:u w:val="single"/>
          <w:lang w:eastAsia="zh-CN"/>
        </w:rPr>
      </w:pPr>
      <w:r>
        <w:rPr>
          <w:rFonts w:hint="eastAsia"/>
          <w:sz w:val="24"/>
          <w:szCs w:val="24"/>
          <w:lang w:eastAsia="zh-CN"/>
        </w:rPr>
        <w:t>翔鹭石化（漳州）有限公司</w:t>
      </w:r>
    </w:p>
    <w:p>
      <w:pPr>
        <w:pStyle w:val="8"/>
        <w:spacing w:line="400" w:lineRule="exact"/>
        <w:rPr>
          <w:rFonts w:eastAsia="仿宋_GB2312"/>
          <w:b/>
          <w:color w:val="000000"/>
          <w:sz w:val="28"/>
          <w:u w:val="single"/>
          <w:lang w:eastAsia="zh-CN"/>
        </w:rPr>
      </w:pPr>
    </w:p>
    <w:p>
      <w:pPr>
        <w:pStyle w:val="8"/>
        <w:spacing w:line="400" w:lineRule="exact"/>
        <w:rPr>
          <w:rFonts w:eastAsia="仿宋_GB2312"/>
          <w:b/>
          <w:color w:val="000000"/>
          <w:sz w:val="28"/>
          <w:u w:val="single"/>
          <w:lang w:eastAsia="zh-CN"/>
        </w:rPr>
      </w:pPr>
      <w:r>
        <w:rPr>
          <w:rFonts w:hAnsi="宋体"/>
          <w:lang w:eastAsia="zh-CN"/>
        </w:rPr>
        <w:t>受托方（乙方）</w:t>
      </w:r>
      <w:r>
        <w:rPr>
          <w:rFonts w:hint="eastAsia" w:hAnsi="宋体"/>
          <w:lang w:eastAsia="zh-CN"/>
        </w:rPr>
        <w:t>：</w:t>
      </w:r>
    </w:p>
    <w:p>
      <w:pPr>
        <w:pStyle w:val="8"/>
        <w:spacing w:line="400" w:lineRule="exact"/>
        <w:rPr>
          <w:rFonts w:hAnsi="宋体"/>
          <w:lang w:eastAsia="zh-CN"/>
        </w:rPr>
      </w:pPr>
    </w:p>
    <w:p>
      <w:pPr>
        <w:spacing w:line="360" w:lineRule="auto"/>
        <w:rPr>
          <w:lang w:eastAsia="zh-CN"/>
        </w:rPr>
      </w:pPr>
      <w:r>
        <w:rPr>
          <w:rFonts w:hint="eastAsia"/>
          <w:lang w:eastAsia="zh-CN"/>
        </w:rPr>
        <w:t xml:space="preserve">    本合同由甲方委托乙方就</w:t>
      </w:r>
      <w:r>
        <w:rPr>
          <w:rFonts w:hint="eastAsia"/>
          <w:u w:val="single"/>
          <w:lang w:eastAsia="zh-CN"/>
        </w:rPr>
        <w:t xml:space="preserve"> 福海创、腾龙芳烃和翔鹭石化三家公司2023年-2025年度两化融合管理体系认证(A级能力不变)辅导咨询及评定</w:t>
      </w:r>
      <w:r>
        <w:rPr>
          <w:rFonts w:hint="eastAsia"/>
          <w:lang w:eastAsia="zh-CN"/>
        </w:rPr>
        <w:t>进行技术服务及咨询，并支付技术服务及咨询报酬。双方经过平等协商，在真实、充分地表达各自意愿的基础上，根据《中华人民共和国民法典》的规定，达成如下协议，并由双方共同恪守。</w:t>
      </w:r>
    </w:p>
    <w:p>
      <w:pPr>
        <w:pStyle w:val="8"/>
        <w:spacing w:line="360" w:lineRule="auto"/>
        <w:rPr>
          <w:rFonts w:hAnsi="宋体"/>
          <w:lang w:eastAsia="zh-CN"/>
        </w:rPr>
      </w:pPr>
      <w:r>
        <w:rPr>
          <w:rFonts w:hint="eastAsia" w:hAnsi="宋体"/>
          <w:lang w:eastAsia="zh-CN"/>
        </w:rPr>
        <w:t xml:space="preserve">    第一条　乙方进行技术咨询的内容、要求、方式：</w:t>
      </w:r>
    </w:p>
    <w:p>
      <w:pPr>
        <w:pStyle w:val="8"/>
        <w:numPr>
          <w:ilvl w:val="0"/>
          <w:numId w:val="2"/>
        </w:numPr>
        <w:spacing w:line="360" w:lineRule="auto"/>
        <w:rPr>
          <w:rFonts w:hAnsi="宋体"/>
          <w:lang w:eastAsia="zh-CN"/>
        </w:rPr>
      </w:pPr>
      <w:r>
        <w:rPr>
          <w:rFonts w:hint="eastAsia" w:hAnsi="宋体"/>
          <w:lang w:eastAsia="zh-CN"/>
        </w:rPr>
        <w:t>技术服务及咨询内容：</w:t>
      </w:r>
    </w:p>
    <w:p>
      <w:pPr>
        <w:ind w:left="880" w:leftChars="200" w:hanging="440" w:hangingChars="200"/>
        <w:rPr>
          <w:rFonts w:cs="Courier New"/>
          <w:szCs w:val="21"/>
          <w:lang w:eastAsia="zh-CN"/>
        </w:rPr>
      </w:pPr>
      <w:r>
        <w:rPr>
          <w:rFonts w:hint="eastAsia" w:cs="Courier New"/>
          <w:szCs w:val="21"/>
          <w:lang w:eastAsia="zh-CN"/>
        </w:rPr>
        <w:t>1.1 服务内容：指导、帮助委托方初次建立、实施及两年监督复核评审两化融合管理体系认证，要求乙方完成工信部要求的所有两化融合管理体系贯标的所有文件、资料及报告，并提供电子版；</w:t>
      </w:r>
    </w:p>
    <w:p>
      <w:pPr>
        <w:ind w:left="880" w:leftChars="200" w:hanging="440" w:hangingChars="200"/>
        <w:rPr>
          <w:lang w:eastAsia="zh-CN"/>
        </w:rPr>
      </w:pPr>
      <w:r>
        <w:rPr>
          <w:rFonts w:hint="eastAsia" w:cs="Courier New"/>
          <w:szCs w:val="21"/>
          <w:lang w:eastAsia="zh-CN"/>
        </w:rPr>
        <w:t>1.2 验收标准：辅导甲方通过工信部审核及取得两化融合管理体系认证证书（包含</w:t>
      </w:r>
      <w:r>
        <w:rPr>
          <w:rFonts w:hint="eastAsia" w:cs="Courier New"/>
          <w:szCs w:val="21"/>
          <w:highlight w:val="yellow"/>
          <w:lang w:eastAsia="zh-CN"/>
        </w:rPr>
        <w:t>2024年初次证书、2025年、2026年监督</w:t>
      </w:r>
      <w:r>
        <w:rPr>
          <w:rFonts w:hint="eastAsia" w:cs="Courier New"/>
          <w:szCs w:val="21"/>
          <w:lang w:eastAsia="zh-CN"/>
        </w:rPr>
        <w:t>复核评审证书）。</w:t>
      </w:r>
    </w:p>
    <w:p>
      <w:pPr>
        <w:spacing w:line="360" w:lineRule="auto"/>
        <w:rPr>
          <w:lang w:eastAsia="zh-CN"/>
        </w:rPr>
      </w:pPr>
      <w:r>
        <w:rPr>
          <w:sz w:val="24"/>
          <w:szCs w:val="24"/>
          <w:lang w:eastAsia="zh-CN"/>
        </w:rPr>
        <w:t xml:space="preserve">    </w:t>
      </w:r>
      <w:r>
        <w:rPr>
          <w:rFonts w:hint="eastAsia"/>
          <w:lang w:eastAsia="zh-CN"/>
        </w:rPr>
        <w:t>2.技术服务及咨询要求：</w:t>
      </w:r>
    </w:p>
    <w:p>
      <w:pPr>
        <w:jc w:val="center"/>
        <w:rPr>
          <w:lang w:eastAsia="zh-CN"/>
        </w:rPr>
      </w:pPr>
      <w:r>
        <w:rPr>
          <w:rFonts w:hint="eastAsia"/>
          <w:lang w:eastAsia="zh-CN"/>
        </w:rPr>
        <w:t>具体要求见附件</w:t>
      </w:r>
      <w:r>
        <w:rPr>
          <w:lang w:eastAsia="zh-CN"/>
        </w:rPr>
        <w:t>1《</w:t>
      </w:r>
      <w:r>
        <w:rPr>
          <w:rFonts w:hint="eastAsia"/>
          <w:lang w:eastAsia="zh-CN"/>
        </w:rPr>
        <w:t>两化融合管理体系认证的辅导咨询及评定项目相关说明》</w:t>
      </w:r>
      <w:r>
        <w:rPr>
          <w:lang w:eastAsia="zh-CN"/>
        </w:rPr>
        <w:t>。</w:t>
      </w:r>
    </w:p>
    <w:p>
      <w:pPr>
        <w:spacing w:line="360" w:lineRule="auto"/>
        <w:ind w:firstLine="440" w:firstLineChars="200"/>
        <w:rPr>
          <w:lang w:eastAsia="zh-CN"/>
        </w:rPr>
      </w:pPr>
      <w:r>
        <w:rPr>
          <w:rFonts w:hint="eastAsia"/>
          <w:lang w:eastAsia="zh-CN"/>
        </w:rPr>
        <w:t>3.技术咨询服务方式：</w:t>
      </w:r>
    </w:p>
    <w:p>
      <w:pPr>
        <w:ind w:firstLine="440" w:firstLineChars="200"/>
        <w:rPr>
          <w:lang w:eastAsia="zh-CN"/>
        </w:rPr>
      </w:pPr>
      <w:r>
        <w:rPr>
          <w:rFonts w:hint="eastAsia"/>
          <w:u w:val="single"/>
          <w:lang w:eastAsia="zh-CN"/>
        </w:rPr>
        <w:t>乙方根据附件1</w:t>
      </w:r>
      <w:r>
        <w:rPr>
          <w:lang w:eastAsia="zh-CN"/>
        </w:rPr>
        <w:t>《</w:t>
      </w:r>
      <w:r>
        <w:rPr>
          <w:rFonts w:hint="eastAsia"/>
          <w:lang w:eastAsia="zh-CN"/>
        </w:rPr>
        <w:t>两化融合管理体系认证的辅导咨询及评定项目相关说明》</w:t>
      </w:r>
      <w:r>
        <w:rPr>
          <w:rFonts w:hint="eastAsia"/>
          <w:u w:val="single"/>
          <w:lang w:eastAsia="zh-CN"/>
        </w:rPr>
        <w:t>相关要求进行相关工作。</w:t>
      </w:r>
    </w:p>
    <w:p>
      <w:pPr>
        <w:pStyle w:val="8"/>
        <w:spacing w:line="360" w:lineRule="auto"/>
        <w:rPr>
          <w:rFonts w:hAnsi="宋体"/>
          <w:lang w:eastAsia="zh-CN"/>
        </w:rPr>
      </w:pPr>
      <w:r>
        <w:rPr>
          <w:rFonts w:hint="eastAsia" w:hAnsi="宋体"/>
          <w:lang w:eastAsia="zh-CN"/>
        </w:rPr>
        <w:t xml:space="preserve">    第二条 乙方按照下列要求进行本合同项目的技术咨询工作：</w:t>
      </w:r>
    </w:p>
    <w:p>
      <w:pPr>
        <w:adjustRightInd w:val="0"/>
        <w:spacing w:line="360" w:lineRule="auto"/>
        <w:ind w:firstLine="330" w:firstLineChars="150"/>
        <w:rPr>
          <w:rFonts w:hAnsi="Courier New" w:cs="Courier New"/>
          <w:u w:val="single"/>
          <w:lang w:eastAsia="zh-CN"/>
        </w:rPr>
      </w:pPr>
      <w:r>
        <w:rPr>
          <w:rFonts w:hint="eastAsia"/>
          <w:szCs w:val="21"/>
          <w:lang w:eastAsia="zh-CN"/>
        </w:rPr>
        <w:t xml:space="preserve"> 1.技术服务及咨询地点：</w:t>
      </w:r>
      <w:r>
        <w:rPr>
          <w:rFonts w:hint="eastAsia"/>
          <w:u w:val="single"/>
          <w:lang w:eastAsia="zh-CN"/>
        </w:rPr>
        <w:t>甲方现场指定地点。</w:t>
      </w:r>
    </w:p>
    <w:p>
      <w:pPr>
        <w:pStyle w:val="8"/>
        <w:spacing w:line="360" w:lineRule="auto"/>
        <w:ind w:firstLine="435"/>
        <w:rPr>
          <w:lang w:eastAsia="zh-CN"/>
        </w:rPr>
      </w:pPr>
      <w:r>
        <w:rPr>
          <w:rFonts w:hint="eastAsia" w:hAnsi="宋体"/>
          <w:lang w:eastAsia="zh-CN"/>
        </w:rPr>
        <w:t>2.技术服务及咨询期限：</w:t>
      </w:r>
      <w:r>
        <w:rPr>
          <w:lang w:eastAsia="zh-CN"/>
        </w:rPr>
        <w:t>合同签订之日起</w:t>
      </w:r>
      <w:r>
        <w:rPr>
          <w:rFonts w:hint="eastAsia"/>
          <w:lang w:eastAsia="zh-CN"/>
        </w:rPr>
        <w:t>3年</w:t>
      </w:r>
      <w:r>
        <w:rPr>
          <w:lang w:eastAsia="zh-CN"/>
        </w:rPr>
        <w:t>。</w:t>
      </w:r>
    </w:p>
    <w:p>
      <w:pPr>
        <w:rPr>
          <w:sz w:val="21"/>
          <w:u w:val="single"/>
          <w:lang w:eastAsia="zh-CN"/>
        </w:rPr>
      </w:pPr>
      <w:r>
        <w:rPr>
          <w:rFonts w:hint="eastAsia"/>
          <w:lang w:eastAsia="zh-CN"/>
        </w:rPr>
        <w:t xml:space="preserve">    3、技术服务及咨询质量要求：见附件1</w:t>
      </w:r>
      <w:r>
        <w:rPr>
          <w:lang w:eastAsia="zh-CN"/>
        </w:rPr>
        <w:t>《</w:t>
      </w:r>
      <w:r>
        <w:rPr>
          <w:rFonts w:hint="eastAsia"/>
          <w:lang w:eastAsia="zh-CN"/>
        </w:rPr>
        <w:t>两化融合管理体系认证的辅导咨询及评定项目相关说明》</w:t>
      </w:r>
      <w:r>
        <w:rPr>
          <w:lang w:eastAsia="zh-CN"/>
        </w:rPr>
        <w:t>。</w:t>
      </w:r>
    </w:p>
    <w:p>
      <w:pPr>
        <w:pStyle w:val="8"/>
        <w:spacing w:line="360" w:lineRule="auto"/>
        <w:ind w:firstLine="550" w:firstLineChars="250"/>
        <w:rPr>
          <w:rFonts w:hAnsi="宋体"/>
          <w:lang w:eastAsia="zh-CN"/>
        </w:rPr>
      </w:pPr>
      <w:r>
        <w:rPr>
          <w:rFonts w:hint="eastAsia" w:hAnsi="宋体"/>
          <w:lang w:eastAsia="zh-CN"/>
        </w:rPr>
        <w:t>4、技术服务及咨询质量期限要求：</w:t>
      </w:r>
      <w:r>
        <w:rPr>
          <w:rFonts w:hint="eastAsia" w:hAnsi="宋体"/>
          <w:u w:val="single"/>
          <w:lang w:eastAsia="zh-CN"/>
        </w:rPr>
        <w:t xml:space="preserve">    /                                 </w:t>
      </w:r>
    </w:p>
    <w:p>
      <w:pPr>
        <w:pStyle w:val="8"/>
        <w:spacing w:line="360" w:lineRule="auto"/>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spacing w:line="360" w:lineRule="auto"/>
        <w:ind w:firstLine="440" w:firstLineChars="200"/>
        <w:rPr>
          <w:szCs w:val="21"/>
          <w:u w:val="single"/>
          <w:lang w:eastAsia="zh-CN"/>
        </w:rPr>
      </w:pPr>
      <w:r>
        <w:rPr>
          <w:rFonts w:hint="eastAsia"/>
          <w:szCs w:val="21"/>
          <w:lang w:eastAsia="zh-CN"/>
        </w:rPr>
        <w:t>提供技术资料：</w:t>
      </w:r>
    </w:p>
    <w:p>
      <w:pPr>
        <w:pStyle w:val="8"/>
        <w:spacing w:line="360" w:lineRule="auto"/>
        <w:ind w:firstLine="440" w:firstLineChars="200"/>
        <w:rPr>
          <w:rFonts w:hAnsi="宋体"/>
          <w:lang w:eastAsia="zh-CN"/>
        </w:rPr>
      </w:pPr>
      <w:r>
        <w:rPr>
          <w:rFonts w:hint="eastAsia" w:hAnsi="宋体"/>
          <w:u w:val="single"/>
          <w:lang w:eastAsia="zh-CN"/>
        </w:rPr>
        <w:t xml:space="preserve">根据相关规定要求，提供与本案工作需要的相关资料。 </w:t>
      </w:r>
    </w:p>
    <w:p>
      <w:pPr>
        <w:pStyle w:val="8"/>
        <w:spacing w:line="360" w:lineRule="auto"/>
        <w:ind w:firstLine="440" w:firstLineChars="200"/>
        <w:rPr>
          <w:rFonts w:hAnsi="宋体"/>
          <w:lang w:eastAsia="zh-CN"/>
        </w:rPr>
      </w:pPr>
      <w:r>
        <w:rPr>
          <w:rFonts w:hint="eastAsia" w:hAnsi="宋体"/>
          <w:lang w:eastAsia="zh-CN"/>
        </w:rPr>
        <w:t>提供工作条件：</w:t>
      </w:r>
      <w:r>
        <w:rPr>
          <w:rFonts w:hint="eastAsia" w:hAnsi="宋体"/>
          <w:u w:val="single"/>
          <w:lang w:eastAsia="zh-CN"/>
        </w:rPr>
        <w:t xml:space="preserve">  为乙方作业人员工作提供便利。                       </w:t>
      </w:r>
    </w:p>
    <w:p>
      <w:pPr>
        <w:pStyle w:val="8"/>
        <w:spacing w:line="360" w:lineRule="auto"/>
        <w:ind w:firstLine="440" w:firstLineChars="200"/>
        <w:rPr>
          <w:rFonts w:hAnsi="宋体"/>
          <w:lang w:eastAsia="zh-CN"/>
        </w:rPr>
      </w:pPr>
      <w:r>
        <w:rPr>
          <w:rFonts w:hint="eastAsia" w:hAnsi="宋体"/>
          <w:lang w:eastAsia="zh-CN"/>
        </w:rPr>
        <w:t>其他：</w:t>
      </w:r>
      <w:r>
        <w:rPr>
          <w:rFonts w:hint="eastAsia" w:hAnsi="宋体"/>
          <w:u w:val="single"/>
          <w:lang w:eastAsia="zh-CN"/>
        </w:rPr>
        <w:t xml:space="preserve">                  /                            </w:t>
      </w:r>
    </w:p>
    <w:p>
      <w:pPr>
        <w:pStyle w:val="8"/>
        <w:spacing w:line="360" w:lineRule="auto"/>
        <w:ind w:firstLine="440" w:firstLineChars="200"/>
        <w:rPr>
          <w:rFonts w:hAnsi="宋体"/>
          <w:lang w:eastAsia="zh-CN"/>
        </w:rPr>
      </w:pPr>
      <w:r>
        <w:rPr>
          <w:rFonts w:hint="eastAsia" w:hAnsi="宋体"/>
          <w:lang w:eastAsia="zh-CN"/>
        </w:rPr>
        <w:t>甲方提供上述协作事项的时间及方式：</w:t>
      </w:r>
      <w:r>
        <w:rPr>
          <w:rFonts w:hint="eastAsia" w:hAnsi="宋体"/>
          <w:u w:val="single"/>
          <w:lang w:eastAsia="zh-CN"/>
        </w:rPr>
        <w:t xml:space="preserve">/                               </w:t>
      </w:r>
    </w:p>
    <w:p>
      <w:pPr>
        <w:pStyle w:val="8"/>
        <w:spacing w:line="360" w:lineRule="auto"/>
        <w:ind w:firstLine="440" w:firstLineChars="200"/>
        <w:rPr>
          <w:rFonts w:hAnsi="宋体"/>
          <w:lang w:eastAsia="zh-CN"/>
        </w:rPr>
      </w:pPr>
      <w:r>
        <w:rPr>
          <w:rFonts w:hint="eastAsia" w:hAnsi="宋体"/>
          <w:lang w:eastAsia="zh-CN"/>
        </w:rPr>
        <w:t>第四条 甲方向乙方支付技术服务及咨询报酬及支付方式为：</w:t>
      </w:r>
    </w:p>
    <w:p>
      <w:pPr>
        <w:pStyle w:val="8"/>
        <w:spacing w:line="360" w:lineRule="auto"/>
        <w:ind w:firstLine="440" w:firstLineChars="200"/>
        <w:rPr>
          <w:rFonts w:hAnsi="宋体"/>
          <w:lang w:eastAsia="zh-CN"/>
        </w:rPr>
      </w:pPr>
      <w:r>
        <w:rPr>
          <w:rFonts w:hint="eastAsia" w:hAnsi="宋体"/>
          <w:lang w:eastAsia="zh-CN"/>
        </w:rPr>
        <w:t>1. 技术服务及咨询报酬含税包干总价为：RMB</w:t>
      </w:r>
      <w:r>
        <w:rPr>
          <w:rFonts w:hint="eastAsia" w:hAnsi="宋体"/>
          <w:u w:val="single"/>
          <w:lang w:eastAsia="zh-CN"/>
        </w:rPr>
        <w:t xml:space="preserve">         </w:t>
      </w:r>
      <w:r>
        <w:rPr>
          <w:rFonts w:hint="eastAsia" w:hAnsi="宋体"/>
          <w:lang w:eastAsia="zh-CN"/>
        </w:rPr>
        <w:t>元（大写人民币</w:t>
      </w:r>
      <w:r>
        <w:rPr>
          <w:rFonts w:hint="eastAsia" w:hAnsi="宋体"/>
          <w:u w:val="single"/>
          <w:lang w:eastAsia="zh-CN"/>
        </w:rPr>
        <w:t xml:space="preserve">       </w:t>
      </w:r>
      <w:r>
        <w:rPr>
          <w:rFonts w:hint="eastAsia" w:hAnsi="宋体"/>
          <w:lang w:eastAsia="zh-CN"/>
        </w:rPr>
        <w:t xml:space="preserve">元），含 </w:t>
      </w:r>
      <w:r>
        <w:rPr>
          <w:rFonts w:hint="eastAsia" w:hAnsi="宋体"/>
          <w:u w:val="single"/>
          <w:lang w:eastAsia="zh-CN"/>
        </w:rPr>
        <w:t xml:space="preserve">     %</w:t>
      </w:r>
      <w:r>
        <w:rPr>
          <w:rFonts w:hAnsi="宋体"/>
          <w:lang w:eastAsia="zh-CN"/>
        </w:rPr>
        <w:t xml:space="preserve"> </w:t>
      </w:r>
      <w:r>
        <w:rPr>
          <w:rFonts w:hint="eastAsia" w:hAnsi="宋体"/>
          <w:lang w:eastAsia="zh-CN"/>
        </w:rPr>
        <w:t>增值税专用发票。</w:t>
      </w:r>
    </w:p>
    <w:p>
      <w:pPr>
        <w:spacing w:line="360" w:lineRule="auto"/>
        <w:rPr>
          <w:sz w:val="24"/>
          <w:szCs w:val="24"/>
          <w:lang w:eastAsia="zh-CN"/>
        </w:rPr>
      </w:pPr>
      <w:r>
        <w:rPr>
          <w:sz w:val="24"/>
          <w:szCs w:val="24"/>
          <w:lang w:eastAsia="zh-CN"/>
        </w:rPr>
        <w:t>其中三家公司费用分摊如下：</w:t>
      </w:r>
    </w:p>
    <w:p>
      <w:pPr>
        <w:spacing w:line="360" w:lineRule="auto"/>
        <w:ind w:firstLine="480" w:firstLineChars="200"/>
        <w:rPr>
          <w:sz w:val="24"/>
          <w:szCs w:val="24"/>
          <w:lang w:eastAsia="zh-CN"/>
        </w:rPr>
      </w:pPr>
      <w:r>
        <w:rPr>
          <w:rFonts w:hint="eastAsia"/>
          <w:sz w:val="24"/>
          <w:szCs w:val="24"/>
          <w:lang w:eastAsia="zh-CN"/>
        </w:rPr>
        <w:t>福建福海创石油化工有限公司：</w:t>
      </w:r>
      <w:r>
        <w:rPr>
          <w:rFonts w:hint="eastAsia"/>
          <w:sz w:val="24"/>
          <w:szCs w:val="24"/>
          <w:u w:val="single"/>
          <w:lang w:eastAsia="zh-CN"/>
        </w:rPr>
        <w:t xml:space="preserve"> </w:t>
      </w:r>
      <w:r>
        <w:rPr>
          <w:sz w:val="24"/>
          <w:szCs w:val="24"/>
          <w:u w:val="single"/>
          <w:lang w:eastAsia="zh-CN"/>
        </w:rPr>
        <w:t xml:space="preserve">          元</w:t>
      </w:r>
      <w:r>
        <w:rPr>
          <w:rFonts w:hint="eastAsia"/>
          <w:sz w:val="24"/>
          <w:szCs w:val="24"/>
          <w:u w:val="single"/>
          <w:lang w:eastAsia="zh-CN"/>
        </w:rPr>
        <w:t>，其中2024年费用     元；2025年费用    元；2026年费用      元；</w:t>
      </w:r>
    </w:p>
    <w:p>
      <w:pPr>
        <w:spacing w:line="360" w:lineRule="auto"/>
        <w:ind w:firstLine="480" w:firstLineChars="200"/>
        <w:rPr>
          <w:sz w:val="24"/>
          <w:szCs w:val="24"/>
          <w:lang w:eastAsia="zh-CN"/>
        </w:rPr>
      </w:pPr>
      <w:r>
        <w:rPr>
          <w:rFonts w:hint="eastAsia"/>
          <w:sz w:val="24"/>
          <w:szCs w:val="24"/>
          <w:lang w:eastAsia="zh-CN"/>
        </w:rPr>
        <w:t>腾龙芳烃（漳州）有限公司：</w:t>
      </w:r>
      <w:r>
        <w:rPr>
          <w:rFonts w:hint="eastAsia"/>
          <w:sz w:val="24"/>
          <w:szCs w:val="24"/>
          <w:u w:val="single"/>
          <w:lang w:eastAsia="zh-CN"/>
        </w:rPr>
        <w:t xml:space="preserve"> </w:t>
      </w:r>
      <w:r>
        <w:rPr>
          <w:sz w:val="24"/>
          <w:szCs w:val="24"/>
          <w:u w:val="single"/>
          <w:lang w:eastAsia="zh-CN"/>
        </w:rPr>
        <w:t xml:space="preserve">            元</w:t>
      </w:r>
      <w:r>
        <w:rPr>
          <w:rFonts w:hint="eastAsia"/>
          <w:sz w:val="24"/>
          <w:szCs w:val="24"/>
          <w:u w:val="single"/>
          <w:lang w:eastAsia="zh-CN"/>
        </w:rPr>
        <w:t>，其中2024年费用     元；2025年费用    元；2026年费用      元</w:t>
      </w:r>
    </w:p>
    <w:p>
      <w:pPr>
        <w:spacing w:line="360" w:lineRule="auto"/>
        <w:ind w:firstLine="480" w:firstLineChars="200"/>
        <w:rPr>
          <w:rFonts w:hAnsi="Calibri" w:cs="Times New Roman"/>
          <w:b/>
          <w:sz w:val="34"/>
          <w:u w:val="single"/>
          <w:lang w:eastAsia="zh-CN"/>
        </w:rPr>
      </w:pPr>
      <w:r>
        <w:rPr>
          <w:rFonts w:hint="eastAsia"/>
          <w:sz w:val="24"/>
          <w:szCs w:val="24"/>
          <w:lang w:eastAsia="zh-CN"/>
        </w:rPr>
        <w:t>翔鹭石化（漳州）有限公司：</w:t>
      </w:r>
      <w:r>
        <w:rPr>
          <w:rFonts w:hint="eastAsia"/>
          <w:sz w:val="24"/>
          <w:szCs w:val="24"/>
          <w:u w:val="single"/>
          <w:lang w:eastAsia="zh-CN"/>
        </w:rPr>
        <w:t xml:space="preserve"> </w:t>
      </w:r>
      <w:r>
        <w:rPr>
          <w:sz w:val="24"/>
          <w:szCs w:val="24"/>
          <w:u w:val="single"/>
          <w:lang w:eastAsia="zh-CN"/>
        </w:rPr>
        <w:t xml:space="preserve">            元</w:t>
      </w:r>
      <w:r>
        <w:rPr>
          <w:rFonts w:hint="eastAsia"/>
          <w:sz w:val="24"/>
          <w:szCs w:val="24"/>
          <w:u w:val="single"/>
          <w:lang w:eastAsia="zh-CN"/>
        </w:rPr>
        <w:t>，其中2024年费用     元；2025年费用    元；2026年费用      元</w:t>
      </w:r>
    </w:p>
    <w:p>
      <w:pPr>
        <w:pStyle w:val="8"/>
        <w:spacing w:line="360" w:lineRule="auto"/>
        <w:ind w:firstLine="480" w:firstLineChars="200"/>
        <w:rPr>
          <w:rFonts w:hint="eastAsia" w:hAnsi="宋体" w:cs="宋体"/>
          <w:color w:val="000000"/>
          <w:sz w:val="24"/>
          <w:szCs w:val="24"/>
          <w:lang w:eastAsia="zh-CN"/>
        </w:rPr>
      </w:pPr>
      <w:r>
        <w:rPr>
          <w:rFonts w:hint="eastAsia" w:hAnsi="宋体" w:cs="宋体"/>
          <w:color w:val="000000"/>
          <w:sz w:val="24"/>
          <w:szCs w:val="24"/>
          <w:lang w:eastAsia="zh-CN"/>
        </w:rPr>
        <w:t>以上报价为含税包干总价，包含本次发包内容工作所有相关费用，包含但不仅限于工时费，税费，差旅费等，除非双方另有约定外，否则甲方不再另行支付任何费用。</w:t>
      </w:r>
    </w:p>
    <w:p>
      <w:pPr>
        <w:pStyle w:val="8"/>
        <w:spacing w:line="360" w:lineRule="auto"/>
        <w:rPr>
          <w:rFonts w:hint="eastAsia" w:hAnsi="宋体" w:cs="宋体"/>
          <w:color w:val="000000"/>
          <w:sz w:val="24"/>
          <w:szCs w:val="24"/>
          <w:lang w:eastAsia="zh-CN"/>
        </w:rPr>
      </w:pPr>
      <w:r>
        <w:rPr>
          <w:rFonts w:hint="eastAsia" w:hAnsi="宋体" w:cs="宋体"/>
          <w:color w:val="000000"/>
          <w:sz w:val="24"/>
          <w:szCs w:val="24"/>
          <w:lang w:eastAsia="zh-CN"/>
        </w:rPr>
        <w:t xml:space="preserve">     </w:t>
      </w:r>
      <w:r>
        <w:rPr>
          <w:rFonts w:hint="eastAsia" w:hAnsi="宋体" w:cs="宋体"/>
          <w:b/>
          <w:bCs/>
          <w:color w:val="000000"/>
          <w:sz w:val="24"/>
          <w:szCs w:val="24"/>
          <w:lang w:eastAsia="zh-CN"/>
        </w:rPr>
        <w:t>每年度</w:t>
      </w:r>
      <w:r>
        <w:rPr>
          <w:rFonts w:hint="eastAsia" w:hAnsi="宋体" w:cs="宋体"/>
          <w:color w:val="000000"/>
          <w:sz w:val="24"/>
          <w:szCs w:val="24"/>
          <w:lang w:eastAsia="zh-CN"/>
        </w:rPr>
        <w:t>的费用具体支付方式和时间分配如下：。</w:t>
      </w:r>
    </w:p>
    <w:p>
      <w:pPr>
        <w:shd w:val="clear" w:color="auto" w:fill="FFFFFF"/>
        <w:spacing w:line="360" w:lineRule="auto"/>
        <w:ind w:left="-330" w:leftChars="-150" w:firstLine="523" w:firstLineChars="218"/>
        <w:rPr>
          <w:color w:val="000000"/>
          <w:sz w:val="24"/>
          <w:szCs w:val="24"/>
          <w:lang w:eastAsia="zh-CN"/>
        </w:rPr>
      </w:pPr>
      <w:r>
        <w:rPr>
          <w:rFonts w:hint="eastAsia"/>
          <w:color w:val="000000"/>
          <w:sz w:val="24"/>
          <w:szCs w:val="24"/>
          <w:lang w:eastAsia="zh-CN"/>
        </w:rPr>
        <w:t>（1）首次支付：本合同签署生效后</w:t>
      </w:r>
      <w:r>
        <w:rPr>
          <w:color w:val="000000"/>
          <w:sz w:val="24"/>
          <w:szCs w:val="24"/>
          <w:lang w:eastAsia="zh-CN"/>
        </w:rPr>
        <w:t>30</w:t>
      </w:r>
      <w:r>
        <w:rPr>
          <w:rFonts w:hint="eastAsia"/>
          <w:color w:val="000000"/>
          <w:sz w:val="24"/>
          <w:szCs w:val="24"/>
          <w:lang w:eastAsia="zh-CN"/>
        </w:rPr>
        <w:t>个日历日内, 甲方收到乙方开具</w:t>
      </w:r>
      <w:r>
        <w:rPr>
          <w:rFonts w:hint="eastAsia"/>
          <w:b/>
          <w:bCs/>
          <w:color w:val="000000"/>
          <w:sz w:val="24"/>
          <w:szCs w:val="24"/>
          <w:lang w:eastAsia="zh-CN"/>
        </w:rPr>
        <w:t>该年度</w:t>
      </w:r>
      <w:r>
        <w:rPr>
          <w:rFonts w:hint="eastAsia"/>
          <w:color w:val="000000"/>
          <w:sz w:val="24"/>
          <w:szCs w:val="24"/>
          <w:lang w:eastAsia="zh-CN"/>
        </w:rPr>
        <w:t>合同总价</w:t>
      </w:r>
      <w:r>
        <w:rPr>
          <w:color w:val="000000"/>
          <w:sz w:val="24"/>
          <w:szCs w:val="24"/>
          <w:lang w:eastAsia="zh-CN"/>
        </w:rPr>
        <w:t>20</w:t>
      </w:r>
      <w:r>
        <w:rPr>
          <w:rFonts w:hint="eastAsia"/>
          <w:color w:val="000000"/>
          <w:sz w:val="24"/>
          <w:szCs w:val="24"/>
          <w:lang w:eastAsia="zh-CN"/>
        </w:rPr>
        <w:t>%</w:t>
      </w:r>
      <w:r>
        <w:rPr>
          <w:color w:val="000000"/>
          <w:sz w:val="24"/>
          <w:szCs w:val="24"/>
          <w:lang w:eastAsia="zh-CN"/>
        </w:rPr>
        <w:t>的等额增值税专用发票原件</w:t>
      </w:r>
      <w:r>
        <w:rPr>
          <w:rFonts w:hint="eastAsia"/>
          <w:color w:val="000000"/>
          <w:sz w:val="24"/>
          <w:szCs w:val="24"/>
          <w:lang w:eastAsia="zh-CN"/>
        </w:rPr>
        <w:t>后，向乙方支付首批费用，即合同总价的2</w:t>
      </w:r>
      <w:r>
        <w:rPr>
          <w:color w:val="000000"/>
          <w:sz w:val="24"/>
          <w:szCs w:val="24"/>
          <w:lang w:eastAsia="zh-CN"/>
        </w:rPr>
        <w:t>0%的费用，</w:t>
      </w:r>
      <w:r>
        <w:rPr>
          <w:rFonts w:hint="eastAsia"/>
          <w:color w:val="000000"/>
          <w:sz w:val="24"/>
          <w:szCs w:val="24"/>
          <w:lang w:eastAsia="zh-CN"/>
        </w:rPr>
        <w:t>人民币</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，即（小写）</w:t>
      </w:r>
      <w:r>
        <w:rPr>
          <w:color w:val="000000"/>
          <w:sz w:val="24"/>
          <w:szCs w:val="24"/>
          <w:u w:val="single"/>
          <w:lang w:eastAsia="zh-CN"/>
        </w:rPr>
        <w:t xml:space="preserve"> </w:t>
      </w:r>
      <w:r>
        <w:rPr>
          <w:rFonts w:hint="eastAsia"/>
          <w:color w:val="000000"/>
          <w:sz w:val="24"/>
          <w:szCs w:val="24"/>
          <w:u w:val="single"/>
          <w:lang w:eastAsia="zh-CN"/>
        </w:rPr>
        <w:t>￥</w:t>
      </w:r>
      <w:r>
        <w:rPr>
          <w:color w:val="000000"/>
          <w:sz w:val="24"/>
          <w:szCs w:val="24"/>
          <w:u w:val="single"/>
          <w:lang w:eastAsia="zh-CN"/>
        </w:rPr>
        <w:t xml:space="preserve">      </w:t>
      </w:r>
      <w:r>
        <w:rPr>
          <w:rFonts w:hint="eastAsia"/>
          <w:color w:val="000000"/>
          <w:sz w:val="24"/>
          <w:szCs w:val="24"/>
          <w:lang w:eastAsia="zh-CN"/>
        </w:rPr>
        <w:t>元；</w:t>
      </w:r>
    </w:p>
    <w:p>
      <w:pPr>
        <w:shd w:val="clear" w:color="auto" w:fill="FFFFFF"/>
        <w:spacing w:line="360" w:lineRule="auto"/>
        <w:ind w:left="-330" w:leftChars="-150" w:firstLine="523" w:firstLineChars="218"/>
        <w:rPr>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）第二次支付：乙方协助甲方提交贯标材料给工信部评定机构完成两化融合二审评定后，在完成二审评定的</w:t>
      </w:r>
      <w:r>
        <w:rPr>
          <w:color w:val="000000"/>
          <w:sz w:val="24"/>
          <w:szCs w:val="24"/>
          <w:lang w:eastAsia="zh-CN"/>
        </w:rPr>
        <w:t>30</w:t>
      </w:r>
      <w:r>
        <w:rPr>
          <w:rFonts w:hint="eastAsia"/>
          <w:color w:val="000000"/>
          <w:sz w:val="24"/>
          <w:szCs w:val="24"/>
          <w:lang w:eastAsia="zh-CN"/>
        </w:rPr>
        <w:t>个日历日内，甲方收到乙方开具</w:t>
      </w:r>
      <w:r>
        <w:rPr>
          <w:rFonts w:hint="eastAsia"/>
          <w:b/>
          <w:bCs/>
          <w:color w:val="000000"/>
          <w:sz w:val="24"/>
          <w:szCs w:val="24"/>
          <w:lang w:eastAsia="zh-CN"/>
        </w:rPr>
        <w:t>该年度</w:t>
      </w:r>
      <w:r>
        <w:rPr>
          <w:rFonts w:hint="eastAsia"/>
          <w:color w:val="000000"/>
          <w:sz w:val="24"/>
          <w:szCs w:val="24"/>
          <w:lang w:eastAsia="zh-CN"/>
        </w:rPr>
        <w:t>合同总价</w:t>
      </w:r>
      <w:r>
        <w:rPr>
          <w:color w:val="000000"/>
          <w:sz w:val="24"/>
          <w:szCs w:val="24"/>
          <w:lang w:eastAsia="zh-CN"/>
        </w:rPr>
        <w:t>40</w:t>
      </w:r>
      <w:r>
        <w:rPr>
          <w:rFonts w:hint="eastAsia"/>
          <w:color w:val="000000"/>
          <w:sz w:val="24"/>
          <w:szCs w:val="24"/>
          <w:lang w:eastAsia="zh-CN"/>
        </w:rPr>
        <w:t>%</w:t>
      </w:r>
      <w:r>
        <w:rPr>
          <w:color w:val="000000"/>
          <w:sz w:val="24"/>
          <w:szCs w:val="24"/>
          <w:lang w:eastAsia="zh-CN"/>
        </w:rPr>
        <w:t>的等额增值税专用发票原件</w:t>
      </w:r>
      <w:r>
        <w:rPr>
          <w:rFonts w:hint="eastAsia"/>
          <w:color w:val="000000"/>
          <w:sz w:val="24"/>
          <w:szCs w:val="24"/>
          <w:lang w:eastAsia="zh-CN"/>
        </w:rPr>
        <w:t>后，向乙方支付合同总额</w:t>
      </w:r>
      <w:r>
        <w:rPr>
          <w:color w:val="000000"/>
          <w:sz w:val="24"/>
          <w:szCs w:val="24"/>
          <w:lang w:eastAsia="zh-CN"/>
        </w:rPr>
        <w:t>40</w:t>
      </w:r>
      <w:r>
        <w:rPr>
          <w:rFonts w:hint="eastAsia"/>
          <w:color w:val="000000"/>
          <w:sz w:val="24"/>
          <w:szCs w:val="24"/>
          <w:lang w:eastAsia="zh-CN"/>
        </w:rPr>
        <w:t xml:space="preserve">%的费用，即人民币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元）。</w:t>
      </w:r>
    </w:p>
    <w:p>
      <w:pPr>
        <w:shd w:val="clear" w:color="auto" w:fill="FFFFFF"/>
        <w:spacing w:line="360" w:lineRule="auto"/>
        <w:ind w:left="-330" w:leftChars="-150" w:firstLine="523" w:firstLineChars="218"/>
        <w:rPr>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）乙方完成全部工作，协助甲方通过两化融合管理体系贯标认证后，甲方应于两化融合管理体系贯标证书收到之日起</w:t>
      </w:r>
      <w:r>
        <w:rPr>
          <w:color w:val="000000"/>
          <w:sz w:val="24"/>
          <w:szCs w:val="24"/>
          <w:lang w:eastAsia="zh-CN"/>
        </w:rPr>
        <w:t>30</w:t>
      </w:r>
      <w:r>
        <w:rPr>
          <w:rFonts w:hint="eastAsia"/>
          <w:color w:val="000000"/>
          <w:sz w:val="24"/>
          <w:szCs w:val="24"/>
          <w:lang w:eastAsia="zh-CN"/>
        </w:rPr>
        <w:t>个日历日内，甲方收到乙方开具</w:t>
      </w:r>
      <w:r>
        <w:rPr>
          <w:rFonts w:hint="eastAsia"/>
          <w:b/>
          <w:bCs/>
          <w:color w:val="000000"/>
          <w:sz w:val="24"/>
          <w:szCs w:val="24"/>
          <w:lang w:eastAsia="zh-CN"/>
        </w:rPr>
        <w:t>该年度</w:t>
      </w:r>
      <w:r>
        <w:rPr>
          <w:rFonts w:hint="eastAsia"/>
          <w:color w:val="000000"/>
          <w:sz w:val="24"/>
          <w:szCs w:val="24"/>
          <w:lang w:eastAsia="zh-CN"/>
        </w:rPr>
        <w:t>合同总价</w:t>
      </w:r>
      <w:r>
        <w:rPr>
          <w:color w:val="000000"/>
          <w:sz w:val="24"/>
          <w:szCs w:val="24"/>
          <w:lang w:eastAsia="zh-CN"/>
        </w:rPr>
        <w:t>40</w:t>
      </w:r>
      <w:r>
        <w:rPr>
          <w:rFonts w:hint="eastAsia"/>
          <w:color w:val="000000"/>
          <w:sz w:val="24"/>
          <w:szCs w:val="24"/>
          <w:lang w:eastAsia="zh-CN"/>
        </w:rPr>
        <w:t>%</w:t>
      </w:r>
      <w:r>
        <w:rPr>
          <w:color w:val="000000"/>
          <w:sz w:val="24"/>
          <w:szCs w:val="24"/>
          <w:lang w:eastAsia="zh-CN"/>
        </w:rPr>
        <w:t>的等额增值税专用发票原件</w:t>
      </w:r>
      <w:r>
        <w:rPr>
          <w:rFonts w:hint="eastAsia"/>
          <w:color w:val="000000"/>
          <w:sz w:val="24"/>
          <w:szCs w:val="24"/>
          <w:lang w:eastAsia="zh-CN"/>
        </w:rPr>
        <w:t>后，向乙方支付尾款，即合同总价4</w:t>
      </w:r>
      <w:r>
        <w:rPr>
          <w:color w:val="000000"/>
          <w:sz w:val="24"/>
          <w:szCs w:val="24"/>
          <w:lang w:eastAsia="zh-CN"/>
        </w:rPr>
        <w:t>0%的费用，</w:t>
      </w:r>
      <w:r>
        <w:rPr>
          <w:rFonts w:hint="eastAsia"/>
          <w:color w:val="000000"/>
          <w:sz w:val="24"/>
          <w:szCs w:val="24"/>
          <w:lang w:eastAsia="zh-CN"/>
        </w:rPr>
        <w:t>人民币</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，即（小写）</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元。</w:t>
      </w:r>
    </w:p>
    <w:p>
      <w:pPr>
        <w:pStyle w:val="2"/>
        <w:spacing w:line="360" w:lineRule="auto"/>
        <w:rPr>
          <w:rFonts w:hAnsi="宋体" w:cs="宋体"/>
          <w:b/>
          <w:color w:val="000000"/>
          <w:sz w:val="24"/>
          <w:szCs w:val="24"/>
        </w:rPr>
      </w:pPr>
      <w:r>
        <w:rPr>
          <w:rFonts w:hAnsi="宋体" w:cs="宋体"/>
          <w:b/>
          <w:color w:val="000000"/>
          <w:sz w:val="24"/>
          <w:szCs w:val="24"/>
        </w:rPr>
        <w:t>备注：以上每次付款前，乙方需按三家公司费用分摊比例进行分别开具发票，甲方以三家公司分别进行支付费用。</w:t>
      </w:r>
    </w:p>
    <w:p>
      <w:pPr>
        <w:pStyle w:val="8"/>
        <w:spacing w:line="360" w:lineRule="auto"/>
        <w:ind w:firstLine="480" w:firstLineChars="200"/>
        <w:rPr>
          <w:rFonts w:hAnsi="宋体"/>
          <w:sz w:val="24"/>
          <w:szCs w:val="24"/>
          <w:lang w:eastAsia="zh-CN"/>
        </w:rPr>
      </w:pPr>
      <w:r>
        <w:rPr>
          <w:rFonts w:hint="eastAsia" w:hAnsi="宋体"/>
          <w:sz w:val="24"/>
          <w:szCs w:val="24"/>
          <w:lang w:eastAsia="zh-CN"/>
        </w:rPr>
        <w:t>第五条 双方确定因履行本合同应遵守的保密义务如下：</w:t>
      </w:r>
    </w:p>
    <w:p>
      <w:pPr>
        <w:pStyle w:val="8"/>
        <w:spacing w:line="360" w:lineRule="auto"/>
        <w:ind w:firstLine="480" w:firstLineChars="200"/>
        <w:rPr>
          <w:rFonts w:hAnsi="宋体"/>
          <w:sz w:val="24"/>
          <w:szCs w:val="24"/>
          <w:lang w:eastAsia="zh-CN"/>
        </w:rPr>
      </w:pPr>
      <w:r>
        <w:rPr>
          <w:rFonts w:hint="eastAsia" w:hAnsi="宋体"/>
          <w:sz w:val="24"/>
          <w:szCs w:val="24"/>
          <w:lang w:eastAsia="zh-CN"/>
        </w:rPr>
        <w:t>甲方：</w:t>
      </w:r>
    </w:p>
    <w:p>
      <w:pPr>
        <w:pStyle w:val="8"/>
        <w:spacing w:line="360" w:lineRule="auto"/>
        <w:ind w:firstLine="480" w:firstLineChars="200"/>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8"/>
        <w:spacing w:line="360" w:lineRule="auto"/>
        <w:ind w:firstLine="480" w:firstLineChars="200"/>
        <w:rPr>
          <w:rFonts w:hAnsi="宋体"/>
          <w:sz w:val="24"/>
          <w:szCs w:val="24"/>
          <w:lang w:eastAsia="zh-CN"/>
        </w:rPr>
      </w:pPr>
      <w:r>
        <w:rPr>
          <w:rFonts w:hint="eastAsia" w:hAnsi="宋体"/>
          <w:sz w:val="24"/>
          <w:szCs w:val="24"/>
          <w:lang w:eastAsia="zh-CN"/>
        </w:rPr>
        <w:t xml:space="preserve">2.涉密人员范围：甲方及甲方工作人员。 </w:t>
      </w:r>
    </w:p>
    <w:p>
      <w:pPr>
        <w:pStyle w:val="8"/>
        <w:spacing w:line="360" w:lineRule="auto"/>
        <w:ind w:firstLine="480" w:firstLineChars="200"/>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8"/>
        <w:spacing w:line="360" w:lineRule="auto"/>
        <w:ind w:firstLine="480" w:firstLineChars="200"/>
        <w:rPr>
          <w:rFonts w:hAnsi="宋体"/>
          <w:sz w:val="24"/>
          <w:szCs w:val="24"/>
          <w:lang w:eastAsia="zh-CN"/>
        </w:rPr>
      </w:pPr>
      <w:r>
        <w:rPr>
          <w:rFonts w:hint="eastAsia" w:hAnsi="宋体"/>
          <w:sz w:val="24"/>
          <w:szCs w:val="24"/>
          <w:lang w:eastAsia="zh-CN"/>
        </w:rPr>
        <w:t>乙方：</w:t>
      </w:r>
    </w:p>
    <w:p>
      <w:pPr>
        <w:pStyle w:val="8"/>
        <w:spacing w:line="360" w:lineRule="auto"/>
        <w:ind w:firstLine="480" w:firstLineChars="200"/>
        <w:rPr>
          <w:rFonts w:hAnsi="宋体"/>
          <w:sz w:val="24"/>
          <w:szCs w:val="24"/>
          <w:lang w:eastAsia="zh-CN"/>
        </w:rPr>
      </w:pPr>
      <w:r>
        <w:rPr>
          <w:rFonts w:hint="eastAsia" w:hAnsi="宋体"/>
          <w:sz w:val="24"/>
          <w:szCs w:val="24"/>
          <w:lang w:eastAsia="zh-CN"/>
        </w:rPr>
        <w:t>1.保密内容：</w:t>
      </w:r>
    </w:p>
    <w:p>
      <w:pPr>
        <w:spacing w:line="360" w:lineRule="auto"/>
        <w:ind w:firstLine="480" w:firstLineChars="200"/>
        <w:rPr>
          <w:sz w:val="24"/>
          <w:szCs w:val="24"/>
          <w:u w:val="single"/>
          <w:lang w:eastAsia="zh-CN"/>
        </w:rPr>
      </w:pPr>
      <w:r>
        <w:rPr>
          <w:rFonts w:hint="eastAsia"/>
          <w:sz w:val="24"/>
          <w:szCs w:val="24"/>
          <w:u w:val="single"/>
          <w:lang w:eastAsia="zh-CN"/>
        </w:rPr>
        <w:t xml:space="preserve">（1）甲方提供的资料以及乙方在提供本合同约定服务过程中知悉的甲方技术信息、经营信息、生产工艺、操作流程等； </w:t>
      </w:r>
    </w:p>
    <w:p>
      <w:pPr>
        <w:spacing w:line="360" w:lineRule="auto"/>
        <w:ind w:firstLine="480" w:firstLineChars="200"/>
        <w:rPr>
          <w:sz w:val="24"/>
          <w:szCs w:val="24"/>
          <w:u w:val="single"/>
          <w:lang w:eastAsia="zh-CN"/>
        </w:rPr>
      </w:pPr>
      <w:r>
        <w:rPr>
          <w:rFonts w:hint="eastAsia"/>
          <w:sz w:val="24"/>
          <w:szCs w:val="24"/>
          <w:u w:val="single"/>
          <w:lang w:eastAsia="zh-CN"/>
        </w:rPr>
        <w:t>（2）乙方对甲方提供的有关资料应妥善保存，并负责保密，不得对外泄密；</w:t>
      </w:r>
    </w:p>
    <w:p>
      <w:pPr>
        <w:spacing w:line="360" w:lineRule="auto"/>
        <w:ind w:firstLine="480" w:firstLineChars="200"/>
        <w:rPr>
          <w:sz w:val="24"/>
          <w:szCs w:val="24"/>
          <w:u w:val="single"/>
          <w:lang w:eastAsia="zh-CN"/>
        </w:rPr>
      </w:pPr>
      <w:r>
        <w:rPr>
          <w:rFonts w:hint="eastAsia"/>
          <w:sz w:val="24"/>
          <w:szCs w:val="24"/>
          <w:u w:val="single"/>
          <w:lang w:eastAsia="zh-CN"/>
        </w:rPr>
        <w:t>（3）未经甲方同意，乙方不得向第三方提供该报告。</w:t>
      </w:r>
    </w:p>
    <w:p>
      <w:pPr>
        <w:pStyle w:val="8"/>
        <w:spacing w:line="360" w:lineRule="auto"/>
        <w:ind w:firstLine="480" w:firstLineChars="200"/>
        <w:rPr>
          <w:rFonts w:hAnsi="宋体"/>
          <w:sz w:val="24"/>
          <w:szCs w:val="24"/>
          <w:u w:val="single"/>
          <w:lang w:eastAsia="zh-CN"/>
        </w:rPr>
      </w:pPr>
      <w:r>
        <w:rPr>
          <w:rFonts w:hint="eastAsia" w:hAnsi="宋体"/>
          <w:sz w:val="24"/>
          <w:szCs w:val="24"/>
          <w:lang w:eastAsia="zh-CN"/>
        </w:rPr>
        <w:t>2.涉密人员范围：</w:t>
      </w:r>
      <w:r>
        <w:rPr>
          <w:rFonts w:hint="eastAsia" w:hAnsi="宋体"/>
          <w:sz w:val="24"/>
          <w:szCs w:val="24"/>
          <w:u w:val="single"/>
          <w:lang w:eastAsia="zh-CN"/>
        </w:rPr>
        <w:t>本项目人员、参与人员及其他涉密人员。</w:t>
      </w:r>
    </w:p>
    <w:p>
      <w:pPr>
        <w:pStyle w:val="8"/>
        <w:spacing w:line="360" w:lineRule="auto"/>
        <w:ind w:firstLine="480" w:firstLineChars="200"/>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8"/>
        <w:spacing w:line="360" w:lineRule="auto"/>
        <w:ind w:firstLine="480" w:firstLineChars="200"/>
        <w:rPr>
          <w:rFonts w:hAnsi="宋体"/>
          <w:sz w:val="24"/>
          <w:szCs w:val="24"/>
          <w:lang w:eastAsia="zh-CN"/>
        </w:rPr>
      </w:pPr>
      <w:r>
        <w:rPr>
          <w:rFonts w:hint="eastAsia" w:hAnsi="宋体"/>
          <w:sz w:val="24"/>
          <w:szCs w:val="24"/>
          <w:lang w:eastAsia="zh-CN"/>
        </w:rPr>
        <w:t>4.本项目知识产权归甲方所有。</w:t>
      </w:r>
    </w:p>
    <w:p>
      <w:pPr>
        <w:pStyle w:val="8"/>
        <w:spacing w:line="360" w:lineRule="auto"/>
        <w:ind w:firstLine="480" w:firstLineChars="200"/>
        <w:rPr>
          <w:rFonts w:hAnsi="宋体"/>
          <w:sz w:val="24"/>
          <w:szCs w:val="24"/>
          <w:lang w:eastAsia="zh-CN"/>
        </w:rPr>
      </w:pPr>
      <w:r>
        <w:rPr>
          <w:rFonts w:hint="eastAsia" w:hAnsi="宋体"/>
          <w:sz w:val="24"/>
          <w:szCs w:val="24"/>
          <w:lang w:eastAsia="zh-CN"/>
        </w:rPr>
        <w:t>第六条 本合同的变更必须由双方协商一致，并以书面形式确定。</w:t>
      </w:r>
    </w:p>
    <w:p>
      <w:pPr>
        <w:pStyle w:val="8"/>
        <w:spacing w:line="360" w:lineRule="auto"/>
        <w:ind w:firstLine="480" w:firstLineChars="200"/>
        <w:rPr>
          <w:rFonts w:hAnsi="宋体"/>
          <w:sz w:val="24"/>
          <w:szCs w:val="24"/>
          <w:lang w:eastAsia="zh-CN"/>
        </w:rPr>
      </w:pPr>
      <w:r>
        <w:rPr>
          <w:rFonts w:hint="eastAsia" w:hAnsi="宋体"/>
          <w:sz w:val="24"/>
          <w:szCs w:val="24"/>
          <w:lang w:eastAsia="zh-CN"/>
        </w:rPr>
        <w:t>第七条 双方确定，按以下标准和方式对乙方提交的技术咨询工作成果进行验收：</w:t>
      </w:r>
    </w:p>
    <w:p>
      <w:pPr>
        <w:spacing w:line="360" w:lineRule="auto"/>
        <w:ind w:firstLine="480" w:firstLineChars="200"/>
        <w:rPr>
          <w:sz w:val="24"/>
          <w:szCs w:val="24"/>
          <w:lang w:eastAsia="zh-CN"/>
        </w:rPr>
      </w:pPr>
      <w:r>
        <w:rPr>
          <w:rFonts w:hint="eastAsia"/>
          <w:sz w:val="24"/>
          <w:szCs w:val="24"/>
          <w:lang w:eastAsia="zh-CN"/>
        </w:rPr>
        <w:t>1、乙方提交技术</w:t>
      </w:r>
      <w:r>
        <w:rPr>
          <w:rFonts w:hint="eastAsia"/>
          <w:sz w:val="24"/>
          <w:szCs w:val="24"/>
          <w:u w:val="single"/>
          <w:lang w:eastAsia="zh-CN"/>
        </w:rPr>
        <w:t>咨询</w:t>
      </w:r>
      <w:r>
        <w:rPr>
          <w:sz w:val="24"/>
          <w:szCs w:val="24"/>
          <w:u w:val="single"/>
          <w:lang w:eastAsia="zh-CN"/>
        </w:rPr>
        <w:t xml:space="preserve"> </w:t>
      </w:r>
      <w:r>
        <w:rPr>
          <w:rFonts w:hint="eastAsia"/>
          <w:sz w:val="24"/>
          <w:szCs w:val="24"/>
          <w:lang w:eastAsia="zh-CN"/>
        </w:rPr>
        <w:t>工作成果的形式</w:t>
      </w:r>
      <w:r>
        <w:rPr>
          <w:rFonts w:hint="eastAsia" w:cs="Courier New"/>
          <w:sz w:val="24"/>
          <w:szCs w:val="24"/>
          <w:lang w:eastAsia="zh-CN"/>
        </w:rPr>
        <w:t>：</w:t>
      </w:r>
      <w:r>
        <w:rPr>
          <w:rFonts w:cs="Courier New"/>
          <w:sz w:val="24"/>
          <w:szCs w:val="24"/>
          <w:lang w:eastAsia="zh-CN"/>
        </w:rPr>
        <w:t>以上</w:t>
      </w:r>
      <w:r>
        <w:rPr>
          <w:rFonts w:hint="eastAsia" w:cs="Courier New"/>
          <w:sz w:val="24"/>
          <w:szCs w:val="24"/>
          <w:lang w:eastAsia="zh-CN"/>
        </w:rPr>
        <w:t>三家公司分别为三个独立项目，要求为三家公司安排一名项目经理全面负责，并且分为三个小组，所有工作分开、同步进行，需</w:t>
      </w:r>
      <w:r>
        <w:rPr>
          <w:rFonts w:hint="eastAsia"/>
          <w:sz w:val="24"/>
          <w:szCs w:val="24"/>
          <w:lang w:eastAsia="zh-CN"/>
        </w:rPr>
        <w:t>分别出具两化融合管理体系贯标有关文件、资料及报告，并分别提供电子版。。</w:t>
      </w:r>
    </w:p>
    <w:p>
      <w:pPr>
        <w:spacing w:line="360" w:lineRule="auto"/>
        <w:ind w:firstLine="480" w:firstLineChars="200"/>
        <w:rPr>
          <w:sz w:val="24"/>
          <w:szCs w:val="24"/>
          <w:lang w:eastAsia="zh-CN"/>
        </w:rPr>
      </w:pPr>
      <w:r>
        <w:rPr>
          <w:rFonts w:hint="eastAsia"/>
          <w:sz w:val="24"/>
          <w:szCs w:val="24"/>
          <w:lang w:eastAsia="zh-CN"/>
        </w:rPr>
        <w:t xml:space="preserve">2、技术咨询工作成果的验收标准：按国家相关规程、规范和技术规定要求，辅导甲方通过工信部审核及取得两化融合管理体系认证证书（包含2024年初次证书、2025年、2026年监督复核评审证书）。 </w:t>
      </w:r>
    </w:p>
    <w:p>
      <w:pPr>
        <w:pStyle w:val="8"/>
        <w:spacing w:line="360" w:lineRule="auto"/>
        <w:ind w:firstLine="480" w:firstLineChars="200"/>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甲方现场指定地点。</w:t>
      </w:r>
      <w:r>
        <w:rPr>
          <w:rFonts w:hAnsi="宋体"/>
          <w:sz w:val="24"/>
          <w:szCs w:val="24"/>
          <w:u w:val="single"/>
          <w:lang w:eastAsia="zh-CN"/>
        </w:rPr>
        <w:t xml:space="preserve"> </w:t>
      </w:r>
    </w:p>
    <w:p>
      <w:pPr>
        <w:spacing w:line="360" w:lineRule="auto"/>
        <w:ind w:firstLine="480" w:firstLineChars="200"/>
        <w:rPr>
          <w:sz w:val="24"/>
          <w:szCs w:val="24"/>
          <w:lang w:eastAsia="zh-CN"/>
          <w:rPrChange w:id="3" w:author="mqhuang" w:date="2023-03-06T15:28:39Z">
            <w:rPr>
              <w:sz w:val="24"/>
              <w:lang w:eastAsia="zh-CN"/>
            </w:rPr>
          </w:rPrChange>
        </w:rPr>
      </w:pPr>
      <w:r>
        <w:rPr>
          <w:rFonts w:hint="eastAsia"/>
          <w:sz w:val="24"/>
          <w:szCs w:val="24"/>
          <w:lang w:eastAsia="zh-CN"/>
        </w:rPr>
        <w:t>4、双方确认，甲方的确认仅作为付款依据，不代表甲方对乙方工作成果的最终认可。在相关资料报告运用过程中，如有证据表明乙方存在弄虚作假等违反合同约定的情形，甲方仍有权要求乙方承担由此造成的损失和法律后果。</w:t>
      </w:r>
    </w:p>
    <w:p>
      <w:pPr>
        <w:spacing w:line="360" w:lineRule="auto"/>
        <w:ind w:firstLine="480" w:firstLineChars="200"/>
        <w:rPr>
          <w:sz w:val="24"/>
          <w:szCs w:val="24"/>
          <w:lang w:eastAsia="zh-CN"/>
        </w:rPr>
      </w:pPr>
      <w:r>
        <w:rPr>
          <w:rFonts w:hint="eastAsia"/>
          <w:sz w:val="24"/>
          <w:szCs w:val="24"/>
          <w:lang w:eastAsia="zh-CN"/>
        </w:rPr>
        <w:t>第八条 双方确定，甲方指定</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林月辉 15959492256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w:t>
      </w:r>
      <w:r>
        <w:rPr>
          <w:rFonts w:hint="eastAsia"/>
          <w:sz w:val="24"/>
          <w:szCs w:val="24"/>
          <w:u w:val="single"/>
          <w:lang w:eastAsia="zh-CN"/>
        </w:rPr>
        <w:t xml:space="preserve">              </w:t>
      </w:r>
      <w:r>
        <w:rPr>
          <w:rFonts w:hint="eastAsia"/>
          <w:sz w:val="24"/>
          <w:szCs w:val="24"/>
          <w:lang w:eastAsia="zh-CN"/>
        </w:rPr>
        <w:t>。项目联系人承担以下责任：</w:t>
      </w:r>
    </w:p>
    <w:p>
      <w:pPr>
        <w:pStyle w:val="8"/>
        <w:spacing w:line="360" w:lineRule="auto"/>
        <w:ind w:firstLine="480" w:firstLineChars="200"/>
        <w:rPr>
          <w:rFonts w:hAnsi="宋体"/>
          <w:sz w:val="24"/>
          <w:szCs w:val="24"/>
          <w:u w:val="single"/>
          <w:lang w:eastAsia="zh-CN"/>
        </w:rPr>
      </w:pPr>
      <w:r>
        <w:rPr>
          <w:rFonts w:hint="eastAsia" w:hAnsi="宋体"/>
          <w:sz w:val="24"/>
          <w:szCs w:val="24"/>
          <w:u w:val="single"/>
          <w:lang w:eastAsia="zh-CN"/>
        </w:rPr>
        <w:t xml:space="preserve"> 负责该项目实施期间甲乙双方具体工作联系及协调等事宜。 </w:t>
      </w:r>
    </w:p>
    <w:p>
      <w:pPr>
        <w:pStyle w:val="8"/>
        <w:spacing w:line="360" w:lineRule="auto"/>
        <w:ind w:firstLine="480" w:firstLineChars="200"/>
        <w:rPr>
          <w:rFonts w:hAnsi="宋体"/>
          <w:sz w:val="24"/>
          <w:szCs w:val="24"/>
          <w:lang w:eastAsia="zh-CN"/>
        </w:rPr>
      </w:pPr>
      <w:r>
        <w:rPr>
          <w:rFonts w:hint="eastAsia" w:hAnsi="宋体"/>
          <w:sz w:val="24"/>
          <w:szCs w:val="24"/>
          <w:lang w:eastAsia="zh-CN"/>
        </w:rPr>
        <w:t>一方变更项目联系人的，应当及时以书面形式通知另一方。未及时通知并影响本合同履行或造成损失的，应承担相应的责任。</w:t>
      </w:r>
    </w:p>
    <w:p>
      <w:pPr>
        <w:pStyle w:val="8"/>
        <w:spacing w:line="360" w:lineRule="auto"/>
        <w:ind w:firstLine="480" w:firstLineChars="200"/>
        <w:rPr>
          <w:rFonts w:hAnsi="宋体"/>
          <w:sz w:val="24"/>
          <w:szCs w:val="24"/>
          <w:lang w:eastAsia="zh-CN"/>
        </w:rPr>
      </w:pPr>
    </w:p>
    <w:p>
      <w:pPr>
        <w:pStyle w:val="8"/>
        <w:spacing w:line="360" w:lineRule="auto"/>
        <w:ind w:firstLine="480" w:firstLineChars="200"/>
        <w:rPr>
          <w:rFonts w:hAnsi="宋体"/>
          <w:sz w:val="24"/>
          <w:szCs w:val="24"/>
          <w:lang w:eastAsia="zh-CN"/>
        </w:rPr>
      </w:pPr>
      <w:r>
        <w:rPr>
          <w:rFonts w:hint="eastAsia" w:hAnsi="宋体"/>
          <w:sz w:val="24"/>
          <w:szCs w:val="24"/>
          <w:lang w:eastAsia="zh-CN"/>
        </w:rPr>
        <w:t>第九条  违约责任</w:t>
      </w:r>
    </w:p>
    <w:p>
      <w:pPr>
        <w:spacing w:line="360" w:lineRule="auto"/>
        <w:ind w:firstLine="480" w:firstLineChars="200"/>
        <w:rPr>
          <w:rStyle w:val="16"/>
          <w:color w:val="000000"/>
          <w:sz w:val="24"/>
          <w:szCs w:val="24"/>
          <w:lang w:eastAsia="zh-CN"/>
        </w:rPr>
      </w:pPr>
      <w:r>
        <w:rPr>
          <w:rStyle w:val="16"/>
          <w:rFonts w:hint="eastAsia"/>
          <w:color w:val="000000"/>
          <w:sz w:val="24"/>
          <w:szCs w:val="24"/>
          <w:lang w:eastAsia="zh-CN"/>
        </w:rPr>
        <w:t>1．乙方应按照政府部门的要求及时提交相应报告，逾期提交服务咨询报告的，每日应向甲方支付</w:t>
      </w:r>
      <w:r>
        <w:rPr>
          <w:rFonts w:hint="eastAsia"/>
          <w:sz w:val="24"/>
          <w:szCs w:val="24"/>
          <w:u w:val="single"/>
          <w:lang w:eastAsia="zh-CN"/>
        </w:rPr>
        <w:t xml:space="preserve">该年度三家公司合同总价0.3%的违约金 </w:t>
      </w:r>
      <w:r>
        <w:rPr>
          <w:rStyle w:val="16"/>
          <w:rFonts w:hint="eastAsia"/>
          <w:color w:val="000000"/>
          <w:sz w:val="24"/>
          <w:szCs w:val="24"/>
          <w:lang w:eastAsia="zh-CN"/>
        </w:rPr>
        <w:t>元，逾期超过</w:t>
      </w:r>
      <w:r>
        <w:rPr>
          <w:rFonts w:hint="eastAsia"/>
          <w:sz w:val="24"/>
          <w:szCs w:val="24"/>
          <w:u w:val="single"/>
          <w:lang w:eastAsia="zh-CN"/>
        </w:rPr>
        <w:t xml:space="preserve"> 20 </w:t>
      </w:r>
      <w:r>
        <w:rPr>
          <w:rStyle w:val="16"/>
          <w:rFonts w:hint="eastAsia"/>
          <w:color w:val="000000"/>
          <w:sz w:val="24"/>
          <w:szCs w:val="24"/>
          <w:lang w:eastAsia="zh-CN"/>
        </w:rPr>
        <w:t>日的，甲方还有权解除本合同，并要求乙方按照</w:t>
      </w:r>
      <w:r>
        <w:rPr>
          <w:rFonts w:hint="eastAsia"/>
          <w:sz w:val="24"/>
          <w:szCs w:val="24"/>
          <w:u w:val="single"/>
          <w:lang w:eastAsia="zh-CN"/>
        </w:rPr>
        <w:t>本合同全部总价款的</w:t>
      </w:r>
      <w:r>
        <w:rPr>
          <w:rStyle w:val="16"/>
          <w:rFonts w:hint="eastAsia"/>
          <w:color w:val="000000"/>
          <w:sz w:val="24"/>
          <w:szCs w:val="24"/>
          <w:lang w:eastAsia="zh-CN"/>
        </w:rPr>
        <w:t>20%支付违约金。违约金不足以弥补甲方损失的，甲方有权追偿。</w:t>
      </w:r>
    </w:p>
    <w:p>
      <w:pPr>
        <w:pStyle w:val="8"/>
        <w:spacing w:line="360" w:lineRule="auto"/>
        <w:ind w:firstLine="480" w:firstLineChars="200"/>
        <w:rPr>
          <w:rStyle w:val="16"/>
          <w:rFonts w:hint="eastAsia"/>
          <w:color w:val="000000"/>
          <w:sz w:val="24"/>
          <w:szCs w:val="24"/>
          <w:lang w:eastAsia="zh-CN"/>
        </w:rPr>
      </w:pPr>
      <w:r>
        <w:rPr>
          <w:rStyle w:val="16"/>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8"/>
        <w:spacing w:line="360" w:lineRule="auto"/>
        <w:ind w:firstLine="480" w:firstLineChars="200"/>
        <w:rPr>
          <w:rStyle w:val="16"/>
          <w:color w:val="000000"/>
          <w:sz w:val="24"/>
          <w:szCs w:val="24"/>
          <w:lang w:eastAsia="zh-CN"/>
        </w:rPr>
      </w:pPr>
      <w:r>
        <w:rPr>
          <w:rStyle w:val="16"/>
          <w:rFonts w:hint="eastAsia"/>
          <w:color w:val="000000"/>
          <w:sz w:val="24"/>
          <w:szCs w:val="24"/>
          <w:lang w:eastAsia="zh-CN"/>
        </w:rPr>
        <w:t>3.如非因甲方原因，甲方的两化融合管理体系评审无法通过，无法取得相应证书，甲方有权解除本合同，并要求乙方返还该年度全部已收取的款项，并按照本合同全部总价款的30%支付违约金，违约金不足以弥补甲方损失的，甲方有权追偿。</w:t>
      </w:r>
    </w:p>
    <w:p>
      <w:pPr>
        <w:pStyle w:val="8"/>
        <w:spacing w:line="360" w:lineRule="auto"/>
        <w:ind w:firstLine="480" w:firstLineChars="200"/>
        <w:rPr>
          <w:rFonts w:hAnsi="宋体"/>
          <w:sz w:val="24"/>
          <w:szCs w:val="24"/>
          <w:lang w:eastAsia="zh-CN"/>
        </w:rPr>
      </w:pPr>
      <w:r>
        <w:rPr>
          <w:rStyle w:val="16"/>
          <w:rFonts w:hint="eastAsia"/>
          <w:color w:val="000000"/>
          <w:sz w:val="24"/>
          <w:szCs w:val="24"/>
          <w:lang w:eastAsia="zh-CN"/>
        </w:rPr>
        <w:t>4．任何一方违反保密义务的，应向对方支付违约金人民币</w:t>
      </w:r>
      <w:r>
        <w:rPr>
          <w:rFonts w:hint="eastAsia" w:hAnsi="宋体"/>
          <w:sz w:val="24"/>
          <w:szCs w:val="24"/>
          <w:u w:val="single"/>
          <w:lang w:eastAsia="zh-CN"/>
        </w:rPr>
        <w:t xml:space="preserve">  10万 </w:t>
      </w:r>
      <w:r>
        <w:rPr>
          <w:rFonts w:hAnsi="宋体"/>
          <w:sz w:val="24"/>
          <w:szCs w:val="24"/>
          <w:u w:val="single"/>
          <w:lang w:eastAsia="zh-CN"/>
        </w:rPr>
        <w:t xml:space="preserve"> </w:t>
      </w:r>
      <w:r>
        <w:rPr>
          <w:rStyle w:val="16"/>
          <w:rFonts w:hint="eastAsia"/>
          <w:color w:val="000000"/>
          <w:sz w:val="24"/>
          <w:szCs w:val="24"/>
          <w:lang w:eastAsia="zh-CN"/>
        </w:rPr>
        <w:t>元；赔偿由此给对方造成的损失。</w:t>
      </w:r>
    </w:p>
    <w:p>
      <w:pPr>
        <w:pStyle w:val="8"/>
        <w:spacing w:line="360" w:lineRule="auto"/>
        <w:ind w:firstLine="480" w:firstLineChars="200"/>
        <w:rPr>
          <w:rFonts w:hAnsi="宋体"/>
          <w:sz w:val="24"/>
          <w:szCs w:val="24"/>
          <w:lang w:eastAsia="zh-CN"/>
        </w:rPr>
      </w:pPr>
      <w:r>
        <w:rPr>
          <w:rFonts w:hint="eastAsia" w:hAnsi="宋体"/>
          <w:sz w:val="24"/>
          <w:szCs w:val="24"/>
          <w:lang w:eastAsia="zh-CN"/>
        </w:rPr>
        <w:t>第十条 双方因履行本合同而发生的争议，可协商、调解解决，也可直接采取下列第</w:t>
      </w:r>
      <w:r>
        <w:rPr>
          <w:rFonts w:hint="eastAsia" w:hAnsi="宋体"/>
          <w:sz w:val="24"/>
          <w:szCs w:val="24"/>
          <w:u w:val="single"/>
          <w:lang w:eastAsia="zh-CN"/>
        </w:rPr>
        <w:t xml:space="preserve"> 2  </w:t>
      </w:r>
      <w:r>
        <w:rPr>
          <w:rFonts w:hint="eastAsia" w:hAnsi="宋体"/>
          <w:sz w:val="24"/>
          <w:szCs w:val="24"/>
          <w:lang w:eastAsia="zh-CN"/>
        </w:rPr>
        <w:t>种方式解决：</w:t>
      </w:r>
    </w:p>
    <w:p>
      <w:pPr>
        <w:pStyle w:val="8"/>
        <w:spacing w:line="360" w:lineRule="auto"/>
        <w:ind w:firstLine="480" w:firstLineChars="200"/>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8"/>
        <w:spacing w:line="360" w:lineRule="auto"/>
        <w:ind w:firstLine="480" w:firstLineChars="200"/>
        <w:rPr>
          <w:rFonts w:hAnsi="宋体"/>
          <w:sz w:val="24"/>
          <w:szCs w:val="24"/>
          <w:lang w:eastAsia="zh-CN"/>
        </w:rPr>
      </w:pPr>
      <w:r>
        <w:rPr>
          <w:rFonts w:hint="eastAsia" w:hAnsi="宋体"/>
          <w:sz w:val="24"/>
          <w:szCs w:val="24"/>
          <w:lang w:eastAsia="zh-CN"/>
        </w:rPr>
        <w:t>2．向甲方所在地人民法院提起诉讼。</w:t>
      </w:r>
    </w:p>
    <w:p>
      <w:pPr>
        <w:pStyle w:val="8"/>
        <w:spacing w:line="360" w:lineRule="auto"/>
        <w:ind w:firstLine="480" w:firstLineChars="200"/>
        <w:rPr>
          <w:rFonts w:hAnsi="宋体"/>
          <w:sz w:val="24"/>
          <w:szCs w:val="24"/>
          <w:lang w:eastAsia="zh-CN"/>
        </w:rPr>
      </w:pPr>
      <w:r>
        <w:rPr>
          <w:rFonts w:hint="eastAsia" w:hAnsi="宋体"/>
          <w:sz w:val="24"/>
          <w:szCs w:val="24"/>
          <w:lang w:eastAsia="zh-CN"/>
        </w:rPr>
        <w:t>第十一条 其他</w:t>
      </w:r>
    </w:p>
    <w:p>
      <w:pPr>
        <w:pStyle w:val="8"/>
        <w:spacing w:line="360" w:lineRule="auto"/>
        <w:ind w:firstLine="480" w:firstLineChars="200"/>
        <w:rPr>
          <w:rStyle w:val="16"/>
          <w:color w:val="000000"/>
          <w:sz w:val="24"/>
          <w:szCs w:val="24"/>
          <w:lang w:eastAsia="zh-CN"/>
        </w:rPr>
      </w:pPr>
      <w:r>
        <w:rPr>
          <w:rStyle w:val="16"/>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8"/>
        <w:spacing w:line="360" w:lineRule="auto"/>
        <w:ind w:firstLine="480" w:firstLineChars="200"/>
        <w:rPr>
          <w:rFonts w:hAnsi="宋体"/>
          <w:sz w:val="24"/>
          <w:szCs w:val="24"/>
          <w:lang w:eastAsia="zh-CN"/>
        </w:rPr>
      </w:pPr>
      <w:r>
        <w:rPr>
          <w:rFonts w:hint="eastAsia" w:hAnsi="宋体"/>
          <w:sz w:val="24"/>
          <w:szCs w:val="24"/>
          <w:lang w:eastAsia="zh-CN"/>
        </w:rPr>
        <w:t>2．乙方提交的测试咨询报告及其所包含的测试结果的所有权归甲方所有。乙方不得自用或将测试咨询报告提供给第三方使用，如有违反按照泄密处理。</w:t>
      </w:r>
    </w:p>
    <w:p>
      <w:pPr>
        <w:pStyle w:val="8"/>
        <w:spacing w:line="360" w:lineRule="auto"/>
        <w:ind w:firstLine="480" w:firstLineChars="200"/>
        <w:rPr>
          <w:rFonts w:hAnsi="宋体"/>
          <w:sz w:val="24"/>
          <w:szCs w:val="24"/>
          <w:lang w:eastAsia="zh-CN"/>
        </w:rPr>
      </w:pPr>
      <w:r>
        <w:rPr>
          <w:rFonts w:hint="eastAsia" w:hAnsi="宋体"/>
          <w:sz w:val="24"/>
          <w:szCs w:val="24"/>
          <w:lang w:eastAsia="zh-CN"/>
        </w:rPr>
        <w:t>第十二条 本合同经双方签订后生效。本合同一式</w:t>
      </w:r>
      <w:r>
        <w:rPr>
          <w:rFonts w:hint="eastAsia" w:hAnsi="宋体"/>
          <w:sz w:val="24"/>
          <w:szCs w:val="24"/>
          <w:u w:val="single"/>
          <w:lang w:eastAsia="zh-CN"/>
        </w:rPr>
        <w:t xml:space="preserve"> 陆 </w:t>
      </w:r>
      <w:r>
        <w:rPr>
          <w:rFonts w:hint="eastAsia" w:hAnsi="宋体"/>
          <w:sz w:val="24"/>
          <w:szCs w:val="24"/>
          <w:lang w:eastAsia="zh-CN"/>
        </w:rPr>
        <w:t>份，甲方执</w:t>
      </w:r>
      <w:r>
        <w:rPr>
          <w:rFonts w:hint="eastAsia" w:hAnsi="宋体"/>
          <w:sz w:val="24"/>
          <w:szCs w:val="24"/>
          <w:u w:val="single"/>
          <w:lang w:eastAsia="zh-CN"/>
        </w:rPr>
        <w:t xml:space="preserve"> 肆</w:t>
      </w:r>
      <w:r>
        <w:rPr>
          <w:rFonts w:hAnsi="宋体"/>
          <w:sz w:val="24"/>
          <w:szCs w:val="24"/>
          <w:u w:val="single"/>
          <w:lang w:eastAsia="zh-CN"/>
        </w:rPr>
        <w:t xml:space="preserve"> </w:t>
      </w:r>
      <w:r>
        <w:rPr>
          <w:rFonts w:hint="eastAsia" w:hAnsi="宋体"/>
          <w:sz w:val="24"/>
          <w:szCs w:val="24"/>
          <w:lang w:eastAsia="zh-CN"/>
        </w:rPr>
        <w:t>份，乙方执</w:t>
      </w:r>
      <w:r>
        <w:rPr>
          <w:rFonts w:hint="eastAsia" w:hAnsi="宋体"/>
          <w:sz w:val="24"/>
          <w:szCs w:val="24"/>
          <w:u w:val="single"/>
          <w:lang w:eastAsia="zh-CN"/>
        </w:rPr>
        <w:t xml:space="preserve"> 贰 </w:t>
      </w:r>
      <w:r>
        <w:rPr>
          <w:rFonts w:hint="eastAsia" w:hAnsi="宋体"/>
          <w:sz w:val="24"/>
          <w:szCs w:val="24"/>
          <w:lang w:eastAsia="zh-CN"/>
        </w:rPr>
        <w:t>份，具有同等法律效力。</w:t>
      </w:r>
    </w:p>
    <w:p>
      <w:pPr>
        <w:pStyle w:val="8"/>
        <w:spacing w:line="360" w:lineRule="auto"/>
        <w:ind w:firstLine="440" w:firstLineChars="200"/>
        <w:rPr>
          <w:rFonts w:hAnsi="宋体"/>
          <w:lang w:eastAsia="zh-CN"/>
        </w:rPr>
      </w:pPr>
    </w:p>
    <w:p>
      <w:pPr>
        <w:spacing w:line="360" w:lineRule="auto"/>
        <w:rPr>
          <w:lang w:eastAsia="zh-CN"/>
        </w:rPr>
      </w:pPr>
      <w:r>
        <w:rPr>
          <w:rFonts w:hint="eastAsia"/>
          <w:lang w:eastAsia="zh-CN"/>
        </w:rPr>
        <w:t>甲方:</w:t>
      </w:r>
      <w:r>
        <w:rPr>
          <w:rFonts w:hint="eastAsia"/>
          <w:b/>
          <w:bCs/>
          <w:lang w:eastAsia="zh-CN"/>
        </w:rPr>
        <w:t xml:space="preserve"> </w:t>
      </w:r>
      <w:r>
        <w:rPr>
          <w:rFonts w:hint="eastAsia"/>
          <w:sz w:val="24"/>
          <w:szCs w:val="24"/>
          <w:lang w:eastAsia="zh-CN"/>
        </w:rPr>
        <w:t xml:space="preserve">福建福海创石油化工有限公司 </w:t>
      </w:r>
      <w:r>
        <w:rPr>
          <w:sz w:val="24"/>
          <w:szCs w:val="24"/>
          <w:lang w:eastAsia="zh-CN"/>
        </w:rPr>
        <w:t xml:space="preserve">      </w:t>
      </w:r>
      <w:r>
        <w:rPr>
          <w:rFonts w:hint="eastAsia"/>
          <w:lang w:eastAsia="zh-CN"/>
        </w:rPr>
        <w:t>乙方：</w:t>
      </w:r>
    </w:p>
    <w:p>
      <w:pPr>
        <w:spacing w:line="360" w:lineRule="auto"/>
        <w:rPr>
          <w:sz w:val="24"/>
          <w:szCs w:val="24"/>
          <w:lang w:eastAsia="zh-CN"/>
        </w:rPr>
      </w:pPr>
    </w:p>
    <w:p>
      <w:pPr>
        <w:spacing w:line="360" w:lineRule="auto"/>
        <w:ind w:firstLine="720" w:firstLineChars="300"/>
        <w:rPr>
          <w:lang w:eastAsia="zh-CN"/>
        </w:rPr>
      </w:pPr>
      <w:r>
        <w:rPr>
          <w:rFonts w:hint="eastAsia"/>
          <w:sz w:val="24"/>
          <w:szCs w:val="24"/>
          <w:lang w:eastAsia="zh-CN"/>
        </w:rPr>
        <w:t>腾龙芳烃（漳州）有限公司</w:t>
      </w:r>
    </w:p>
    <w:p>
      <w:pPr>
        <w:spacing w:line="360" w:lineRule="auto"/>
        <w:rPr>
          <w:sz w:val="24"/>
          <w:szCs w:val="24"/>
          <w:lang w:eastAsia="zh-CN"/>
        </w:rPr>
      </w:pPr>
    </w:p>
    <w:p>
      <w:pPr>
        <w:spacing w:line="360" w:lineRule="auto"/>
        <w:ind w:firstLine="720" w:firstLineChars="300"/>
        <w:rPr>
          <w:b/>
          <w:lang w:eastAsia="zh-CN"/>
        </w:rPr>
      </w:pPr>
      <w:r>
        <w:rPr>
          <w:rFonts w:hint="eastAsia"/>
          <w:sz w:val="24"/>
          <w:szCs w:val="24"/>
          <w:lang w:eastAsia="zh-CN"/>
        </w:rPr>
        <w:t>翔鹭石化（漳州）有限公司</w:t>
      </w:r>
    </w:p>
    <w:p>
      <w:pPr>
        <w:pStyle w:val="8"/>
        <w:spacing w:line="360" w:lineRule="auto"/>
        <w:rPr>
          <w:rFonts w:hAnsi="宋体"/>
          <w:lang w:eastAsia="zh-CN"/>
        </w:rPr>
      </w:pPr>
      <w:r>
        <w:rPr>
          <w:rFonts w:hint="eastAsia" w:hAnsi="宋体"/>
          <w:b/>
          <w:lang w:eastAsia="zh-CN"/>
        </w:rPr>
        <w:t xml:space="preserve">                     </w:t>
      </w:r>
    </w:p>
    <w:p>
      <w:pPr>
        <w:spacing w:line="360" w:lineRule="auto"/>
        <w:jc w:val="both"/>
        <w:rPr>
          <w:rFonts w:ascii="黑体" w:hAnsi="黑体" w:eastAsia="黑体"/>
          <w:b/>
          <w:sz w:val="32"/>
          <w:szCs w:val="32"/>
          <w:lang w:eastAsia="zh-CN"/>
        </w:rPr>
      </w:pPr>
      <w:r>
        <w:rPr>
          <w:rFonts w:ascii="Times New Roman"/>
          <w:sz w:val="28"/>
          <w:szCs w:val="28"/>
          <w:lang w:eastAsia="zh-CN"/>
        </w:rPr>
        <w:br w:type="page"/>
      </w:r>
      <w:r>
        <w:rPr>
          <w:rFonts w:hint="eastAsia" w:ascii="黑体" w:hAnsi="黑体" w:eastAsia="黑体"/>
          <w:b/>
          <w:sz w:val="32"/>
          <w:szCs w:val="32"/>
          <w:lang w:eastAsia="zh-CN"/>
        </w:rPr>
        <w:t xml:space="preserve">附件1 </w:t>
      </w:r>
    </w:p>
    <w:p>
      <w:pPr>
        <w:jc w:val="center"/>
        <w:rPr>
          <w:b/>
          <w:sz w:val="32"/>
          <w:szCs w:val="32"/>
          <w:lang w:eastAsia="zh-CN"/>
        </w:rPr>
      </w:pPr>
      <w:r>
        <w:rPr>
          <w:rFonts w:hint="eastAsia"/>
          <w:b/>
          <w:sz w:val="32"/>
          <w:szCs w:val="32"/>
          <w:lang w:eastAsia="zh-CN"/>
        </w:rPr>
        <w:t>两化融合管理体系认证的辅导咨询及评定项目相关说明</w:t>
      </w:r>
    </w:p>
    <w:p>
      <w:pPr>
        <w:pStyle w:val="17"/>
        <w:numPr>
          <w:ilvl w:val="0"/>
          <w:numId w:val="3"/>
        </w:numPr>
        <w:spacing w:before="0" w:line="360" w:lineRule="auto"/>
        <w:rPr>
          <w:b/>
          <w:sz w:val="24"/>
          <w:szCs w:val="24"/>
        </w:rPr>
      </w:pPr>
      <w:r>
        <w:rPr>
          <w:b/>
          <w:sz w:val="24"/>
          <w:szCs w:val="24"/>
        </w:rPr>
        <w:t>服务对象</w:t>
      </w:r>
    </w:p>
    <w:p>
      <w:pPr>
        <w:spacing w:line="360" w:lineRule="auto"/>
        <w:rPr>
          <w:sz w:val="24"/>
          <w:szCs w:val="24"/>
          <w:lang w:eastAsia="zh-CN"/>
        </w:rPr>
      </w:pPr>
      <w:r>
        <w:rPr>
          <w:rFonts w:hint="eastAsia"/>
          <w:sz w:val="24"/>
          <w:szCs w:val="24"/>
          <w:lang w:eastAsia="zh-CN"/>
        </w:rPr>
        <w:t>福建福海创石油化工有限公司、腾龙芳烃（漳州）有限公司、翔鹭石化（漳州）有限公司</w:t>
      </w:r>
    </w:p>
    <w:p>
      <w:pPr>
        <w:spacing w:line="360" w:lineRule="auto"/>
        <w:rPr>
          <w:sz w:val="24"/>
          <w:szCs w:val="24"/>
          <w:lang w:eastAsia="zh-CN"/>
        </w:rPr>
      </w:pPr>
      <w:r>
        <w:rPr>
          <w:sz w:val="24"/>
          <w:szCs w:val="24"/>
          <w:lang w:eastAsia="zh-CN"/>
        </w:rPr>
        <w:t>备注</w:t>
      </w:r>
      <w:r>
        <w:rPr>
          <w:rFonts w:hint="eastAsia"/>
          <w:sz w:val="24"/>
          <w:szCs w:val="24"/>
          <w:lang w:eastAsia="zh-CN"/>
        </w:rPr>
        <w:t>：所有工作分开、同步进行，需分别出具初次认证及两年监督复核评审</w:t>
      </w:r>
      <w:r>
        <w:rPr>
          <w:sz w:val="24"/>
          <w:szCs w:val="24"/>
          <w:lang w:eastAsia="zh-CN"/>
        </w:rPr>
        <w:t>两化融合管理体系贯标有关文件</w:t>
      </w:r>
      <w:r>
        <w:rPr>
          <w:rFonts w:hint="eastAsia"/>
          <w:sz w:val="24"/>
          <w:szCs w:val="24"/>
          <w:lang w:eastAsia="zh-CN"/>
        </w:rPr>
        <w:t>、</w:t>
      </w:r>
      <w:r>
        <w:rPr>
          <w:sz w:val="24"/>
          <w:szCs w:val="24"/>
          <w:lang w:eastAsia="zh-CN"/>
        </w:rPr>
        <w:t>资料及报告</w:t>
      </w:r>
      <w:r>
        <w:rPr>
          <w:rFonts w:hint="eastAsia"/>
          <w:sz w:val="24"/>
          <w:szCs w:val="24"/>
          <w:lang w:eastAsia="zh-CN"/>
        </w:rPr>
        <w:t>，并分别提供电子版。</w:t>
      </w:r>
    </w:p>
    <w:p>
      <w:pPr>
        <w:spacing w:line="360" w:lineRule="auto"/>
        <w:rPr>
          <w:b/>
          <w:sz w:val="24"/>
          <w:szCs w:val="24"/>
          <w:lang w:eastAsia="zh-CN"/>
        </w:rPr>
      </w:pPr>
      <w:r>
        <w:rPr>
          <w:rFonts w:hint="eastAsia"/>
          <w:b/>
          <w:sz w:val="24"/>
          <w:szCs w:val="24"/>
          <w:lang w:eastAsia="zh-CN"/>
        </w:rPr>
        <w:t>二、</w:t>
      </w:r>
      <w:r>
        <w:rPr>
          <w:b/>
          <w:sz w:val="24"/>
          <w:szCs w:val="24"/>
          <w:lang w:eastAsia="zh-CN"/>
        </w:rPr>
        <w:t>服务内容</w:t>
      </w:r>
      <w:r>
        <w:rPr>
          <w:rFonts w:hint="eastAsia"/>
          <w:b/>
          <w:sz w:val="24"/>
          <w:szCs w:val="24"/>
          <w:lang w:eastAsia="zh-CN"/>
        </w:rPr>
        <w:t>及要求：</w:t>
      </w:r>
    </w:p>
    <w:p>
      <w:pPr>
        <w:spacing w:line="360" w:lineRule="auto"/>
        <w:rPr>
          <w:sz w:val="24"/>
          <w:szCs w:val="24"/>
          <w:lang w:eastAsia="zh-CN"/>
        </w:rPr>
      </w:pPr>
      <w:r>
        <w:rPr>
          <w:sz w:val="24"/>
          <w:szCs w:val="24"/>
          <w:lang w:eastAsia="zh-CN"/>
        </w:rPr>
        <w:t>1. 服务内容：指导</w:t>
      </w:r>
      <w:r>
        <w:rPr>
          <w:rFonts w:hint="eastAsia"/>
          <w:sz w:val="24"/>
          <w:szCs w:val="24"/>
          <w:lang w:eastAsia="zh-CN"/>
        </w:rPr>
        <w:t>、</w:t>
      </w:r>
      <w:r>
        <w:rPr>
          <w:sz w:val="24"/>
          <w:szCs w:val="24"/>
          <w:lang w:eastAsia="zh-CN"/>
        </w:rPr>
        <w:t>帮助</w:t>
      </w:r>
      <w:r>
        <w:rPr>
          <w:rFonts w:hint="eastAsia"/>
          <w:sz w:val="24"/>
          <w:szCs w:val="24"/>
          <w:lang w:eastAsia="zh-CN"/>
        </w:rPr>
        <w:t>委</w:t>
      </w:r>
      <w:r>
        <w:rPr>
          <w:sz w:val="24"/>
          <w:szCs w:val="24"/>
          <w:lang w:eastAsia="zh-CN"/>
        </w:rPr>
        <w:t>托方初次建立</w:t>
      </w:r>
      <w:r>
        <w:rPr>
          <w:rFonts w:hint="eastAsia"/>
          <w:sz w:val="24"/>
          <w:szCs w:val="24"/>
          <w:lang w:eastAsia="zh-CN"/>
        </w:rPr>
        <w:t>、</w:t>
      </w:r>
      <w:r>
        <w:rPr>
          <w:sz w:val="24"/>
          <w:szCs w:val="24"/>
          <w:lang w:eastAsia="zh-CN"/>
        </w:rPr>
        <w:t>实施及两年监督复核评审两化融合管理体系认证</w:t>
      </w:r>
      <w:r>
        <w:rPr>
          <w:rFonts w:hint="eastAsia"/>
          <w:sz w:val="24"/>
          <w:szCs w:val="24"/>
          <w:lang w:eastAsia="zh-CN"/>
        </w:rPr>
        <w:t>，</w:t>
      </w:r>
      <w:r>
        <w:rPr>
          <w:sz w:val="24"/>
          <w:szCs w:val="24"/>
          <w:lang w:eastAsia="zh-CN"/>
        </w:rPr>
        <w:t>要求乙方完成工信部要求的所有两化融合管理体系贯标的所有文件、资料及报告，并提供电子版；</w:t>
      </w:r>
    </w:p>
    <w:p>
      <w:pPr>
        <w:spacing w:line="360" w:lineRule="auto"/>
        <w:rPr>
          <w:sz w:val="24"/>
          <w:szCs w:val="24"/>
          <w:lang w:eastAsia="zh-CN"/>
        </w:rPr>
      </w:pPr>
      <w:r>
        <w:rPr>
          <w:sz w:val="24"/>
          <w:szCs w:val="24"/>
          <w:lang w:eastAsia="zh-CN"/>
        </w:rPr>
        <w:t>2.</w:t>
      </w:r>
      <w:r>
        <w:rPr>
          <w:rFonts w:hint="eastAsia"/>
          <w:sz w:val="24"/>
          <w:szCs w:val="24"/>
          <w:lang w:eastAsia="zh-CN"/>
        </w:rPr>
        <w:t xml:space="preserve"> 验收标准：辅导甲方</w:t>
      </w:r>
      <w:r>
        <w:rPr>
          <w:sz w:val="24"/>
          <w:szCs w:val="24"/>
          <w:lang w:eastAsia="zh-CN"/>
        </w:rPr>
        <w:t>通过工信部审核及取得两化融合管理体系认证</w:t>
      </w:r>
      <w:r>
        <w:rPr>
          <w:rFonts w:hint="eastAsia"/>
          <w:sz w:val="24"/>
          <w:szCs w:val="24"/>
          <w:lang w:eastAsia="zh-CN"/>
        </w:rPr>
        <w:t>证</w:t>
      </w:r>
      <w:r>
        <w:rPr>
          <w:sz w:val="24"/>
          <w:szCs w:val="24"/>
          <w:lang w:eastAsia="zh-CN"/>
        </w:rPr>
        <w:t>书（包含</w:t>
      </w:r>
      <w:r>
        <w:rPr>
          <w:rFonts w:hint="eastAsia"/>
          <w:sz w:val="24"/>
          <w:szCs w:val="24"/>
          <w:lang w:eastAsia="zh-CN"/>
        </w:rPr>
        <w:t>2</w:t>
      </w:r>
      <w:r>
        <w:rPr>
          <w:sz w:val="24"/>
          <w:szCs w:val="24"/>
          <w:lang w:eastAsia="zh-CN"/>
        </w:rPr>
        <w:t>024年初次</w:t>
      </w:r>
      <w:r>
        <w:rPr>
          <w:rFonts w:hint="eastAsia"/>
          <w:sz w:val="24"/>
          <w:szCs w:val="24"/>
          <w:lang w:eastAsia="zh-CN"/>
        </w:rPr>
        <w:t>证</w:t>
      </w:r>
      <w:r>
        <w:rPr>
          <w:sz w:val="24"/>
          <w:szCs w:val="24"/>
          <w:lang w:eastAsia="zh-CN"/>
        </w:rPr>
        <w:t>书、</w:t>
      </w:r>
      <w:r>
        <w:rPr>
          <w:rFonts w:hint="eastAsia"/>
          <w:sz w:val="24"/>
          <w:szCs w:val="24"/>
          <w:lang w:eastAsia="zh-CN"/>
        </w:rPr>
        <w:t>2</w:t>
      </w:r>
      <w:r>
        <w:rPr>
          <w:sz w:val="24"/>
          <w:szCs w:val="24"/>
          <w:lang w:eastAsia="zh-CN"/>
        </w:rPr>
        <w:t>025年、</w:t>
      </w:r>
      <w:r>
        <w:rPr>
          <w:rFonts w:hint="eastAsia"/>
          <w:sz w:val="24"/>
          <w:szCs w:val="24"/>
          <w:lang w:eastAsia="zh-CN"/>
        </w:rPr>
        <w:t>2</w:t>
      </w:r>
      <w:r>
        <w:rPr>
          <w:sz w:val="24"/>
          <w:szCs w:val="24"/>
          <w:lang w:eastAsia="zh-CN"/>
        </w:rPr>
        <w:t>026年监督复核评审</w:t>
      </w:r>
      <w:r>
        <w:rPr>
          <w:rFonts w:hint="eastAsia"/>
          <w:sz w:val="24"/>
          <w:szCs w:val="24"/>
          <w:lang w:eastAsia="zh-CN"/>
        </w:rPr>
        <w:t>证</w:t>
      </w:r>
      <w:r>
        <w:rPr>
          <w:sz w:val="24"/>
          <w:szCs w:val="24"/>
          <w:lang w:eastAsia="zh-CN"/>
        </w:rPr>
        <w:t>书）。</w:t>
      </w:r>
      <w:r>
        <w:rPr>
          <w:rFonts w:hint="eastAsia"/>
          <w:sz w:val="24"/>
          <w:szCs w:val="24"/>
          <w:lang w:eastAsia="zh-CN"/>
        </w:rPr>
        <w:t xml:space="preserve"> </w:t>
      </w:r>
    </w:p>
    <w:p>
      <w:pPr>
        <w:spacing w:line="360" w:lineRule="auto"/>
        <w:rPr>
          <w:sz w:val="24"/>
          <w:szCs w:val="24"/>
          <w:lang w:eastAsia="zh-CN"/>
        </w:rPr>
      </w:pPr>
      <w:r>
        <w:rPr>
          <w:rFonts w:hint="eastAsia"/>
          <w:sz w:val="24"/>
          <w:szCs w:val="24"/>
          <w:lang w:eastAsia="zh-CN"/>
        </w:rPr>
        <w:t>3</w:t>
      </w:r>
      <w:r>
        <w:rPr>
          <w:sz w:val="24"/>
          <w:szCs w:val="24"/>
          <w:lang w:eastAsia="zh-CN"/>
        </w:rPr>
        <w:t xml:space="preserve">. </w:t>
      </w:r>
      <w:r>
        <w:rPr>
          <w:rFonts w:hint="eastAsia"/>
          <w:sz w:val="24"/>
          <w:szCs w:val="24"/>
          <w:lang w:eastAsia="zh-CN"/>
        </w:rPr>
        <w:t>工期、交货期或完工期：2</w:t>
      </w:r>
      <w:r>
        <w:rPr>
          <w:sz w:val="24"/>
          <w:szCs w:val="24"/>
          <w:lang w:eastAsia="zh-CN"/>
        </w:rPr>
        <w:t>023-202</w:t>
      </w:r>
      <w:r>
        <w:rPr>
          <w:rFonts w:hint="eastAsia"/>
          <w:sz w:val="24"/>
          <w:szCs w:val="24"/>
          <w:lang w:eastAsia="zh-CN"/>
        </w:rPr>
        <w:t>5</w:t>
      </w:r>
      <w:r>
        <w:rPr>
          <w:sz w:val="24"/>
          <w:szCs w:val="24"/>
          <w:lang w:eastAsia="zh-CN"/>
        </w:rPr>
        <w:t>年，共</w:t>
      </w:r>
      <w:r>
        <w:rPr>
          <w:rFonts w:hint="eastAsia"/>
          <w:sz w:val="24"/>
          <w:szCs w:val="24"/>
          <w:lang w:eastAsia="zh-CN"/>
        </w:rPr>
        <w:t>三</w:t>
      </w:r>
      <w:r>
        <w:rPr>
          <w:sz w:val="24"/>
          <w:szCs w:val="24"/>
          <w:lang w:eastAsia="zh-CN"/>
        </w:rPr>
        <w:t>年</w:t>
      </w:r>
    </w:p>
    <w:p>
      <w:pPr>
        <w:spacing w:line="360" w:lineRule="auto"/>
        <w:rPr>
          <w:sz w:val="24"/>
          <w:szCs w:val="24"/>
          <w:lang w:eastAsia="zh-CN"/>
        </w:rPr>
      </w:pPr>
      <w:r>
        <w:rPr>
          <w:b/>
          <w:sz w:val="24"/>
          <w:szCs w:val="24"/>
          <w:lang w:eastAsia="zh-CN"/>
        </w:rPr>
        <w:t>三、报价方式：</w:t>
      </w:r>
      <w:r>
        <w:rPr>
          <w:sz w:val="24"/>
          <w:szCs w:val="24"/>
          <w:lang w:eastAsia="zh-CN"/>
        </w:rPr>
        <w:t>包干总价 （含税价）</w:t>
      </w:r>
    </w:p>
    <w:p>
      <w:pPr>
        <w:spacing w:line="360" w:lineRule="auto"/>
        <w:rPr>
          <w:b/>
          <w:sz w:val="24"/>
          <w:szCs w:val="24"/>
        </w:rPr>
      </w:pPr>
      <w:r>
        <w:rPr>
          <w:rFonts w:hint="eastAsia"/>
          <w:b/>
          <w:sz w:val="24"/>
          <w:szCs w:val="24"/>
        </w:rPr>
        <w:t>四、付款方式：</w:t>
      </w:r>
    </w:p>
    <w:p>
      <w:pPr>
        <w:pStyle w:val="17"/>
        <w:numPr>
          <w:ilvl w:val="0"/>
          <w:numId w:val="4"/>
        </w:numPr>
        <w:spacing w:before="0" w:line="360" w:lineRule="auto"/>
        <w:rPr>
          <w:b/>
          <w:sz w:val="24"/>
          <w:szCs w:val="24"/>
          <w:lang w:eastAsia="zh-CN"/>
        </w:rPr>
      </w:pPr>
      <w:r>
        <w:rPr>
          <w:rFonts w:hint="eastAsia"/>
          <w:sz w:val="24"/>
          <w:szCs w:val="24"/>
          <w:lang w:eastAsia="zh-CN"/>
        </w:rPr>
        <w:t>第一次付款阶段：年度工作启动后</w:t>
      </w:r>
      <w:r>
        <w:rPr>
          <w:sz w:val="24"/>
          <w:szCs w:val="24"/>
          <w:lang w:eastAsia="zh-CN"/>
        </w:rPr>
        <w:t>30</w:t>
      </w:r>
      <w:r>
        <w:rPr>
          <w:rFonts w:hint="eastAsia"/>
          <w:sz w:val="24"/>
          <w:szCs w:val="24"/>
          <w:lang w:eastAsia="zh-CN"/>
        </w:rPr>
        <w:t>个日历日内付支付</w:t>
      </w:r>
      <w:r>
        <w:rPr>
          <w:sz w:val="24"/>
          <w:szCs w:val="24"/>
          <w:lang w:eastAsia="zh-CN"/>
        </w:rPr>
        <w:t>20%</w:t>
      </w:r>
    </w:p>
    <w:p>
      <w:pPr>
        <w:pStyle w:val="17"/>
        <w:numPr>
          <w:ilvl w:val="0"/>
          <w:numId w:val="4"/>
        </w:numPr>
        <w:spacing w:before="0" w:line="360" w:lineRule="auto"/>
        <w:rPr>
          <w:b/>
          <w:sz w:val="24"/>
          <w:szCs w:val="24"/>
          <w:lang w:eastAsia="zh-CN"/>
        </w:rPr>
      </w:pPr>
      <w:r>
        <w:rPr>
          <w:rFonts w:hint="eastAsia"/>
          <w:color w:val="000000"/>
          <w:sz w:val="24"/>
          <w:szCs w:val="24"/>
          <w:lang w:eastAsia="zh-CN"/>
        </w:rPr>
        <w:t>第二次支付4</w:t>
      </w:r>
      <w:r>
        <w:rPr>
          <w:color w:val="000000"/>
          <w:sz w:val="24"/>
          <w:szCs w:val="24"/>
          <w:lang w:eastAsia="zh-CN"/>
        </w:rPr>
        <w:t>0%</w:t>
      </w:r>
      <w:r>
        <w:rPr>
          <w:rFonts w:hint="eastAsia"/>
          <w:color w:val="000000"/>
          <w:sz w:val="24"/>
          <w:szCs w:val="24"/>
          <w:lang w:eastAsia="zh-CN"/>
        </w:rPr>
        <w:t>：乙方协助甲方提交贯标材料给工信部评定机构完成两化融合二审评定后，在完成二审评定的</w:t>
      </w:r>
      <w:r>
        <w:rPr>
          <w:sz w:val="24"/>
          <w:szCs w:val="24"/>
          <w:lang w:eastAsia="zh-CN"/>
        </w:rPr>
        <w:t>30</w:t>
      </w:r>
      <w:r>
        <w:rPr>
          <w:rFonts w:hint="eastAsia"/>
          <w:sz w:val="24"/>
          <w:szCs w:val="24"/>
          <w:lang w:eastAsia="zh-CN"/>
        </w:rPr>
        <w:t>个日历日内付</w:t>
      </w:r>
      <w:r>
        <w:rPr>
          <w:rFonts w:hint="eastAsia"/>
          <w:color w:val="000000"/>
          <w:sz w:val="24"/>
          <w:szCs w:val="24"/>
          <w:lang w:eastAsia="zh-CN"/>
        </w:rPr>
        <w:t>。</w:t>
      </w:r>
    </w:p>
    <w:p>
      <w:pPr>
        <w:pStyle w:val="17"/>
        <w:numPr>
          <w:ilvl w:val="0"/>
          <w:numId w:val="4"/>
        </w:numPr>
        <w:spacing w:before="0" w:line="360" w:lineRule="auto"/>
        <w:rPr>
          <w:b/>
          <w:sz w:val="24"/>
          <w:szCs w:val="24"/>
          <w:lang w:eastAsia="zh-CN"/>
        </w:rPr>
      </w:pPr>
      <w:r>
        <w:rPr>
          <w:rFonts w:hint="eastAsia"/>
          <w:sz w:val="24"/>
          <w:szCs w:val="24"/>
          <w:lang w:eastAsia="zh-CN"/>
        </w:rPr>
        <w:t>第三次支付</w:t>
      </w:r>
      <w:r>
        <w:rPr>
          <w:sz w:val="24"/>
          <w:szCs w:val="24"/>
          <w:lang w:eastAsia="zh-CN"/>
        </w:rPr>
        <w:t>40%</w:t>
      </w:r>
      <w:r>
        <w:rPr>
          <w:rFonts w:hint="eastAsia"/>
          <w:sz w:val="24"/>
          <w:szCs w:val="24"/>
          <w:lang w:eastAsia="zh-CN"/>
        </w:rPr>
        <w:t>：甲方通过两化融合认证并取得相关证书之日起</w:t>
      </w:r>
      <w:r>
        <w:rPr>
          <w:sz w:val="24"/>
          <w:szCs w:val="24"/>
          <w:lang w:eastAsia="zh-CN"/>
        </w:rPr>
        <w:t>30</w:t>
      </w:r>
      <w:r>
        <w:rPr>
          <w:rFonts w:hint="eastAsia"/>
          <w:sz w:val="24"/>
          <w:szCs w:val="24"/>
          <w:lang w:eastAsia="zh-CN"/>
        </w:rPr>
        <w:t xml:space="preserve">个日历日内支付尾款。                                </w:t>
      </w:r>
    </w:p>
    <w:p>
      <w:pPr>
        <w:spacing w:line="360" w:lineRule="auto"/>
        <w:rPr>
          <w:b/>
          <w:sz w:val="24"/>
          <w:szCs w:val="24"/>
          <w:lang w:eastAsia="zh-CN"/>
        </w:rPr>
      </w:pPr>
      <w:r>
        <w:rPr>
          <w:rFonts w:hint="eastAsia"/>
          <w:b/>
          <w:sz w:val="24"/>
          <w:szCs w:val="24"/>
          <w:lang w:eastAsia="zh-CN"/>
        </w:rPr>
        <w:t>五、参选人需具备的资格条件：</w:t>
      </w:r>
    </w:p>
    <w:p>
      <w:pPr>
        <w:spacing w:line="360" w:lineRule="auto"/>
        <w:rPr>
          <w:sz w:val="24"/>
          <w:szCs w:val="24"/>
          <w:lang w:eastAsia="zh-CN"/>
        </w:rPr>
      </w:pPr>
      <w:r>
        <w:rPr>
          <w:rFonts w:hint="eastAsia"/>
          <w:sz w:val="24"/>
          <w:szCs w:val="24"/>
          <w:lang w:eastAsia="zh-CN"/>
        </w:rPr>
        <w:t>1.中华人民共和国境内注册、具有独立法人资格、具有一般纳税人资格、且具有良好的财务状况和商业信誉（需提供营业执照复印件）。</w:t>
      </w:r>
    </w:p>
    <w:p>
      <w:pPr>
        <w:spacing w:line="360" w:lineRule="auto"/>
        <w:rPr>
          <w:sz w:val="24"/>
          <w:szCs w:val="24"/>
          <w:lang w:eastAsia="zh-CN"/>
        </w:rPr>
      </w:pPr>
      <w:r>
        <w:rPr>
          <w:rFonts w:hint="eastAsia"/>
          <w:sz w:val="24"/>
          <w:szCs w:val="24"/>
          <w:lang w:eastAsia="zh-CN"/>
        </w:rPr>
        <w:t>2. 参选单位具备辅导企业两化融合管理体系贯标的经验及能力。（需提供近两年至少</w:t>
      </w:r>
      <w:r>
        <w:rPr>
          <w:sz w:val="24"/>
          <w:szCs w:val="24"/>
          <w:lang w:eastAsia="zh-CN"/>
        </w:rPr>
        <w:t>2</w:t>
      </w:r>
      <w:r>
        <w:rPr>
          <w:rFonts w:hint="eastAsia"/>
          <w:sz w:val="24"/>
          <w:szCs w:val="24"/>
          <w:lang w:eastAsia="zh-CN"/>
        </w:rPr>
        <w:t>家及以上企业两化融合管理体系贯标获证成功案例证明）</w:t>
      </w:r>
    </w:p>
    <w:p>
      <w:pPr>
        <w:spacing w:line="360" w:lineRule="auto"/>
        <w:rPr>
          <w:b/>
          <w:sz w:val="24"/>
          <w:szCs w:val="24"/>
          <w:lang w:eastAsia="zh-CN"/>
        </w:rPr>
      </w:pPr>
      <w:r>
        <w:rPr>
          <w:rFonts w:hint="eastAsia"/>
          <w:b/>
          <w:sz w:val="24"/>
          <w:szCs w:val="24"/>
          <w:lang w:eastAsia="zh-CN"/>
        </w:rPr>
        <w:t>六、评分方法</w:t>
      </w:r>
    </w:p>
    <w:p>
      <w:pPr>
        <w:spacing w:line="360" w:lineRule="auto"/>
        <w:rPr>
          <w:ins w:id="4" w:author="mqhuang" w:date="2023-03-06T15:33:00Z"/>
          <w:rFonts w:hint="eastAsia"/>
          <w:sz w:val="24"/>
          <w:szCs w:val="24"/>
          <w:lang w:eastAsia="zh-CN"/>
        </w:rPr>
      </w:pPr>
      <w:r>
        <w:rPr>
          <w:rFonts w:hint="eastAsia"/>
          <w:sz w:val="24"/>
          <w:szCs w:val="24"/>
          <w:lang w:eastAsia="zh-CN"/>
        </w:rPr>
        <w:t>1．技术部分：满分</w:t>
      </w:r>
      <w:r>
        <w:rPr>
          <w:sz w:val="24"/>
          <w:szCs w:val="24"/>
          <w:lang w:eastAsia="zh-CN"/>
        </w:rPr>
        <w:t>2</w:t>
      </w:r>
      <w:r>
        <w:rPr>
          <w:rFonts w:hint="eastAsia"/>
          <w:sz w:val="24"/>
          <w:szCs w:val="24"/>
          <w:lang w:eastAsia="zh-CN"/>
        </w:rPr>
        <w:t>0分，</w:t>
      </w:r>
      <w:r>
        <w:rPr>
          <w:rFonts w:hint="eastAsia"/>
          <w:color w:val="000000"/>
          <w:sz w:val="24"/>
          <w:lang w:eastAsia="zh-CN"/>
        </w:rPr>
        <w:t>商务报价分</w:t>
      </w:r>
      <w:r>
        <w:rPr>
          <w:rFonts w:hint="eastAsia"/>
          <w:sz w:val="24"/>
          <w:szCs w:val="24"/>
          <w:lang w:eastAsia="zh-CN"/>
        </w:rPr>
        <w:t>满分</w:t>
      </w:r>
      <w:r>
        <w:rPr>
          <w:sz w:val="24"/>
          <w:szCs w:val="24"/>
          <w:lang w:eastAsia="zh-CN"/>
        </w:rPr>
        <w:t>8</w:t>
      </w:r>
      <w:r>
        <w:rPr>
          <w:rFonts w:hint="eastAsia"/>
          <w:sz w:val="24"/>
          <w:szCs w:val="24"/>
          <w:lang w:eastAsia="zh-CN"/>
        </w:rPr>
        <w:t>0分。</w:t>
      </w:r>
    </w:p>
    <w:p>
      <w:pPr>
        <w:pStyle w:val="2"/>
        <w:rPr>
          <w:ins w:id="5" w:author="mqhuang" w:date="2023-03-06T15:33:01Z"/>
          <w:rFonts w:hint="eastAsia"/>
          <w:sz w:val="24"/>
          <w:szCs w:val="24"/>
          <w:lang w:eastAsia="zh-CN"/>
        </w:rPr>
      </w:pPr>
    </w:p>
    <w:p>
      <w:pPr>
        <w:pStyle w:val="2"/>
        <w:rPr>
          <w:ins w:id="6" w:author="mqhuang" w:date="2023-03-06T15:33:01Z"/>
          <w:rFonts w:hint="eastAsia"/>
          <w:sz w:val="24"/>
          <w:szCs w:val="24"/>
          <w:lang w:eastAsia="zh-CN"/>
        </w:rPr>
      </w:pPr>
    </w:p>
    <w:p>
      <w:pPr>
        <w:pStyle w:val="2"/>
        <w:rPr>
          <w:rFonts w:hint="eastAsia"/>
          <w:sz w:val="24"/>
          <w:szCs w:val="24"/>
          <w:lang w:eastAsia="zh-CN"/>
        </w:rPr>
      </w:pPr>
    </w:p>
    <w:p>
      <w:pPr>
        <w:spacing w:line="500" w:lineRule="exact"/>
        <w:rPr>
          <w:color w:val="000000"/>
        </w:rPr>
      </w:pPr>
      <w:r>
        <w:rPr>
          <w:rFonts w:hint="eastAsia"/>
          <w:bCs/>
          <w:color w:val="000000"/>
          <w:sz w:val="24"/>
          <w:szCs w:val="24"/>
        </w:rPr>
        <w:t>2．技术评分表（</w:t>
      </w:r>
      <w:r>
        <w:rPr>
          <w:bCs/>
          <w:color w:val="000000"/>
          <w:sz w:val="24"/>
          <w:szCs w:val="24"/>
        </w:rPr>
        <w:t>2</w:t>
      </w:r>
      <w:r>
        <w:rPr>
          <w:rFonts w:hint="eastAsia"/>
          <w:bCs/>
          <w:color w:val="000000"/>
          <w:sz w:val="24"/>
          <w:szCs w:val="24"/>
        </w:rPr>
        <w:t>0分）</w:t>
      </w:r>
    </w:p>
    <w:tbl>
      <w:tblPr>
        <w:tblStyle w:val="15"/>
        <w:tblW w:w="9782" w:type="dxa"/>
        <w:jc w:val="center"/>
        <w:tblInd w:w="0" w:type="dxa"/>
        <w:tblLayout w:type="fixed"/>
        <w:tblCellMar>
          <w:top w:w="0" w:type="dxa"/>
          <w:left w:w="108" w:type="dxa"/>
          <w:bottom w:w="0" w:type="dxa"/>
          <w:right w:w="108" w:type="dxa"/>
        </w:tblCellMar>
      </w:tblPr>
      <w:tblGrid>
        <w:gridCol w:w="741"/>
        <w:gridCol w:w="1882"/>
        <w:gridCol w:w="709"/>
        <w:gridCol w:w="6450"/>
      </w:tblGrid>
      <w:tr>
        <w:tblPrEx>
          <w:tblLayout w:type="fixed"/>
          <w:tblCellMar>
            <w:top w:w="0" w:type="dxa"/>
            <w:left w:w="108" w:type="dxa"/>
            <w:bottom w:w="0" w:type="dxa"/>
            <w:right w:w="108" w:type="dxa"/>
          </w:tblCellMar>
        </w:tblPrEx>
        <w:trPr>
          <w:trHeight w:val="513" w:hRule="atLeast"/>
          <w:tblHeader/>
          <w:jc w:val="center"/>
        </w:trPr>
        <w:tc>
          <w:tcPr>
            <w:tcW w:w="741" w:type="dxa"/>
            <w:tcBorders>
              <w:top w:val="single" w:color="auto" w:sz="8" w:space="0"/>
              <w:left w:val="single" w:color="auto" w:sz="8" w:space="0"/>
              <w:bottom w:val="single" w:color="auto" w:sz="4" w:space="0"/>
              <w:right w:val="single" w:color="auto" w:sz="4" w:space="0"/>
            </w:tcBorders>
            <w:vAlign w:val="center"/>
          </w:tcPr>
          <w:p>
            <w:pPr>
              <w:spacing w:line="0" w:lineRule="atLeast"/>
              <w:rPr>
                <w:bCs/>
                <w:color w:val="000000"/>
                <w:sz w:val="24"/>
              </w:rPr>
            </w:pPr>
            <w:r>
              <w:rPr>
                <w:rFonts w:hint="eastAsia"/>
                <w:bCs/>
                <w:color w:val="000000"/>
                <w:sz w:val="24"/>
              </w:rPr>
              <w:t>序号</w:t>
            </w:r>
          </w:p>
        </w:tc>
        <w:tc>
          <w:tcPr>
            <w:tcW w:w="1882" w:type="dxa"/>
            <w:tcBorders>
              <w:top w:val="single" w:color="auto" w:sz="8" w:space="0"/>
              <w:left w:val="single" w:color="auto" w:sz="4" w:space="0"/>
              <w:bottom w:val="single" w:color="auto" w:sz="4" w:space="0"/>
              <w:right w:val="single" w:color="auto" w:sz="4" w:space="0"/>
            </w:tcBorders>
            <w:vAlign w:val="center"/>
          </w:tcPr>
          <w:p>
            <w:pPr>
              <w:spacing w:line="0" w:lineRule="atLeast"/>
              <w:rPr>
                <w:bCs/>
                <w:color w:val="000000"/>
                <w:sz w:val="24"/>
              </w:rPr>
            </w:pPr>
            <w:r>
              <w:rPr>
                <w:rFonts w:hint="eastAsia"/>
                <w:bCs/>
                <w:color w:val="000000"/>
                <w:sz w:val="24"/>
              </w:rPr>
              <w:t>评分内容、要素</w:t>
            </w:r>
          </w:p>
        </w:tc>
        <w:tc>
          <w:tcPr>
            <w:tcW w:w="709" w:type="dxa"/>
            <w:tcBorders>
              <w:top w:val="single" w:color="auto" w:sz="4" w:space="0"/>
              <w:left w:val="nil"/>
              <w:bottom w:val="single" w:color="auto" w:sz="4" w:space="0"/>
              <w:right w:val="single" w:color="auto" w:sz="4" w:space="0"/>
            </w:tcBorders>
            <w:vAlign w:val="center"/>
          </w:tcPr>
          <w:p>
            <w:pPr>
              <w:spacing w:line="0" w:lineRule="atLeast"/>
              <w:rPr>
                <w:bCs/>
                <w:color w:val="000000"/>
                <w:sz w:val="24"/>
              </w:rPr>
            </w:pPr>
            <w:r>
              <w:rPr>
                <w:rFonts w:hint="eastAsia"/>
                <w:bCs/>
                <w:color w:val="000000"/>
                <w:sz w:val="24"/>
              </w:rPr>
              <w:t>满分</w:t>
            </w:r>
          </w:p>
        </w:tc>
        <w:tc>
          <w:tcPr>
            <w:tcW w:w="6450" w:type="dxa"/>
            <w:tcBorders>
              <w:top w:val="single" w:color="auto" w:sz="4" w:space="0"/>
              <w:left w:val="nil"/>
              <w:bottom w:val="single" w:color="auto" w:sz="4" w:space="0"/>
              <w:right w:val="single" w:color="auto" w:sz="4" w:space="0"/>
            </w:tcBorders>
            <w:vAlign w:val="center"/>
          </w:tcPr>
          <w:p>
            <w:pPr>
              <w:spacing w:line="0" w:lineRule="atLeast"/>
              <w:ind w:firstLine="480"/>
              <w:jc w:val="center"/>
              <w:rPr>
                <w:bCs/>
                <w:color w:val="000000"/>
                <w:sz w:val="24"/>
              </w:rPr>
            </w:pPr>
            <w:r>
              <w:rPr>
                <w:rFonts w:hint="eastAsia"/>
                <w:bCs/>
                <w:color w:val="000000"/>
                <w:sz w:val="24"/>
              </w:rPr>
              <w:t>评分标准</w:t>
            </w:r>
          </w:p>
        </w:tc>
      </w:tr>
      <w:tr>
        <w:tblPrEx>
          <w:tblLayout w:type="fixed"/>
          <w:tblCellMar>
            <w:top w:w="0" w:type="dxa"/>
            <w:left w:w="108" w:type="dxa"/>
            <w:bottom w:w="0" w:type="dxa"/>
            <w:right w:w="108" w:type="dxa"/>
          </w:tblCellMar>
        </w:tblPrEx>
        <w:trPr>
          <w:trHeight w:val="595" w:hRule="atLeast"/>
          <w:jc w:val="center"/>
        </w:trPr>
        <w:tc>
          <w:tcPr>
            <w:tcW w:w="741" w:type="dxa"/>
            <w:tcBorders>
              <w:top w:val="nil"/>
              <w:left w:val="single" w:color="auto" w:sz="8" w:space="0"/>
              <w:bottom w:val="single" w:color="auto" w:sz="4" w:space="0"/>
              <w:right w:val="single" w:color="auto" w:sz="4" w:space="0"/>
            </w:tcBorders>
            <w:vAlign w:val="center"/>
          </w:tcPr>
          <w:p>
            <w:pPr>
              <w:spacing w:line="0" w:lineRule="atLeast"/>
              <w:jc w:val="center"/>
              <w:rPr>
                <w:bCs/>
                <w:color w:val="000000"/>
                <w:sz w:val="24"/>
              </w:rPr>
            </w:pPr>
            <w:r>
              <w:rPr>
                <w:rFonts w:hint="eastAsia"/>
                <w:bCs/>
                <w:color w:val="000000"/>
                <w:sz w:val="24"/>
              </w:rPr>
              <w:t>1</w:t>
            </w:r>
          </w:p>
        </w:tc>
        <w:tc>
          <w:tcPr>
            <w:tcW w:w="1882" w:type="dxa"/>
            <w:tcBorders>
              <w:top w:val="nil"/>
              <w:left w:val="nil"/>
              <w:bottom w:val="single" w:color="auto" w:sz="4" w:space="0"/>
              <w:right w:val="single" w:color="auto" w:sz="4" w:space="0"/>
            </w:tcBorders>
            <w:vAlign w:val="center"/>
          </w:tcPr>
          <w:p>
            <w:pPr>
              <w:spacing w:line="0" w:lineRule="atLeast"/>
              <w:rPr>
                <w:rFonts w:eastAsia="仿宋"/>
                <w:bCs/>
                <w:color w:val="000000"/>
                <w:sz w:val="24"/>
              </w:rPr>
            </w:pPr>
            <w:r>
              <w:rPr>
                <w:rFonts w:hint="eastAsia"/>
                <w:bCs/>
                <w:color w:val="000000"/>
                <w:sz w:val="24"/>
              </w:rPr>
              <w:t>综合实力</w:t>
            </w:r>
          </w:p>
        </w:tc>
        <w:tc>
          <w:tcPr>
            <w:tcW w:w="709" w:type="dxa"/>
            <w:tcBorders>
              <w:top w:val="nil"/>
              <w:left w:val="nil"/>
              <w:bottom w:val="single" w:color="auto" w:sz="4" w:space="0"/>
              <w:right w:val="single" w:color="auto" w:sz="4" w:space="0"/>
            </w:tcBorders>
            <w:vAlign w:val="center"/>
          </w:tcPr>
          <w:p>
            <w:pPr>
              <w:spacing w:line="0" w:lineRule="atLeast"/>
              <w:jc w:val="center"/>
              <w:rPr>
                <w:rFonts w:eastAsia="仿宋"/>
                <w:bCs/>
                <w:color w:val="000000"/>
                <w:sz w:val="24"/>
              </w:rPr>
            </w:pPr>
            <w:r>
              <w:rPr>
                <w:rFonts w:eastAsia="仿宋"/>
                <w:bCs/>
                <w:color w:val="000000"/>
                <w:sz w:val="24"/>
              </w:rPr>
              <w:t>15</w:t>
            </w:r>
          </w:p>
        </w:tc>
        <w:tc>
          <w:tcPr>
            <w:tcW w:w="6450" w:type="dxa"/>
            <w:tcBorders>
              <w:top w:val="nil"/>
              <w:left w:val="nil"/>
              <w:bottom w:val="single" w:color="auto" w:sz="4" w:space="0"/>
              <w:right w:val="single" w:color="auto" w:sz="4" w:space="0"/>
            </w:tcBorders>
            <w:vAlign w:val="center"/>
          </w:tcPr>
          <w:p>
            <w:pPr>
              <w:spacing w:line="0" w:lineRule="atLeast"/>
              <w:rPr>
                <w:rFonts w:eastAsia="仿宋"/>
                <w:color w:val="C00000"/>
                <w:sz w:val="24"/>
                <w:lang w:eastAsia="zh-CN"/>
              </w:rPr>
            </w:pPr>
            <w:r>
              <w:rPr>
                <w:rFonts w:hint="eastAsia"/>
                <w:sz w:val="24"/>
                <w:lang w:eastAsia="zh-CN"/>
              </w:rPr>
              <w:t>根据参选人提供的咨询服务</w:t>
            </w:r>
            <w:r>
              <w:rPr>
                <w:rFonts w:hint="eastAsia"/>
                <w:snapToGrid w:val="0"/>
                <w:sz w:val="24"/>
                <w:lang w:eastAsia="zh-CN"/>
              </w:rPr>
              <w:t>计划方案，</w:t>
            </w:r>
            <w:r>
              <w:rPr>
                <w:rFonts w:hint="eastAsia"/>
                <w:sz w:val="24"/>
                <w:lang w:eastAsia="zh-CN"/>
              </w:rPr>
              <w:t>由评委会进行评议并在0-15分之间进行评分，参选人未提供任何相关证明资料的本项的0分。</w:t>
            </w:r>
          </w:p>
        </w:tc>
      </w:tr>
      <w:tr>
        <w:tblPrEx>
          <w:tblLayout w:type="fixed"/>
          <w:tblCellMar>
            <w:top w:w="0" w:type="dxa"/>
            <w:left w:w="108" w:type="dxa"/>
            <w:bottom w:w="0" w:type="dxa"/>
            <w:right w:w="108" w:type="dxa"/>
          </w:tblCellMar>
        </w:tblPrEx>
        <w:trPr>
          <w:trHeight w:val="1196"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000000"/>
                <w:sz w:val="24"/>
              </w:rPr>
            </w:pPr>
            <w:r>
              <w:rPr>
                <w:rFonts w:hint="eastAsia"/>
                <w:color w:val="000000"/>
                <w:sz w:val="24"/>
              </w:rPr>
              <w:t>3</w:t>
            </w:r>
          </w:p>
        </w:tc>
        <w:tc>
          <w:tcPr>
            <w:tcW w:w="1882"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rFonts w:hint="eastAsia"/>
                <w:color w:val="000000"/>
                <w:sz w:val="24"/>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000000"/>
                <w:sz w:val="24"/>
              </w:rPr>
            </w:pPr>
            <w:r>
              <w:rPr>
                <w:rFonts w:eastAsia="仿宋"/>
                <w:color w:val="000000"/>
                <w:sz w:val="24"/>
              </w:rPr>
              <w:t>5</w:t>
            </w:r>
          </w:p>
        </w:tc>
        <w:tc>
          <w:tcPr>
            <w:tcW w:w="6450" w:type="dxa"/>
            <w:tcBorders>
              <w:top w:val="single" w:color="auto" w:sz="4" w:space="0"/>
              <w:left w:val="single" w:color="auto" w:sz="4" w:space="0"/>
              <w:bottom w:val="single" w:color="auto" w:sz="4" w:space="0"/>
              <w:right w:val="single" w:color="auto" w:sz="4" w:space="0"/>
            </w:tcBorders>
            <w:vAlign w:val="center"/>
          </w:tcPr>
          <w:p>
            <w:pPr>
              <w:spacing w:line="0" w:lineRule="atLeast"/>
              <w:rPr>
                <w:rFonts w:eastAsia="仿宋"/>
                <w:color w:val="C00000"/>
                <w:sz w:val="24"/>
                <w:lang w:eastAsia="zh-CN"/>
              </w:rPr>
            </w:pPr>
            <w:r>
              <w:rPr>
                <w:rFonts w:hint="eastAsia"/>
                <w:sz w:val="24"/>
                <w:lang w:eastAsia="zh-CN"/>
              </w:rPr>
              <w:t>根据参选人提供的相关类似业绩证明（如合同），近两年关于两化融合管理体系咨询服务，其他可以证明参选单位具有类似服务良好业绩，得到用户好评的相关资料，由评委会进行评议并在0-5分之间进行评分，参选人未提供任何相关证明资料的本项的0分。</w:t>
            </w:r>
          </w:p>
        </w:tc>
      </w:tr>
      <w:tr>
        <w:tblPrEx>
          <w:tblLayout w:type="fixed"/>
          <w:tblCellMar>
            <w:top w:w="0" w:type="dxa"/>
            <w:left w:w="108" w:type="dxa"/>
            <w:bottom w:w="0" w:type="dxa"/>
            <w:right w:w="108" w:type="dxa"/>
          </w:tblCellMar>
        </w:tblPrEx>
        <w:trPr>
          <w:trHeight w:val="340" w:hRule="atLeast"/>
          <w:jc w:val="center"/>
        </w:trPr>
        <w:tc>
          <w:tcPr>
            <w:tcW w:w="9782"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color w:val="000000"/>
                <w:sz w:val="24"/>
              </w:rPr>
            </w:pPr>
            <w:r>
              <w:rPr>
                <w:rFonts w:hint="eastAsia"/>
                <w:color w:val="000000"/>
                <w:sz w:val="24"/>
              </w:rPr>
              <w:t>合  计：2</w:t>
            </w:r>
            <w:r>
              <w:rPr>
                <w:color w:val="000000"/>
                <w:sz w:val="24"/>
              </w:rPr>
              <w:t>0分</w:t>
            </w:r>
          </w:p>
        </w:tc>
      </w:tr>
    </w:tbl>
    <w:p>
      <w:pPr>
        <w:spacing w:beforeLines="50" w:line="360" w:lineRule="auto"/>
        <w:rPr>
          <w:sz w:val="24"/>
          <w:lang w:eastAsia="zh-CN"/>
        </w:rPr>
      </w:pPr>
      <w:r>
        <w:rPr>
          <w:rFonts w:hint="eastAsia"/>
          <w:sz w:val="24"/>
          <w:lang w:eastAsia="zh-CN"/>
        </w:rPr>
        <w:t>3、</w:t>
      </w:r>
      <w:r>
        <w:rPr>
          <w:sz w:val="24"/>
          <w:lang w:eastAsia="zh-CN"/>
        </w:rPr>
        <w:t>商务报价分为80分，请按照以下公式计算得分，计算分数时均四舍五入取小数点后2位数。</w:t>
      </w:r>
      <w:r>
        <w:rPr>
          <w:sz w:val="24"/>
          <w:lang w:eastAsia="zh-CN"/>
        </w:rPr>
        <w:br w:type="textWrapping"/>
      </w:r>
      <w:r>
        <w:rPr>
          <w:sz w:val="24"/>
          <w:lang w:eastAsia="zh-CN"/>
        </w:rPr>
        <w:t> </w:t>
      </w:r>
      <w:r>
        <w:rPr>
          <w:rFonts w:hint="eastAsia"/>
          <w:sz w:val="24"/>
          <w:lang w:eastAsia="zh-CN"/>
        </w:rPr>
        <w:t>3.</w:t>
      </w:r>
      <w:r>
        <w:rPr>
          <w:sz w:val="24"/>
          <w:lang w:eastAsia="zh-CN"/>
        </w:rPr>
        <w:t>1评标委员会将按下列方法计算合格参选人的商务标得分：</w:t>
      </w:r>
      <w:r>
        <w:rPr>
          <w:sz w:val="24"/>
          <w:lang w:eastAsia="zh-CN"/>
        </w:rPr>
        <w:br w:type="textWrapping"/>
      </w:r>
      <w:r>
        <w:rPr>
          <w:sz w:val="24"/>
          <w:lang w:eastAsia="zh-CN"/>
        </w:rPr>
        <w:t>   PF=( F低/ Fn)×80</w:t>
      </w:r>
      <w:r>
        <w:rPr>
          <w:sz w:val="24"/>
          <w:lang w:eastAsia="zh-CN"/>
        </w:rPr>
        <w:br w:type="textWrapping"/>
      </w:r>
      <w:r>
        <w:rPr>
          <w:sz w:val="24"/>
          <w:lang w:eastAsia="zh-CN"/>
        </w:rPr>
        <w:t>   式中：</w:t>
      </w:r>
      <w:r>
        <w:rPr>
          <w:rFonts w:hint="eastAsia"/>
          <w:sz w:val="24"/>
          <w:lang w:eastAsia="zh-CN"/>
        </w:rPr>
        <w:t>①</w:t>
      </w:r>
      <w:r>
        <w:rPr>
          <w:sz w:val="24"/>
          <w:lang w:eastAsia="zh-CN"/>
        </w:rPr>
        <w:t>PF为投标价格得分。</w:t>
      </w:r>
      <w:r>
        <w:rPr>
          <w:sz w:val="24"/>
          <w:lang w:eastAsia="zh-CN"/>
        </w:rPr>
        <w:br w:type="textWrapping"/>
      </w:r>
      <w:r>
        <w:rPr>
          <w:sz w:val="24"/>
          <w:lang w:eastAsia="zh-CN"/>
        </w:rPr>
        <w:t> </w:t>
      </w:r>
      <w:r>
        <w:rPr>
          <w:rFonts w:hint="eastAsia"/>
          <w:sz w:val="24"/>
          <w:lang w:eastAsia="zh-CN"/>
        </w:rPr>
        <w:t>3.</w:t>
      </w:r>
      <w:r>
        <w:rPr>
          <w:sz w:val="24"/>
          <w:lang w:eastAsia="zh-CN"/>
        </w:rPr>
        <w:t>2</w:t>
      </w:r>
      <w:r>
        <w:rPr>
          <w:rFonts w:hint="eastAsia"/>
          <w:sz w:val="24"/>
          <w:lang w:eastAsia="zh-CN"/>
        </w:rPr>
        <w:t xml:space="preserve"> </w:t>
      </w:r>
      <w:r>
        <w:rPr>
          <w:sz w:val="24"/>
          <w:lang w:eastAsia="zh-CN"/>
        </w:rPr>
        <w:t>F低为评标基准价=进入报价部分评分的各合格参选人中最低的报价评标价（未税价）。</w:t>
      </w:r>
      <w:r>
        <w:rPr>
          <w:sz w:val="24"/>
          <w:lang w:eastAsia="zh-CN"/>
        </w:rPr>
        <w:br w:type="textWrapping"/>
      </w:r>
      <w:r>
        <w:rPr>
          <w:sz w:val="24"/>
          <w:lang w:eastAsia="zh-CN"/>
        </w:rPr>
        <w:t> </w:t>
      </w:r>
      <w:r>
        <w:rPr>
          <w:rFonts w:hint="eastAsia"/>
          <w:sz w:val="24"/>
          <w:lang w:eastAsia="zh-CN"/>
        </w:rPr>
        <w:t xml:space="preserve">3.3 </w:t>
      </w:r>
      <w:r>
        <w:rPr>
          <w:sz w:val="24"/>
          <w:lang w:eastAsia="zh-CN"/>
        </w:rPr>
        <w:t>Fn为进入报价部分评分的各合格参选人的报价评标价（未税价）。</w:t>
      </w:r>
    </w:p>
    <w:p>
      <w:pPr>
        <w:snapToGrid w:val="0"/>
        <w:spacing w:line="360" w:lineRule="auto"/>
        <w:jc w:val="center"/>
        <w:rPr>
          <w:sz w:val="30"/>
          <w:szCs w:val="30"/>
          <w:lang w:eastAsia="zh-CN"/>
        </w:rPr>
      </w:pPr>
    </w:p>
    <w:p>
      <w:pPr>
        <w:spacing w:line="360" w:lineRule="auto"/>
        <w:jc w:val="center"/>
        <w:rPr>
          <w:b/>
          <w:sz w:val="32"/>
          <w:szCs w:val="32"/>
          <w:lang w:eastAsia="zh-CN"/>
        </w:rPr>
      </w:pPr>
    </w:p>
    <w:p>
      <w:pPr>
        <w:spacing w:afterLines="100" w:line="360" w:lineRule="auto"/>
        <w:jc w:val="center"/>
        <w:rPr>
          <w:szCs w:val="21"/>
          <w:lang w:eastAsia="zh-CN"/>
        </w:rPr>
      </w:pPr>
    </w:p>
    <w:p>
      <w:pPr>
        <w:tabs>
          <w:tab w:val="left" w:pos="5550"/>
        </w:tabs>
        <w:adjustRightInd w:val="0"/>
        <w:snapToGrid w:val="0"/>
        <w:spacing w:line="360" w:lineRule="auto"/>
        <w:contextualSpacing/>
        <w:rPr>
          <w:sz w:val="24"/>
          <w:szCs w:val="24"/>
          <w:lang w:eastAsia="zh-CN"/>
        </w:rPr>
      </w:pPr>
    </w:p>
    <w:p>
      <w:pPr>
        <w:widowControl/>
        <w:autoSpaceDE/>
        <w:autoSpaceDN/>
        <w:spacing w:line="360" w:lineRule="auto"/>
        <w:rPr>
          <w:rFonts w:hAnsi="Calibri" w:cs="Times New Roman"/>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8"/>
        <w:jc w:val="center"/>
        <w:rPr>
          <w:rFonts w:ascii="Times New Roman" w:hAnsi="Times New Roman"/>
          <w:b/>
          <w:sz w:val="52"/>
          <w:szCs w:val="52"/>
          <w:lang w:eastAsia="zh-CN"/>
        </w:rPr>
      </w:pPr>
    </w:p>
    <w:p>
      <w:pPr>
        <w:pStyle w:val="8"/>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8"/>
        <w:spacing w:line="615" w:lineRule="exact"/>
        <w:jc w:val="center"/>
        <w:rPr>
          <w:rFonts w:ascii="方正小标宋简体" w:hAnsi="方正小标宋简体" w:eastAsia="方正小标宋简体" w:cs="方正小标宋简体"/>
          <w:b/>
          <w:sz w:val="44"/>
          <w:szCs w:val="44"/>
          <w:lang w:eastAsia="zh-CN"/>
        </w:rPr>
      </w:pPr>
    </w:p>
    <w:p>
      <w:pPr>
        <w:pStyle w:val="8"/>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福海创、腾龙芳烃和翔鹭石化三家公司两化融合管理体系认证(A级能力不变)辅导咨询及评定服务发包</w:t>
      </w:r>
    </w:p>
    <w:p>
      <w:pPr>
        <w:pStyle w:val="2"/>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8"/>
        <w:rPr>
          <w:rFonts w:ascii="Times New Roman" w:hAnsi="Times New Roman"/>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6"/>
          <w:lang w:eastAsia="zh-CN"/>
        </w:rPr>
      </w:pPr>
    </w:p>
    <w:p>
      <w:pPr>
        <w:pStyle w:val="8"/>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8"/>
        <w:jc w:val="center"/>
        <w:rPr>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3</w:t>
      </w:r>
      <w:r>
        <w:rPr>
          <w:rFonts w:ascii="Times New Roman" w:hAnsi="Times New Roman"/>
          <w:b/>
          <w:bCs/>
          <w:w w:val="95"/>
          <w:sz w:val="32"/>
          <w:lang w:eastAsia="zh-CN"/>
        </w:rPr>
        <w:t>年</w:t>
      </w:r>
      <w:r>
        <w:rPr>
          <w:rFonts w:hint="eastAsia" w:ascii="Times New Roman" w:hAnsi="Times New Roman"/>
          <w:b/>
          <w:bCs/>
          <w:w w:val="95"/>
          <w:sz w:val="32"/>
          <w:lang w:eastAsia="zh-CN"/>
        </w:rPr>
        <w:t>02</w:t>
      </w:r>
      <w:r>
        <w:rPr>
          <w:rFonts w:ascii="Times New Roman" w:hAnsi="Times New Roman"/>
          <w:b/>
          <w:bCs/>
          <w:w w:val="95"/>
          <w:sz w:val="32"/>
          <w:lang w:eastAsia="zh-CN"/>
        </w:rPr>
        <w:t>月</w:t>
      </w:r>
    </w:p>
    <w:p>
      <w:pPr>
        <w:pStyle w:val="2"/>
      </w:pPr>
    </w:p>
    <w:p>
      <w:pPr>
        <w:spacing w:line="500" w:lineRule="exact"/>
        <w:rPr>
          <w:b/>
          <w:bCs/>
          <w:sz w:val="36"/>
          <w:szCs w:val="36"/>
          <w:lang w:eastAsia="zh-CN"/>
        </w:rPr>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1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1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1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1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1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1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lang w:eastAsia="zh-CN"/>
        </w:rPr>
        <w:pict>
          <v:shape id="_x0000_s1026" o:spid="_x0000_s1026" o:spt="202" type="#_x0000_t202" style="position:absolute;left:0pt;margin-left:5.25pt;margin-top:0.5pt;height:119.1pt;width:363.2pt;z-index:251658240;mso-width-relative:page;mso-height-relative:page;" coordsize="21600,21600" o:gfxdata="UEsDBAoAAAAAAIdO4kAAAAAAAAAAAAAAAAAEAAAAZHJzL1BLAwQUAAAACACHTuJA0MkJcdcAAAAI&#10;AQAADwAAAGRycy9kb3ducmV2LnhtbE2PwU7DMBBE70j8g7VIXBC1m0DahDg9IIHgBgW1Vzd2kwh7&#10;HWw3LX/P9gSn1WhGs2/q1clZNpkQB48S5jMBzGDr9YCdhM+Pp9slsJgUamU9Ggk/JsKqubyoVaX9&#10;Ed/NtE4doxKMlZLQpzRWnMe2N07FmR8Nkrf3walEMnRcB3Wkcmd5JkTBnRqQPvRqNI+9ab/WBydh&#10;efcybeNr/rZpi70t081iev4OUl5fzcUDsGRO6S8MZ3xCh4aYdv6AOjJLWtxT8nyBkb3IixLYTkKW&#10;lxnwpub/BzS/UEsDBBQAAAAIAIdO4kDsNnNmJAIAADoEAAAOAAAAZHJzL2Uyb0RvYy54bWytU82O&#10;0zAQviPxDpbvNE3UdnejpqulqyKk5UdaeADHcRIL22Nst0l5AHgDTly481x9DiZOt1QLXBA+WB7P&#10;+PPM980sr3utyE44L8EUNJ1MKRGGQyVNU9D37zbPLinxgZmKKTCioHvh6fXq6ZNlZ3ORQQuqEo4g&#10;iPF5ZwvahmDzJPG8FZr5CVhh0FmD0yyg6ZqkcqxDdK2SbDpdJB24yjrgwnu8vR2ddBXx61rw8Kau&#10;vQhEFRRzC3F3cS+HPVktWd44ZlvJj2mwf8hCM2nw0xPULQuMbJ38DUpL7sBDHSYcdAJ1LbmINWA1&#10;6fRRNfctsyLWguR4e6LJ/z9Y/nr31hFZFTSjxDCNEh2+fjl8+3H4/plkAz2d9TlG3VuMC/1z6FHm&#10;WKq3d8A/eGJg3TLTiBvnoGsFqzC9dHiZnD0dcfwAUnavoMJ/2DZABOprpwfukA2C6CjT/iSN6APh&#10;eDlbpNlihi6OvnSeZvOLKF7C8ofn1vnwQoAmw6GgDrWP8Gx358OQDssfQobfPChZbaRS0XBNuVaO&#10;7Bj2ySauWMGjMGVIV9CreTYfGfgrxDSuP0FoGbDhldQFvTwPUuZI2MDRyFboy/4oQAnVHqlzMDYw&#10;DhweWnCfKOmweQvqP26ZE5Solwbpv0pnA1chGrP5RYaGO/eU5x5mOEIVNFAyHtdhnJCtdbJp8adR&#10;cAM3KFktI5mDtmNWx7yxQSPHx2EaJuDcjlG/Rn7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DJ&#10;CXHXAAAACAEAAA8AAAAAAAAAAQAgAAAAIgAAAGRycy9kb3ducmV2LnhtbFBLAQIUABQAAAAIAIdO&#10;4kDsNnNmJAIAADoEAAAOAAAAAAAAAAEAIAAAACYBAABkcnMvZTJvRG9jLnhtbFBLBQYAAAAABgAG&#10;AFkBAAC8BQ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18"/>
        <w:spacing w:beforeLines="0" w:afterLines="0" w:line="240" w:lineRule="auto"/>
        <w:ind w:firstLine="530" w:firstLineChars="221"/>
        <w:rPr>
          <w:rFonts w:cs="Times New Roman"/>
          <w:bCs w:val="0"/>
          <w:color w:val="C00000"/>
          <w:sz w:val="24"/>
          <w:szCs w:val="24"/>
          <w:lang w:eastAsia="zh-CN"/>
        </w:rPr>
      </w:pPr>
    </w:p>
    <w:p>
      <w:pPr>
        <w:pStyle w:val="18"/>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18"/>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rPr>
            </w:pPr>
            <w:r>
              <w:rPr>
                <w:rFonts w:hint="eastAsia"/>
                <w:sz w:val="24"/>
              </w:rPr>
              <w:t>法定代表人授权书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lang w:eastAsia="zh-CN"/>
              </w:rPr>
            </w:pPr>
            <w:r>
              <w:rPr>
                <w:rFonts w:hint="eastAsia"/>
                <w:sz w:val="24"/>
                <w:lang w:eastAsia="zh-CN"/>
              </w:rPr>
              <w:t>法定代表人身份证复印件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lang w:eastAsia="zh-CN"/>
              </w:rPr>
            </w:pPr>
            <w:r>
              <w:rPr>
                <w:rFonts w:hint="eastAsia"/>
                <w:sz w:val="24"/>
                <w:lang w:eastAsia="zh-CN"/>
              </w:rPr>
              <w:t>授权代表身份证复印件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szCs w:val="28"/>
              </w:rPr>
              <w:t>企业概况</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7" w:type="dxa"/>
          </w:tcPr>
          <w:p>
            <w:pPr>
              <w:spacing w:line="500" w:lineRule="exact"/>
              <w:rPr>
                <w:sz w:val="24"/>
                <w:lang w:eastAsia="zh-CN"/>
              </w:rPr>
            </w:pPr>
            <w:r>
              <w:rPr>
                <w:rFonts w:hint="eastAsia"/>
                <w:sz w:val="24"/>
                <w:lang w:eastAsia="zh-CN"/>
              </w:rPr>
              <w:t>参选人资格要求相关资质</w:t>
            </w:r>
            <w:r>
              <w:rPr>
                <w:rFonts w:hint="eastAsia"/>
                <w:spacing w:val="-7"/>
                <w:lang w:eastAsia="zh-CN"/>
              </w:rPr>
              <w:t>（</w:t>
            </w:r>
            <w:r>
              <w:rPr>
                <w:rFonts w:hint="eastAsia"/>
                <w:b/>
                <w:spacing w:val="-7"/>
                <w:lang w:eastAsia="zh-CN"/>
              </w:rPr>
              <w:t>包括拟派遣工作人员的相关资质情况</w:t>
            </w:r>
            <w:r>
              <w:rPr>
                <w:b/>
                <w:spacing w:val="-7"/>
                <w:lang w:eastAsia="zh-CN"/>
              </w:rPr>
              <w:t>介绍及团队安排方案</w:t>
            </w:r>
            <w:r>
              <w:rPr>
                <w:rFonts w:hint="eastAsia"/>
                <w:spacing w:val="-7"/>
                <w:lang w:eastAsia="zh-CN"/>
              </w:rPr>
              <w:t>）</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7" w:type="dxa"/>
          </w:tcPr>
          <w:p>
            <w:pPr>
              <w:spacing w:line="500" w:lineRule="exact"/>
              <w:rPr>
                <w:sz w:val="24"/>
                <w:lang w:eastAsia="zh-CN"/>
              </w:rPr>
            </w:pPr>
            <w:r>
              <w:rPr>
                <w:rFonts w:hint="eastAsia"/>
                <w:sz w:val="24"/>
                <w:lang w:eastAsia="zh-CN"/>
              </w:rPr>
              <w:t>作业方案（参选人根据发包内容编制作业方案及相应工作进度）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9</w:t>
            </w:r>
          </w:p>
        </w:tc>
        <w:tc>
          <w:tcPr>
            <w:tcW w:w="6027" w:type="dxa"/>
          </w:tcPr>
          <w:p>
            <w:pPr>
              <w:spacing w:line="500" w:lineRule="exact"/>
              <w:rPr>
                <w:sz w:val="24"/>
                <w:lang w:eastAsia="zh-CN"/>
              </w:rPr>
            </w:pPr>
            <w:r>
              <w:rPr>
                <w:rFonts w:hint="eastAsia"/>
                <w:sz w:val="24"/>
                <w:lang w:eastAsia="zh-CN"/>
              </w:rPr>
              <w:t>参选报价单（该报价单需单独另外密封）</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10</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r>
        <w:rPr>
          <w:rFonts w:hint="eastAsia"/>
          <w:sz w:val="24"/>
          <w:lang w:eastAsia="zh-CN"/>
        </w:rPr>
        <w:t xml:space="preserve">        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spacing w:line="500" w:lineRule="exact"/>
        <w:jc w:val="both"/>
        <w:rPr>
          <w:b/>
          <w:bCs/>
          <w:sz w:val="36"/>
          <w:szCs w:val="36"/>
          <w:lang w:eastAsia="zh-CN"/>
        </w:rPr>
      </w:pPr>
    </w:p>
    <w:p>
      <w:pPr>
        <w:widowControl/>
        <w:autoSpaceDE/>
        <w:autoSpaceDN/>
        <w:rPr>
          <w:b/>
          <w:bCs/>
          <w:sz w:val="36"/>
          <w:szCs w:val="36"/>
          <w:lang w:eastAsia="zh-CN"/>
        </w:rPr>
      </w:pPr>
      <w:r>
        <w:rPr>
          <w:b/>
          <w:bCs/>
          <w:sz w:val="36"/>
          <w:szCs w:val="36"/>
          <w:lang w:eastAsia="zh-CN"/>
        </w:rPr>
        <w:br w:type="page"/>
      </w:r>
    </w:p>
    <w:p>
      <w:pPr>
        <w:spacing w:line="500" w:lineRule="exact"/>
        <w:jc w:val="center"/>
        <w:rPr>
          <w:b/>
          <w:bCs/>
          <w:sz w:val="36"/>
          <w:szCs w:val="36"/>
          <w:lang w:eastAsia="zh-CN"/>
        </w:rPr>
      </w:pPr>
      <w:r>
        <w:rPr>
          <w:rFonts w:hint="eastAsia"/>
          <w:b/>
          <w:bCs/>
          <w:sz w:val="36"/>
          <w:szCs w:val="36"/>
          <w:lang w:eastAsia="zh-CN"/>
        </w:rPr>
        <w:t>法定代表人授权书</w:t>
      </w:r>
    </w:p>
    <w:p>
      <w:pPr>
        <w:pStyle w:val="2"/>
        <w:spacing w:line="480" w:lineRule="auto"/>
        <w:jc w:val="center"/>
      </w:pPr>
    </w:p>
    <w:p>
      <w:pPr>
        <w:spacing w:before="38" w:line="480" w:lineRule="auto"/>
        <w:ind w:left="172"/>
        <w:rPr>
          <w:sz w:val="24"/>
          <w:lang w:eastAsia="zh-CN"/>
        </w:rPr>
      </w:pPr>
      <w:r>
        <w:rPr>
          <w:rFonts w:hint="eastAsia"/>
          <w:sz w:val="24"/>
          <w:lang w:eastAsia="zh-CN"/>
        </w:rPr>
        <w:t xml:space="preserve"> </w:t>
      </w:r>
      <w:r>
        <w:rPr>
          <w:sz w:val="24"/>
          <w:lang w:eastAsia="zh-CN"/>
        </w:rPr>
        <w:t xml:space="preserve">   </w:t>
      </w: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福海创、腾龙芳烃和翔鹭石化三家公司2023年-2025年度两化融合管理体系认证(A级能力不变)辅导咨询及评定</w:t>
      </w:r>
      <w:r>
        <w:rPr>
          <w:rFonts w:hint="eastAsia"/>
          <w:sz w:val="24"/>
          <w:lang w:eastAsia="zh-CN"/>
        </w:rPr>
        <w:t>项目公开自主比选，以本公司名义参与报价、合同执行并处理与之有关的其他事务，相关责任及后果由本公司承担。</w:t>
      </w:r>
    </w:p>
    <w:p>
      <w:pPr>
        <w:spacing w:line="48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3年  月   日</w:t>
      </w:r>
      <w:r>
        <w:rPr>
          <w:rFonts w:hint="eastAsia"/>
          <w:sz w:val="24"/>
          <w:lang w:eastAsia="zh-CN"/>
        </w:rPr>
        <w:t>生效，本授权书有效期至此次报价，以及合同履行完毕时止。</w:t>
      </w:r>
    </w:p>
    <w:p>
      <w:pPr>
        <w:spacing w:line="360" w:lineRule="auto"/>
        <w:ind w:firstLine="480" w:firstLineChars="200"/>
        <w:rPr>
          <w:sz w:val="24"/>
          <w:lang w:eastAsia="zh-CN"/>
        </w:rPr>
      </w:pPr>
      <w:r>
        <w:rPr>
          <w:rFonts w:hint="eastAsia"/>
          <w:sz w:val="24"/>
          <w:lang w:eastAsia="zh-CN"/>
        </w:rPr>
        <w:t>特此声明。</w:t>
      </w:r>
    </w:p>
    <w:p>
      <w:pPr>
        <w:pStyle w:val="2"/>
        <w:spacing w:line="360" w:lineRule="auto"/>
      </w:pPr>
    </w:p>
    <w:p>
      <w:pPr>
        <w:spacing w:line="360" w:lineRule="auto"/>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p>
    <w:p>
      <w:pPr>
        <w:spacing w:line="500" w:lineRule="exact"/>
        <w:jc w:val="center"/>
        <w:rPr>
          <w:b/>
          <w:bCs/>
          <w:color w:val="4E6127"/>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rPr>
          <w:b/>
          <w:bCs/>
          <w:color w:val="4E6127"/>
          <w:sz w:val="36"/>
          <w:szCs w:val="36"/>
        </w:rPr>
      </w:pPr>
    </w:p>
    <w:p>
      <w:pPr>
        <w:pStyle w:val="1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18"/>
        <w:spacing w:beforeLines="0" w:afterLines="0" w:line="240" w:lineRule="auto"/>
        <w:ind w:firstLine="0" w:firstLineChars="0"/>
        <w:jc w:val="center"/>
        <w:rPr>
          <w:rFonts w:ascii="Times New Roman" w:hAnsi="Times New Roman" w:cs="Times New Roman"/>
          <w:b/>
          <w:sz w:val="36"/>
          <w:szCs w:val="36"/>
          <w:lang w:eastAsia="zh-CN"/>
        </w:rPr>
      </w:pPr>
    </w:p>
    <w:p>
      <w:pPr>
        <w:pStyle w:val="18"/>
        <w:spacing w:beforeLines="0" w:afterLines="0" w:line="240" w:lineRule="auto"/>
        <w:ind w:firstLine="0" w:firstLineChars="0"/>
        <w:jc w:val="center"/>
        <w:rPr>
          <w:rFonts w:ascii="Times New Roman" w:hAnsi="Times New Roman" w:cs="Times New Roman"/>
          <w:b/>
          <w:sz w:val="36"/>
          <w:szCs w:val="36"/>
          <w:lang w:eastAsia="zh-CN"/>
        </w:rPr>
      </w:pPr>
    </w:p>
    <w:p>
      <w:pPr>
        <w:pStyle w:val="1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18"/>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参选人资格要求相关资质</w:t>
      </w:r>
    </w:p>
    <w:p>
      <w:pPr>
        <w:pStyle w:val="2"/>
        <w:jc w:val="center"/>
        <w:rPr>
          <w:rFonts w:ascii="Times New Roman" w:hAnsi="Times New Roman"/>
          <w:b/>
          <w:bCs/>
          <w:color w:val="FF0000"/>
          <w:kern w:val="2"/>
          <w:sz w:val="36"/>
          <w:szCs w:val="36"/>
        </w:rPr>
      </w:pPr>
      <w:r>
        <w:rPr>
          <w:rFonts w:hint="eastAsia" w:ascii="Times New Roman" w:hAnsi="Times New Roman"/>
          <w:b/>
          <w:bCs/>
          <w:color w:val="FF0000"/>
          <w:kern w:val="2"/>
          <w:sz w:val="24"/>
          <w:szCs w:val="24"/>
          <w:u w:val="single"/>
        </w:rPr>
        <w:t>（包括业绩等材料，如内容超过一页，可附页）</w:t>
      </w:r>
    </w:p>
    <w:p>
      <w:pPr>
        <w:pStyle w:val="2"/>
        <w:jc w:val="center"/>
        <w:rPr>
          <w:color w:val="4E6127"/>
        </w:rPr>
      </w:pPr>
    </w:p>
    <w:p>
      <w:pPr>
        <w:pStyle w:val="18"/>
        <w:spacing w:beforeLines="0" w:afterLines="0" w:line="240" w:lineRule="auto"/>
        <w:rPr>
          <w:rFonts w:cs="Times New Roman"/>
          <w:bCs w:val="0"/>
          <w:lang w:eastAsia="zh-CN"/>
        </w:rPr>
      </w:pPr>
    </w:p>
    <w:p>
      <w:pPr>
        <w:pStyle w:val="18"/>
        <w:spacing w:beforeLines="0" w:afterLines="0" w:line="240" w:lineRule="auto"/>
        <w:rPr>
          <w:rFonts w:cs="Times New Roman"/>
          <w:bCs w:val="0"/>
          <w:lang w:eastAsia="zh-CN"/>
        </w:rPr>
      </w:pPr>
    </w:p>
    <w:p>
      <w:pPr>
        <w:pStyle w:val="1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作业方案等其他</w:t>
      </w:r>
    </w:p>
    <w:p>
      <w:pPr>
        <w:pStyle w:val="18"/>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2"/>
        <w:jc w:val="center"/>
        <w:rPr>
          <w:color w:val="FF0000"/>
          <w:kern w:val="2"/>
        </w:rPr>
      </w:pPr>
    </w:p>
    <w:p>
      <w:pPr>
        <w:pStyle w:val="2"/>
        <w:jc w:val="center"/>
        <w:rPr>
          <w:color w:val="0000FF"/>
          <w:kern w:val="2"/>
        </w:rPr>
      </w:pPr>
    </w:p>
    <w:p>
      <w:pPr>
        <w:widowControl/>
        <w:autoSpaceDE/>
        <w:autoSpaceDN/>
        <w:rPr>
          <w:rFonts w:hAnsi="Calibri" w:cs="Times New Roman"/>
          <w:color w:val="0000FF"/>
          <w:kern w:val="2"/>
          <w:sz w:val="34"/>
          <w:lang w:eastAsia="zh-CN"/>
        </w:rPr>
      </w:pPr>
      <w:r>
        <w:rPr>
          <w:color w:val="0000FF"/>
          <w:kern w:val="2"/>
          <w:lang w:eastAsia="zh-CN"/>
        </w:rPr>
        <w:br w:type="page"/>
      </w:r>
    </w:p>
    <w:p>
      <w:pPr>
        <w:pStyle w:val="18"/>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ind w:firstLine="2891" w:firstLineChars="800"/>
        <w:rPr>
          <w:b/>
          <w:bCs/>
          <w:sz w:val="36"/>
          <w:lang w:eastAsia="zh-CN"/>
        </w:rPr>
      </w:pPr>
      <w:r>
        <w:rPr>
          <w:rFonts w:hint="eastAsia"/>
          <w:b/>
          <w:bCs/>
          <w:sz w:val="36"/>
          <w:lang w:eastAsia="zh-CN"/>
        </w:rPr>
        <w:t>参   选   优  惠  价</w:t>
      </w:r>
    </w:p>
    <w:p>
      <w:pPr>
        <w:rPr>
          <w:sz w:val="24"/>
          <w:u w:val="single"/>
          <w:lang w:eastAsia="zh-CN"/>
        </w:rPr>
      </w:pPr>
      <w:r>
        <w:rPr>
          <w:rFonts w:hint="eastAsia"/>
          <w:sz w:val="28"/>
          <w:lang w:eastAsia="zh-CN"/>
        </w:rPr>
        <w:t xml:space="preserve">比选单位： </w:t>
      </w:r>
      <w:r>
        <w:rPr>
          <w:rFonts w:hint="eastAsia"/>
          <w:sz w:val="24"/>
          <w:u w:val="single"/>
          <w:lang w:eastAsia="zh-CN"/>
        </w:rPr>
        <w:t xml:space="preserve">福建福海创石油化工有限公司 </w:t>
      </w:r>
      <w:r>
        <w:rPr>
          <w:sz w:val="24"/>
          <w:u w:val="single"/>
          <w:lang w:eastAsia="zh-CN"/>
        </w:rPr>
        <w:t xml:space="preserve">                         </w:t>
      </w:r>
    </w:p>
    <w:p>
      <w:pPr>
        <w:spacing w:before="38"/>
        <w:rPr>
          <w:sz w:val="24"/>
          <w:u w:val="single"/>
          <w:lang w:eastAsia="zh-CN"/>
        </w:rPr>
      </w:pPr>
      <w:r>
        <w:rPr>
          <w:rFonts w:hint="eastAsia"/>
          <w:sz w:val="28"/>
          <w:lang w:eastAsia="zh-CN"/>
        </w:rPr>
        <w:t>项目名称：</w:t>
      </w:r>
      <w:r>
        <w:rPr>
          <w:rFonts w:hint="eastAsia"/>
          <w:sz w:val="24"/>
          <w:u w:val="single"/>
          <w:lang w:eastAsia="zh-CN"/>
        </w:rPr>
        <w:t xml:space="preserve">两化融合管理体系认证(A级能力不变)辅导咨询及评定技术服务发包  </w:t>
      </w:r>
    </w:p>
    <w:p>
      <w:pPr>
        <w:ind w:left="330" w:leftChars="150"/>
        <w:rPr>
          <w:rFonts w:hAnsi="Calibri" w:cs="Times New Roman"/>
          <w:b/>
          <w:sz w:val="34"/>
          <w:u w:val="single"/>
          <w:lang w:eastAsia="zh-CN"/>
        </w:rPr>
      </w:pPr>
      <w:r>
        <w:rPr>
          <w:rFonts w:hint="eastAsia" w:hAnsi="Calibri" w:cs="Times New Roman"/>
          <w:b/>
          <w:sz w:val="34"/>
          <w:lang w:eastAsia="zh-CN"/>
        </w:rPr>
        <w:t>参选优惠价（三家公司含税包干</w:t>
      </w:r>
      <w:r>
        <w:rPr>
          <w:rFonts w:hAnsi="Calibri" w:cs="Times New Roman"/>
          <w:b/>
          <w:sz w:val="34"/>
          <w:lang w:eastAsia="zh-CN"/>
        </w:rPr>
        <w:t>总</w:t>
      </w:r>
      <w:r>
        <w:rPr>
          <w:rFonts w:hint="eastAsia" w:hAnsi="Calibri" w:cs="Times New Roman"/>
          <w:b/>
          <w:sz w:val="34"/>
          <w:lang w:eastAsia="zh-CN"/>
        </w:rPr>
        <w:t>价）：</w:t>
      </w:r>
      <w:r>
        <w:rPr>
          <w:rFonts w:hAnsi="Calibri" w:cs="Times New Roman"/>
          <w:b/>
          <w:sz w:val="34"/>
          <w:u w:val="single"/>
          <w:lang w:eastAsia="zh-CN"/>
        </w:rPr>
        <w:t xml:space="preserve">_RMB      元 </w:t>
      </w:r>
    </w:p>
    <w:p>
      <w:pPr>
        <w:spacing w:beforeLines="0" w:afterLines="0" w:line="360" w:lineRule="auto"/>
        <w:ind w:left="438" w:leftChars="199"/>
        <w:rPr>
          <w:sz w:val="28"/>
          <w:szCs w:val="28"/>
          <w:lang w:eastAsia="zh-CN"/>
        </w:rPr>
      </w:pPr>
      <w:r>
        <w:rPr>
          <w:sz w:val="28"/>
          <w:szCs w:val="28"/>
          <w:lang w:eastAsia="zh-CN"/>
        </w:rPr>
        <w:t>其中三家公司费用分摊如下：</w:t>
      </w:r>
    </w:p>
    <w:p>
      <w:pPr>
        <w:spacing w:beforeLines="0" w:afterLines="0" w:line="360" w:lineRule="auto"/>
        <w:ind w:left="438" w:leftChars="199"/>
        <w:rPr>
          <w:sz w:val="28"/>
          <w:szCs w:val="28"/>
          <w:lang w:eastAsia="zh-CN"/>
        </w:rPr>
      </w:pPr>
      <w:r>
        <w:rPr>
          <w:rFonts w:hint="eastAsia"/>
          <w:sz w:val="28"/>
          <w:szCs w:val="28"/>
          <w:lang w:eastAsia="zh-CN"/>
        </w:rPr>
        <w:t>福建福海创石油化工有限公司：</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元</w:t>
      </w:r>
    </w:p>
    <w:p>
      <w:pPr>
        <w:spacing w:beforeLines="0" w:afterLines="0" w:line="360" w:lineRule="auto"/>
        <w:ind w:left="438" w:leftChars="199"/>
        <w:rPr>
          <w:sz w:val="28"/>
          <w:szCs w:val="28"/>
          <w:lang w:eastAsia="zh-CN"/>
        </w:rPr>
      </w:pPr>
      <w:r>
        <w:rPr>
          <w:rFonts w:hint="eastAsia"/>
          <w:sz w:val="28"/>
          <w:szCs w:val="28"/>
          <w:lang w:eastAsia="zh-CN"/>
        </w:rPr>
        <w:t>腾龙芳烃（漳州）有限公司：</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元</w:t>
      </w:r>
    </w:p>
    <w:p>
      <w:pPr>
        <w:spacing w:beforeLines="0" w:afterLines="0" w:line="360" w:lineRule="auto"/>
        <w:ind w:left="438" w:leftChars="199"/>
        <w:rPr>
          <w:rFonts w:hAnsi="Calibri" w:cs="Times New Roman"/>
          <w:b/>
          <w:sz w:val="28"/>
          <w:szCs w:val="28"/>
          <w:u w:val="single"/>
          <w:lang w:eastAsia="zh-CN"/>
        </w:rPr>
      </w:pPr>
      <w:r>
        <w:rPr>
          <w:rFonts w:hint="eastAsia"/>
          <w:sz w:val="28"/>
          <w:szCs w:val="28"/>
          <w:lang w:eastAsia="zh-CN"/>
        </w:rPr>
        <w:t>翔鹭石化（漳州）有限公司：</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元</w:t>
      </w:r>
    </w:p>
    <w:p>
      <w:pPr>
        <w:ind w:firstLine="555"/>
        <w:rPr>
          <w:sz w:val="28"/>
          <w:u w:val="single"/>
          <w:lang w:eastAsia="zh-CN"/>
        </w:rPr>
      </w:pPr>
      <w:r>
        <w:rPr>
          <w:rFonts w:hint="eastAsia"/>
          <w:sz w:val="28"/>
          <w:lang w:eastAsia="zh-CN"/>
        </w:rPr>
        <w:t>以上报价所含发票类型及税率：</w:t>
      </w:r>
      <w:r>
        <w:rPr>
          <w:rFonts w:hint="eastAsia"/>
          <w:sz w:val="28"/>
          <w:u w:val="single"/>
          <w:lang w:eastAsia="zh-CN"/>
        </w:rPr>
        <w:t xml:space="preserve">                                 </w:t>
      </w:r>
    </w:p>
    <w:p>
      <w:pPr>
        <w:ind w:firstLine="442" w:firstLineChars="200"/>
        <w:rPr>
          <w:b/>
          <w:bCs/>
          <w:lang w:eastAsia="zh-CN"/>
        </w:rPr>
      </w:pPr>
      <w:r>
        <w:rPr>
          <w:rFonts w:hint="eastAsia"/>
          <w:b/>
          <w:bCs/>
          <w:lang w:eastAsia="zh-CN"/>
        </w:rPr>
        <w:t xml:space="preserve"> </w:t>
      </w:r>
      <w:r>
        <w:rPr>
          <w:rFonts w:hint="eastAsia" w:ascii="仿宋_GB2312" w:eastAsia="仿宋_GB2312"/>
          <w:b/>
          <w:bCs/>
          <w:sz w:val="28"/>
          <w:szCs w:val="28"/>
          <w:lang w:eastAsia="zh-CN"/>
        </w:rPr>
        <w:t>以上报价为含税包干</w:t>
      </w:r>
      <w:r>
        <w:rPr>
          <w:rFonts w:ascii="仿宋_GB2312" w:eastAsia="仿宋_GB2312"/>
          <w:b/>
          <w:bCs/>
          <w:sz w:val="28"/>
          <w:szCs w:val="28"/>
          <w:lang w:eastAsia="zh-CN"/>
        </w:rPr>
        <w:t>总价</w:t>
      </w:r>
      <w:r>
        <w:rPr>
          <w:rFonts w:hint="eastAsia" w:ascii="仿宋_GB2312" w:eastAsia="仿宋_GB2312"/>
          <w:b/>
          <w:bCs/>
          <w:sz w:val="28"/>
          <w:szCs w:val="28"/>
          <w:lang w:eastAsia="zh-CN"/>
        </w:rPr>
        <w:t>，包含但不仅限于工时费，税费，差旅费等，除非双方另有约定外，否则比选人不再另行支付任何费用。</w:t>
      </w: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pPr>
      <w:r>
        <w:rPr>
          <w:rFonts w:hint="eastAsia"/>
        </w:rPr>
        <w:t xml:space="preserve">   联系电话及邮箱：</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rFonts w:ascii="Times New Roman" w:hAnsi="Times New Roman"/>
          <w:b/>
          <w:bCs/>
          <w:sz w:val="36"/>
          <w:szCs w:val="36"/>
        </w:rPr>
      </w:pPr>
      <w:r>
        <w:rPr>
          <w:rFonts w:hint="eastAsia"/>
          <w:b/>
          <w:sz w:val="30"/>
          <w:szCs w:val="30"/>
        </w:rPr>
        <w:t>备注：本项报价单作为商务标需单独密封报价，待技术评选合格后方可进入商务标评标。（技术标部分无需体现该报价单！！！）</w:t>
      </w:r>
      <w:r>
        <w:br w:type="page"/>
      </w:r>
    </w:p>
    <w:p>
      <w:pPr>
        <w:pStyle w:val="1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18"/>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2023年-2025年度两化融合管理体系认证(A级能力不变)辅导咨询及评定</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18"/>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bookmarkEnd w:id="1"/>
    <w:p>
      <w:pPr>
        <w:pStyle w:val="2"/>
        <w:rPr>
          <w:rFonts w:hAnsi="宋体"/>
          <w:b/>
          <w:sz w:val="40"/>
          <w:szCs w:val="40"/>
        </w:rPr>
      </w:pPr>
    </w:p>
    <w:p/>
    <w:p>
      <w:pPr>
        <w:pStyle w:val="7"/>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0" w:author="刘靖艳" w:date="2023-03-06T11:39:00Z">
                  <w:r>
                    <w:rPr>
                      <w:sz w:val="18"/>
                      <w:lang w:eastAsia="zh-CN"/>
                    </w:rPr>
                    <w:t>27</w:t>
                  </w:r>
                </w:ins>
                <w:r>
                  <w:rPr>
                    <w:sz w:val="18"/>
                    <w:lang w:eastAsia="zh-CN"/>
                  </w:rPr>
                  <w:fldChar w:fldCharType="end"/>
                </w:r>
                <w:r>
                  <w:rPr>
                    <w:rFonts w:hint="eastAsia"/>
                    <w:sz w:val="1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1" w:author="刘靖艳" w:date="2023-03-06T11:39:00Z">
                  <w:r>
                    <w:rPr>
                      <w:sz w:val="18"/>
                      <w:lang w:eastAsia="zh-CN"/>
                    </w:rPr>
                    <w:t>27</w:t>
                  </w:r>
                </w:ins>
                <w:r>
                  <w:rPr>
                    <w:sz w:val="18"/>
                    <w:lang w:eastAsia="zh-CN"/>
                  </w:rPr>
                  <w:fldChar w:fldCharType="end"/>
                </w:r>
                <w:r>
                  <w:rPr>
                    <w:rFonts w:hint="eastAsia"/>
                    <w:sz w:val="18"/>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16</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2" w:author="刘靖艳" w:date="2023-03-06T11:41:00Z">
                  <w:r>
                    <w:rPr>
                      <w:sz w:val="18"/>
                      <w:lang w:eastAsia="zh-CN"/>
                    </w:rPr>
                    <w:t>27</w:t>
                  </w:r>
                </w:ins>
                <w:r>
                  <w:rPr>
                    <w:sz w:val="18"/>
                    <w:lang w:eastAsia="zh-CN"/>
                  </w:rPr>
                  <w:fldChar w:fldCharType="end"/>
                </w:r>
                <w:r>
                  <w:rPr>
                    <w:rFonts w:hint="eastAsia"/>
                    <w:sz w:val="18"/>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7252"/>
    <w:multiLevelType w:val="multilevel"/>
    <w:tmpl w:val="24E47252"/>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2FF0373B"/>
    <w:multiLevelType w:val="multilevel"/>
    <w:tmpl w:val="2FF037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F75026"/>
    <w:multiLevelType w:val="multilevel"/>
    <w:tmpl w:val="41F75026"/>
    <w:lvl w:ilvl="0" w:tentative="0">
      <w:start w:val="1"/>
      <w:numFmt w:val="japaneseCounting"/>
      <w:lvlText w:val="%1、"/>
      <w:lvlJc w:val="left"/>
      <w:pPr>
        <w:ind w:left="961" w:hanging="720"/>
      </w:pPr>
      <w:rPr>
        <w:rFonts w:hint="default"/>
      </w:rPr>
    </w:lvl>
    <w:lvl w:ilvl="1" w:tentative="0">
      <w:start w:val="2"/>
      <w:numFmt w:val="decimal"/>
      <w:lvlText w:val="%2、"/>
      <w:lvlJc w:val="left"/>
      <w:pPr>
        <w:ind w:left="1381" w:hanging="720"/>
      </w:pPr>
      <w:rPr>
        <w:rFonts w:hint="default"/>
      </w:r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3">
    <w:nsid w:val="7C5E03C4"/>
    <w:multiLevelType w:val="multilevel"/>
    <w:tmpl w:val="7C5E0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4B695B"/>
    <w:rsid w:val="0003558C"/>
    <w:rsid w:val="00344E46"/>
    <w:rsid w:val="005F6930"/>
    <w:rsid w:val="006B0DE3"/>
    <w:rsid w:val="00726EEE"/>
    <w:rsid w:val="008648C9"/>
    <w:rsid w:val="009106F3"/>
    <w:rsid w:val="00944E8A"/>
    <w:rsid w:val="00CB0218"/>
    <w:rsid w:val="00D91E56"/>
    <w:rsid w:val="00DF4A10"/>
    <w:rsid w:val="00EA5DCA"/>
    <w:rsid w:val="00EC2BD5"/>
    <w:rsid w:val="00ED3DD8"/>
    <w:rsid w:val="02B62251"/>
    <w:rsid w:val="059D5F2A"/>
    <w:rsid w:val="05C1459F"/>
    <w:rsid w:val="0ADD75FF"/>
    <w:rsid w:val="0BD141D8"/>
    <w:rsid w:val="190E422B"/>
    <w:rsid w:val="1A576000"/>
    <w:rsid w:val="1ECA51DC"/>
    <w:rsid w:val="1F81605C"/>
    <w:rsid w:val="2A1A2758"/>
    <w:rsid w:val="36F0536E"/>
    <w:rsid w:val="49905B0C"/>
    <w:rsid w:val="4DDA1593"/>
    <w:rsid w:val="50603C8C"/>
    <w:rsid w:val="52444FB2"/>
    <w:rsid w:val="569D4D44"/>
    <w:rsid w:val="5B4B695B"/>
    <w:rsid w:val="61D864A0"/>
    <w:rsid w:val="65B0455D"/>
    <w:rsid w:val="6C525D04"/>
    <w:rsid w:val="6F194929"/>
    <w:rsid w:val="714A2A7A"/>
    <w:rsid w:val="73B57038"/>
    <w:rsid w:val="7F440C7D"/>
    <w:rsid w:val="7F4A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annotation subject"/>
    <w:basedOn w:val="6"/>
    <w:next w:val="6"/>
    <w:link w:val="21"/>
    <w:uiPriority w:val="0"/>
    <w:rPr>
      <w:b/>
      <w:bCs/>
    </w:rPr>
  </w:style>
  <w:style w:type="paragraph" w:styleId="6">
    <w:name w:val="annotation text"/>
    <w:basedOn w:val="1"/>
    <w:link w:val="20"/>
    <w:uiPriority w:val="0"/>
  </w:style>
  <w:style w:type="paragraph" w:styleId="7">
    <w:name w:val="Body Text"/>
    <w:basedOn w:val="1"/>
    <w:qFormat/>
    <w:uiPriority w:val="0"/>
    <w:rPr>
      <w:sz w:val="24"/>
      <w:szCs w:val="24"/>
    </w:rPr>
  </w:style>
  <w:style w:type="paragraph" w:styleId="8">
    <w:name w:val="Plain Text"/>
    <w:basedOn w:val="1"/>
    <w:qFormat/>
    <w:uiPriority w:val="0"/>
    <w:rPr>
      <w:rFonts w:hAnsi="Courier New" w:cs="Courier New"/>
      <w:szCs w:val="21"/>
    </w:rPr>
  </w:style>
  <w:style w:type="paragraph" w:styleId="9">
    <w:name w:val="Balloon Text"/>
    <w:basedOn w:val="1"/>
    <w:link w:val="19"/>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3">
    <w:name w:val="Strong"/>
    <w:basedOn w:val="12"/>
    <w:qFormat/>
    <w:uiPriority w:val="0"/>
    <w:rPr>
      <w:b/>
      <w:bCs/>
    </w:rPr>
  </w:style>
  <w:style w:type="character" w:styleId="14">
    <w:name w:val="annotation reference"/>
    <w:basedOn w:val="12"/>
    <w:uiPriority w:val="0"/>
    <w:rPr>
      <w:sz w:val="21"/>
      <w:szCs w:val="21"/>
    </w:rPr>
  </w:style>
  <w:style w:type="character" w:customStyle="1" w:styleId="16">
    <w:name w:val="apple-converted-space"/>
    <w:basedOn w:val="12"/>
    <w:qFormat/>
    <w:uiPriority w:val="0"/>
  </w:style>
  <w:style w:type="paragraph" w:customStyle="1" w:styleId="17">
    <w:name w:val="列出段落1"/>
    <w:basedOn w:val="1"/>
    <w:qFormat/>
    <w:uiPriority w:val="34"/>
    <w:pPr>
      <w:spacing w:before="206"/>
      <w:ind w:left="959" w:hanging="361"/>
    </w:pPr>
  </w:style>
  <w:style w:type="paragraph" w:customStyle="1" w:styleId="1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9">
    <w:name w:val="批注框文本 Char"/>
    <w:basedOn w:val="12"/>
    <w:link w:val="9"/>
    <w:uiPriority w:val="0"/>
    <w:rPr>
      <w:rFonts w:ascii="宋体" w:hAnsi="宋体" w:eastAsia="宋体" w:cs="宋体"/>
      <w:sz w:val="18"/>
      <w:szCs w:val="18"/>
      <w:lang w:eastAsia="en-US"/>
    </w:rPr>
  </w:style>
  <w:style w:type="character" w:customStyle="1" w:styleId="20">
    <w:name w:val="批注文字 Char"/>
    <w:basedOn w:val="12"/>
    <w:link w:val="6"/>
    <w:uiPriority w:val="0"/>
    <w:rPr>
      <w:rFonts w:ascii="宋体" w:hAnsi="宋体" w:eastAsia="宋体" w:cs="宋体"/>
      <w:sz w:val="22"/>
      <w:szCs w:val="22"/>
      <w:lang w:eastAsia="en-US"/>
    </w:rPr>
  </w:style>
  <w:style w:type="character" w:customStyle="1" w:styleId="21">
    <w:name w:val="批注主题 Char"/>
    <w:basedOn w:val="20"/>
    <w:link w:val="5"/>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27</Pages>
  <Words>2117</Words>
  <Characters>12070</Characters>
  <Lines>100</Lines>
  <Paragraphs>28</Paragraphs>
  <TotalTime>150</TotalTime>
  <ScaleCrop>false</ScaleCrop>
  <LinksUpToDate>false</LinksUpToDate>
  <CharactersWithSpaces>14159</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2023-02-28T02:40:00Z</dcterms:created>
  <dc:creator>mqhuang</dc:creator>
  <cp:lastModifiedBy>mqhuang</cp:lastModifiedBy>
  <dcterms:modified xsi:type="dcterms:W3CDTF">2023-03-06T07:38:41Z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