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lang w:eastAsia="zh-CN"/>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0"/>
        </w:rPr>
      </w:pPr>
    </w:p>
    <w:p>
      <w:pPr>
        <w:spacing w:line="788" w:lineRule="exact"/>
        <w:ind w:left="167"/>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pStyle w:val="2"/>
        <w:rPr>
          <w:rFonts w:asciiTheme="majorEastAsia" w:hAnsiTheme="majorEastAsia" w:eastAsiaTheme="majorEastAsia"/>
          <w:b/>
          <w:sz w:val="44"/>
          <w:szCs w:val="44"/>
        </w:rPr>
      </w:pPr>
    </w:p>
    <w:p>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 xml:space="preserve">   </w:t>
      </w:r>
      <w:r>
        <w:rPr>
          <w:rFonts w:hint="eastAsia" w:asciiTheme="majorEastAsia" w:hAnsiTheme="majorEastAsia" w:eastAsiaTheme="majorEastAsia"/>
          <w:b/>
          <w:bCs/>
          <w:sz w:val="44"/>
          <w:szCs w:val="44"/>
          <w:lang w:eastAsia="zh-CN"/>
        </w:rPr>
        <w:t>颗粒计数器仪检定</w:t>
      </w:r>
    </w:p>
    <w:p>
      <w:pPr>
        <w:pStyle w:val="6"/>
        <w:rPr>
          <w:rFonts w:ascii="微软雅黑"/>
          <w:b/>
          <w:sz w:val="68"/>
          <w:lang w:eastAsia="zh-CN"/>
        </w:rPr>
      </w:pPr>
    </w:p>
    <w:p>
      <w:pPr>
        <w:pStyle w:val="6"/>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pPr>
    </w:p>
    <w:p>
      <w:pPr>
        <w:pStyle w:val="2"/>
        <w:jc w:val="center"/>
        <w:rPr>
          <w:sz w:val="28"/>
          <w:szCs w:val="28"/>
        </w:rPr>
      </w:pPr>
      <w:r>
        <w:rPr>
          <w:rFonts w:hint="eastAsia"/>
          <w:sz w:val="28"/>
          <w:szCs w:val="28"/>
        </w:rPr>
        <w:t>（文件编号：</w:t>
      </w:r>
      <w:r>
        <w:rPr>
          <w:rFonts w:hint="eastAsia"/>
          <w:sz w:val="28"/>
          <w:szCs w:val="28"/>
          <w:u w:val="single"/>
        </w:rPr>
        <w:t>FHC-PTCG20230207001</w:t>
      </w:r>
      <w:r>
        <w:rPr>
          <w:rFonts w:hint="eastAsia"/>
          <w:sz w:val="28"/>
          <w:szCs w:val="28"/>
        </w:rPr>
        <w:t>）</w:t>
      </w:r>
    </w:p>
    <w:p>
      <w:pPr>
        <w:pStyle w:val="6"/>
        <w:rPr>
          <w:rFonts w:ascii="微软雅黑"/>
          <w:b/>
          <w:sz w:val="94"/>
          <w:lang w:eastAsia="zh-CN"/>
        </w:rPr>
      </w:pPr>
    </w:p>
    <w:p>
      <w:pPr>
        <w:pStyle w:val="6"/>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2023年02月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6"/>
        <w:rPr>
          <w:rFonts w:ascii="黑体"/>
          <w:sz w:val="20"/>
          <w:lang w:eastAsia="zh-CN"/>
        </w:rPr>
      </w:pPr>
    </w:p>
    <w:p>
      <w:pPr>
        <w:pStyle w:val="6"/>
        <w:rPr>
          <w:rFonts w:ascii="黑体"/>
          <w:sz w:val="20"/>
          <w:lang w:eastAsia="zh-CN"/>
        </w:rPr>
      </w:pPr>
    </w:p>
    <w:p>
      <w:pPr>
        <w:pStyle w:val="6"/>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6"/>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6"/>
        <w:rPr>
          <w:sz w:val="28"/>
          <w:lang w:eastAsia="zh-CN"/>
        </w:rPr>
      </w:pPr>
    </w:p>
    <w:p>
      <w:pPr>
        <w:pStyle w:val="6"/>
        <w:rPr>
          <w:sz w:val="28"/>
          <w:lang w:eastAsia="zh-CN"/>
        </w:rPr>
      </w:pPr>
    </w:p>
    <w:p>
      <w:pPr>
        <w:pStyle w:val="6"/>
        <w:rPr>
          <w:sz w:val="28"/>
          <w:lang w:eastAsia="zh-CN"/>
        </w:rPr>
      </w:pPr>
    </w:p>
    <w:p>
      <w:pPr>
        <w:pStyle w:val="6"/>
        <w:rPr>
          <w:sz w:val="28"/>
          <w:lang w:eastAsia="zh-CN"/>
        </w:rPr>
      </w:pPr>
    </w:p>
    <w:p>
      <w:pPr>
        <w:pStyle w:val="6"/>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6"/>
        <w:rPr>
          <w:b/>
          <w:sz w:val="15"/>
          <w:szCs w:val="15"/>
          <w:lang w:eastAsia="zh-CN"/>
        </w:rPr>
      </w:pP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u w:val="single"/>
          <w:lang w:eastAsia="zh-CN"/>
        </w:rPr>
        <w:t>颗粒计数器仪检定</w:t>
      </w:r>
      <w:r>
        <w:rPr>
          <w:rFonts w:hint="eastAsia"/>
          <w:b/>
          <w:bCs/>
          <w:sz w:val="32"/>
          <w:lang w:eastAsia="zh-CN"/>
        </w:rPr>
        <w:t>比选公告</w:t>
      </w:r>
    </w:p>
    <w:p>
      <w:pPr>
        <w:spacing w:line="360" w:lineRule="auto"/>
        <w:ind w:firstLine="550" w:firstLineChars="250"/>
        <w:rPr>
          <w:bCs/>
          <w:szCs w:val="21"/>
          <w:lang w:eastAsia="zh-CN"/>
        </w:rPr>
      </w:pPr>
    </w:p>
    <w:p>
      <w:pPr>
        <w:spacing w:line="288" w:lineRule="auto"/>
        <w:ind w:left="172" w:firstLine="487" w:firstLineChars="232"/>
        <w:rPr>
          <w:rFonts w:ascii="Times New Roman" w:hAnsi="Times New Roman" w:cs="Times New Roman"/>
          <w:bCs/>
          <w:sz w:val="21"/>
          <w:szCs w:val="21"/>
          <w:lang w:eastAsia="zh-CN"/>
        </w:rPr>
      </w:pPr>
      <w:r>
        <w:rPr>
          <w:rFonts w:ascii="Times New Roman" w:hAnsi="Times New Roman" w:cs="Times New Roman"/>
          <w:bCs/>
          <w:sz w:val="21"/>
          <w:szCs w:val="21"/>
          <w:lang w:eastAsia="zh-CN"/>
        </w:rPr>
        <w:t>福建福海创石油化工有限公司就</w:t>
      </w:r>
      <w:r>
        <w:rPr>
          <w:rFonts w:hint="eastAsia" w:ascii="Times New Roman" w:hAnsi="Times New Roman" w:cs="Times New Roman"/>
          <w:bCs/>
          <w:sz w:val="21"/>
          <w:szCs w:val="21"/>
          <w:lang w:eastAsia="zh-CN"/>
        </w:rPr>
        <w:t>“</w:t>
      </w:r>
      <w:r>
        <w:rPr>
          <w:rFonts w:ascii="Times New Roman" w:hAnsi="Times New Roman" w:cs="Times New Roman"/>
          <w:bCs/>
          <w:sz w:val="21"/>
          <w:szCs w:val="21"/>
          <w:u w:val="single"/>
          <w:lang w:eastAsia="zh-CN"/>
        </w:rPr>
        <w:t>颗粒计数器仪检定项目（项目编号：FHC-PTCG20230207001</w:t>
      </w:r>
      <w:r>
        <w:rPr>
          <w:rFonts w:hint="eastAsia" w:ascii="Times New Roman" w:hAnsi="Times New Roman" w:cs="Times New Roman"/>
          <w:bCs/>
          <w:sz w:val="21"/>
          <w:szCs w:val="21"/>
          <w:u w:val="single"/>
          <w:lang w:eastAsia="zh-CN"/>
        </w:rPr>
        <w:t>）”</w:t>
      </w:r>
      <w:r>
        <w:rPr>
          <w:rFonts w:ascii="Times New Roman" w:hAnsi="Times New Roman" w:cs="Times New Roman"/>
          <w:bCs/>
          <w:sz w:val="21"/>
          <w:szCs w:val="21"/>
          <w:lang w:eastAsia="zh-CN"/>
        </w:rPr>
        <w:t>进行国内公开比选，</w:t>
      </w:r>
      <w:r>
        <w:rPr>
          <w:rFonts w:ascii="Times New Roman" w:hAnsi="Times New Roman" w:cs="Times New Roman"/>
          <w:bCs/>
          <w:spacing w:val="-2"/>
          <w:sz w:val="21"/>
          <w:szCs w:val="21"/>
          <w:lang w:eastAsia="zh-CN"/>
        </w:rPr>
        <w:t>欢迎国内符合条件的供应商积极参选。</w:t>
      </w:r>
    </w:p>
    <w:p>
      <w:pPr>
        <w:pStyle w:val="20"/>
        <w:autoSpaceDE/>
        <w:autoSpaceDN/>
        <w:spacing w:before="0" w:line="288" w:lineRule="auto"/>
        <w:ind w:left="412" w:firstLine="0"/>
        <w:jc w:val="both"/>
        <w:rPr>
          <w:rFonts w:ascii="Times New Roman" w:hAnsi="Times New Roman" w:cs="Times New Roman"/>
          <w:b/>
          <w:bCs/>
          <w:sz w:val="21"/>
          <w:szCs w:val="21"/>
        </w:rPr>
      </w:pPr>
      <w:r>
        <w:rPr>
          <w:rFonts w:ascii="Times New Roman" w:hAnsi="Times New Roman" w:cs="Times New Roman"/>
          <w:b/>
          <w:bCs/>
          <w:sz w:val="21"/>
          <w:szCs w:val="21"/>
          <w:lang w:eastAsia="zh-CN"/>
        </w:rPr>
        <w:t>一、</w:t>
      </w:r>
      <w:r>
        <w:rPr>
          <w:rFonts w:ascii="Times New Roman" w:hAnsi="Times New Roman" w:cs="Times New Roman"/>
          <w:b/>
          <w:bCs/>
          <w:sz w:val="21"/>
          <w:szCs w:val="21"/>
        </w:rPr>
        <w:t>项目概况</w:t>
      </w:r>
    </w:p>
    <w:p>
      <w:pPr>
        <w:pStyle w:val="20"/>
        <w:numPr>
          <w:ilvl w:val="0"/>
          <w:numId w:val="1"/>
        </w:numPr>
        <w:autoSpaceDE/>
        <w:autoSpaceDN/>
        <w:spacing w:before="0" w:line="288" w:lineRule="auto"/>
        <w:ind w:left="992" w:hanging="332"/>
        <w:jc w:val="both"/>
        <w:rPr>
          <w:rFonts w:ascii="Times New Roman" w:hAnsi="Times New Roman" w:cs="Times New Roman"/>
          <w:bCs/>
          <w:sz w:val="21"/>
          <w:szCs w:val="21"/>
          <w:lang w:eastAsia="zh-CN"/>
        </w:rPr>
      </w:pPr>
      <w:r>
        <w:rPr>
          <w:rFonts w:ascii="Times New Roman" w:hAnsi="Times New Roman" w:cs="Times New Roman"/>
          <w:bCs/>
          <w:sz w:val="21"/>
          <w:szCs w:val="21"/>
          <w:lang w:eastAsia="zh-CN"/>
        </w:rPr>
        <w:t>项目名称：</w:t>
      </w:r>
      <w:r>
        <w:rPr>
          <w:rFonts w:ascii="Times New Roman" w:hAnsi="Times New Roman" w:cs="Times New Roman"/>
          <w:bCs/>
          <w:sz w:val="21"/>
          <w:szCs w:val="21"/>
          <w:u w:val="single"/>
          <w:lang w:eastAsia="zh-CN"/>
        </w:rPr>
        <w:t>颗粒计数器仪检定</w:t>
      </w:r>
    </w:p>
    <w:p>
      <w:pPr>
        <w:pStyle w:val="20"/>
        <w:numPr>
          <w:ilvl w:val="0"/>
          <w:numId w:val="1"/>
        </w:numPr>
        <w:autoSpaceDE/>
        <w:autoSpaceDN/>
        <w:spacing w:before="0" w:line="288" w:lineRule="auto"/>
        <w:ind w:left="992" w:hanging="332"/>
        <w:jc w:val="both"/>
        <w:rPr>
          <w:rFonts w:ascii="Times New Roman" w:hAnsi="Times New Roman" w:cs="Times New Roman"/>
          <w:bCs/>
          <w:sz w:val="21"/>
          <w:szCs w:val="21"/>
          <w:lang w:eastAsia="zh-CN"/>
        </w:rPr>
      </w:pPr>
      <w:r>
        <w:rPr>
          <w:rFonts w:ascii="Times New Roman" w:hAnsi="Times New Roman" w:cs="Times New Roman"/>
          <w:bCs/>
          <w:sz w:val="21"/>
          <w:szCs w:val="21"/>
          <w:lang w:eastAsia="zh-CN"/>
        </w:rPr>
        <w:t>比选项目：</w:t>
      </w:r>
      <w:r>
        <w:rPr>
          <w:rFonts w:hint="eastAsia" w:ascii="Times New Roman" w:hAnsi="Times New Roman" w:cs="Times New Roman"/>
          <w:bCs/>
          <w:sz w:val="21"/>
          <w:szCs w:val="21"/>
          <w:lang w:eastAsia="zh-CN"/>
        </w:rPr>
        <w:t>1台“</w:t>
      </w:r>
      <w:r>
        <w:rPr>
          <w:rFonts w:ascii="Times New Roman" w:hAnsi="Times New Roman" w:cs="Times New Roman"/>
          <w:bCs/>
          <w:sz w:val="21"/>
          <w:szCs w:val="21"/>
          <w:lang w:eastAsia="zh-CN"/>
        </w:rPr>
        <w:t>颗粒计数器</w:t>
      </w:r>
      <w:r>
        <w:rPr>
          <w:rFonts w:hint="eastAsia" w:ascii="Times New Roman" w:hAnsi="Times New Roman" w:cs="Times New Roman"/>
          <w:bCs/>
          <w:sz w:val="21"/>
          <w:szCs w:val="21"/>
          <w:lang w:eastAsia="zh-CN"/>
        </w:rPr>
        <w:t>”</w:t>
      </w:r>
      <w:r>
        <w:rPr>
          <w:rFonts w:ascii="Times New Roman" w:hAnsi="Times New Roman" w:cs="Times New Roman"/>
          <w:bCs/>
          <w:sz w:val="21"/>
          <w:szCs w:val="21"/>
          <w:lang w:eastAsia="zh-CN"/>
        </w:rPr>
        <w:t>委外检定</w:t>
      </w:r>
    </w:p>
    <w:p>
      <w:pPr>
        <w:pStyle w:val="20"/>
        <w:numPr>
          <w:ilvl w:val="0"/>
          <w:numId w:val="1"/>
        </w:numPr>
        <w:autoSpaceDE/>
        <w:autoSpaceDN/>
        <w:spacing w:before="0" w:line="288" w:lineRule="auto"/>
        <w:ind w:left="992" w:hanging="332"/>
        <w:jc w:val="both"/>
        <w:rPr>
          <w:rFonts w:ascii="Times New Roman" w:hAnsi="Times New Roman" w:cs="Times New Roman"/>
          <w:bCs/>
          <w:sz w:val="21"/>
          <w:szCs w:val="21"/>
          <w:lang w:eastAsia="zh-CN"/>
        </w:rPr>
      </w:pPr>
      <w:r>
        <w:rPr>
          <w:rFonts w:ascii="Times New Roman" w:hAnsi="Times New Roman" w:cs="Times New Roman"/>
          <w:bCs/>
          <w:sz w:val="21"/>
          <w:szCs w:val="21"/>
          <w:lang w:eastAsia="zh-CN"/>
        </w:rPr>
        <w:t>项目要求：</w:t>
      </w:r>
    </w:p>
    <w:p>
      <w:pPr>
        <w:pStyle w:val="20"/>
        <w:autoSpaceDE/>
        <w:autoSpaceDN/>
        <w:spacing w:before="0" w:line="288" w:lineRule="auto"/>
        <w:ind w:left="1091" w:leftChars="390" w:hanging="233" w:hangingChars="111"/>
        <w:jc w:val="both"/>
        <w:rPr>
          <w:rFonts w:ascii="Times New Roman" w:hAnsi="Times New Roman" w:cs="Times New Roman"/>
          <w:bCs/>
          <w:sz w:val="21"/>
          <w:szCs w:val="21"/>
          <w:lang w:eastAsia="zh-CN"/>
        </w:rPr>
      </w:pPr>
      <w:r>
        <w:rPr>
          <w:rFonts w:hint="eastAsia"/>
          <w:bCs/>
          <w:sz w:val="21"/>
          <w:szCs w:val="21"/>
          <w:lang w:eastAsia="zh-CN"/>
        </w:rPr>
        <w:t>①</w:t>
      </w:r>
      <w:r>
        <w:rPr>
          <w:rFonts w:hint="eastAsia" w:ascii="Times New Roman" w:hAnsi="Times New Roman" w:cs="Times New Roman"/>
          <w:bCs/>
          <w:sz w:val="21"/>
          <w:szCs w:val="21"/>
          <w:lang w:eastAsia="zh-CN"/>
        </w:rPr>
        <w:t xml:space="preserve"> </w:t>
      </w:r>
      <w:r>
        <w:rPr>
          <w:rFonts w:ascii="Times New Roman" w:hAnsi="Times New Roman" w:cs="Times New Roman"/>
          <w:bCs/>
          <w:sz w:val="21"/>
          <w:szCs w:val="21"/>
          <w:lang w:eastAsia="zh-CN"/>
        </w:rPr>
        <w:t>检定结果须附检定证书、检定标识及给出检定结论。</w:t>
      </w:r>
    </w:p>
    <w:p>
      <w:pPr>
        <w:pStyle w:val="20"/>
        <w:autoSpaceDE/>
        <w:autoSpaceDN/>
        <w:spacing w:before="0" w:line="288" w:lineRule="auto"/>
        <w:ind w:left="1170" w:leftChars="390" w:hanging="312" w:hangingChars="149"/>
        <w:jc w:val="both"/>
        <w:rPr>
          <w:rFonts w:ascii="Times New Roman" w:hAnsi="Times New Roman" w:cs="Times New Roman"/>
          <w:bCs/>
          <w:sz w:val="21"/>
          <w:szCs w:val="21"/>
          <w:lang w:eastAsia="zh-CN"/>
        </w:rPr>
      </w:pPr>
      <w:r>
        <w:rPr>
          <w:rFonts w:hint="eastAsia"/>
          <w:bCs/>
          <w:sz w:val="21"/>
          <w:szCs w:val="21"/>
          <w:lang w:eastAsia="zh-CN"/>
        </w:rPr>
        <w:t xml:space="preserve">② </w:t>
      </w:r>
      <w:r>
        <w:rPr>
          <w:rFonts w:ascii="Times New Roman" w:hAnsi="Times New Roman" w:cs="Times New Roman"/>
          <w:bCs/>
          <w:sz w:val="21"/>
          <w:szCs w:val="21"/>
          <w:lang w:eastAsia="zh-CN"/>
        </w:rPr>
        <w:t>根据生产现场要求，需检定电力用油DL/T432-2007和液压油ISO4406两种标准（热电团队样品执行电力用油标准，设备部样品执行液压油标准）。</w:t>
      </w:r>
    </w:p>
    <w:p>
      <w:pPr>
        <w:pStyle w:val="20"/>
        <w:autoSpaceDE/>
        <w:autoSpaceDN/>
        <w:spacing w:before="0" w:line="288" w:lineRule="auto"/>
        <w:ind w:left="1091" w:leftChars="390" w:hanging="233" w:hangingChars="111"/>
        <w:jc w:val="both"/>
        <w:rPr>
          <w:rFonts w:ascii="Times New Roman" w:hAnsi="Times New Roman" w:cs="Times New Roman"/>
          <w:bCs/>
          <w:sz w:val="21"/>
          <w:szCs w:val="21"/>
          <w:lang w:eastAsia="zh-CN"/>
        </w:rPr>
      </w:pPr>
      <w:r>
        <w:rPr>
          <w:rFonts w:hint="eastAsia"/>
          <w:bCs/>
          <w:sz w:val="21"/>
          <w:szCs w:val="21"/>
          <w:lang w:eastAsia="zh-CN"/>
        </w:rPr>
        <w:t xml:space="preserve">③ </w:t>
      </w:r>
      <w:r>
        <w:rPr>
          <w:rFonts w:ascii="Times New Roman" w:hAnsi="Times New Roman" w:cs="Times New Roman"/>
          <w:bCs/>
          <w:sz w:val="21"/>
          <w:szCs w:val="21"/>
          <w:lang w:eastAsia="zh-CN"/>
        </w:rPr>
        <w:t>检定单位需上门服务。</w:t>
      </w:r>
    </w:p>
    <w:p>
      <w:pPr>
        <w:pStyle w:val="20"/>
        <w:autoSpaceDE/>
        <w:autoSpaceDN/>
        <w:spacing w:before="0" w:line="288" w:lineRule="auto"/>
        <w:ind w:left="660" w:firstLine="0"/>
        <w:jc w:val="both"/>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4、</w:t>
      </w:r>
      <w:r>
        <w:rPr>
          <w:rFonts w:ascii="Times New Roman" w:hAnsi="Times New Roman" w:cs="Times New Roman"/>
          <w:bCs/>
          <w:sz w:val="21"/>
          <w:szCs w:val="21"/>
          <w:lang w:eastAsia="zh-CN"/>
        </w:rPr>
        <w:t>比选控制价：人民币8000元</w:t>
      </w:r>
      <w:r>
        <w:rPr>
          <w:rFonts w:hint="eastAsia" w:ascii="Times New Roman" w:hAnsi="Times New Roman" w:cs="Times New Roman"/>
          <w:bCs/>
          <w:sz w:val="21"/>
          <w:szCs w:val="21"/>
          <w:lang w:eastAsia="zh-CN"/>
        </w:rPr>
        <w:t>（含税）</w:t>
      </w:r>
      <w:r>
        <w:rPr>
          <w:rFonts w:ascii="Times New Roman" w:hAnsi="Times New Roman" w:cs="Times New Roman"/>
          <w:bCs/>
          <w:sz w:val="21"/>
          <w:szCs w:val="21"/>
          <w:lang w:eastAsia="zh-CN"/>
        </w:rPr>
        <w:t>。</w:t>
      </w:r>
    </w:p>
    <w:p>
      <w:pPr>
        <w:pStyle w:val="20"/>
        <w:autoSpaceDE/>
        <w:autoSpaceDN/>
        <w:spacing w:before="0" w:line="288" w:lineRule="auto"/>
        <w:ind w:left="412" w:firstLine="0"/>
        <w:jc w:val="both"/>
        <w:rPr>
          <w:rFonts w:ascii="Times New Roman" w:hAnsi="Times New Roman" w:cs="Times New Roman"/>
          <w:b/>
          <w:bCs/>
          <w:sz w:val="21"/>
          <w:szCs w:val="21"/>
        </w:rPr>
      </w:pPr>
      <w:r>
        <w:rPr>
          <w:rFonts w:ascii="Times New Roman" w:hAnsi="Times New Roman" w:cs="Times New Roman"/>
          <w:b/>
          <w:bCs/>
          <w:sz w:val="21"/>
          <w:szCs w:val="21"/>
          <w:lang w:eastAsia="zh-CN"/>
        </w:rPr>
        <w:t>二、</w:t>
      </w:r>
      <w:r>
        <w:rPr>
          <w:rFonts w:ascii="Times New Roman" w:hAnsi="Times New Roman" w:cs="Times New Roman"/>
          <w:b/>
          <w:bCs/>
          <w:sz w:val="21"/>
          <w:szCs w:val="21"/>
        </w:rPr>
        <w:t>参选人资格要求</w:t>
      </w:r>
    </w:p>
    <w:p>
      <w:pPr>
        <w:pStyle w:val="20"/>
        <w:numPr>
          <w:ilvl w:val="0"/>
          <w:numId w:val="2"/>
        </w:numPr>
        <w:autoSpaceDE/>
        <w:autoSpaceDN/>
        <w:spacing w:before="0" w:line="288" w:lineRule="auto"/>
        <w:ind w:left="992" w:hanging="352"/>
        <w:jc w:val="both"/>
        <w:rPr>
          <w:rFonts w:ascii="Times New Roman" w:hAnsi="Times New Roman" w:cs="Times New Roman"/>
          <w:bCs/>
          <w:sz w:val="21"/>
          <w:szCs w:val="21"/>
          <w:lang w:eastAsia="zh-CN"/>
        </w:rPr>
      </w:pPr>
      <w:r>
        <w:rPr>
          <w:rFonts w:ascii="Times New Roman" w:hAnsi="Times New Roman" w:cs="Times New Roman"/>
          <w:sz w:val="21"/>
          <w:szCs w:val="21"/>
          <w:lang w:eastAsia="zh-CN"/>
        </w:rPr>
        <w:t>参选人必须具备有效的企业法人营业执照，具有在中华人民共和国注册的法人资格。</w:t>
      </w:r>
    </w:p>
    <w:p>
      <w:pPr>
        <w:pStyle w:val="20"/>
        <w:numPr>
          <w:ilvl w:val="0"/>
          <w:numId w:val="2"/>
        </w:numPr>
        <w:autoSpaceDE/>
        <w:autoSpaceDN/>
        <w:spacing w:before="0" w:line="288" w:lineRule="auto"/>
        <w:ind w:left="992" w:hanging="352"/>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检定单位资质必须为国家认可、国防许可的标准计量单位。</w:t>
      </w:r>
    </w:p>
    <w:p>
      <w:pPr>
        <w:pStyle w:val="20"/>
        <w:numPr>
          <w:ilvl w:val="0"/>
          <w:numId w:val="2"/>
        </w:numPr>
        <w:autoSpaceDE/>
        <w:autoSpaceDN/>
        <w:spacing w:before="0" w:line="288" w:lineRule="auto"/>
        <w:ind w:left="992" w:hanging="352"/>
        <w:jc w:val="both"/>
        <w:rPr>
          <w:rFonts w:ascii="Times New Roman" w:hAnsi="Times New Roman" w:cs="Times New Roman"/>
          <w:sz w:val="21"/>
          <w:szCs w:val="21"/>
          <w:lang w:eastAsia="zh-CN"/>
        </w:rPr>
      </w:pPr>
      <w:r>
        <w:rPr>
          <w:rFonts w:ascii="Times New Roman" w:hAnsi="Times New Roman" w:cs="Times New Roman"/>
          <w:sz w:val="21"/>
          <w:szCs w:val="21"/>
          <w:lang w:eastAsia="zh-CN"/>
        </w:rPr>
        <w:t>没有失信黑名单记录（以最高院失信被执行人系统发布信息为准）。</w:t>
      </w:r>
    </w:p>
    <w:p>
      <w:pPr>
        <w:pStyle w:val="20"/>
        <w:numPr>
          <w:ilvl w:val="0"/>
          <w:numId w:val="2"/>
        </w:numPr>
        <w:autoSpaceDE/>
        <w:autoSpaceDN/>
        <w:spacing w:before="0" w:line="288" w:lineRule="auto"/>
        <w:ind w:left="992" w:hanging="352"/>
        <w:jc w:val="both"/>
        <w:rPr>
          <w:rFonts w:ascii="Times New Roman" w:hAnsi="Times New Roman" w:cs="Times New Roman"/>
          <w:sz w:val="21"/>
          <w:szCs w:val="21"/>
        </w:rPr>
      </w:pPr>
      <w:r>
        <w:rPr>
          <w:rFonts w:ascii="Times New Roman" w:hAnsi="Times New Roman" w:cs="Times New Roman"/>
          <w:sz w:val="21"/>
          <w:szCs w:val="21"/>
          <w:lang w:eastAsia="zh-CN"/>
        </w:rPr>
        <w:t>与比选人无诉讼纠纷。</w:t>
      </w:r>
    </w:p>
    <w:p>
      <w:pPr>
        <w:pStyle w:val="20"/>
        <w:numPr>
          <w:ilvl w:val="0"/>
          <w:numId w:val="2"/>
        </w:numPr>
        <w:autoSpaceDE/>
        <w:autoSpaceDN/>
        <w:spacing w:before="0" w:line="288" w:lineRule="auto"/>
        <w:ind w:left="992" w:hanging="352"/>
        <w:jc w:val="both"/>
        <w:rPr>
          <w:rFonts w:ascii="Times New Roman" w:hAnsi="Times New Roman" w:cs="Times New Roman"/>
          <w:sz w:val="21"/>
          <w:szCs w:val="21"/>
          <w:lang w:eastAsia="zh-CN"/>
        </w:rPr>
      </w:pPr>
      <w:r>
        <w:rPr>
          <w:rFonts w:ascii="Times New Roman" w:hAnsi="Times New Roman" w:cs="Times New Roman"/>
          <w:sz w:val="21"/>
          <w:szCs w:val="21"/>
          <w:lang w:eastAsia="zh-CN"/>
        </w:rPr>
        <w:t>本项目不接受联合体投标。</w:t>
      </w:r>
    </w:p>
    <w:p>
      <w:pPr>
        <w:pStyle w:val="20"/>
        <w:autoSpaceDE/>
        <w:autoSpaceDN/>
        <w:spacing w:before="0" w:line="288" w:lineRule="auto"/>
        <w:ind w:left="412" w:firstLine="0"/>
        <w:jc w:val="both"/>
        <w:rPr>
          <w:rFonts w:ascii="Times New Roman" w:hAnsi="Times New Roman" w:cs="Times New Roman"/>
          <w:b/>
          <w:bCs/>
          <w:sz w:val="21"/>
          <w:szCs w:val="21"/>
        </w:rPr>
      </w:pPr>
      <w:r>
        <w:rPr>
          <w:rFonts w:ascii="Times New Roman" w:hAnsi="Times New Roman" w:cs="Times New Roman"/>
          <w:b/>
          <w:bCs/>
          <w:sz w:val="21"/>
          <w:szCs w:val="21"/>
          <w:lang w:eastAsia="zh-CN"/>
        </w:rPr>
        <w:t>三、</w:t>
      </w:r>
      <w:r>
        <w:rPr>
          <w:rFonts w:ascii="Times New Roman" w:hAnsi="Times New Roman" w:cs="Times New Roman"/>
          <w:b/>
          <w:bCs/>
          <w:sz w:val="21"/>
          <w:szCs w:val="21"/>
        </w:rPr>
        <w:t>获取比选文件</w:t>
      </w:r>
    </w:p>
    <w:p>
      <w:pPr>
        <w:pStyle w:val="20"/>
        <w:numPr>
          <w:ilvl w:val="0"/>
          <w:numId w:val="3"/>
        </w:numPr>
        <w:autoSpaceDE/>
        <w:autoSpaceDN/>
        <w:spacing w:before="0" w:line="288" w:lineRule="auto"/>
        <w:ind w:left="992" w:hanging="372"/>
        <w:jc w:val="both"/>
        <w:rPr>
          <w:rFonts w:ascii="Times New Roman" w:hAnsi="Times New Roman" w:cs="Times New Roman"/>
          <w:bCs/>
          <w:sz w:val="21"/>
          <w:szCs w:val="21"/>
          <w:lang w:eastAsia="zh-CN"/>
        </w:rPr>
      </w:pPr>
      <w:r>
        <w:rPr>
          <w:rFonts w:ascii="Times New Roman" w:hAnsi="Times New Roman" w:cs="Times New Roman"/>
          <w:bCs/>
          <w:sz w:val="21"/>
          <w:szCs w:val="21"/>
          <w:lang w:eastAsia="zh-CN"/>
        </w:rPr>
        <w:t>报名时间：</w:t>
      </w:r>
      <w:r>
        <w:rPr>
          <w:rFonts w:ascii="Times New Roman" w:hAnsi="Times New Roman" w:cs="Times New Roman"/>
          <w:sz w:val="21"/>
          <w:szCs w:val="21"/>
          <w:lang w:eastAsia="zh-CN"/>
        </w:rPr>
        <w:t>公示之日起至2023年</w:t>
      </w:r>
      <w:r>
        <w:rPr>
          <w:rFonts w:hint="eastAsia" w:ascii="Times New Roman" w:hAnsi="Times New Roman" w:cs="Times New Roman"/>
          <w:sz w:val="21"/>
          <w:szCs w:val="21"/>
          <w:lang w:val="en-US" w:eastAsia="zh-CN"/>
        </w:rPr>
        <w:t>02</w:t>
      </w:r>
      <w:r>
        <w:rPr>
          <w:rFonts w:ascii="Times New Roman" w:hAnsi="Times New Roman" w:cs="Times New Roman"/>
          <w:sz w:val="21"/>
          <w:szCs w:val="21"/>
          <w:lang w:eastAsia="zh-CN"/>
        </w:rPr>
        <w:t>月</w:t>
      </w:r>
      <w:r>
        <w:rPr>
          <w:rFonts w:hint="eastAsia" w:ascii="Times New Roman" w:hAnsi="Times New Roman" w:cs="Times New Roman"/>
          <w:sz w:val="21"/>
          <w:szCs w:val="21"/>
          <w:lang w:val="en-US" w:eastAsia="zh-CN"/>
        </w:rPr>
        <w:t>26</w:t>
      </w:r>
      <w:r>
        <w:rPr>
          <w:rFonts w:ascii="Times New Roman" w:hAnsi="Times New Roman" w:cs="Times New Roman"/>
          <w:sz w:val="21"/>
          <w:szCs w:val="21"/>
          <w:lang w:eastAsia="zh-CN"/>
        </w:rPr>
        <w:t>日（共</w:t>
      </w:r>
      <w:r>
        <w:rPr>
          <w:rFonts w:hint="eastAsia" w:ascii="Times New Roman" w:hAnsi="Times New Roman" w:cs="Times New Roman"/>
          <w:sz w:val="21"/>
          <w:szCs w:val="21"/>
          <w:lang w:eastAsia="zh-CN"/>
        </w:rPr>
        <w:t>1</w:t>
      </w:r>
      <w:r>
        <w:rPr>
          <w:rFonts w:hint="eastAsia" w:ascii="Times New Roman" w:hAnsi="Times New Roman" w:cs="Times New Roman"/>
          <w:sz w:val="21"/>
          <w:szCs w:val="21"/>
          <w:lang w:val="en-US" w:eastAsia="zh-CN"/>
        </w:rPr>
        <w:t>0</w:t>
      </w:r>
      <w:r>
        <w:rPr>
          <w:rFonts w:ascii="Times New Roman" w:hAnsi="Times New Roman" w:cs="Times New Roman"/>
          <w:sz w:val="21"/>
          <w:szCs w:val="21"/>
          <w:lang w:eastAsia="zh-CN"/>
        </w:rPr>
        <w:t>天）。</w:t>
      </w:r>
    </w:p>
    <w:p>
      <w:pPr>
        <w:pStyle w:val="20"/>
        <w:numPr>
          <w:ilvl w:val="0"/>
          <w:numId w:val="3"/>
        </w:numPr>
        <w:autoSpaceDE/>
        <w:autoSpaceDN/>
        <w:spacing w:before="0" w:line="288" w:lineRule="auto"/>
        <w:ind w:left="992" w:hanging="372"/>
        <w:jc w:val="both"/>
        <w:rPr>
          <w:rFonts w:ascii="Times New Roman" w:hAnsi="Times New Roman" w:cs="Times New Roman"/>
          <w:bCs/>
          <w:sz w:val="21"/>
          <w:szCs w:val="21"/>
          <w:lang w:eastAsia="zh-CN"/>
        </w:rPr>
      </w:pPr>
      <w:r>
        <w:rPr>
          <w:rFonts w:ascii="Times New Roman" w:hAnsi="Times New Roman" w:cs="Times New Roman"/>
          <w:bCs/>
          <w:sz w:val="21"/>
          <w:szCs w:val="21"/>
          <w:lang w:eastAsia="zh-CN"/>
        </w:rPr>
        <w:t>报名方式：</w:t>
      </w:r>
      <w:r>
        <w:rPr>
          <w:rFonts w:ascii="Times New Roman" w:hAnsi="Times New Roman" w:cs="Times New Roman"/>
          <w:sz w:val="21"/>
          <w:szCs w:val="21"/>
          <w:lang w:eastAsia="zh-CN"/>
        </w:rPr>
        <w:t>以邮件附件方式发送至商务联系人邮箱</w:t>
      </w:r>
      <w:r>
        <w:fldChar w:fldCharType="begin"/>
      </w:r>
      <w:r>
        <w:instrText xml:space="preserve"> HYPERLINK "mailto:adgu@fhcpec.com.cn" </w:instrText>
      </w:r>
      <w:r>
        <w:fldChar w:fldCharType="separate"/>
      </w:r>
      <w:r>
        <w:rPr>
          <w:rFonts w:ascii="Times New Roman" w:hAnsi="Times New Roman" w:cs="Times New Roman"/>
          <w:color w:val="0000FF"/>
          <w:sz w:val="21"/>
          <w:szCs w:val="21"/>
          <w:u w:val="single"/>
          <w:lang w:eastAsia="zh-CN"/>
        </w:rPr>
        <w:t>huangmq</w:t>
      </w:r>
      <w:r>
        <w:rPr>
          <w:rStyle w:val="15"/>
          <w:rFonts w:ascii="Times New Roman" w:hAnsi="Times New Roman" w:cs="Times New Roman"/>
          <w:bCs/>
          <w:sz w:val="21"/>
          <w:szCs w:val="21"/>
        </w:rPr>
        <w:t>@</w:t>
      </w:r>
      <w:r>
        <w:rPr>
          <w:rStyle w:val="15"/>
          <w:rFonts w:ascii="Times New Roman" w:hAnsi="Times New Roman" w:cs="Times New Roman"/>
          <w:bCs/>
          <w:sz w:val="21"/>
          <w:szCs w:val="21"/>
          <w:lang w:eastAsia="zh-CN"/>
        </w:rPr>
        <w:t>fj</w:t>
      </w:r>
      <w:r>
        <w:rPr>
          <w:rStyle w:val="15"/>
          <w:rFonts w:ascii="Times New Roman" w:hAnsi="Times New Roman" w:cs="Times New Roman"/>
          <w:bCs/>
          <w:sz w:val="21"/>
          <w:szCs w:val="21"/>
        </w:rPr>
        <w:t>pec.com.cn</w:t>
      </w:r>
      <w:r>
        <w:rPr>
          <w:rStyle w:val="15"/>
          <w:rFonts w:ascii="Times New Roman" w:hAnsi="Times New Roman" w:cs="Times New Roman"/>
          <w:bCs/>
          <w:sz w:val="21"/>
          <w:szCs w:val="21"/>
        </w:rPr>
        <w:fldChar w:fldCharType="end"/>
      </w:r>
      <w:r>
        <w:rPr>
          <w:rFonts w:ascii="Times New Roman" w:hAnsi="Times New Roman" w:cs="Times New Roman"/>
          <w:bCs/>
          <w:sz w:val="21"/>
          <w:szCs w:val="21"/>
          <w:lang w:eastAsia="zh-CN"/>
        </w:rPr>
        <w:t>登记报名，登记报名时需递交以下文件：</w:t>
      </w:r>
      <w:r>
        <w:rPr>
          <w:rFonts w:ascii="Times New Roman" w:hAnsi="Times New Roman" w:cs="Times New Roman"/>
          <w:bCs/>
          <w:sz w:val="21"/>
          <w:szCs w:val="21"/>
          <w:lang w:eastAsia="zh-CN"/>
        </w:rPr>
        <w:cr/>
      </w:r>
      <w:r>
        <w:rPr>
          <w:rFonts w:ascii="Times New Roman" w:hAnsi="Times New Roman" w:cs="Times New Roman"/>
          <w:bCs/>
          <w:sz w:val="21"/>
          <w:szCs w:val="21"/>
          <w:lang w:eastAsia="zh-CN"/>
        </w:rPr>
        <w:t>（1）针对本项目的法人授权委托书（原件，格式详见参选文件附件2）；</w:t>
      </w:r>
      <w:r>
        <w:rPr>
          <w:rFonts w:ascii="Times New Roman" w:hAnsi="Times New Roman" w:cs="Times New Roman"/>
          <w:bCs/>
          <w:sz w:val="21"/>
          <w:szCs w:val="21"/>
          <w:lang w:eastAsia="zh-CN"/>
        </w:rPr>
        <w:cr/>
      </w:r>
      <w:r>
        <w:rPr>
          <w:rFonts w:ascii="Times New Roman" w:hAnsi="Times New Roman" w:cs="Times New Roman"/>
          <w:bCs/>
          <w:sz w:val="21"/>
          <w:szCs w:val="21"/>
          <w:lang w:eastAsia="zh-CN"/>
        </w:rPr>
        <w:t>（2）营业执照（加盖单位公章的复印件）；</w:t>
      </w:r>
    </w:p>
    <w:p>
      <w:pPr>
        <w:pStyle w:val="20"/>
        <w:numPr>
          <w:ilvl w:val="0"/>
          <w:numId w:val="3"/>
        </w:numPr>
        <w:autoSpaceDE/>
        <w:autoSpaceDN/>
        <w:spacing w:before="0" w:line="288" w:lineRule="auto"/>
        <w:ind w:left="992" w:hanging="372"/>
        <w:jc w:val="both"/>
        <w:rPr>
          <w:rFonts w:ascii="Times New Roman" w:hAnsi="Times New Roman" w:cs="Times New Roman"/>
          <w:bCs/>
          <w:sz w:val="21"/>
          <w:szCs w:val="21"/>
          <w:lang w:eastAsia="zh-CN"/>
        </w:rPr>
      </w:pPr>
      <w:r>
        <w:rPr>
          <w:rFonts w:ascii="Times New Roman" w:hAnsi="Times New Roman" w:cs="Times New Roman"/>
          <w:bCs/>
          <w:sz w:val="21"/>
          <w:szCs w:val="21"/>
          <w:lang w:eastAsia="zh-CN"/>
        </w:rPr>
        <w:t>获取比选文件：参选人自行下载比选文件。</w:t>
      </w:r>
    </w:p>
    <w:p>
      <w:pPr>
        <w:pStyle w:val="20"/>
        <w:autoSpaceDE/>
        <w:autoSpaceDN/>
        <w:spacing w:before="0" w:line="288" w:lineRule="auto"/>
        <w:ind w:left="209" w:leftChars="95" w:firstLine="390" w:firstLineChars="185"/>
        <w:jc w:val="both"/>
        <w:rPr>
          <w:rFonts w:ascii="Times New Roman" w:hAnsi="Times New Roman" w:cs="Times New Roman"/>
          <w:b/>
          <w:bCs/>
          <w:sz w:val="21"/>
          <w:szCs w:val="21"/>
          <w:lang w:eastAsia="zh-CN"/>
        </w:rPr>
      </w:pPr>
      <w:r>
        <w:rPr>
          <w:rFonts w:ascii="Times New Roman" w:hAnsi="Times New Roman" w:cs="Times New Roman"/>
          <w:b/>
          <w:bCs/>
          <w:sz w:val="21"/>
          <w:szCs w:val="21"/>
          <w:lang w:eastAsia="zh-CN"/>
        </w:rPr>
        <w:t>参选文件递交要求</w:t>
      </w:r>
      <w:bookmarkStart w:id="10" w:name="_GoBack"/>
      <w:bookmarkEnd w:id="10"/>
    </w:p>
    <w:p>
      <w:pPr>
        <w:autoSpaceDE/>
        <w:autoSpaceDN/>
        <w:spacing w:line="288" w:lineRule="auto"/>
        <w:ind w:left="895" w:leftChars="271" w:hanging="299"/>
        <w:jc w:val="both"/>
        <w:rPr>
          <w:rFonts w:ascii="Times New Roman" w:hAnsi="Times New Roman" w:cs="Times New Roman"/>
          <w:bCs/>
          <w:sz w:val="21"/>
          <w:szCs w:val="21"/>
          <w:lang w:eastAsia="zh-CN"/>
        </w:rPr>
      </w:pPr>
      <w:r>
        <w:rPr>
          <w:rFonts w:ascii="Times New Roman" w:hAnsi="Times New Roman" w:cs="Times New Roman"/>
          <w:bCs/>
          <w:sz w:val="21"/>
          <w:szCs w:val="21"/>
          <w:lang w:eastAsia="zh-CN"/>
        </w:rPr>
        <w:t>1、参选文件递交地点：福建省漳州市漳浦县杜浔镇杜昌路9号</w:t>
      </w:r>
    </w:p>
    <w:p>
      <w:pPr>
        <w:autoSpaceDE/>
        <w:autoSpaceDN/>
        <w:spacing w:line="288" w:lineRule="auto"/>
        <w:ind w:left="895" w:leftChars="271" w:hanging="299"/>
        <w:jc w:val="both"/>
        <w:rPr>
          <w:rFonts w:ascii="Times New Roman" w:hAnsi="Times New Roman" w:cs="Times New Roman"/>
          <w:bCs/>
          <w:sz w:val="21"/>
          <w:szCs w:val="21"/>
          <w:lang w:eastAsia="zh-CN"/>
        </w:rPr>
      </w:pPr>
      <w:r>
        <w:rPr>
          <w:rFonts w:ascii="Times New Roman" w:hAnsi="Times New Roman" w:cs="Times New Roman"/>
          <w:bCs/>
          <w:sz w:val="21"/>
          <w:szCs w:val="21"/>
          <w:lang w:eastAsia="zh-CN"/>
        </w:rPr>
        <w:t>2、递交截止时间：公示之日起第1</w:t>
      </w:r>
      <w:r>
        <w:rPr>
          <w:rFonts w:hint="eastAsia" w:ascii="Times New Roman" w:hAnsi="Times New Roman" w:cs="Times New Roman"/>
          <w:bCs/>
          <w:sz w:val="21"/>
          <w:szCs w:val="21"/>
          <w:lang w:eastAsia="zh-CN"/>
        </w:rPr>
        <w:t>2</w:t>
      </w:r>
      <w:r>
        <w:rPr>
          <w:rFonts w:ascii="Times New Roman" w:hAnsi="Times New Roman" w:cs="Times New Roman"/>
          <w:bCs/>
          <w:sz w:val="21"/>
          <w:szCs w:val="21"/>
          <w:lang w:eastAsia="zh-CN"/>
        </w:rPr>
        <w:t>天即</w:t>
      </w:r>
      <w:r>
        <w:rPr>
          <w:rFonts w:ascii="Times New Roman" w:hAnsi="Times New Roman" w:cs="Times New Roman"/>
          <w:sz w:val="21"/>
          <w:szCs w:val="21"/>
          <w:lang w:eastAsia="zh-CN"/>
        </w:rPr>
        <w:t>2023年</w:t>
      </w:r>
      <w:r>
        <w:rPr>
          <w:rFonts w:hint="eastAsia" w:ascii="Times New Roman" w:hAnsi="Times New Roman" w:cs="Times New Roman"/>
          <w:sz w:val="21"/>
          <w:szCs w:val="21"/>
          <w:lang w:val="en-US" w:eastAsia="zh-CN"/>
        </w:rPr>
        <w:t>02</w:t>
      </w:r>
      <w:r>
        <w:rPr>
          <w:rFonts w:ascii="Times New Roman" w:hAnsi="Times New Roman" w:cs="Times New Roman"/>
          <w:sz w:val="21"/>
          <w:szCs w:val="21"/>
          <w:lang w:eastAsia="zh-CN"/>
        </w:rPr>
        <w:t>月</w:t>
      </w:r>
      <w:r>
        <w:rPr>
          <w:rFonts w:hint="eastAsia" w:ascii="Times New Roman" w:hAnsi="Times New Roman" w:cs="Times New Roman"/>
          <w:sz w:val="21"/>
          <w:szCs w:val="21"/>
          <w:lang w:val="en-US" w:eastAsia="zh-CN"/>
        </w:rPr>
        <w:t>28</w:t>
      </w:r>
      <w:r>
        <w:rPr>
          <w:rFonts w:ascii="Times New Roman" w:hAnsi="Times New Roman" w:cs="Times New Roman"/>
          <w:sz w:val="21"/>
          <w:szCs w:val="21"/>
          <w:lang w:eastAsia="zh-CN"/>
        </w:rPr>
        <w:t>日17:00</w:t>
      </w:r>
      <w:r>
        <w:rPr>
          <w:rFonts w:ascii="Times New Roman" w:hAnsi="Times New Roman" w:cs="Times New Roman"/>
          <w:bCs/>
          <w:sz w:val="21"/>
          <w:szCs w:val="21"/>
          <w:lang w:eastAsia="zh-CN"/>
        </w:rPr>
        <w:t>将参选文件纸质原件密封送达比选人指定地点。</w:t>
      </w:r>
    </w:p>
    <w:p>
      <w:pPr>
        <w:pStyle w:val="20"/>
        <w:autoSpaceDE/>
        <w:autoSpaceDN/>
        <w:spacing w:before="0" w:line="288" w:lineRule="auto"/>
        <w:ind w:left="412" w:firstLine="0"/>
        <w:jc w:val="both"/>
        <w:rPr>
          <w:rFonts w:ascii="Times New Roman" w:hAnsi="Times New Roman" w:cs="Times New Roman"/>
          <w:b/>
          <w:bCs/>
          <w:sz w:val="21"/>
          <w:szCs w:val="21"/>
          <w:lang w:eastAsia="zh-CN"/>
        </w:rPr>
      </w:pPr>
      <w:r>
        <w:rPr>
          <w:rFonts w:ascii="Times New Roman" w:hAnsi="Times New Roman" w:cs="Times New Roman"/>
          <w:b/>
          <w:bCs/>
          <w:sz w:val="21"/>
          <w:szCs w:val="21"/>
          <w:lang w:eastAsia="zh-CN"/>
        </w:rPr>
        <w:t>四、联系方式</w:t>
      </w:r>
    </w:p>
    <w:p>
      <w:pPr>
        <w:pStyle w:val="5"/>
        <w:snapToGrid w:val="0"/>
        <w:spacing w:line="288" w:lineRule="auto"/>
        <w:ind w:left="412" w:firstLine="207" w:firstLineChars="99"/>
        <w:rPr>
          <w:rFonts w:ascii="Times New Roman" w:hAnsi="Times New Roman" w:eastAsia="宋体" w:cs="Times New Roman"/>
          <w:bCs/>
          <w:szCs w:val="21"/>
        </w:rPr>
      </w:pPr>
      <w:r>
        <w:rPr>
          <w:rFonts w:ascii="Times New Roman" w:hAnsi="Times New Roman" w:eastAsia="宋体" w:cs="Times New Roman"/>
          <w:bCs/>
          <w:szCs w:val="21"/>
        </w:rPr>
        <w:t>商务联系人：黄梅钦  电话：</w:t>
      </w:r>
      <w:r>
        <w:rPr>
          <w:rFonts w:hint="eastAsia" w:ascii="Times New Roman" w:hAnsi="Times New Roman" w:eastAsia="宋体" w:cs="Times New Roman"/>
          <w:bCs/>
          <w:szCs w:val="21"/>
        </w:rPr>
        <w:t>0596-6311073</w:t>
      </w:r>
      <w:r>
        <w:rPr>
          <w:rFonts w:ascii="Times New Roman" w:hAnsi="Times New Roman" w:eastAsia="宋体" w:cs="Times New Roman"/>
          <w:bCs/>
          <w:szCs w:val="21"/>
        </w:rPr>
        <w:t xml:space="preserve">  邮箱：</w:t>
      </w:r>
      <w:r>
        <w:fldChar w:fldCharType="begin"/>
      </w:r>
      <w:r>
        <w:instrText xml:space="preserve"> HYPERLINK "mailto:adgu@fhcpec.com.cn" </w:instrText>
      </w:r>
      <w:r>
        <w:fldChar w:fldCharType="separate"/>
      </w:r>
      <w:r>
        <w:rPr>
          <w:rStyle w:val="15"/>
          <w:rFonts w:ascii="Times New Roman" w:hAnsi="Times New Roman" w:eastAsia="宋体" w:cs="Times New Roman"/>
          <w:bCs/>
          <w:szCs w:val="21"/>
        </w:rPr>
        <w:t>huangmq@fjpec.com.cn</w:t>
      </w:r>
      <w:r>
        <w:rPr>
          <w:rStyle w:val="15"/>
          <w:rFonts w:ascii="Times New Roman" w:hAnsi="Times New Roman" w:eastAsia="宋体" w:cs="Times New Roman"/>
          <w:bCs/>
          <w:szCs w:val="21"/>
        </w:rPr>
        <w:fldChar w:fldCharType="end"/>
      </w:r>
    </w:p>
    <w:p>
      <w:pPr>
        <w:pStyle w:val="5"/>
        <w:snapToGrid w:val="0"/>
        <w:spacing w:line="288" w:lineRule="auto"/>
        <w:ind w:left="412" w:firstLine="207" w:firstLineChars="99"/>
        <w:rPr>
          <w:rFonts w:ascii="Times New Roman" w:hAnsi="Times New Roman" w:eastAsia="宋体" w:cs="Times New Roman"/>
          <w:bCs/>
          <w:szCs w:val="21"/>
        </w:rPr>
      </w:pPr>
      <w:r>
        <w:rPr>
          <w:rFonts w:ascii="Times New Roman" w:hAnsi="Times New Roman" w:eastAsia="宋体" w:cs="Times New Roman"/>
          <w:bCs/>
          <w:szCs w:val="21"/>
        </w:rPr>
        <w:t>技术联系人：</w:t>
      </w:r>
      <w:r>
        <w:rPr>
          <w:rFonts w:hint="eastAsia" w:ascii="Times New Roman" w:hAnsi="Times New Roman" w:eastAsia="宋体" w:cs="Times New Roman"/>
          <w:bCs/>
          <w:szCs w:val="21"/>
        </w:rPr>
        <w:t>何欣</w:t>
      </w:r>
      <w:r>
        <w:rPr>
          <w:rFonts w:ascii="Times New Roman" w:hAnsi="Times New Roman" w:eastAsia="宋体" w:cs="Times New Roman"/>
          <w:bCs/>
          <w:szCs w:val="21"/>
        </w:rPr>
        <w:t xml:space="preserve">  电话：</w:t>
      </w:r>
      <w:r>
        <w:rPr>
          <w:rFonts w:hint="eastAsia" w:ascii="Times New Roman" w:hAnsi="Times New Roman" w:eastAsia="宋体" w:cs="Times New Roman"/>
          <w:bCs/>
          <w:szCs w:val="21"/>
        </w:rPr>
        <w:t>0596-6311226</w:t>
      </w:r>
      <w:r>
        <w:rPr>
          <w:rFonts w:ascii="Times New Roman" w:hAnsi="Times New Roman" w:eastAsia="宋体" w:cs="Times New Roman"/>
          <w:bCs/>
          <w:szCs w:val="21"/>
        </w:rPr>
        <w:t xml:space="preserve">   </w:t>
      </w:r>
    </w:p>
    <w:p>
      <w:pPr>
        <w:pStyle w:val="5"/>
        <w:snapToGrid w:val="0"/>
        <w:spacing w:line="288" w:lineRule="auto"/>
        <w:ind w:left="412" w:firstLine="207" w:firstLineChars="99"/>
        <w:rPr>
          <w:rFonts w:ascii="Times New Roman" w:hAnsi="Times New Roman" w:eastAsia="宋体" w:cs="Times New Roman"/>
          <w:b/>
          <w:bCs/>
          <w:szCs w:val="21"/>
        </w:rPr>
      </w:pPr>
      <w:r>
        <w:rPr>
          <w:rFonts w:ascii="Times New Roman" w:hAnsi="Times New Roman" w:eastAsia="宋体" w:cs="Times New Roman"/>
          <w:bCs/>
          <w:szCs w:val="21"/>
        </w:rPr>
        <w:t>纪检监察室电话：0596-6311774  邮箱：</w:t>
      </w:r>
      <w:r>
        <w:fldChar w:fldCharType="begin"/>
      </w:r>
      <w:r>
        <w:instrText xml:space="preserve"> HYPERLINK "mailto:qlin@fhcpec.com.cn" </w:instrText>
      </w:r>
      <w:r>
        <w:fldChar w:fldCharType="separate"/>
      </w:r>
      <w:r>
        <w:rPr>
          <w:rStyle w:val="15"/>
          <w:rFonts w:ascii="Times New Roman" w:hAnsi="Times New Roman" w:eastAsia="宋体" w:cs="Times New Roman"/>
          <w:bCs/>
          <w:szCs w:val="21"/>
        </w:rPr>
        <w:t>qlin@fhcpec.com.cn</w:t>
      </w:r>
      <w:r>
        <w:rPr>
          <w:rStyle w:val="15"/>
          <w:rFonts w:ascii="Times New Roman" w:hAnsi="Times New Roman" w:eastAsia="宋体" w:cs="Times New Roman"/>
          <w:bCs/>
          <w:szCs w:val="21"/>
        </w:rPr>
        <w:fldChar w:fldCharType="end"/>
      </w:r>
    </w:p>
    <w:p>
      <w:pPr>
        <w:pStyle w:val="5"/>
        <w:snapToGrid w:val="0"/>
        <w:spacing w:line="288" w:lineRule="auto"/>
        <w:ind w:left="412" w:firstLine="207" w:firstLineChars="99"/>
        <w:rPr>
          <w:rFonts w:ascii="Times New Roman" w:hAnsi="Times New Roman" w:eastAsia="宋体" w:cs="Times New Roman"/>
          <w:b/>
          <w:bCs/>
          <w:szCs w:val="21"/>
        </w:rPr>
      </w:pPr>
      <w:r>
        <w:rPr>
          <w:rFonts w:ascii="Times New Roman" w:hAnsi="Times New Roman" w:eastAsia="宋体" w:cs="Times New Roman"/>
          <w:bCs/>
          <w:szCs w:val="21"/>
        </w:rPr>
        <w:t>联系地址：漳州市漳浦县杜浔镇杜昌路9号</w:t>
      </w:r>
    </w:p>
    <w:p>
      <w:pPr>
        <w:pStyle w:val="5"/>
        <w:snapToGrid w:val="0"/>
        <w:spacing w:line="288" w:lineRule="auto"/>
        <w:ind w:left="412" w:firstLine="207" w:firstLineChars="99"/>
        <w:rPr>
          <w:rFonts w:ascii="Times New Roman" w:hAnsi="Times New Roman" w:eastAsia="宋体" w:cs="Times New Roman"/>
          <w:bCs/>
          <w:szCs w:val="21"/>
        </w:rPr>
      </w:pPr>
      <w:r>
        <w:rPr>
          <w:rFonts w:ascii="Times New Roman" w:hAnsi="Times New Roman" w:eastAsia="宋体" w:cs="Times New Roman"/>
          <w:bCs/>
          <w:szCs w:val="21"/>
        </w:rPr>
        <w:t>邮    编：363216</w:t>
      </w:r>
    </w:p>
    <w:p>
      <w:pPr>
        <w:pStyle w:val="5"/>
        <w:snapToGrid w:val="0"/>
        <w:spacing w:line="288" w:lineRule="auto"/>
        <w:ind w:left="412" w:firstLine="207" w:firstLineChars="99"/>
        <w:rPr>
          <w:rFonts w:ascii="Times New Roman" w:hAnsi="Times New Roman" w:eastAsia="宋体" w:cs="Times New Roman"/>
          <w:bCs/>
          <w:szCs w:val="21"/>
        </w:rPr>
      </w:pPr>
    </w:p>
    <w:p>
      <w:pPr>
        <w:pStyle w:val="5"/>
        <w:snapToGrid w:val="0"/>
        <w:spacing w:line="288" w:lineRule="auto"/>
        <w:ind w:left="412" w:firstLineChars="200"/>
        <w:rPr>
          <w:rFonts w:ascii="Times New Roman" w:hAnsi="Times New Roman" w:eastAsia="宋体" w:cs="Times New Roman"/>
          <w:bCs/>
          <w:szCs w:val="21"/>
        </w:rPr>
      </w:pPr>
    </w:p>
    <w:p>
      <w:pPr>
        <w:spacing w:line="288" w:lineRule="auto"/>
        <w:ind w:firstLine="420" w:firstLineChars="200"/>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福建福海创石油化工有限公司 </w:t>
      </w:r>
    </w:p>
    <w:p>
      <w:pPr>
        <w:spacing w:line="288"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 xml:space="preserve">   202</w:t>
      </w:r>
      <w:r>
        <w:rPr>
          <w:rFonts w:hint="eastAsia" w:ascii="Times New Roman" w:hAnsi="Times New Roman" w:cs="Times New Roman"/>
          <w:sz w:val="21"/>
          <w:szCs w:val="21"/>
          <w:lang w:eastAsia="zh-CN"/>
        </w:rPr>
        <w:t>3</w:t>
      </w:r>
      <w:r>
        <w:rPr>
          <w:rFonts w:ascii="Times New Roman" w:hAnsi="Times New Roman" w:cs="Times New Roman"/>
          <w:sz w:val="21"/>
          <w:szCs w:val="21"/>
          <w:lang w:eastAsia="zh-CN"/>
        </w:rPr>
        <w:t>年0</w:t>
      </w:r>
      <w:r>
        <w:rPr>
          <w:rFonts w:hint="eastAsia" w:ascii="Times New Roman" w:hAnsi="Times New Roman" w:cs="Times New Roman"/>
          <w:sz w:val="21"/>
          <w:szCs w:val="21"/>
          <w:lang w:eastAsia="zh-CN"/>
        </w:rPr>
        <w:t>2</w:t>
      </w:r>
      <w:r>
        <w:rPr>
          <w:rFonts w:ascii="Times New Roman" w:hAnsi="Times New Roman" w:cs="Times New Roman"/>
          <w:sz w:val="21"/>
          <w:szCs w:val="21"/>
          <w:lang w:eastAsia="zh-CN"/>
        </w:rPr>
        <w:t>月</w:t>
      </w:r>
      <w:r>
        <w:rPr>
          <w:rFonts w:hint="eastAsia" w:ascii="Times New Roman" w:hAnsi="Times New Roman" w:cs="Times New Roman"/>
          <w:sz w:val="21"/>
          <w:szCs w:val="21"/>
          <w:lang w:eastAsia="zh-CN"/>
        </w:rPr>
        <w:t>1</w:t>
      </w:r>
      <w:r>
        <w:rPr>
          <w:rFonts w:hint="eastAsia" w:ascii="Times New Roman" w:hAnsi="Times New Roman" w:cs="Times New Roman"/>
          <w:sz w:val="21"/>
          <w:szCs w:val="21"/>
          <w:lang w:val="en-US" w:eastAsia="zh-CN"/>
        </w:rPr>
        <w:t>5</w:t>
      </w:r>
      <w:r>
        <w:rPr>
          <w:rFonts w:ascii="Times New Roman" w:hAnsi="Times New Roman" w:cs="Times New Roman"/>
          <w:sz w:val="21"/>
          <w:szCs w:val="21"/>
          <w:lang w:eastAsia="zh-CN"/>
        </w:rPr>
        <w:t>日</w:t>
      </w: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6"/>
        <w:spacing w:before="3"/>
        <w:rPr>
          <w:b/>
          <w:sz w:val="26"/>
          <w:lang w:eastAsia="zh-CN"/>
        </w:rPr>
      </w:pPr>
    </w:p>
    <w:p>
      <w:pPr>
        <w:spacing w:before="15"/>
        <w:ind w:left="680"/>
        <w:rPr>
          <w:b/>
          <w:sz w:val="24"/>
          <w:szCs w:val="24"/>
          <w:lang w:eastAsia="zh-CN"/>
        </w:rPr>
      </w:pPr>
      <w:r>
        <w:rPr>
          <w:b/>
          <w:w w:val="95"/>
          <w:sz w:val="24"/>
          <w:szCs w:val="24"/>
          <w:lang w:eastAsia="zh-CN"/>
        </w:rPr>
        <w:t>一、比选内容</w:t>
      </w:r>
    </w:p>
    <w:p>
      <w:pPr>
        <w:pStyle w:val="6"/>
        <w:spacing w:before="186" w:line="322" w:lineRule="auto"/>
        <w:ind w:left="598"/>
        <w:rPr>
          <w:lang w:eastAsia="zh-CN"/>
        </w:rPr>
      </w:pPr>
      <w:r>
        <w:rPr>
          <w:lang w:eastAsia="zh-CN"/>
        </w:rPr>
        <w:t>(一)</w:t>
      </w:r>
      <w:r>
        <w:rPr>
          <w:rFonts w:hint="eastAsia"/>
          <w:lang w:eastAsia="zh-CN"/>
        </w:rPr>
        <w:t>项目</w:t>
      </w:r>
      <w:r>
        <w:rPr>
          <w:lang w:eastAsia="zh-CN"/>
        </w:rPr>
        <w:t>名称：</w:t>
      </w:r>
      <w:r>
        <w:rPr>
          <w:u w:val="single"/>
          <w:lang w:eastAsia="zh-CN"/>
        </w:rPr>
        <w:t>颗粒计数器仪检定</w:t>
      </w:r>
    </w:p>
    <w:p>
      <w:pPr>
        <w:pStyle w:val="6"/>
        <w:spacing w:before="131" w:line="322" w:lineRule="auto"/>
        <w:ind w:left="598"/>
        <w:rPr>
          <w:lang w:eastAsia="zh-CN"/>
        </w:rPr>
      </w:pPr>
      <w:r>
        <w:rPr>
          <w:lang w:eastAsia="zh-CN"/>
        </w:rPr>
        <w:t>(二)</w:t>
      </w:r>
      <w:r>
        <w:rPr>
          <w:rFonts w:hint="eastAsia"/>
          <w:lang w:eastAsia="zh-CN"/>
        </w:rPr>
        <w:t>项目</w:t>
      </w:r>
      <w:r>
        <w:rPr>
          <w:lang w:eastAsia="zh-CN"/>
        </w:rPr>
        <w:t>地点：</w:t>
      </w:r>
      <w:r>
        <w:rPr>
          <w:rFonts w:hint="eastAsia"/>
          <w:lang w:eastAsia="zh-CN"/>
        </w:rPr>
        <w:t>腾龙芳烃（漳州）有限公司（</w:t>
      </w:r>
      <w:r>
        <w:rPr>
          <w:rFonts w:hint="eastAsia" w:asciiTheme="majorEastAsia" w:hAnsiTheme="majorEastAsia" w:eastAsiaTheme="majorEastAsia"/>
          <w:lang w:eastAsia="zh-CN"/>
        </w:rPr>
        <w:t>漳州市漳浦县古雷开发区腾龙路84号）</w:t>
      </w:r>
    </w:p>
    <w:p>
      <w:pPr>
        <w:pStyle w:val="6"/>
        <w:spacing w:before="131" w:line="322" w:lineRule="auto"/>
        <w:ind w:left="595"/>
        <w:rPr>
          <w:lang w:eastAsia="zh-CN"/>
        </w:rPr>
      </w:pPr>
      <w:r>
        <w:rPr>
          <w:lang w:eastAsia="zh-CN"/>
        </w:rPr>
        <w:t>(三)</w:t>
      </w:r>
      <w:r>
        <w:rPr>
          <w:rFonts w:hint="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6"/>
        <w:spacing w:before="131" w:line="322" w:lineRule="auto"/>
        <w:ind w:left="595"/>
        <w:rPr>
          <w:lang w:eastAsia="zh-CN"/>
        </w:rPr>
      </w:pPr>
      <w:r>
        <w:rPr>
          <w:lang w:eastAsia="zh-CN"/>
        </w:rPr>
        <w:t>(</w:t>
      </w:r>
      <w:r>
        <w:rPr>
          <w:rFonts w:hint="eastAsia"/>
          <w:lang w:eastAsia="zh-CN"/>
        </w:rPr>
        <w:t>四</w:t>
      </w:r>
      <w:r>
        <w:rPr>
          <w:lang w:eastAsia="zh-CN"/>
        </w:rPr>
        <w:t>)比选范围：</w:t>
      </w:r>
    </w:p>
    <w:p>
      <w:pPr>
        <w:spacing w:line="324" w:lineRule="auto"/>
        <w:ind w:left="1095" w:leftChars="327" w:hanging="376" w:hangingChars="157"/>
        <w:rPr>
          <w:rFonts w:asciiTheme="minorEastAsia" w:hAnsiTheme="minorEastAsia" w:eastAsiaTheme="minorEastAsia"/>
          <w:sz w:val="24"/>
          <w:szCs w:val="24"/>
          <w:lang w:eastAsia="zh-CN"/>
        </w:rPr>
      </w:pPr>
      <w:r>
        <w:rPr>
          <w:rFonts w:hint="eastAsia"/>
          <w:sz w:val="24"/>
          <w:szCs w:val="24"/>
          <w:lang w:eastAsia="zh-CN"/>
        </w:rPr>
        <w:t>1、项目概况：化验室现有1台“颗粒计数器”，主要用于润滑油、抗燃油中颗粒度分析。按计量要求，涉及原料及产品的分析仪器均需委托第三方检定。</w:t>
      </w:r>
    </w:p>
    <w:p>
      <w:pPr>
        <w:spacing w:line="324" w:lineRule="auto"/>
        <w:ind w:left="1196" w:leftChars="318" w:hanging="496" w:hangingChars="207"/>
        <w:rPr>
          <w:bCs/>
          <w:snapToGrid w:val="0"/>
          <w:spacing w:val="8"/>
          <w:sz w:val="24"/>
          <w:szCs w:val="24"/>
          <w:lang w:eastAsia="zh-CN"/>
        </w:rPr>
      </w:pPr>
      <w:r>
        <w:rPr>
          <w:rFonts w:hint="eastAsia"/>
          <w:sz w:val="24"/>
          <w:szCs w:val="24"/>
          <w:lang w:eastAsia="zh-CN"/>
        </w:rPr>
        <w:t xml:space="preserve"> 2、本项目采用资格后审方式对参选人进行资格审查</w:t>
      </w:r>
      <w:r>
        <w:rPr>
          <w:rFonts w:hint="eastAsia"/>
          <w:b/>
          <w:sz w:val="24"/>
          <w:szCs w:val="24"/>
          <w:lang w:eastAsia="zh-CN"/>
        </w:rPr>
        <w:t>，</w:t>
      </w:r>
      <w:r>
        <w:rPr>
          <w:bCs/>
          <w:snapToGrid w:val="0"/>
          <w:spacing w:val="8"/>
          <w:sz w:val="24"/>
          <w:szCs w:val="24"/>
          <w:lang w:eastAsia="zh-CN"/>
        </w:rPr>
        <w:t>经资格审查合格的参选人的商务报价</w:t>
      </w:r>
      <w:r>
        <w:rPr>
          <w:rFonts w:hint="eastAsia"/>
          <w:bCs/>
          <w:snapToGrid w:val="0"/>
          <w:spacing w:val="8"/>
          <w:sz w:val="24"/>
          <w:szCs w:val="24"/>
          <w:lang w:eastAsia="zh-CN"/>
        </w:rPr>
        <w:t>以未税总价最低者作为中选单位。</w:t>
      </w:r>
    </w:p>
    <w:p>
      <w:pPr>
        <w:pStyle w:val="3"/>
        <w:spacing w:before="18"/>
        <w:ind w:left="680"/>
        <w:rPr>
          <w:sz w:val="24"/>
          <w:szCs w:val="24"/>
          <w:lang w:eastAsia="zh-CN"/>
        </w:rPr>
      </w:pPr>
      <w:r>
        <w:rPr>
          <w:w w:val="95"/>
          <w:sz w:val="24"/>
          <w:szCs w:val="24"/>
          <w:lang w:eastAsia="zh-CN"/>
        </w:rPr>
        <w:t>二、定义和解释</w:t>
      </w:r>
    </w:p>
    <w:p>
      <w:pPr>
        <w:pStyle w:val="6"/>
        <w:spacing w:before="186"/>
        <w:ind w:left="598" w:leftChars="272" w:firstLine="120" w:firstLineChars="50"/>
        <w:rPr>
          <w:lang w:eastAsia="zh-CN"/>
        </w:rPr>
      </w:pPr>
      <w:r>
        <w:rPr>
          <w:lang w:eastAsia="zh-CN"/>
        </w:rPr>
        <w:t>1</w:t>
      </w:r>
      <w:r>
        <w:rPr>
          <w:rFonts w:hint="eastAsia"/>
          <w:lang w:eastAsia="zh-CN"/>
        </w:rPr>
        <w:t>、</w:t>
      </w:r>
      <w:r>
        <w:rPr>
          <w:lang w:eastAsia="zh-CN"/>
        </w:rPr>
        <w:t>“比选人”系福建福海创石油化工有限公司，即业主方。</w:t>
      </w:r>
    </w:p>
    <w:p>
      <w:pPr>
        <w:pStyle w:val="6"/>
        <w:spacing w:before="108" w:line="321" w:lineRule="auto"/>
        <w:ind w:left="119" w:leftChars="54" w:right="222" w:firstLine="588" w:firstLineChars="270"/>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pPr>
        <w:pStyle w:val="6"/>
        <w:spacing w:before="27" w:line="321" w:lineRule="auto"/>
        <w:ind w:left="119" w:leftChars="54" w:right="222" w:firstLine="585" w:firstLineChars="276"/>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pPr>
        <w:pStyle w:val="3"/>
        <w:spacing w:before="95"/>
        <w:rPr>
          <w:sz w:val="24"/>
          <w:szCs w:val="24"/>
          <w:lang w:eastAsia="zh-CN"/>
        </w:rPr>
      </w:pPr>
      <w:r>
        <w:rPr>
          <w:w w:val="95"/>
          <w:sz w:val="24"/>
          <w:szCs w:val="24"/>
          <w:lang w:eastAsia="zh-CN"/>
        </w:rPr>
        <w:t>三、比选文件组成</w:t>
      </w:r>
    </w:p>
    <w:p>
      <w:pPr>
        <w:pStyle w:val="6"/>
        <w:spacing w:before="188"/>
        <w:ind w:left="598" w:leftChars="272" w:firstLine="120" w:firstLineChars="50"/>
        <w:rPr>
          <w:lang w:eastAsia="zh-CN"/>
        </w:rPr>
      </w:pPr>
      <w:r>
        <w:rPr>
          <w:lang w:eastAsia="zh-CN"/>
        </w:rPr>
        <w:t>1</w:t>
      </w:r>
      <w:r>
        <w:rPr>
          <w:rFonts w:hint="eastAsia"/>
          <w:lang w:eastAsia="zh-CN"/>
        </w:rPr>
        <w:t>、</w:t>
      </w:r>
      <w:r>
        <w:rPr>
          <w:lang w:eastAsia="zh-CN"/>
        </w:rPr>
        <w:t>比选文件包括下列内容：</w:t>
      </w:r>
    </w:p>
    <w:p>
      <w:pPr>
        <w:pStyle w:val="6"/>
        <w:spacing w:before="105"/>
        <w:ind w:left="598"/>
        <w:rPr>
          <w:lang w:eastAsia="zh-CN"/>
        </w:rPr>
      </w:pPr>
      <w:r>
        <w:rPr>
          <w:lang w:eastAsia="zh-CN"/>
        </w:rPr>
        <w:t>比选公告、比选须知、项目内容、合同书格式、报价单、承诺函等。</w:t>
      </w:r>
    </w:p>
    <w:p>
      <w:pPr>
        <w:pStyle w:val="6"/>
        <w:spacing w:before="108" w:line="321" w:lineRule="auto"/>
        <w:ind w:left="119" w:leftChars="54" w:right="212" w:firstLine="600" w:firstLineChars="250"/>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6"/>
        <w:spacing w:before="186" w:line="321" w:lineRule="auto"/>
        <w:ind w:left="118" w:right="92" w:firstLine="480"/>
        <w:rPr>
          <w:spacing w:val="-13"/>
          <w:lang w:eastAsia="zh-CN"/>
        </w:rPr>
      </w:pPr>
      <w:r>
        <w:rPr>
          <w:spacing w:val="-13"/>
          <w:lang w:eastAsia="zh-CN"/>
        </w:rPr>
        <w:t>3</w:t>
      </w:r>
      <w:r>
        <w:rPr>
          <w:rFonts w:hint="eastAsia"/>
          <w:spacing w:val="-13"/>
          <w:lang w:eastAsia="zh-CN"/>
        </w:rPr>
        <w:t>、</w:t>
      </w:r>
      <w:r>
        <w:rPr>
          <w:spacing w:val="-13"/>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pStyle w:val="3"/>
        <w:spacing w:before="97"/>
        <w:ind w:left="680"/>
        <w:rPr>
          <w:sz w:val="24"/>
          <w:szCs w:val="24"/>
          <w:lang w:eastAsia="zh-CN"/>
        </w:rPr>
      </w:pPr>
      <w:r>
        <w:rPr>
          <w:w w:val="95"/>
          <w:sz w:val="24"/>
          <w:szCs w:val="24"/>
          <w:lang w:eastAsia="zh-CN"/>
        </w:rPr>
        <w:t>四、比选文件的澄清</w:t>
      </w:r>
    </w:p>
    <w:p>
      <w:pPr>
        <w:pStyle w:val="6"/>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w:t>
      </w:r>
      <w:r>
        <w:rPr>
          <w:rFonts w:hint="eastAsia"/>
          <w:spacing w:val="-4"/>
          <w:lang w:eastAsia="zh-CN"/>
        </w:rPr>
        <w:t>确定采用适当方式予以澄清或以书面形式予以答复，澄清文件作为比选文件的组成部分，具有约束作用。</w:t>
      </w:r>
    </w:p>
    <w:p>
      <w:pPr>
        <w:pStyle w:val="3"/>
        <w:spacing w:before="95"/>
        <w:rPr>
          <w:sz w:val="24"/>
          <w:szCs w:val="24"/>
          <w:lang w:eastAsia="zh-CN"/>
        </w:rPr>
      </w:pPr>
      <w:r>
        <w:rPr>
          <w:rFonts w:hint="eastAsia"/>
          <w:w w:val="95"/>
          <w:sz w:val="24"/>
          <w:szCs w:val="24"/>
          <w:lang w:eastAsia="zh-CN"/>
        </w:rPr>
        <w:t>五、比选文件的修改、补充</w:t>
      </w:r>
    </w:p>
    <w:p>
      <w:pPr>
        <w:pStyle w:val="6"/>
        <w:spacing w:before="189" w:line="321" w:lineRule="auto"/>
        <w:ind w:left="118" w:right="226" w:firstLine="480"/>
        <w:jc w:val="both"/>
        <w:rPr>
          <w:lang w:eastAsia="zh-CN"/>
        </w:rPr>
      </w:pPr>
      <w:r>
        <w:rPr>
          <w:rFonts w:hint="eastAsia"/>
          <w:lang w:eastAsia="zh-CN"/>
        </w:rPr>
        <w:t>1.在参选截止日期前，比选人可主动地或依据参选人要求澄清的问题而修改比选文</w:t>
      </w:r>
      <w:r>
        <w:rPr>
          <w:rFonts w:hint="eastAsia"/>
          <w:spacing w:val="-10"/>
          <w:lang w:eastAsia="zh-CN"/>
        </w:rPr>
        <w:t>件，并以书面形式通知所有报名参加比选项目的每一参选人，对方在收到该通知后应立即</w:t>
      </w:r>
      <w:r>
        <w:rPr>
          <w:rFonts w:hint="eastAsia"/>
          <w:spacing w:val="-2"/>
          <w:lang w:eastAsia="zh-CN"/>
        </w:rPr>
        <w:t>以书面形式予以确认；参选人未按规定时间予以确认或未按规定时间地点领取书面文件的，视比选通知已收到。</w:t>
      </w:r>
    </w:p>
    <w:p>
      <w:pPr>
        <w:pStyle w:val="6"/>
        <w:spacing w:before="27" w:line="321" w:lineRule="auto"/>
        <w:ind w:left="118" w:right="222" w:firstLine="480"/>
        <w:rPr>
          <w:lang w:eastAsia="zh-CN"/>
        </w:rPr>
      </w:pPr>
      <w:r>
        <w:rPr>
          <w:rFonts w:hint="eastAsia"/>
          <w:lang w:eastAsia="zh-CN"/>
        </w:rPr>
        <w:t>2.</w:t>
      </w:r>
      <w:r>
        <w:rPr>
          <w:rFonts w:hint="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6"/>
        <w:spacing w:line="312" w:lineRule="auto"/>
        <w:ind w:left="598"/>
        <w:rPr>
          <w:lang w:eastAsia="zh-CN"/>
        </w:rPr>
      </w:pPr>
      <w:r>
        <w:rPr>
          <w:rFonts w:hint="eastAsia"/>
          <w:lang w:eastAsia="zh-CN"/>
        </w:rPr>
        <w:t>3.比选文件的修改书将构成比选文件的一部分，对参选人具有约束作用。</w:t>
      </w:r>
    </w:p>
    <w:p>
      <w:pPr>
        <w:pStyle w:val="3"/>
        <w:spacing w:line="312" w:lineRule="auto"/>
        <w:rPr>
          <w:sz w:val="24"/>
          <w:szCs w:val="24"/>
          <w:lang w:eastAsia="zh-CN"/>
        </w:rPr>
      </w:pPr>
      <w:r>
        <w:rPr>
          <w:rFonts w:hint="eastAsia"/>
          <w:w w:val="95"/>
          <w:sz w:val="24"/>
          <w:szCs w:val="24"/>
          <w:lang w:eastAsia="zh-CN"/>
        </w:rPr>
        <w:t>六、参选人资格</w:t>
      </w:r>
    </w:p>
    <w:p>
      <w:pPr>
        <w:pStyle w:val="6"/>
        <w:spacing w:line="312" w:lineRule="auto"/>
        <w:ind w:left="118" w:right="226" w:firstLine="480"/>
        <w:jc w:val="both"/>
        <w:rPr>
          <w:spacing w:val="-10"/>
          <w:lang w:eastAsia="zh-CN"/>
        </w:rPr>
      </w:pPr>
      <w:r>
        <w:rPr>
          <w:rFonts w:hint="eastAsia"/>
          <w:spacing w:val="-10"/>
          <w:lang w:eastAsia="zh-CN"/>
        </w:rPr>
        <w:t>1、参选人必须具备有效的企业法人营业执照，具有在中华人民共和国注册的法人资格。</w:t>
      </w:r>
    </w:p>
    <w:p>
      <w:pPr>
        <w:pStyle w:val="6"/>
        <w:spacing w:line="312" w:lineRule="auto"/>
        <w:ind w:left="118" w:right="226" w:firstLine="480"/>
        <w:jc w:val="both"/>
        <w:rPr>
          <w:spacing w:val="-10"/>
          <w:lang w:eastAsia="zh-CN"/>
        </w:rPr>
      </w:pPr>
      <w:r>
        <w:rPr>
          <w:rFonts w:hint="eastAsia"/>
          <w:spacing w:val="-10"/>
          <w:lang w:eastAsia="zh-CN"/>
        </w:rPr>
        <w:t>2、检定单位资质必须为国家认可、国防许可的标准计量单位。</w:t>
      </w:r>
    </w:p>
    <w:p>
      <w:pPr>
        <w:pStyle w:val="6"/>
        <w:spacing w:line="312" w:lineRule="auto"/>
        <w:ind w:left="118" w:right="226" w:firstLine="480"/>
        <w:jc w:val="both"/>
        <w:rPr>
          <w:spacing w:val="-10"/>
          <w:lang w:eastAsia="zh-CN"/>
        </w:rPr>
      </w:pPr>
      <w:r>
        <w:rPr>
          <w:rFonts w:hint="eastAsia"/>
          <w:spacing w:val="-10"/>
          <w:lang w:eastAsia="zh-CN"/>
        </w:rPr>
        <w:t>3、没有失信黑名单记录（以最高院失信被执行人系统发布信息为准）。</w:t>
      </w:r>
    </w:p>
    <w:p>
      <w:pPr>
        <w:pStyle w:val="6"/>
        <w:spacing w:line="312" w:lineRule="auto"/>
        <w:ind w:left="118" w:right="226" w:firstLine="480"/>
        <w:jc w:val="both"/>
        <w:rPr>
          <w:spacing w:val="-10"/>
          <w:lang w:eastAsia="zh-CN"/>
        </w:rPr>
      </w:pPr>
      <w:r>
        <w:rPr>
          <w:rFonts w:hint="eastAsia"/>
          <w:spacing w:val="-10"/>
          <w:lang w:eastAsia="zh-CN"/>
        </w:rPr>
        <w:t>4、与比选人无诉讼纠纷。</w:t>
      </w:r>
    </w:p>
    <w:p>
      <w:pPr>
        <w:pStyle w:val="6"/>
        <w:spacing w:line="312" w:lineRule="auto"/>
        <w:ind w:left="118" w:right="226" w:firstLine="480"/>
        <w:jc w:val="both"/>
        <w:rPr>
          <w:spacing w:val="-10"/>
          <w:lang w:eastAsia="zh-CN"/>
        </w:rPr>
      </w:pPr>
      <w:r>
        <w:rPr>
          <w:rFonts w:hint="eastAsia"/>
          <w:spacing w:val="-10"/>
          <w:lang w:eastAsia="zh-CN"/>
        </w:rPr>
        <w:t>5、本项目不接受联合体投标。</w:t>
      </w:r>
    </w:p>
    <w:p>
      <w:pPr>
        <w:pStyle w:val="3"/>
        <w:spacing w:before="95"/>
        <w:rPr>
          <w:sz w:val="24"/>
          <w:szCs w:val="24"/>
          <w:lang w:eastAsia="zh-CN"/>
        </w:rPr>
      </w:pPr>
      <w:r>
        <w:rPr>
          <w:rFonts w:hint="eastAsia"/>
          <w:w w:val="95"/>
          <w:sz w:val="24"/>
          <w:szCs w:val="24"/>
          <w:lang w:eastAsia="zh-CN"/>
        </w:rPr>
        <w:t>七、参选保证金</w:t>
      </w:r>
    </w:p>
    <w:p>
      <w:pPr>
        <w:pStyle w:val="3"/>
        <w:spacing w:before="174"/>
        <w:ind w:firstLine="482" w:firstLineChars="200"/>
        <w:rPr>
          <w:sz w:val="24"/>
          <w:szCs w:val="24"/>
          <w:lang w:eastAsia="zh-CN"/>
        </w:rPr>
      </w:pPr>
      <w:r>
        <w:rPr>
          <w:rFonts w:hint="eastAsia"/>
          <w:sz w:val="24"/>
          <w:szCs w:val="24"/>
          <w:lang w:eastAsia="zh-CN"/>
        </w:rPr>
        <w:t>本项目无参选保证金。</w:t>
      </w:r>
    </w:p>
    <w:p>
      <w:pPr>
        <w:pStyle w:val="3"/>
        <w:spacing w:before="174"/>
        <w:ind w:left="680"/>
        <w:rPr>
          <w:sz w:val="24"/>
          <w:szCs w:val="24"/>
          <w:lang w:eastAsia="zh-CN"/>
        </w:rPr>
      </w:pPr>
      <w:r>
        <w:rPr>
          <w:rFonts w:hint="eastAsia"/>
          <w:w w:val="95"/>
          <w:sz w:val="24"/>
          <w:szCs w:val="24"/>
          <w:lang w:eastAsia="zh-CN"/>
        </w:rPr>
        <w:t>八、参选文件的递交</w:t>
      </w:r>
    </w:p>
    <w:p>
      <w:pPr>
        <w:pStyle w:val="4"/>
        <w:tabs>
          <w:tab w:val="left" w:pos="6879"/>
        </w:tabs>
        <w:spacing w:before="107" w:line="321" w:lineRule="auto"/>
        <w:ind w:left="118" w:right="106" w:firstLine="480"/>
        <w:rPr>
          <w:lang w:eastAsia="zh-CN"/>
        </w:rPr>
      </w:pPr>
      <w:r>
        <w:rPr>
          <w:rFonts w:hint="eastAsia"/>
          <w:lang w:eastAsia="zh-CN"/>
        </w:rPr>
        <w:t>1、参选文件递交的截止时间：公示之日起第12天 即202</w:t>
      </w:r>
      <w:r>
        <w:rPr>
          <w:rFonts w:hint="eastAsia"/>
          <w:lang w:val="en-US" w:eastAsia="zh-CN"/>
        </w:rPr>
        <w:t>3</w:t>
      </w:r>
      <w:r>
        <w:rPr>
          <w:rFonts w:hint="eastAsia"/>
          <w:lang w:eastAsia="zh-CN"/>
        </w:rPr>
        <w:t>年</w:t>
      </w:r>
      <w:r>
        <w:rPr>
          <w:rFonts w:hint="eastAsia"/>
          <w:lang w:val="en-US" w:eastAsia="zh-CN"/>
        </w:rPr>
        <w:t>02</w:t>
      </w:r>
      <w:r>
        <w:rPr>
          <w:rFonts w:hint="eastAsia"/>
          <w:lang w:eastAsia="zh-CN"/>
        </w:rPr>
        <w:t>月</w:t>
      </w:r>
      <w:r>
        <w:rPr>
          <w:rFonts w:hint="eastAsia"/>
          <w:lang w:val="en-US" w:eastAsia="zh-CN"/>
        </w:rPr>
        <w:t>28</w:t>
      </w:r>
      <w:r>
        <w:rPr>
          <w:rFonts w:hint="eastAsia"/>
          <w:lang w:eastAsia="zh-CN"/>
        </w:rPr>
        <w:t>日17:00。</w:t>
      </w:r>
    </w:p>
    <w:p>
      <w:pPr>
        <w:pStyle w:val="4"/>
        <w:tabs>
          <w:tab w:val="left" w:pos="6879"/>
        </w:tabs>
        <w:spacing w:line="360" w:lineRule="auto"/>
        <w:ind w:left="820" w:leftChars="272" w:right="106" w:hanging="222" w:hangingChars="92"/>
        <w:rPr>
          <w:spacing w:val="4"/>
          <w:lang w:eastAsia="zh-CN"/>
        </w:rPr>
      </w:pPr>
      <w:r>
        <w:rPr>
          <w:rFonts w:hint="eastAsia"/>
          <w:lang w:eastAsia="zh-CN"/>
        </w:rPr>
        <w:t>2、</w:t>
      </w:r>
      <w:r>
        <w:rPr>
          <w:rFonts w:hint="eastAsia"/>
          <w:spacing w:val="4"/>
          <w:lang w:eastAsia="zh-CN"/>
        </w:rPr>
        <w:t>递交</w:t>
      </w:r>
      <w:r>
        <w:rPr>
          <w:rFonts w:hint="eastAsia"/>
          <w:lang w:eastAsia="zh-CN"/>
        </w:rPr>
        <w:t>参</w:t>
      </w:r>
      <w:r>
        <w:rPr>
          <w:rFonts w:hint="eastAsia"/>
          <w:spacing w:val="4"/>
          <w:lang w:eastAsia="zh-CN"/>
        </w:rPr>
        <w:t>选文件的地</w:t>
      </w:r>
      <w:r>
        <w:rPr>
          <w:rFonts w:hint="eastAsia"/>
          <w:lang w:eastAsia="zh-CN"/>
        </w:rPr>
        <w:t>点</w:t>
      </w:r>
      <w:r>
        <w:rPr>
          <w:rFonts w:hint="eastAsia"/>
          <w:spacing w:val="4"/>
          <w:lang w:eastAsia="zh-CN"/>
        </w:rPr>
        <w:t>为：漳州市漳浦县杜浔镇杜昌路9号，</w:t>
      </w:r>
    </w:p>
    <w:p>
      <w:pPr>
        <w:pStyle w:val="4"/>
        <w:tabs>
          <w:tab w:val="left" w:pos="6879"/>
        </w:tabs>
        <w:spacing w:line="360" w:lineRule="auto"/>
        <w:ind w:right="106" w:firstLine="482" w:firstLineChars="200"/>
        <w:rPr>
          <w:rFonts w:ascii="Times New Roman" w:hAnsi="Times New Roman" w:cs="Times New Roman"/>
          <w:spacing w:val="5"/>
          <w:lang w:eastAsia="zh-CN"/>
        </w:rPr>
      </w:pPr>
      <w:r>
        <w:rPr>
          <w:rFonts w:ascii="Times New Roman" w:hAnsi="Times New Roman" w:cs="Times New Roman"/>
          <w:lang w:eastAsia="zh-CN"/>
        </w:rPr>
        <w:t>联系人</w:t>
      </w:r>
      <w:r>
        <w:rPr>
          <w:rFonts w:ascii="Times New Roman" w:hAnsi="Times New Roman" w:cs="Times New Roman"/>
          <w:spacing w:val="-56"/>
          <w:lang w:eastAsia="zh-CN"/>
        </w:rPr>
        <w:t>：</w:t>
      </w:r>
      <w:r>
        <w:rPr>
          <w:rFonts w:ascii="Times New Roman" w:hAnsi="Times New Roman" w:cs="Times New Roman"/>
          <w:spacing w:val="43"/>
          <w:fitText w:val="3921" w:id="0"/>
          <w:lang w:eastAsia="zh-CN"/>
        </w:rPr>
        <w:t>黄梅钦 电话：1380600192</w:t>
      </w:r>
      <w:r>
        <w:rPr>
          <w:rFonts w:ascii="Times New Roman" w:hAnsi="Times New Roman" w:cs="Times New Roman"/>
          <w:spacing w:val="9"/>
          <w:fitText w:val="3921" w:id="0"/>
          <w:lang w:eastAsia="zh-CN"/>
        </w:rPr>
        <w:t>5</w:t>
      </w:r>
    </w:p>
    <w:p>
      <w:pPr>
        <w:spacing w:line="312" w:lineRule="exact"/>
        <w:ind w:left="598"/>
        <w:rPr>
          <w:b/>
          <w:sz w:val="24"/>
          <w:szCs w:val="24"/>
          <w:lang w:eastAsia="zh-CN"/>
        </w:rPr>
      </w:pPr>
      <w:r>
        <w:rPr>
          <w:rFonts w:hint="eastAsia"/>
          <w:b/>
          <w:sz w:val="24"/>
          <w:szCs w:val="24"/>
          <w:lang w:eastAsia="zh-CN"/>
        </w:rPr>
        <w:t>注：请使用顺丰快递或中国邮政 EMS 快递，其他快递不能保证送达目的地。</w:t>
      </w:r>
    </w:p>
    <w:p>
      <w:pPr>
        <w:pStyle w:val="6"/>
        <w:spacing w:before="108"/>
        <w:ind w:left="598"/>
        <w:rPr>
          <w:lang w:eastAsia="zh-CN"/>
        </w:rPr>
      </w:pPr>
      <w:r>
        <w:rPr>
          <w:rFonts w:hint="eastAsia"/>
          <w:lang w:eastAsia="zh-CN"/>
        </w:rPr>
        <w:t>3、只允许参选人有一个参选方案，否则将被视为无效参选。</w:t>
      </w:r>
    </w:p>
    <w:p>
      <w:pPr>
        <w:pStyle w:val="6"/>
        <w:spacing w:before="105" w:line="324" w:lineRule="auto"/>
        <w:ind w:left="118" w:right="106" w:firstLine="480"/>
        <w:jc w:val="both"/>
        <w:rPr>
          <w:lang w:eastAsia="zh-CN"/>
        </w:rPr>
      </w:pPr>
      <w:r>
        <w:rPr>
          <w:rFonts w:hint="eastAsia"/>
          <w:lang w:eastAsia="zh-CN"/>
        </w:rPr>
        <w:t>4、</w:t>
      </w:r>
      <w:r>
        <w:rPr>
          <w:rFonts w:hint="eastAsia"/>
          <w:spacing w:val="-4"/>
          <w:lang w:eastAsia="zh-CN"/>
        </w:rPr>
        <w:t>逾期送达的或未送达指定地点或参选文件密封不符合规定要求的参选文件，比选人不予受理。参选人所提交的比选文件在评选结束后，无论中选与否都不退还。</w:t>
      </w:r>
    </w:p>
    <w:p>
      <w:pPr>
        <w:pStyle w:val="6"/>
        <w:spacing w:before="21" w:line="321" w:lineRule="auto"/>
        <w:ind w:left="118" w:right="106" w:firstLine="480"/>
        <w:jc w:val="both"/>
        <w:rPr>
          <w:lang w:eastAsia="zh-CN"/>
        </w:rPr>
      </w:pPr>
      <w:r>
        <w:rPr>
          <w:rFonts w:hint="eastAsia"/>
          <w:lang w:eastAsia="zh-CN"/>
        </w:rPr>
        <w:t>5、</w:t>
      </w:r>
      <w:r>
        <w:rPr>
          <w:rFonts w:hint="eastAsia"/>
          <w:spacing w:val="-9"/>
          <w:lang w:eastAsia="zh-CN"/>
        </w:rPr>
        <w:t>参选人收到比选文件后，如有疑问需要澄清，请以书面形式在规定时间内报比选人汇总。</w:t>
      </w:r>
    </w:p>
    <w:p>
      <w:pPr>
        <w:pStyle w:val="6"/>
        <w:spacing w:before="24" w:line="321" w:lineRule="auto"/>
        <w:ind w:left="118" w:right="106" w:firstLine="480"/>
        <w:jc w:val="both"/>
        <w:rPr>
          <w:lang w:eastAsia="zh-CN"/>
        </w:rPr>
      </w:pPr>
      <w:r>
        <w:rPr>
          <w:rFonts w:hint="eastAsia"/>
          <w:lang w:eastAsia="zh-CN"/>
        </w:rPr>
        <w:t>6、</w:t>
      </w:r>
      <w:r>
        <w:rPr>
          <w:rFonts w:hint="eastAsia"/>
          <w:spacing w:val="-6"/>
          <w:lang w:eastAsia="zh-CN"/>
        </w:rPr>
        <w:t>参选人对比选人提供的比选文件所做出的推论、解释和结论，比选人概不负责。参</w:t>
      </w:r>
      <w:r>
        <w:rPr>
          <w:rFonts w:hint="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eastAsia="zh-CN"/>
        </w:rPr>
        <w:t>8000元</w:t>
      </w:r>
      <w:r>
        <w:rPr>
          <w:rFonts w:hint="eastAsia"/>
          <w:b/>
          <w:lang w:eastAsia="zh-CN"/>
        </w:rPr>
        <w:t>（含税价）</w:t>
      </w:r>
      <w:r>
        <w:rPr>
          <w:rFonts w:hint="eastAsia" w:asciiTheme="majorEastAsia" w:hAnsiTheme="majorEastAsia" w:eastAsiaTheme="majorEastAsia"/>
          <w:bCs/>
          <w:sz w:val="24"/>
          <w:szCs w:val="24"/>
          <w:lang w:eastAsia="zh-CN"/>
        </w:rPr>
        <w:t>。参选人所填报的参选含税总价高于本项目最高限价的，其参选将被评标委员会予以否决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spacing w:line="321" w:lineRule="auto"/>
        <w:jc w:val="both"/>
        <w:rPr>
          <w:lang w:eastAsia="zh-CN"/>
        </w:rPr>
      </w:pPr>
    </w:p>
    <w:p>
      <w:pPr>
        <w:pStyle w:val="2"/>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6"/>
        <w:rPr>
          <w:b/>
          <w:sz w:val="20"/>
          <w:lang w:eastAsia="zh-CN"/>
        </w:rPr>
      </w:pPr>
    </w:p>
    <w:p>
      <w:pPr>
        <w:pStyle w:val="6"/>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20"/>
        <w:numPr>
          <w:ilvl w:val="0"/>
          <w:numId w:val="4"/>
        </w:numPr>
        <w:spacing w:before="0" w:line="360" w:lineRule="auto"/>
        <w:ind w:left="634" w:leftChars="124"/>
        <w:rPr>
          <w:b/>
          <w:sz w:val="28"/>
          <w:lang w:eastAsia="zh-CN"/>
        </w:rPr>
      </w:pPr>
      <w:r>
        <w:rPr>
          <w:b/>
          <w:w w:val="95"/>
          <w:sz w:val="28"/>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6"/>
        <w:spacing w:before="186" w:line="321" w:lineRule="auto"/>
        <w:ind w:left="118" w:right="92" w:firstLine="480"/>
        <w:rPr>
          <w:lang w:eastAsia="zh-CN"/>
        </w:rPr>
      </w:pPr>
      <w:r>
        <w:rPr>
          <w:lang w:eastAsia="zh-CN"/>
        </w:rPr>
        <w:t>①参选单位营业执照税务登记证（经年检或年审合格的）等。</w:t>
      </w:r>
    </w:p>
    <w:p>
      <w:pPr>
        <w:pStyle w:val="6"/>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pPr>
        <w:pStyle w:val="6"/>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6"/>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pPr>
        <w:pStyle w:val="6"/>
        <w:spacing w:line="360" w:lineRule="auto"/>
        <w:ind w:firstLine="480" w:firstLineChars="200"/>
        <w:rPr>
          <w:b/>
          <w:lang w:eastAsia="zh-CN"/>
        </w:rPr>
      </w:pPr>
      <w:r>
        <w:rPr>
          <w:lang w:eastAsia="zh-CN"/>
        </w:rPr>
        <w:t>⑤以上①至④项内容密封并加盖公章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6"/>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before="176"/>
        <w:ind w:left="0"/>
        <w:rPr>
          <w:lang w:eastAsia="zh-CN"/>
        </w:rPr>
      </w:pPr>
      <w:r>
        <w:rPr>
          <w:w w:val="95"/>
          <w:lang w:eastAsia="zh-CN"/>
        </w:rPr>
        <w:t>二、参选书格式内容</w:t>
      </w:r>
    </w:p>
    <w:p>
      <w:pPr>
        <w:pStyle w:val="6"/>
        <w:spacing w:line="360" w:lineRule="auto"/>
        <w:ind w:firstLine="480" w:firstLineChars="200"/>
        <w:rPr>
          <w:lang w:eastAsia="zh-CN"/>
        </w:rPr>
      </w:pPr>
      <w:r>
        <w:rPr>
          <w:lang w:eastAsia="zh-CN"/>
        </w:rPr>
        <w:t>参选人应按附件二格式内容要求进行参选书的编制。</w:t>
      </w: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3"/>
        <w:spacing w:before="176"/>
        <w:ind w:left="0"/>
        <w:rPr>
          <w:lang w:eastAsia="zh-CN"/>
        </w:rPr>
      </w:pPr>
      <w:r>
        <w:rPr>
          <w:w w:val="95"/>
          <w:lang w:eastAsia="zh-CN"/>
        </w:rPr>
        <w:t>三、参选报价</w:t>
      </w:r>
    </w:p>
    <w:p>
      <w:pPr>
        <w:pStyle w:val="6"/>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numPr>
          <w:ilvl w:val="0"/>
          <w:numId w:val="5"/>
        </w:numPr>
        <w:spacing w:before="30"/>
        <w:ind w:left="0"/>
        <w:rPr>
          <w:w w:val="95"/>
          <w:lang w:eastAsia="zh-CN"/>
        </w:rPr>
      </w:pPr>
      <w:r>
        <w:rPr>
          <w:w w:val="95"/>
          <w:lang w:eastAsia="zh-CN"/>
        </w:rPr>
        <w:t>特别说明</w:t>
      </w:r>
    </w:p>
    <w:p>
      <w:pPr>
        <w:rPr>
          <w:lang w:eastAsia="zh-CN"/>
        </w:rPr>
      </w:pPr>
    </w:p>
    <w:p>
      <w:pPr>
        <w:pStyle w:val="6"/>
        <w:spacing w:line="360" w:lineRule="auto"/>
        <w:ind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6"/>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6"/>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7"/>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6"/>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6"/>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90619"/>
      <w:bookmarkStart w:id="1" w:name="_Toc304357904"/>
      <w:bookmarkStart w:id="2" w:name="_Toc430422420"/>
      <w:bookmarkStart w:id="3" w:name="_Toc177186249"/>
      <w:bookmarkStart w:id="4" w:name="_Toc415567504"/>
      <w:bookmarkStart w:id="5" w:name="_Toc430488858"/>
      <w:bookmarkStart w:id="6" w:name="_Toc430492133"/>
      <w:bookmarkStart w:id="7" w:name="_Toc430488651"/>
      <w:bookmarkStart w:id="8" w:name="_Toc430489126"/>
    </w:p>
    <w:p>
      <w:pPr>
        <w:pStyle w:val="6"/>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价格</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6"/>
        <w:spacing w:line="360" w:lineRule="auto"/>
        <w:ind w:right="226" w:firstLine="480"/>
        <w:jc w:val="both"/>
        <w:rPr>
          <w:highlight w:val="yellow"/>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6"/>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sz w:val="24"/>
          <w:szCs w:val="24"/>
          <w:lang w:eastAsia="zh-CN"/>
        </w:rPr>
      </w:pPr>
      <w:r>
        <w:rPr>
          <w:rFonts w:hint="eastAsia"/>
          <w:sz w:val="24"/>
          <w:szCs w:val="24"/>
          <w:lang w:eastAsia="zh-CN"/>
        </w:rPr>
        <w:t>9. 参选文件正本应按要求由经正式授权的参选人代表签字并加盖参选人公章。副本可以用复印件。</w:t>
      </w:r>
    </w:p>
    <w:p>
      <w:pPr>
        <w:pStyle w:val="2"/>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6"/>
        <w:rPr>
          <w:b/>
          <w:lang w:eastAsia="zh-CN"/>
        </w:rPr>
      </w:pPr>
    </w:p>
    <w:p>
      <w:pPr>
        <w:spacing w:before="15"/>
        <w:ind w:left="680"/>
        <w:rPr>
          <w:b/>
          <w:sz w:val="24"/>
          <w:szCs w:val="24"/>
          <w:lang w:eastAsia="zh-CN"/>
        </w:rPr>
      </w:pPr>
      <w:r>
        <w:rPr>
          <w:b/>
          <w:w w:val="95"/>
          <w:sz w:val="24"/>
          <w:szCs w:val="24"/>
          <w:lang w:eastAsia="zh-CN"/>
        </w:rPr>
        <w:t>一、规则：</w:t>
      </w:r>
    </w:p>
    <w:p>
      <w:pPr>
        <w:pStyle w:val="6"/>
        <w:spacing w:line="360" w:lineRule="auto"/>
        <w:ind w:left="119" w:leftChars="54" w:right="222" w:firstLine="480" w:firstLineChars="200"/>
        <w:rPr>
          <w:spacing w:val="-11"/>
          <w:lang w:eastAsia="zh-CN"/>
        </w:rPr>
      </w:pPr>
      <w:r>
        <w:rPr>
          <w:lang w:eastAsia="zh-CN"/>
        </w:rPr>
        <w:t>1.</w:t>
      </w:r>
      <w:r>
        <w:rPr>
          <w:rFonts w:hint="eastAsia"/>
          <w:spacing w:val="-11"/>
          <w:lang w:eastAsia="zh-CN"/>
        </w:rPr>
        <w:t>经资格审查合格的参选人的商务报价以未税总价最低者作为中选单位。</w:t>
      </w:r>
    </w:p>
    <w:p>
      <w:pPr>
        <w:pStyle w:val="6"/>
        <w:spacing w:line="360" w:lineRule="auto"/>
        <w:ind w:left="119" w:leftChars="54" w:right="222" w:firstLine="480" w:firstLineChars="200"/>
        <w:rPr>
          <w:lang w:eastAsia="zh-CN"/>
        </w:rPr>
      </w:pPr>
      <w:r>
        <w:rPr>
          <w:lang w:eastAsia="zh-CN"/>
        </w:rPr>
        <w:t>2.参选人串选、相互勾结故意压低标价以排挤竞争对手的公平竞争的，其参选无效。</w:t>
      </w:r>
    </w:p>
    <w:p>
      <w:pPr>
        <w:pStyle w:val="6"/>
        <w:spacing w:line="360" w:lineRule="auto"/>
        <w:ind w:left="119" w:leftChars="54" w:right="92" w:firstLine="480" w:firstLineChars="20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pPr>
        <w:pStyle w:val="3"/>
        <w:spacing w:before="83"/>
        <w:rPr>
          <w:sz w:val="24"/>
          <w:szCs w:val="24"/>
          <w:lang w:eastAsia="zh-CN"/>
        </w:rPr>
      </w:pPr>
      <w:r>
        <w:rPr>
          <w:w w:val="95"/>
          <w:sz w:val="24"/>
          <w:szCs w:val="24"/>
          <w:lang w:eastAsia="zh-CN"/>
        </w:rPr>
        <w:t>二、资格审查：</w:t>
      </w:r>
    </w:p>
    <w:p>
      <w:pPr>
        <w:pStyle w:val="6"/>
        <w:spacing w:before="211" w:line="357" w:lineRule="auto"/>
        <w:ind w:left="118" w:right="226" w:firstLine="480"/>
        <w:jc w:val="both"/>
        <w:rPr>
          <w:spacing w:val="-18"/>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6"/>
        <w:spacing w:line="360" w:lineRule="auto"/>
        <w:ind w:right="121" w:firstLine="480" w:firstLineChars="200"/>
        <w:jc w:val="both"/>
        <w:rPr>
          <w:lang w:eastAsia="zh-CN"/>
        </w:rPr>
      </w:pPr>
      <w:r>
        <w:rPr>
          <w:rFonts w:hint="eastAsia"/>
          <w:lang w:eastAsia="zh-CN"/>
        </w:rPr>
        <w:t>本项目设置最高控制价人民币</w:t>
      </w:r>
      <w:r>
        <w:rPr>
          <w:rFonts w:hint="eastAsia"/>
          <w:b/>
          <w:lang w:eastAsia="zh-CN"/>
        </w:rPr>
        <w:t>8000元（含税价）</w:t>
      </w:r>
      <w:r>
        <w:rPr>
          <w:rFonts w:hint="eastAsia"/>
          <w:lang w:eastAsia="zh-CN"/>
        </w:rPr>
        <w:t>。参选人所填报的包干含税报价高于本项目最高限价的，其参选将被比选小组予以否决。</w:t>
      </w:r>
    </w:p>
    <w:p>
      <w:pPr>
        <w:pStyle w:val="6"/>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ind w:left="638"/>
        <w:rPr>
          <w:b/>
          <w:sz w:val="24"/>
          <w:szCs w:val="24"/>
          <w:lang w:eastAsia="zh-CN"/>
        </w:rPr>
      </w:pPr>
      <w:r>
        <w:rPr>
          <w:rFonts w:hint="eastAsia"/>
          <w:b/>
          <w:w w:val="95"/>
          <w:sz w:val="24"/>
          <w:szCs w:val="24"/>
          <w:lang w:eastAsia="zh-CN"/>
        </w:rPr>
        <w:t>三</w:t>
      </w:r>
      <w:r>
        <w:rPr>
          <w:b/>
          <w:w w:val="95"/>
          <w:sz w:val="24"/>
          <w:szCs w:val="24"/>
          <w:lang w:eastAsia="zh-CN"/>
        </w:rPr>
        <w:t>、以下情况作废选处理：</w:t>
      </w:r>
    </w:p>
    <w:p>
      <w:pPr>
        <w:pStyle w:val="6"/>
        <w:spacing w:before="213"/>
        <w:ind w:left="698"/>
        <w:rPr>
          <w:lang w:eastAsia="zh-CN"/>
        </w:rPr>
      </w:pPr>
      <w:r>
        <w:rPr>
          <w:lang w:eastAsia="zh-CN"/>
        </w:rPr>
        <w:t>1.对比选文件提出的实质性要求和条件，参选文件未能在实质上响应的。</w:t>
      </w:r>
    </w:p>
    <w:p>
      <w:pPr>
        <w:pStyle w:val="6"/>
        <w:spacing w:before="153"/>
        <w:ind w:left="698"/>
        <w:rPr>
          <w:lang w:eastAsia="zh-CN"/>
        </w:rPr>
      </w:pPr>
      <w:r>
        <w:rPr>
          <w:lang w:eastAsia="zh-CN"/>
        </w:rPr>
        <w:t>2.参选文件存在重大偏差的。</w:t>
      </w:r>
    </w:p>
    <w:p>
      <w:pPr>
        <w:pStyle w:val="6"/>
        <w:spacing w:before="153"/>
        <w:ind w:left="698"/>
        <w:rPr>
          <w:lang w:eastAsia="zh-CN"/>
        </w:rPr>
      </w:pPr>
      <w:r>
        <w:rPr>
          <w:rFonts w:hint="eastAsia"/>
          <w:lang w:eastAsia="zh-CN"/>
        </w:rPr>
        <w:t>3</w:t>
      </w:r>
      <w:r>
        <w:rPr>
          <w:lang w:eastAsia="zh-CN"/>
        </w:rPr>
        <w:t>.违反规定影响开选评选工作或采取其他方式对比选人施加影响的。</w:t>
      </w:r>
    </w:p>
    <w:p>
      <w:pPr>
        <w:pStyle w:val="6"/>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pPr>
        <w:pStyle w:val="3"/>
        <w:spacing w:line="355" w:lineRule="exact"/>
        <w:rPr>
          <w:sz w:val="24"/>
          <w:szCs w:val="24"/>
          <w:lang w:eastAsia="zh-CN"/>
        </w:rPr>
      </w:pPr>
      <w:r>
        <w:rPr>
          <w:rFonts w:hint="eastAsia"/>
          <w:w w:val="95"/>
          <w:sz w:val="24"/>
          <w:szCs w:val="24"/>
          <w:lang w:eastAsia="zh-CN"/>
        </w:rPr>
        <w:t>四</w:t>
      </w:r>
      <w:r>
        <w:rPr>
          <w:w w:val="95"/>
          <w:sz w:val="24"/>
          <w:szCs w:val="24"/>
          <w:lang w:eastAsia="zh-CN"/>
        </w:rPr>
        <w:t>、评选</w:t>
      </w:r>
    </w:p>
    <w:p>
      <w:pPr>
        <w:pStyle w:val="6"/>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pPr>
        <w:pStyle w:val="6"/>
        <w:spacing w:before="23"/>
        <w:ind w:left="598"/>
        <w:rPr>
          <w:lang w:eastAsia="zh-CN"/>
        </w:rPr>
      </w:pPr>
      <w:r>
        <w:rPr>
          <w:lang w:eastAsia="zh-CN"/>
        </w:rPr>
        <w:t>2.在开选时没有启封和读出的参选文件，在评选时将不予考虑。</w:t>
      </w:r>
    </w:p>
    <w:p>
      <w:pPr>
        <w:pStyle w:val="6"/>
        <w:spacing w:before="107"/>
        <w:ind w:left="598"/>
        <w:rPr>
          <w:lang w:eastAsia="zh-CN"/>
        </w:rPr>
      </w:pPr>
      <w:r>
        <w:rPr>
          <w:lang w:eastAsia="zh-CN"/>
        </w:rPr>
        <w:t>3.比选人将做开选记录。</w:t>
      </w:r>
    </w:p>
    <w:p>
      <w:pPr>
        <w:pStyle w:val="2"/>
        <w:spacing w:line="360" w:lineRule="auto"/>
        <w:ind w:firstLine="600" w:firstLineChars="250"/>
        <w:rPr>
          <w:sz w:val="24"/>
          <w:szCs w:val="24"/>
        </w:rPr>
      </w:pPr>
      <w:r>
        <w:rPr>
          <w:rFonts w:hint="eastAsia"/>
          <w:sz w:val="24"/>
          <w:szCs w:val="24"/>
        </w:rPr>
        <w:t>4.业主将根据评选结果与中选人签订合同。</w:t>
      </w:r>
    </w:p>
    <w:p>
      <w:pPr>
        <w:pStyle w:val="3"/>
        <w:tabs>
          <w:tab w:val="left" w:pos="1632"/>
        </w:tabs>
        <w:spacing w:line="355" w:lineRule="exact"/>
        <w:ind w:left="367" w:firstLine="3373" w:firstLineChars="1200"/>
        <w:jc w:val="both"/>
        <w:rPr>
          <w:highlight w:val="yellow"/>
          <w:lang w:eastAsia="zh-CN"/>
        </w:rPr>
      </w:pPr>
      <w:r>
        <w:rPr>
          <w:highlight w:val="yellow"/>
          <w:lang w:eastAsia="zh-CN"/>
        </w:rPr>
        <w:t>第五章</w:t>
      </w:r>
      <w:r>
        <w:rPr>
          <w:highlight w:val="yellow"/>
          <w:lang w:eastAsia="zh-CN"/>
        </w:rPr>
        <w:tab/>
      </w:r>
      <w:r>
        <w:rPr>
          <w:spacing w:val="-1"/>
          <w:w w:val="95"/>
          <w:highlight w:val="yellow"/>
          <w:lang w:eastAsia="zh-CN"/>
        </w:rPr>
        <w:t>合同授</w:t>
      </w:r>
      <w:r>
        <w:rPr>
          <w:w w:val="95"/>
          <w:highlight w:val="yellow"/>
          <w:lang w:eastAsia="zh-CN"/>
        </w:rPr>
        <w:t>予</w:t>
      </w:r>
    </w:p>
    <w:p>
      <w:pPr>
        <w:pStyle w:val="6"/>
        <w:spacing w:before="12"/>
        <w:rPr>
          <w:b/>
          <w:sz w:val="33"/>
          <w:lang w:eastAsia="zh-CN"/>
        </w:rPr>
      </w:pPr>
    </w:p>
    <w:p>
      <w:pPr>
        <w:pStyle w:val="6"/>
        <w:ind w:left="598"/>
        <w:rPr>
          <w:lang w:eastAsia="zh-CN"/>
        </w:rPr>
      </w:pPr>
      <w:r>
        <w:rPr>
          <w:lang w:eastAsia="zh-CN"/>
        </w:rPr>
        <w:t>1.比选人将把合同授予中选人；在授予前，仍需进行资格审查。</w:t>
      </w:r>
    </w:p>
    <w:p>
      <w:pPr>
        <w:pStyle w:val="6"/>
        <w:spacing w:before="108"/>
        <w:ind w:left="598"/>
        <w:rPr>
          <w:lang w:eastAsia="zh-CN"/>
        </w:rPr>
      </w:pPr>
      <w:r>
        <w:rPr>
          <w:lang w:eastAsia="zh-CN"/>
        </w:rPr>
        <w:t>2.中选人确定后，比选将通知中选人，并将中选结果公示在比选人集团官网。</w:t>
      </w:r>
    </w:p>
    <w:p>
      <w:pPr>
        <w:pStyle w:val="6"/>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6"/>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6"/>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6"/>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jc w:val="both"/>
        <w:rPr>
          <w:lang w:eastAsia="zh-CN"/>
        </w:r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6"/>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6"/>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pPr>
        <w:pStyle w:val="6"/>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pPr>
        <w:spacing w:line="321" w:lineRule="auto"/>
        <w:jc w:val="both"/>
        <w:rPr>
          <w:lang w:eastAsia="zh-CN"/>
        </w:r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6"/>
        <w:ind w:left="218"/>
        <w:rPr>
          <w:lang w:eastAsia="zh-CN"/>
        </w:rPr>
      </w:pPr>
      <w:r>
        <w:rPr>
          <w:lang w:eastAsia="zh-CN"/>
        </w:rPr>
        <w:t>1.参选人的参选文件无论其是否中选，均不退回。</w:t>
      </w:r>
    </w:p>
    <w:p>
      <w:pPr>
        <w:pStyle w:val="6"/>
        <w:spacing w:before="108"/>
        <w:ind w:left="218"/>
        <w:rPr>
          <w:lang w:eastAsia="zh-CN"/>
        </w:rPr>
      </w:pPr>
      <w:r>
        <w:rPr>
          <w:lang w:eastAsia="zh-CN"/>
        </w:rPr>
        <w:t>2.比选人郑重承诺：参选人所提交的参选文件及相关资料不向第三方泄露。</w:t>
      </w:r>
    </w:p>
    <w:p>
      <w:pPr>
        <w:pStyle w:val="6"/>
        <w:spacing w:before="106"/>
        <w:ind w:left="218"/>
        <w:rPr>
          <w:lang w:eastAsia="zh-CN"/>
        </w:rPr>
      </w:pPr>
      <w:r>
        <w:rPr>
          <w:lang w:eastAsia="zh-CN"/>
        </w:rPr>
        <w:t>3.本比选文件的解释权归福建福海创石油化工有限公司。</w:t>
      </w:r>
    </w:p>
    <w:p>
      <w:pPr>
        <w:pStyle w:val="6"/>
        <w:spacing w:before="106"/>
        <w:ind w:left="218"/>
        <w:rPr>
          <w:lang w:eastAsia="zh-CN"/>
        </w:rPr>
      </w:pPr>
      <w:r>
        <w:rPr>
          <w:lang w:eastAsia="zh-CN"/>
        </w:rPr>
        <w:br w:type="page"/>
      </w:r>
    </w:p>
    <w:p>
      <w:pPr>
        <w:spacing w:line="360" w:lineRule="auto"/>
        <w:rPr>
          <w:b/>
          <w:sz w:val="32"/>
          <w:szCs w:val="28"/>
          <w:lang w:eastAsia="zh-CN"/>
        </w:rPr>
      </w:pPr>
      <w:r>
        <w:rPr>
          <w:rFonts w:hint="eastAsia"/>
          <w:b/>
          <w:sz w:val="32"/>
          <w:szCs w:val="28"/>
          <w:lang w:eastAsia="zh-CN"/>
        </w:rPr>
        <w:t>附件一</w:t>
      </w:r>
    </w:p>
    <w:p>
      <w:pPr>
        <w:spacing w:line="480" w:lineRule="exact"/>
        <w:jc w:val="center"/>
        <w:rPr>
          <w:b/>
          <w:color w:val="000000"/>
          <w:sz w:val="32"/>
          <w:szCs w:val="32"/>
          <w:lang w:eastAsia="zh-CN"/>
        </w:rPr>
      </w:pPr>
      <w:bookmarkStart w:id="9" w:name="_Toc251742852"/>
      <w:r>
        <w:rPr>
          <w:rFonts w:hint="eastAsia"/>
          <w:b/>
          <w:color w:val="000000"/>
          <w:sz w:val="32"/>
          <w:szCs w:val="32"/>
          <w:lang w:eastAsia="zh-CN"/>
        </w:rPr>
        <w:t>腾龙芳烃（漳州）有限公司</w:t>
      </w:r>
    </w:p>
    <w:p>
      <w:pPr>
        <w:pStyle w:val="2"/>
        <w:spacing w:afterLines="50" w:line="480" w:lineRule="exact"/>
        <w:jc w:val="center"/>
        <w:rPr>
          <w:b/>
          <w:color w:val="000000"/>
          <w:sz w:val="32"/>
          <w:szCs w:val="32"/>
        </w:rPr>
      </w:pPr>
      <w:r>
        <w:rPr>
          <w:rFonts w:hint="eastAsia" w:asciiTheme="majorEastAsia" w:hAnsiTheme="majorEastAsia" w:eastAsiaTheme="majorEastAsia"/>
          <w:b/>
          <w:sz w:val="32"/>
          <w:szCs w:val="32"/>
        </w:rPr>
        <w:t>颗粒计数器检定检测</w:t>
      </w:r>
      <w:r>
        <w:rPr>
          <w:rFonts w:hint="eastAsia"/>
          <w:b/>
          <w:color w:val="000000"/>
          <w:sz w:val="32"/>
          <w:szCs w:val="32"/>
        </w:rPr>
        <w:t>委托合同</w:t>
      </w:r>
    </w:p>
    <w:p>
      <w:pPr>
        <w:spacing w:line="276" w:lineRule="auto"/>
        <w:ind w:firstLine="6360" w:firstLineChars="2650"/>
        <w:rPr>
          <w:color w:val="000000"/>
          <w:sz w:val="24"/>
          <w:lang w:eastAsia="zh-CN"/>
        </w:rPr>
      </w:pPr>
      <w:r>
        <w:rPr>
          <w:rFonts w:hint="eastAsia"/>
          <w:color w:val="000000"/>
          <w:sz w:val="24"/>
          <w:lang w:eastAsia="zh-CN"/>
        </w:rPr>
        <w:t>合同编号：</w:t>
      </w:r>
    </w:p>
    <w:p>
      <w:pPr>
        <w:pStyle w:val="2"/>
        <w:spacing w:line="276" w:lineRule="auto"/>
        <w:ind w:firstLine="6379" w:firstLineChars="2658"/>
        <w:rPr>
          <w:sz w:val="24"/>
          <w:szCs w:val="24"/>
        </w:rPr>
      </w:pPr>
      <w:r>
        <w:rPr>
          <w:rFonts w:hint="eastAsia"/>
          <w:sz w:val="24"/>
          <w:szCs w:val="24"/>
        </w:rPr>
        <w:t>签订日期：</w:t>
      </w:r>
    </w:p>
    <w:p>
      <w:pPr>
        <w:spacing w:line="360" w:lineRule="auto"/>
        <w:rPr>
          <w:color w:val="000000"/>
          <w:sz w:val="24"/>
          <w:lang w:eastAsia="zh-CN"/>
        </w:rPr>
      </w:pPr>
      <w:r>
        <w:rPr>
          <w:rFonts w:hint="eastAsia"/>
          <w:color w:val="000000"/>
          <w:sz w:val="24"/>
          <w:lang w:eastAsia="zh-CN"/>
        </w:rPr>
        <w:t>甲方：腾龙芳烃（漳州）有限公司</w:t>
      </w:r>
    </w:p>
    <w:p>
      <w:pPr>
        <w:spacing w:line="360" w:lineRule="auto"/>
        <w:rPr>
          <w:color w:val="000000"/>
          <w:sz w:val="24"/>
          <w:lang w:eastAsia="zh-CN"/>
        </w:rPr>
      </w:pPr>
      <w:r>
        <w:rPr>
          <w:rFonts w:hint="eastAsia"/>
          <w:color w:val="000000"/>
          <w:sz w:val="24"/>
          <w:lang w:eastAsia="zh-CN"/>
        </w:rPr>
        <w:t>乙方：</w:t>
      </w:r>
    </w:p>
    <w:p>
      <w:pPr>
        <w:spacing w:line="360" w:lineRule="auto"/>
        <w:ind w:firstLine="480" w:firstLineChars="200"/>
        <w:rPr>
          <w:rStyle w:val="21"/>
          <w:color w:val="000000"/>
          <w:sz w:val="24"/>
          <w:lang w:eastAsia="zh-CN"/>
        </w:rPr>
      </w:pPr>
      <w:r>
        <w:rPr>
          <w:rFonts w:hint="eastAsia"/>
          <w:color w:val="000000"/>
          <w:sz w:val="24"/>
          <w:lang w:eastAsia="zh-CN"/>
        </w:rPr>
        <w:t>经甲乙双方商定，</w:t>
      </w:r>
      <w:r>
        <w:rPr>
          <w:rFonts w:hint="eastAsia" w:asciiTheme="minorEastAsia" w:hAnsiTheme="minorEastAsia" w:eastAsiaTheme="minorEastAsia"/>
          <w:sz w:val="24"/>
          <w:lang w:eastAsia="zh-CN"/>
        </w:rPr>
        <w:t>在真实、充分地表达各自意愿的基础上，根据《中华人民共和国民法典》的规定，</w:t>
      </w:r>
      <w:r>
        <w:rPr>
          <w:rFonts w:hint="eastAsia"/>
          <w:color w:val="000000"/>
          <w:sz w:val="24"/>
          <w:lang w:eastAsia="zh-CN"/>
        </w:rPr>
        <w:t>就甲方委托乙方提供颗粒计数器检定服务相关事宜，</w:t>
      </w:r>
      <w:r>
        <w:rPr>
          <w:rFonts w:hint="eastAsia" w:asciiTheme="minorEastAsia" w:hAnsiTheme="minorEastAsia" w:eastAsiaTheme="minorEastAsia"/>
          <w:sz w:val="24"/>
          <w:lang w:eastAsia="zh-CN"/>
        </w:rPr>
        <w:t>达成如下协议，并由双方共同恪守。</w:t>
      </w:r>
    </w:p>
    <w:p>
      <w:pPr>
        <w:spacing w:line="360" w:lineRule="auto"/>
        <w:rPr>
          <w:color w:val="000000"/>
          <w:sz w:val="24"/>
          <w:lang w:eastAsia="zh-CN"/>
        </w:rPr>
      </w:pPr>
      <w:r>
        <w:rPr>
          <w:rFonts w:hint="eastAsia"/>
          <w:color w:val="000000"/>
          <w:sz w:val="24"/>
          <w:lang w:eastAsia="zh-CN"/>
        </w:rPr>
        <w:t>一、委托检定项目：</w:t>
      </w:r>
    </w:p>
    <w:p>
      <w:pPr>
        <w:spacing w:line="360" w:lineRule="auto"/>
        <w:ind w:firstLine="480" w:firstLineChars="200"/>
        <w:rPr>
          <w:color w:val="000000"/>
          <w:sz w:val="24"/>
          <w:lang w:eastAsia="zh-CN"/>
        </w:rPr>
      </w:pPr>
      <w:r>
        <w:rPr>
          <w:rFonts w:hint="eastAsia"/>
          <w:color w:val="000000"/>
          <w:sz w:val="24"/>
          <w:lang w:eastAsia="zh-CN"/>
        </w:rPr>
        <w:t>甲方委托乙方对</w:t>
      </w:r>
      <w:r>
        <w:rPr>
          <w:color w:val="000000"/>
          <w:sz w:val="24"/>
          <w:u w:val="single"/>
          <w:lang w:eastAsia="zh-CN"/>
        </w:rPr>
        <w:t xml:space="preserve"> </w:t>
      </w:r>
      <w:r>
        <w:rPr>
          <w:rFonts w:hint="eastAsia"/>
          <w:color w:val="000000"/>
          <w:sz w:val="24"/>
          <w:u w:val="single"/>
          <w:lang w:eastAsia="zh-CN"/>
        </w:rPr>
        <w:t>颗粒计数器</w:t>
      </w:r>
      <w:r>
        <w:rPr>
          <w:color w:val="000000"/>
          <w:sz w:val="24"/>
          <w:u w:val="single"/>
          <w:lang w:eastAsia="zh-CN"/>
        </w:rPr>
        <w:t xml:space="preserve"> </w:t>
      </w:r>
      <w:r>
        <w:rPr>
          <w:rFonts w:hint="eastAsia"/>
          <w:color w:val="000000"/>
          <w:sz w:val="24"/>
          <w:lang w:eastAsia="zh-CN"/>
        </w:rPr>
        <w:t>进行检定检测。</w:t>
      </w:r>
    </w:p>
    <w:p>
      <w:pPr>
        <w:numPr>
          <w:ilvl w:val="0"/>
          <w:numId w:val="6"/>
        </w:numPr>
        <w:spacing w:line="360" w:lineRule="auto"/>
        <w:rPr>
          <w:color w:val="000000"/>
          <w:sz w:val="24"/>
          <w:lang w:eastAsia="zh-CN"/>
        </w:rPr>
      </w:pPr>
      <w:r>
        <w:rPr>
          <w:rFonts w:hint="eastAsia"/>
          <w:color w:val="000000"/>
          <w:sz w:val="24"/>
          <w:lang w:eastAsia="zh-CN"/>
        </w:rPr>
        <w:t>检测标准：按照国家、地方、行业标准对进行检定，具体使用的检测标</w:t>
      </w:r>
      <w:r>
        <w:rPr>
          <w:rFonts w:hint="eastAsia"/>
          <w:sz w:val="24"/>
          <w:lang w:eastAsia="zh-CN"/>
        </w:rPr>
        <w:t>准为</w:t>
      </w:r>
      <w:r>
        <w:rPr>
          <w:sz w:val="24"/>
          <w:u w:val="single"/>
          <w:lang w:eastAsia="zh-CN"/>
        </w:rPr>
        <w:t xml:space="preserve"> </w:t>
      </w:r>
      <w:r>
        <w:rPr>
          <w:rFonts w:hint="eastAsia"/>
          <w:sz w:val="24"/>
          <w:u w:val="single"/>
          <w:lang w:eastAsia="zh-CN"/>
        </w:rPr>
        <w:t>检定规程或校准规范</w:t>
      </w:r>
      <w:r>
        <w:rPr>
          <w:rFonts w:hint="eastAsia"/>
          <w:sz w:val="24"/>
          <w:lang w:eastAsia="zh-CN"/>
        </w:rPr>
        <w:t>。</w:t>
      </w:r>
    </w:p>
    <w:p>
      <w:pPr>
        <w:numPr>
          <w:ilvl w:val="0"/>
          <w:numId w:val="6"/>
        </w:numPr>
        <w:spacing w:line="360" w:lineRule="auto"/>
        <w:rPr>
          <w:color w:val="000000"/>
          <w:sz w:val="24"/>
          <w:lang w:eastAsia="zh-CN"/>
        </w:rPr>
      </w:pPr>
      <w:r>
        <w:rPr>
          <w:rFonts w:hint="eastAsia"/>
          <w:color w:val="000000"/>
          <w:sz w:val="24"/>
          <w:lang w:eastAsia="zh-CN"/>
        </w:rPr>
        <w:t>检定要求：</w:t>
      </w:r>
    </w:p>
    <w:p>
      <w:pPr>
        <w:spacing w:line="360" w:lineRule="auto"/>
        <w:ind w:left="671" w:leftChars="145" w:hanging="352" w:hangingChars="147"/>
        <w:rPr>
          <w:color w:val="000000"/>
          <w:sz w:val="24"/>
          <w:lang w:eastAsia="zh-CN"/>
        </w:rPr>
      </w:pPr>
      <w:r>
        <w:rPr>
          <w:rFonts w:hint="eastAsia"/>
          <w:color w:val="000000"/>
          <w:sz w:val="24"/>
          <w:lang w:eastAsia="zh-CN"/>
        </w:rPr>
        <w:t>1、检定单位资质必须为国家认可、国防许可的标准计量单位。</w:t>
      </w:r>
    </w:p>
    <w:p>
      <w:pPr>
        <w:numPr>
          <w:ilvl w:val="0"/>
          <w:numId w:val="7"/>
        </w:numPr>
        <w:spacing w:line="360" w:lineRule="auto"/>
        <w:ind w:left="671" w:leftChars="145" w:hanging="352" w:hangingChars="147"/>
        <w:rPr>
          <w:color w:val="000000"/>
          <w:sz w:val="24"/>
          <w:lang w:eastAsia="zh-CN"/>
        </w:rPr>
      </w:pPr>
      <w:r>
        <w:rPr>
          <w:rFonts w:hint="eastAsia"/>
          <w:color w:val="000000"/>
          <w:sz w:val="24"/>
          <w:lang w:eastAsia="zh-CN"/>
        </w:rPr>
        <w:t>检定结果须附检定证书、检定标识及给出检定结论。</w:t>
      </w:r>
    </w:p>
    <w:p>
      <w:pPr>
        <w:numPr>
          <w:ilvl w:val="0"/>
          <w:numId w:val="7"/>
        </w:numPr>
        <w:spacing w:line="360" w:lineRule="auto"/>
        <w:ind w:left="671" w:leftChars="145" w:hanging="352" w:hangingChars="147"/>
        <w:rPr>
          <w:color w:val="000000"/>
          <w:sz w:val="24"/>
          <w:lang w:eastAsia="zh-CN"/>
        </w:rPr>
      </w:pPr>
      <w:r>
        <w:rPr>
          <w:rFonts w:hint="eastAsia"/>
          <w:color w:val="000000"/>
          <w:sz w:val="24"/>
          <w:lang w:eastAsia="zh-CN"/>
        </w:rPr>
        <w:t>根据生产现场要求，需检定电力用油DL/T432-2007和液压油ISO4406两种标准（热电团队样品执行电力用油标准，设备部样品执行液压油标准）。</w:t>
      </w:r>
    </w:p>
    <w:p>
      <w:pPr>
        <w:numPr>
          <w:ilvl w:val="0"/>
          <w:numId w:val="7"/>
        </w:numPr>
        <w:spacing w:line="360" w:lineRule="auto"/>
        <w:ind w:left="671" w:leftChars="145" w:hanging="352" w:hangingChars="147"/>
        <w:rPr>
          <w:color w:val="000000"/>
          <w:sz w:val="24"/>
          <w:lang w:eastAsia="zh-CN"/>
        </w:rPr>
      </w:pPr>
      <w:r>
        <w:rPr>
          <w:rFonts w:hint="eastAsia"/>
          <w:color w:val="000000"/>
          <w:sz w:val="24"/>
          <w:lang w:eastAsia="zh-CN"/>
        </w:rPr>
        <w:t>检定单位需上门服务。</w:t>
      </w:r>
    </w:p>
    <w:p>
      <w:pPr>
        <w:spacing w:line="360" w:lineRule="auto"/>
        <w:rPr>
          <w:sz w:val="24"/>
          <w:lang w:eastAsia="zh-CN"/>
        </w:rPr>
      </w:pPr>
      <w:r>
        <w:rPr>
          <w:rFonts w:hint="eastAsia"/>
          <w:sz w:val="24"/>
          <w:lang w:eastAsia="zh-CN"/>
        </w:rPr>
        <w:t>四、甲方的权利义务</w:t>
      </w:r>
    </w:p>
    <w:p>
      <w:pPr>
        <w:spacing w:line="360" w:lineRule="auto"/>
        <w:rPr>
          <w:sz w:val="24"/>
          <w:lang w:eastAsia="zh-CN"/>
        </w:rPr>
      </w:pPr>
      <w:r>
        <w:rPr>
          <w:rFonts w:hint="eastAsia"/>
          <w:sz w:val="24"/>
          <w:lang w:eastAsia="zh-CN"/>
        </w:rPr>
        <w:t xml:space="preserve">   1、甲方有权监督乙方的检定工作。</w:t>
      </w:r>
    </w:p>
    <w:p>
      <w:pPr>
        <w:spacing w:line="360" w:lineRule="auto"/>
        <w:rPr>
          <w:sz w:val="24"/>
          <w:lang w:eastAsia="zh-CN"/>
        </w:rPr>
      </w:pPr>
      <w:r>
        <w:rPr>
          <w:rFonts w:hint="eastAsia"/>
          <w:sz w:val="24"/>
          <w:lang w:eastAsia="zh-CN"/>
        </w:rPr>
        <w:t xml:space="preserve">   2、甲方根据乙方工作需要配合乙方检测工作，并提供人员协助及相关资料。</w:t>
      </w:r>
    </w:p>
    <w:p>
      <w:pPr>
        <w:spacing w:line="360" w:lineRule="auto"/>
        <w:rPr>
          <w:sz w:val="24"/>
          <w:lang w:eastAsia="zh-CN"/>
        </w:rPr>
      </w:pPr>
      <w:r>
        <w:rPr>
          <w:rFonts w:hint="eastAsia"/>
          <w:sz w:val="24"/>
          <w:lang w:eastAsia="zh-CN"/>
        </w:rPr>
        <w:t xml:space="preserve">   3、按约定支付检定费用。</w:t>
      </w:r>
    </w:p>
    <w:p>
      <w:pPr>
        <w:spacing w:line="360" w:lineRule="auto"/>
        <w:rPr>
          <w:sz w:val="24"/>
          <w:lang w:eastAsia="zh-CN"/>
        </w:rPr>
      </w:pPr>
      <w:r>
        <w:rPr>
          <w:rFonts w:hint="eastAsia"/>
          <w:sz w:val="24"/>
          <w:lang w:eastAsia="zh-CN"/>
        </w:rPr>
        <w:t>五、乙方的权利义务：</w:t>
      </w:r>
    </w:p>
    <w:p>
      <w:pPr>
        <w:spacing w:line="360" w:lineRule="auto"/>
        <w:ind w:firstLine="360" w:firstLineChars="150"/>
        <w:rPr>
          <w:sz w:val="24"/>
          <w:lang w:eastAsia="zh-CN"/>
        </w:rPr>
      </w:pPr>
      <w:r>
        <w:rPr>
          <w:rFonts w:hint="eastAsia"/>
          <w:sz w:val="24"/>
          <w:lang w:eastAsia="zh-CN"/>
        </w:rPr>
        <w:t>1、乙方根据甲方要求按照约定的检定标准现场对颗粒计数器进行检定。</w:t>
      </w:r>
    </w:p>
    <w:p>
      <w:pPr>
        <w:spacing w:line="360" w:lineRule="auto"/>
        <w:ind w:firstLine="360" w:firstLineChars="150"/>
        <w:rPr>
          <w:sz w:val="24"/>
          <w:lang w:eastAsia="zh-CN"/>
        </w:rPr>
      </w:pPr>
      <w:r>
        <w:rPr>
          <w:rFonts w:hint="eastAsia"/>
          <w:sz w:val="24"/>
          <w:lang w:eastAsia="zh-CN"/>
        </w:rPr>
        <w:t>2、按约定完成检定并出具检定报告证书。</w:t>
      </w:r>
    </w:p>
    <w:p>
      <w:pPr>
        <w:spacing w:line="360" w:lineRule="auto"/>
        <w:ind w:firstLine="360" w:firstLineChars="150"/>
        <w:rPr>
          <w:sz w:val="24"/>
          <w:lang w:eastAsia="zh-CN"/>
        </w:rPr>
      </w:pPr>
      <w:r>
        <w:rPr>
          <w:rFonts w:hint="eastAsia"/>
          <w:sz w:val="24"/>
          <w:lang w:eastAsia="zh-CN"/>
        </w:rPr>
        <w:t>3、对检定中知悉的甲方的商业、技术、经营管理等保密信息承担保密责任。</w:t>
      </w:r>
    </w:p>
    <w:p>
      <w:pPr>
        <w:pStyle w:val="2"/>
        <w:spacing w:line="360" w:lineRule="auto"/>
        <w:rPr>
          <w:color w:val="000000"/>
          <w:sz w:val="24"/>
        </w:rPr>
      </w:pPr>
      <w:r>
        <w:rPr>
          <w:rFonts w:hint="eastAsia"/>
          <w:sz w:val="24"/>
        </w:rPr>
        <w:t>六、收费标准</w:t>
      </w:r>
      <w:r>
        <w:rPr>
          <w:rFonts w:hint="eastAsia"/>
          <w:sz w:val="24"/>
        </w:rPr>
        <w:br w:type="textWrapping"/>
      </w:r>
      <w:r>
        <w:rPr>
          <w:rFonts w:hint="eastAsia"/>
          <w:sz w:val="24"/>
        </w:rPr>
        <w:t>　本合同以固定单价形式执行，单次检定费为</w:t>
      </w:r>
      <w:r>
        <w:rPr>
          <w:sz w:val="24"/>
          <w:u w:val="single"/>
        </w:rPr>
        <w:t xml:space="preserve"> </w:t>
      </w:r>
      <w:r>
        <w:rPr>
          <w:rFonts w:hint="eastAsia"/>
          <w:sz w:val="24"/>
          <w:u w:val="single"/>
        </w:rPr>
        <w:t xml:space="preserve">    </w:t>
      </w:r>
      <w:r>
        <w:rPr>
          <w:rFonts w:hint="eastAsia"/>
          <w:sz w:val="24"/>
        </w:rPr>
        <w:t>元整（</w:t>
      </w:r>
      <w:r>
        <w:rPr>
          <w:rFonts w:hint="eastAsia"/>
          <w:sz w:val="24"/>
          <w:u w:val="single"/>
        </w:rPr>
        <w:t xml:space="preserve">￥     </w:t>
      </w:r>
      <w:r>
        <w:rPr>
          <w:rFonts w:hint="eastAsia"/>
          <w:color w:val="000000"/>
          <w:sz w:val="24"/>
        </w:rPr>
        <w:t>元），含税价，税率</w:t>
      </w:r>
      <w:r>
        <w:rPr>
          <w:rFonts w:hint="eastAsia"/>
          <w:color w:val="000000"/>
          <w:sz w:val="24"/>
          <w:u w:val="single"/>
        </w:rPr>
        <w:t xml:space="preserve">   %</w:t>
      </w:r>
      <w:r>
        <w:rPr>
          <w:rFonts w:hint="eastAsia"/>
          <w:color w:val="000000"/>
          <w:sz w:val="24"/>
        </w:rPr>
        <w:t>。共计</w:t>
      </w:r>
      <w:r>
        <w:rPr>
          <w:rFonts w:hint="eastAsia"/>
          <w:color w:val="000000"/>
          <w:sz w:val="24"/>
          <w:u w:val="single"/>
        </w:rPr>
        <w:t xml:space="preserve"> </w:t>
      </w:r>
      <w:r>
        <w:rPr>
          <w:rFonts w:hint="eastAsia"/>
          <w:sz w:val="24"/>
          <w:u w:val="single"/>
        </w:rPr>
        <w:t xml:space="preserve">      </w:t>
      </w:r>
      <w:r>
        <w:rPr>
          <w:rFonts w:hint="eastAsia"/>
          <w:sz w:val="24"/>
        </w:rPr>
        <w:t>元整（</w:t>
      </w:r>
      <w:r>
        <w:rPr>
          <w:rFonts w:hint="eastAsia"/>
          <w:sz w:val="24"/>
          <w:u w:val="single"/>
        </w:rPr>
        <w:t xml:space="preserve">￥        </w:t>
      </w:r>
      <w:r>
        <w:rPr>
          <w:rFonts w:hint="eastAsia"/>
          <w:color w:val="000000"/>
          <w:sz w:val="24"/>
        </w:rPr>
        <w:t>元），</w:t>
      </w:r>
    </w:p>
    <w:tbl>
      <w:tblPr>
        <w:tblStyle w:val="19"/>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843"/>
        <w:gridCol w:w="1417"/>
        <w:gridCol w:w="1134"/>
        <w:gridCol w:w="1560"/>
        <w:gridCol w:w="1559"/>
        <w:gridCol w:w="14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pStyle w:val="2"/>
              <w:spacing w:line="240" w:lineRule="auto"/>
              <w:jc w:val="center"/>
              <w:rPr>
                <w:color w:val="000000"/>
                <w:sz w:val="21"/>
                <w:szCs w:val="21"/>
              </w:rPr>
            </w:pPr>
            <w:r>
              <w:rPr>
                <w:rFonts w:hint="eastAsia"/>
                <w:color w:val="000000"/>
                <w:sz w:val="21"/>
                <w:szCs w:val="21"/>
              </w:rPr>
              <w:t>序号</w:t>
            </w:r>
          </w:p>
        </w:tc>
        <w:tc>
          <w:tcPr>
            <w:tcW w:w="1843" w:type="dxa"/>
            <w:vAlign w:val="center"/>
          </w:tcPr>
          <w:p>
            <w:pPr>
              <w:pStyle w:val="2"/>
              <w:spacing w:line="360" w:lineRule="auto"/>
              <w:jc w:val="center"/>
              <w:rPr>
                <w:color w:val="000000"/>
                <w:sz w:val="21"/>
                <w:szCs w:val="21"/>
              </w:rPr>
            </w:pPr>
            <w:r>
              <w:rPr>
                <w:rFonts w:hint="eastAsia"/>
                <w:color w:val="000000"/>
                <w:sz w:val="21"/>
                <w:szCs w:val="21"/>
              </w:rPr>
              <w:t>服务项目</w:t>
            </w:r>
          </w:p>
        </w:tc>
        <w:tc>
          <w:tcPr>
            <w:tcW w:w="1417" w:type="dxa"/>
            <w:vAlign w:val="center"/>
          </w:tcPr>
          <w:p>
            <w:pPr>
              <w:pStyle w:val="2"/>
              <w:spacing w:line="360" w:lineRule="auto"/>
              <w:jc w:val="center"/>
              <w:rPr>
                <w:color w:val="000000"/>
                <w:sz w:val="21"/>
                <w:szCs w:val="21"/>
              </w:rPr>
            </w:pPr>
            <w:r>
              <w:rPr>
                <w:rFonts w:hint="eastAsia"/>
                <w:color w:val="000000"/>
                <w:sz w:val="21"/>
                <w:szCs w:val="21"/>
              </w:rPr>
              <w:t>计数器型号</w:t>
            </w:r>
          </w:p>
        </w:tc>
        <w:tc>
          <w:tcPr>
            <w:tcW w:w="1134" w:type="dxa"/>
            <w:vAlign w:val="center"/>
          </w:tcPr>
          <w:p>
            <w:pPr>
              <w:pStyle w:val="2"/>
              <w:spacing w:line="360" w:lineRule="auto"/>
              <w:jc w:val="center"/>
              <w:rPr>
                <w:color w:val="000000"/>
                <w:sz w:val="21"/>
                <w:szCs w:val="21"/>
              </w:rPr>
            </w:pPr>
            <w:r>
              <w:rPr>
                <w:rFonts w:hint="eastAsia"/>
                <w:color w:val="000000"/>
                <w:sz w:val="21"/>
                <w:szCs w:val="21"/>
              </w:rPr>
              <w:t>数量</w:t>
            </w:r>
          </w:p>
        </w:tc>
        <w:tc>
          <w:tcPr>
            <w:tcW w:w="1560" w:type="dxa"/>
            <w:vAlign w:val="center"/>
          </w:tcPr>
          <w:p>
            <w:pPr>
              <w:pStyle w:val="2"/>
              <w:spacing w:line="360" w:lineRule="auto"/>
              <w:jc w:val="center"/>
              <w:rPr>
                <w:color w:val="000000"/>
                <w:sz w:val="21"/>
                <w:szCs w:val="21"/>
              </w:rPr>
            </w:pPr>
            <w:r>
              <w:rPr>
                <w:rFonts w:hint="eastAsia"/>
                <w:color w:val="000000"/>
                <w:sz w:val="21"/>
                <w:szCs w:val="21"/>
              </w:rPr>
              <w:t>检定方法</w:t>
            </w:r>
          </w:p>
        </w:tc>
        <w:tc>
          <w:tcPr>
            <w:tcW w:w="1559" w:type="dxa"/>
            <w:tcBorders>
              <w:right w:val="single" w:color="auto" w:sz="4" w:space="0"/>
            </w:tcBorders>
            <w:vAlign w:val="center"/>
          </w:tcPr>
          <w:p>
            <w:pPr>
              <w:pStyle w:val="2"/>
              <w:spacing w:line="360" w:lineRule="auto"/>
              <w:jc w:val="center"/>
              <w:rPr>
                <w:color w:val="000000"/>
                <w:sz w:val="21"/>
                <w:szCs w:val="21"/>
              </w:rPr>
            </w:pPr>
            <w:r>
              <w:rPr>
                <w:rFonts w:hint="eastAsia"/>
                <w:color w:val="000000"/>
                <w:sz w:val="21"/>
                <w:szCs w:val="21"/>
              </w:rPr>
              <w:t>价格</w:t>
            </w:r>
          </w:p>
        </w:tc>
        <w:tc>
          <w:tcPr>
            <w:tcW w:w="1417" w:type="dxa"/>
            <w:tcBorders>
              <w:left w:val="single" w:color="auto" w:sz="4" w:space="0"/>
            </w:tcBorders>
            <w:vAlign w:val="center"/>
          </w:tcPr>
          <w:p>
            <w:pPr>
              <w:pStyle w:val="2"/>
              <w:spacing w:line="360" w:lineRule="auto"/>
              <w:jc w:val="center"/>
              <w:rPr>
                <w:color w:val="000000"/>
                <w:sz w:val="21"/>
                <w:szCs w:val="21"/>
              </w:rPr>
            </w:pPr>
            <w:r>
              <w:rPr>
                <w:rFonts w:hint="eastAsia"/>
                <w:color w:val="000000"/>
                <w:sz w:val="21"/>
                <w:szCs w:val="21"/>
              </w:rPr>
              <w:t>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9" w:hRule="atLeast"/>
        </w:trPr>
        <w:tc>
          <w:tcPr>
            <w:tcW w:w="817" w:type="dxa"/>
          </w:tcPr>
          <w:p>
            <w:pPr>
              <w:pStyle w:val="2"/>
              <w:spacing w:line="360" w:lineRule="auto"/>
              <w:jc w:val="center"/>
              <w:rPr>
                <w:color w:val="000000"/>
                <w:sz w:val="21"/>
                <w:szCs w:val="21"/>
              </w:rPr>
            </w:pPr>
            <w:r>
              <w:rPr>
                <w:rFonts w:hint="eastAsia"/>
                <w:color w:val="000000"/>
                <w:sz w:val="21"/>
                <w:szCs w:val="21"/>
              </w:rPr>
              <w:t>1</w:t>
            </w:r>
          </w:p>
        </w:tc>
        <w:tc>
          <w:tcPr>
            <w:tcW w:w="1843" w:type="dxa"/>
            <w:vMerge w:val="restart"/>
            <w:vAlign w:val="center"/>
          </w:tcPr>
          <w:p>
            <w:pPr>
              <w:pStyle w:val="2"/>
              <w:spacing w:line="360" w:lineRule="auto"/>
              <w:jc w:val="center"/>
              <w:rPr>
                <w:color w:val="000000"/>
                <w:sz w:val="21"/>
                <w:szCs w:val="21"/>
              </w:rPr>
            </w:pPr>
            <w:r>
              <w:rPr>
                <w:rFonts w:hint="eastAsia"/>
                <w:color w:val="000000"/>
                <w:sz w:val="21"/>
                <w:szCs w:val="21"/>
              </w:rPr>
              <w:t>颗粒计数器检定</w:t>
            </w:r>
          </w:p>
        </w:tc>
        <w:tc>
          <w:tcPr>
            <w:tcW w:w="1417" w:type="dxa"/>
            <w:vMerge w:val="restart"/>
            <w:vAlign w:val="center"/>
          </w:tcPr>
          <w:p>
            <w:pPr>
              <w:pStyle w:val="2"/>
              <w:spacing w:line="360" w:lineRule="auto"/>
              <w:jc w:val="center"/>
              <w:rPr>
                <w:color w:val="000000"/>
                <w:sz w:val="21"/>
                <w:szCs w:val="21"/>
              </w:rPr>
            </w:pPr>
            <w:r>
              <w:rPr>
                <w:rFonts w:hint="eastAsia"/>
                <w:color w:val="000000"/>
                <w:sz w:val="21"/>
                <w:szCs w:val="21"/>
              </w:rPr>
              <w:t>SBSS-C</w:t>
            </w:r>
          </w:p>
        </w:tc>
        <w:tc>
          <w:tcPr>
            <w:tcW w:w="1134" w:type="dxa"/>
            <w:vMerge w:val="restart"/>
            <w:vAlign w:val="center"/>
          </w:tcPr>
          <w:p>
            <w:pPr>
              <w:pStyle w:val="2"/>
              <w:spacing w:line="360" w:lineRule="auto"/>
              <w:jc w:val="center"/>
              <w:rPr>
                <w:color w:val="000000"/>
                <w:sz w:val="21"/>
                <w:szCs w:val="21"/>
              </w:rPr>
            </w:pPr>
            <w:r>
              <w:rPr>
                <w:rFonts w:hint="eastAsia"/>
                <w:color w:val="000000"/>
                <w:sz w:val="21"/>
                <w:szCs w:val="21"/>
              </w:rPr>
              <w:t>1台</w:t>
            </w:r>
          </w:p>
        </w:tc>
        <w:tc>
          <w:tcPr>
            <w:tcW w:w="1560" w:type="dxa"/>
          </w:tcPr>
          <w:p>
            <w:pPr>
              <w:pStyle w:val="2"/>
              <w:spacing w:line="360" w:lineRule="auto"/>
              <w:jc w:val="center"/>
              <w:rPr>
                <w:color w:val="000000"/>
                <w:sz w:val="21"/>
                <w:szCs w:val="21"/>
              </w:rPr>
            </w:pPr>
            <w:r>
              <w:rPr>
                <w:rFonts w:hint="eastAsia"/>
                <w:color w:val="000000"/>
                <w:sz w:val="21"/>
                <w:szCs w:val="21"/>
              </w:rPr>
              <w:t>AC</w:t>
            </w:r>
          </w:p>
        </w:tc>
        <w:tc>
          <w:tcPr>
            <w:tcW w:w="1559" w:type="dxa"/>
            <w:tcBorders>
              <w:right w:val="single" w:color="auto" w:sz="4" w:space="0"/>
            </w:tcBorders>
          </w:tcPr>
          <w:p>
            <w:pPr>
              <w:pStyle w:val="2"/>
              <w:spacing w:line="360" w:lineRule="auto"/>
              <w:jc w:val="center"/>
              <w:rPr>
                <w:color w:val="000000"/>
                <w:sz w:val="21"/>
                <w:szCs w:val="21"/>
              </w:rPr>
            </w:pPr>
            <w:r>
              <w:rPr>
                <w:rFonts w:hint="eastAsia"/>
                <w:color w:val="000000"/>
                <w:sz w:val="21"/>
                <w:szCs w:val="21"/>
              </w:rPr>
              <w:t xml:space="preserve">  元/台</w:t>
            </w:r>
          </w:p>
        </w:tc>
        <w:tc>
          <w:tcPr>
            <w:tcW w:w="1417" w:type="dxa"/>
            <w:tcBorders>
              <w:left w:val="single" w:color="auto" w:sz="4" w:space="0"/>
            </w:tcBorders>
          </w:tcPr>
          <w:p>
            <w:pPr>
              <w:pStyle w:val="2"/>
              <w:spacing w:line="360" w:lineRule="auto"/>
              <w:jc w:val="center"/>
              <w:rPr>
                <w:color w:val="000000"/>
                <w:sz w:val="21"/>
                <w:szCs w:val="21"/>
              </w:rPr>
            </w:pPr>
            <w:r>
              <w:rPr>
                <w:rFonts w:hint="eastAsia"/>
                <w:color w:val="000000"/>
                <w:sz w:val="21"/>
                <w:szCs w:val="21"/>
              </w:rPr>
              <w:t>2023年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1" w:hRule="atLeast"/>
        </w:trPr>
        <w:tc>
          <w:tcPr>
            <w:tcW w:w="817" w:type="dxa"/>
          </w:tcPr>
          <w:p>
            <w:pPr>
              <w:pStyle w:val="2"/>
              <w:spacing w:line="360" w:lineRule="auto"/>
              <w:jc w:val="center"/>
              <w:rPr>
                <w:color w:val="000000"/>
                <w:sz w:val="21"/>
                <w:szCs w:val="21"/>
              </w:rPr>
            </w:pPr>
            <w:r>
              <w:rPr>
                <w:rFonts w:hint="eastAsia"/>
                <w:color w:val="000000"/>
                <w:sz w:val="21"/>
                <w:szCs w:val="21"/>
              </w:rPr>
              <w:t>2</w:t>
            </w:r>
          </w:p>
        </w:tc>
        <w:tc>
          <w:tcPr>
            <w:tcW w:w="1843" w:type="dxa"/>
            <w:vMerge w:val="continue"/>
          </w:tcPr>
          <w:p>
            <w:pPr>
              <w:pStyle w:val="2"/>
              <w:spacing w:line="360" w:lineRule="auto"/>
              <w:rPr>
                <w:color w:val="000000"/>
                <w:sz w:val="21"/>
                <w:szCs w:val="21"/>
              </w:rPr>
            </w:pPr>
          </w:p>
        </w:tc>
        <w:tc>
          <w:tcPr>
            <w:tcW w:w="1417" w:type="dxa"/>
            <w:vMerge w:val="continue"/>
          </w:tcPr>
          <w:p>
            <w:pPr>
              <w:pStyle w:val="2"/>
              <w:spacing w:line="360" w:lineRule="auto"/>
              <w:rPr>
                <w:color w:val="000000"/>
                <w:sz w:val="21"/>
                <w:szCs w:val="21"/>
              </w:rPr>
            </w:pPr>
          </w:p>
        </w:tc>
        <w:tc>
          <w:tcPr>
            <w:tcW w:w="1134" w:type="dxa"/>
            <w:vMerge w:val="continue"/>
          </w:tcPr>
          <w:p>
            <w:pPr>
              <w:pStyle w:val="2"/>
              <w:spacing w:line="360" w:lineRule="auto"/>
              <w:rPr>
                <w:color w:val="000000"/>
                <w:sz w:val="21"/>
                <w:szCs w:val="21"/>
              </w:rPr>
            </w:pPr>
          </w:p>
        </w:tc>
        <w:tc>
          <w:tcPr>
            <w:tcW w:w="1560" w:type="dxa"/>
          </w:tcPr>
          <w:p>
            <w:pPr>
              <w:pStyle w:val="2"/>
              <w:spacing w:line="360" w:lineRule="auto"/>
              <w:jc w:val="center"/>
              <w:rPr>
                <w:color w:val="000000"/>
                <w:sz w:val="21"/>
                <w:szCs w:val="21"/>
              </w:rPr>
            </w:pPr>
            <w:r>
              <w:rPr>
                <w:rFonts w:hint="eastAsia"/>
                <w:color w:val="000000"/>
                <w:sz w:val="21"/>
                <w:szCs w:val="21"/>
              </w:rPr>
              <w:t>MTD</w:t>
            </w:r>
          </w:p>
        </w:tc>
        <w:tc>
          <w:tcPr>
            <w:tcW w:w="1559" w:type="dxa"/>
            <w:tcBorders>
              <w:right w:val="single" w:color="auto" w:sz="4" w:space="0"/>
            </w:tcBorders>
          </w:tcPr>
          <w:p>
            <w:pPr>
              <w:pStyle w:val="2"/>
              <w:spacing w:line="360" w:lineRule="auto"/>
              <w:jc w:val="center"/>
              <w:rPr>
                <w:color w:val="000000"/>
                <w:sz w:val="21"/>
                <w:szCs w:val="21"/>
              </w:rPr>
            </w:pPr>
            <w:r>
              <w:rPr>
                <w:rFonts w:hint="eastAsia"/>
                <w:color w:val="000000"/>
                <w:sz w:val="21"/>
                <w:szCs w:val="21"/>
              </w:rPr>
              <w:t xml:space="preserve">  元/台</w:t>
            </w:r>
          </w:p>
        </w:tc>
        <w:tc>
          <w:tcPr>
            <w:tcW w:w="1417" w:type="dxa"/>
            <w:tcBorders>
              <w:left w:val="single" w:color="auto" w:sz="4" w:space="0"/>
            </w:tcBorders>
          </w:tcPr>
          <w:p>
            <w:pPr>
              <w:pStyle w:val="2"/>
              <w:spacing w:line="360" w:lineRule="auto"/>
              <w:jc w:val="center"/>
              <w:rPr>
                <w:color w:val="000000"/>
                <w:sz w:val="21"/>
                <w:szCs w:val="21"/>
              </w:rPr>
            </w:pPr>
            <w:r>
              <w:rPr>
                <w:rFonts w:hint="eastAsia"/>
                <w:color w:val="000000"/>
                <w:sz w:val="21"/>
                <w:szCs w:val="21"/>
              </w:rPr>
              <w:t>2023年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2" w:hRule="atLeast"/>
        </w:trPr>
        <w:tc>
          <w:tcPr>
            <w:tcW w:w="817" w:type="dxa"/>
          </w:tcPr>
          <w:p>
            <w:pPr>
              <w:pStyle w:val="2"/>
              <w:spacing w:line="360" w:lineRule="auto"/>
              <w:jc w:val="center"/>
              <w:rPr>
                <w:color w:val="000000"/>
                <w:sz w:val="21"/>
                <w:szCs w:val="21"/>
              </w:rPr>
            </w:pPr>
            <w:r>
              <w:rPr>
                <w:rFonts w:hint="eastAsia"/>
                <w:color w:val="000000"/>
                <w:sz w:val="21"/>
                <w:szCs w:val="21"/>
              </w:rPr>
              <w:t>5</w:t>
            </w:r>
          </w:p>
        </w:tc>
        <w:tc>
          <w:tcPr>
            <w:tcW w:w="1843" w:type="dxa"/>
            <w:vAlign w:val="center"/>
          </w:tcPr>
          <w:p>
            <w:pPr>
              <w:pStyle w:val="2"/>
              <w:spacing w:line="360" w:lineRule="auto"/>
              <w:jc w:val="center"/>
              <w:rPr>
                <w:color w:val="000000"/>
                <w:sz w:val="21"/>
                <w:szCs w:val="21"/>
              </w:rPr>
            </w:pPr>
            <w:r>
              <w:rPr>
                <w:rFonts w:hint="eastAsia"/>
                <w:color w:val="000000"/>
                <w:sz w:val="21"/>
                <w:szCs w:val="21"/>
              </w:rPr>
              <w:t>上门服务费</w:t>
            </w:r>
          </w:p>
        </w:tc>
        <w:tc>
          <w:tcPr>
            <w:tcW w:w="2551" w:type="dxa"/>
            <w:gridSpan w:val="2"/>
          </w:tcPr>
          <w:p>
            <w:pPr>
              <w:pStyle w:val="2"/>
              <w:spacing w:line="360" w:lineRule="auto"/>
              <w:jc w:val="center"/>
              <w:rPr>
                <w:color w:val="000000"/>
                <w:sz w:val="21"/>
                <w:szCs w:val="21"/>
              </w:rPr>
            </w:pPr>
            <w:r>
              <w:rPr>
                <w:rFonts w:hint="eastAsia"/>
                <w:color w:val="000000"/>
                <w:sz w:val="21"/>
                <w:szCs w:val="21"/>
              </w:rPr>
              <w:t>2023年</w:t>
            </w:r>
          </w:p>
        </w:tc>
        <w:tc>
          <w:tcPr>
            <w:tcW w:w="1560" w:type="dxa"/>
          </w:tcPr>
          <w:p>
            <w:pPr>
              <w:pStyle w:val="2"/>
              <w:spacing w:line="360" w:lineRule="auto"/>
              <w:jc w:val="center"/>
              <w:rPr>
                <w:color w:val="000000"/>
                <w:sz w:val="21"/>
                <w:szCs w:val="21"/>
              </w:rPr>
            </w:pPr>
            <w:r>
              <w:rPr>
                <w:rFonts w:hint="eastAsia"/>
                <w:color w:val="000000"/>
                <w:sz w:val="21"/>
                <w:szCs w:val="21"/>
              </w:rPr>
              <w:t>1次</w:t>
            </w:r>
          </w:p>
        </w:tc>
        <w:tc>
          <w:tcPr>
            <w:tcW w:w="2976" w:type="dxa"/>
            <w:gridSpan w:val="2"/>
          </w:tcPr>
          <w:p>
            <w:pPr>
              <w:pStyle w:val="2"/>
              <w:spacing w:line="360" w:lineRule="auto"/>
              <w:jc w:val="center"/>
              <w:rPr>
                <w:color w:val="000000"/>
                <w:sz w:val="21"/>
                <w:szCs w:val="21"/>
              </w:rPr>
            </w:pPr>
            <w:r>
              <w:rPr>
                <w:rFonts w:hint="eastAsia"/>
                <w:color w:val="000000"/>
                <w:sz w:val="21"/>
                <w:szCs w:val="21"/>
              </w:rPr>
              <w:t xml:space="preserve"> 元/次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8" w:hRule="atLeast"/>
        </w:trPr>
        <w:tc>
          <w:tcPr>
            <w:tcW w:w="817" w:type="dxa"/>
          </w:tcPr>
          <w:p>
            <w:pPr>
              <w:pStyle w:val="2"/>
              <w:spacing w:line="360" w:lineRule="auto"/>
              <w:rPr>
                <w:color w:val="000000"/>
                <w:sz w:val="21"/>
                <w:szCs w:val="21"/>
              </w:rPr>
            </w:pPr>
          </w:p>
        </w:tc>
        <w:tc>
          <w:tcPr>
            <w:tcW w:w="1843" w:type="dxa"/>
          </w:tcPr>
          <w:p>
            <w:pPr>
              <w:pStyle w:val="2"/>
              <w:spacing w:line="360" w:lineRule="auto"/>
              <w:rPr>
                <w:color w:val="000000"/>
                <w:sz w:val="21"/>
                <w:szCs w:val="21"/>
              </w:rPr>
            </w:pPr>
            <w:r>
              <w:rPr>
                <w:rFonts w:hint="eastAsia"/>
                <w:color w:val="000000"/>
                <w:sz w:val="21"/>
                <w:szCs w:val="21"/>
              </w:rPr>
              <w:t>共计：</w:t>
            </w:r>
          </w:p>
        </w:tc>
        <w:tc>
          <w:tcPr>
            <w:tcW w:w="7087" w:type="dxa"/>
            <w:gridSpan w:val="5"/>
            <w:vAlign w:val="center"/>
          </w:tcPr>
          <w:p>
            <w:pPr>
              <w:pStyle w:val="2"/>
              <w:spacing w:line="360" w:lineRule="auto"/>
              <w:jc w:val="center"/>
              <w:rPr>
                <w:color w:val="000000"/>
                <w:sz w:val="21"/>
                <w:szCs w:val="21"/>
              </w:rPr>
            </w:pPr>
            <w:r>
              <w:rPr>
                <w:rFonts w:hint="eastAsia"/>
                <w:color w:val="000000"/>
                <w:sz w:val="21"/>
                <w:szCs w:val="21"/>
              </w:rPr>
              <w:t>元整（含   % 增值税）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47" w:type="dxa"/>
            <w:gridSpan w:val="7"/>
            <w:vAlign w:val="center"/>
          </w:tcPr>
          <w:p>
            <w:pPr>
              <w:pStyle w:val="2"/>
              <w:spacing w:line="360" w:lineRule="auto"/>
              <w:rPr>
                <w:color w:val="000000"/>
                <w:sz w:val="21"/>
                <w:szCs w:val="21"/>
              </w:rPr>
            </w:pPr>
            <w:r>
              <w:rPr>
                <w:rFonts w:hint="eastAsia"/>
                <w:color w:val="000000"/>
                <w:sz w:val="21"/>
                <w:szCs w:val="21"/>
              </w:rPr>
              <w:t>备注：此价格含税，税率  %（增值税专用发票）</w:t>
            </w:r>
          </w:p>
        </w:tc>
      </w:tr>
    </w:tbl>
    <w:p>
      <w:pPr>
        <w:spacing w:beforeLines="50" w:line="360" w:lineRule="auto"/>
        <w:rPr>
          <w:rStyle w:val="21"/>
          <w:sz w:val="24"/>
          <w:lang w:eastAsia="zh-CN"/>
        </w:rPr>
      </w:pPr>
      <w:r>
        <w:rPr>
          <w:rFonts w:hint="eastAsia"/>
          <w:sz w:val="24"/>
          <w:lang w:eastAsia="zh-CN"/>
        </w:rPr>
        <w:t>七、完成期限：本年度要求2023年4月15日前检定完成并出具检定证书。</w:t>
      </w:r>
      <w:r>
        <w:rPr>
          <w:rStyle w:val="21"/>
          <w:rFonts w:hint="eastAsia"/>
          <w:sz w:val="24"/>
          <w:lang w:eastAsia="zh-CN"/>
        </w:rPr>
        <w:t> </w:t>
      </w:r>
    </w:p>
    <w:p>
      <w:pPr>
        <w:spacing w:line="360" w:lineRule="auto"/>
        <w:rPr>
          <w:rStyle w:val="21"/>
          <w:sz w:val="24"/>
          <w:lang w:eastAsia="zh-CN"/>
        </w:rPr>
      </w:pPr>
      <w:r>
        <w:rPr>
          <w:rFonts w:hint="eastAsia"/>
          <w:sz w:val="24"/>
          <w:lang w:eastAsia="zh-CN"/>
        </w:rPr>
        <w:t>八、付款方式：无预付款，颗粒计数器检定完成并出具检定证书经验收合格，且收到乙方提供的全额增值税专用发票15个工作日内，甲方支付全款。</w:t>
      </w:r>
      <w:r>
        <w:rPr>
          <w:rStyle w:val="21"/>
          <w:rFonts w:hint="eastAsia"/>
          <w:sz w:val="24"/>
          <w:lang w:eastAsia="zh-CN"/>
        </w:rPr>
        <w:t> </w:t>
      </w:r>
    </w:p>
    <w:p>
      <w:pPr>
        <w:pStyle w:val="8"/>
        <w:spacing w:line="360" w:lineRule="auto"/>
        <w:ind w:firstLine="480" w:firstLineChars="200"/>
        <w:rPr>
          <w:rFonts w:hAnsi="宋体"/>
          <w:sz w:val="24"/>
          <w:szCs w:val="24"/>
          <w:lang w:eastAsia="zh-CN"/>
        </w:rPr>
      </w:pPr>
      <w:r>
        <w:rPr>
          <w:rFonts w:hint="eastAsia" w:hAnsi="宋体"/>
          <w:sz w:val="24"/>
          <w:szCs w:val="24"/>
          <w:lang w:eastAsia="zh-CN"/>
        </w:rPr>
        <w:t>公司名称：</w:t>
      </w:r>
    </w:p>
    <w:p>
      <w:pPr>
        <w:pStyle w:val="8"/>
        <w:spacing w:line="360" w:lineRule="auto"/>
        <w:ind w:firstLine="480" w:firstLineChars="200"/>
        <w:rPr>
          <w:rFonts w:hAnsi="宋体"/>
          <w:sz w:val="24"/>
          <w:szCs w:val="24"/>
          <w:lang w:eastAsia="zh-CN"/>
        </w:rPr>
      </w:pPr>
      <w:r>
        <w:rPr>
          <w:rFonts w:hint="eastAsia" w:hAnsi="宋体"/>
          <w:sz w:val="24"/>
          <w:szCs w:val="24"/>
          <w:lang w:eastAsia="zh-CN"/>
        </w:rPr>
        <w:t>开户银行：</w:t>
      </w:r>
    </w:p>
    <w:p>
      <w:pPr>
        <w:spacing w:line="360" w:lineRule="auto"/>
        <w:ind w:firstLine="480" w:firstLineChars="200"/>
        <w:rPr>
          <w:sz w:val="24"/>
          <w:lang w:eastAsia="zh-CN"/>
        </w:rPr>
      </w:pPr>
      <w:r>
        <w:rPr>
          <w:rFonts w:hint="eastAsia"/>
          <w:sz w:val="24"/>
          <w:lang w:eastAsia="zh-CN"/>
        </w:rPr>
        <w:t>账    号：</w:t>
      </w:r>
    </w:p>
    <w:p>
      <w:pPr>
        <w:spacing w:line="360" w:lineRule="auto"/>
        <w:rPr>
          <w:color w:val="000000"/>
          <w:sz w:val="24"/>
          <w:lang w:eastAsia="zh-CN"/>
        </w:rPr>
      </w:pPr>
      <w:r>
        <w:rPr>
          <w:rFonts w:hint="eastAsia"/>
          <w:sz w:val="24"/>
          <w:lang w:eastAsia="zh-CN"/>
        </w:rPr>
        <w:t>乙方应在甲方付款前</w:t>
      </w:r>
      <w:r>
        <w:rPr>
          <w:rFonts w:hint="eastAsia"/>
          <w:sz w:val="24"/>
          <w:u w:val="single"/>
          <w:lang w:eastAsia="zh-CN"/>
        </w:rPr>
        <w:t>30个工作日</w:t>
      </w:r>
      <w:r>
        <w:rPr>
          <w:rFonts w:hint="eastAsia"/>
          <w:sz w:val="24"/>
          <w:lang w:eastAsia="zh-CN"/>
        </w:rPr>
        <w:t>内</w:t>
      </w:r>
      <w:r>
        <w:rPr>
          <w:rFonts w:hint="eastAsia"/>
          <w:color w:val="000000"/>
          <w:sz w:val="24"/>
          <w:lang w:eastAsia="zh-CN"/>
        </w:rPr>
        <w:t>提供</w:t>
      </w:r>
      <w:r>
        <w:rPr>
          <w:rFonts w:hint="eastAsia"/>
          <w:color w:val="000000"/>
          <w:sz w:val="24"/>
          <w:u w:val="single"/>
          <w:lang w:eastAsia="zh-CN"/>
        </w:rPr>
        <w:t xml:space="preserve">    %</w:t>
      </w:r>
      <w:r>
        <w:rPr>
          <w:rFonts w:hint="eastAsia"/>
          <w:color w:val="000000"/>
          <w:sz w:val="24"/>
          <w:lang w:eastAsia="zh-CN"/>
        </w:rPr>
        <w:t>增值税专用发票，否则甲方有权顺延付款。</w:t>
      </w:r>
    </w:p>
    <w:p>
      <w:pPr>
        <w:spacing w:line="360" w:lineRule="auto"/>
        <w:rPr>
          <w:rStyle w:val="21"/>
          <w:b/>
          <w:bCs/>
          <w:color w:val="000000"/>
          <w:sz w:val="24"/>
          <w:lang w:eastAsia="zh-CN"/>
        </w:rPr>
      </w:pPr>
      <w:r>
        <w:rPr>
          <w:rFonts w:hint="eastAsia"/>
          <w:b/>
          <w:bCs/>
          <w:color w:val="000000"/>
          <w:sz w:val="24"/>
          <w:lang w:eastAsia="zh-CN"/>
        </w:rPr>
        <w:t>九、违约责任：</w:t>
      </w:r>
    </w:p>
    <w:p>
      <w:pPr>
        <w:spacing w:line="360" w:lineRule="auto"/>
        <w:ind w:firstLine="480" w:firstLineChars="200"/>
        <w:rPr>
          <w:rStyle w:val="21"/>
          <w:color w:val="000000"/>
          <w:sz w:val="24"/>
          <w:lang w:eastAsia="zh-CN"/>
        </w:rPr>
      </w:pPr>
      <w:r>
        <w:rPr>
          <w:rStyle w:val="21"/>
          <w:rFonts w:hint="eastAsia"/>
          <w:color w:val="000000"/>
          <w:sz w:val="24"/>
          <w:lang w:eastAsia="zh-CN"/>
        </w:rPr>
        <w:t>1、乙方逾期完成检定及提供</w:t>
      </w:r>
      <w:r>
        <w:rPr>
          <w:rFonts w:hint="eastAsia"/>
          <w:sz w:val="24"/>
          <w:lang w:eastAsia="zh-CN"/>
        </w:rPr>
        <w:t>检定证书</w:t>
      </w:r>
      <w:r>
        <w:rPr>
          <w:rStyle w:val="21"/>
          <w:rFonts w:hint="eastAsia"/>
          <w:color w:val="000000"/>
          <w:sz w:val="24"/>
          <w:lang w:eastAsia="zh-CN"/>
        </w:rPr>
        <w:t>的，每日应向甲方支付违约金人民币</w:t>
      </w:r>
      <w:r>
        <w:rPr>
          <w:color w:val="000000"/>
          <w:sz w:val="24"/>
          <w:u w:val="single"/>
          <w:lang w:eastAsia="zh-CN"/>
        </w:rPr>
        <w:t xml:space="preserve"> </w:t>
      </w:r>
      <w:r>
        <w:rPr>
          <w:rFonts w:hint="eastAsia"/>
          <w:color w:val="000000"/>
          <w:sz w:val="24"/>
          <w:u w:val="single"/>
          <w:lang w:eastAsia="zh-CN"/>
        </w:rPr>
        <w:t>100</w:t>
      </w:r>
      <w:r>
        <w:rPr>
          <w:color w:val="000000"/>
          <w:sz w:val="24"/>
          <w:u w:val="single"/>
          <w:lang w:eastAsia="zh-CN"/>
        </w:rPr>
        <w:t xml:space="preserve"> </w:t>
      </w:r>
      <w:r>
        <w:rPr>
          <w:rStyle w:val="21"/>
          <w:rFonts w:hint="eastAsia"/>
          <w:color w:val="000000"/>
          <w:sz w:val="24"/>
          <w:lang w:eastAsia="zh-CN"/>
        </w:rPr>
        <w:t>元，逾期超过</w:t>
      </w:r>
      <w:r>
        <w:rPr>
          <w:rStyle w:val="21"/>
          <w:rFonts w:hint="eastAsia"/>
          <w:color w:val="000000"/>
          <w:sz w:val="24"/>
          <w:u w:val="single"/>
          <w:lang w:eastAsia="zh-CN"/>
        </w:rPr>
        <w:t>30</w:t>
      </w:r>
      <w:r>
        <w:rPr>
          <w:color w:val="000000"/>
          <w:sz w:val="24"/>
          <w:u w:val="single"/>
          <w:lang w:eastAsia="zh-CN"/>
        </w:rPr>
        <w:t xml:space="preserve"> </w:t>
      </w:r>
      <w:r>
        <w:rPr>
          <w:rStyle w:val="21"/>
          <w:rFonts w:hint="eastAsia"/>
          <w:color w:val="000000"/>
          <w:sz w:val="24"/>
          <w:lang w:eastAsia="zh-CN"/>
        </w:rPr>
        <w:t>日的，甲方除要求乙方支付前述违约金外，还有权解除本合同并要求乙方退还已经收取的费用。</w:t>
      </w:r>
    </w:p>
    <w:p>
      <w:pPr>
        <w:spacing w:line="360" w:lineRule="auto"/>
        <w:ind w:firstLine="480" w:firstLineChars="200"/>
        <w:rPr>
          <w:rStyle w:val="21"/>
          <w:sz w:val="24"/>
          <w:lang w:eastAsia="zh-CN"/>
        </w:rPr>
      </w:pPr>
      <w:r>
        <w:rPr>
          <w:rStyle w:val="21"/>
          <w:rFonts w:hint="eastAsia"/>
          <w:sz w:val="24"/>
          <w:lang w:eastAsia="zh-CN"/>
        </w:rPr>
        <w:t>2、乙方无法按要求完成检定及提供检定证书的，应根据甲方要求进行修改，由此造成的逾期，参照第一款执行。</w:t>
      </w:r>
    </w:p>
    <w:p>
      <w:pPr>
        <w:spacing w:line="360" w:lineRule="auto"/>
        <w:ind w:firstLine="480" w:firstLineChars="200"/>
        <w:rPr>
          <w:color w:val="111111"/>
          <w:sz w:val="24"/>
          <w:lang w:eastAsia="zh-CN"/>
        </w:rPr>
      </w:pPr>
      <w:r>
        <w:rPr>
          <w:rStyle w:val="21"/>
          <w:rFonts w:hint="eastAsia"/>
          <w:sz w:val="24"/>
          <w:lang w:eastAsia="zh-CN"/>
        </w:rPr>
        <w:t>3、</w:t>
      </w:r>
      <w:r>
        <w:rPr>
          <w:rFonts w:hint="eastAsia"/>
          <w:sz w:val="24"/>
          <w:szCs w:val="24"/>
          <w:lang w:eastAsia="zh-CN"/>
        </w:rPr>
        <w:t>如甲方逾期付款，应按全国银行间同业拆借中心公布的贷款市场报价利率向乙方支付利息</w:t>
      </w:r>
      <w:r>
        <w:rPr>
          <w:color w:val="111111"/>
          <w:sz w:val="24"/>
          <w:lang w:eastAsia="zh-CN"/>
        </w:rPr>
        <w:t>。</w:t>
      </w:r>
    </w:p>
    <w:p>
      <w:pPr>
        <w:spacing w:line="360" w:lineRule="auto"/>
        <w:rPr>
          <w:b/>
          <w:bCs/>
          <w:color w:val="000000"/>
          <w:sz w:val="24"/>
          <w:lang w:eastAsia="zh-CN"/>
        </w:rPr>
      </w:pPr>
      <w:r>
        <w:rPr>
          <w:rFonts w:hint="eastAsia"/>
          <w:b/>
          <w:bCs/>
          <w:color w:val="000000"/>
          <w:sz w:val="24"/>
          <w:lang w:eastAsia="zh-CN"/>
        </w:rPr>
        <w:t xml:space="preserve">十、其他约定： </w:t>
      </w:r>
    </w:p>
    <w:p>
      <w:pPr>
        <w:spacing w:line="360" w:lineRule="auto"/>
        <w:ind w:firstLine="480" w:firstLineChars="200"/>
        <w:rPr>
          <w:rStyle w:val="21"/>
          <w:color w:val="000000"/>
          <w:sz w:val="24"/>
          <w:lang w:eastAsia="zh-CN"/>
        </w:rPr>
      </w:pPr>
      <w:r>
        <w:rPr>
          <w:rStyle w:val="21"/>
          <w:rFonts w:hint="eastAsia"/>
          <w:color w:val="000000"/>
          <w:sz w:val="24"/>
          <w:lang w:eastAsia="zh-CN"/>
        </w:rPr>
        <w:t>1、在检定结果的实际运用中，如有证据证明乙方存在弄虚作假等违反本合同约定的情形，甲方仍有权要求乙方承担由此造成的损失和法律后果。</w:t>
      </w:r>
    </w:p>
    <w:p>
      <w:pPr>
        <w:spacing w:line="360" w:lineRule="auto"/>
        <w:ind w:firstLine="480" w:firstLineChars="200"/>
        <w:rPr>
          <w:rStyle w:val="21"/>
          <w:color w:val="000000"/>
          <w:sz w:val="24"/>
          <w:lang w:eastAsia="zh-CN"/>
        </w:rPr>
      </w:pPr>
      <w:r>
        <w:rPr>
          <w:rStyle w:val="21"/>
          <w:rFonts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w:t>
      </w:r>
      <w:r>
        <w:rPr>
          <w:rStyle w:val="21"/>
          <w:rFonts w:hint="eastAsia"/>
          <w:color w:val="000000"/>
          <w:sz w:val="24"/>
          <w:u w:val="single"/>
          <w:lang w:eastAsia="zh-CN"/>
        </w:rPr>
        <w:t>5</w:t>
      </w:r>
      <w:r>
        <w:rPr>
          <w:rStyle w:val="21"/>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
        <w:spacing w:line="360" w:lineRule="auto"/>
        <w:ind w:firstLine="465"/>
        <w:rPr>
          <w:sz w:val="24"/>
          <w:szCs w:val="24"/>
        </w:rPr>
      </w:pPr>
      <w:r>
        <w:rPr>
          <w:rFonts w:hint="eastAsia"/>
          <w:sz w:val="24"/>
          <w:szCs w:val="24"/>
        </w:rPr>
        <w:t>3、如乙方在甲方现场提供检测服务，应遵循甲方相关管理规定，检测过程中的安全责任由乙方自行承担。</w:t>
      </w:r>
    </w:p>
    <w:p>
      <w:pPr>
        <w:pStyle w:val="2"/>
        <w:spacing w:line="360" w:lineRule="auto"/>
        <w:ind w:firstLine="465"/>
        <w:rPr>
          <w:rStyle w:val="21"/>
          <w:color w:val="000000"/>
          <w:sz w:val="24"/>
        </w:rPr>
      </w:pPr>
      <w:r>
        <w:rPr>
          <w:rFonts w:hint="eastAsia"/>
          <w:sz w:val="24"/>
          <w:szCs w:val="24"/>
        </w:rPr>
        <w:t>4、</w:t>
      </w:r>
      <w:r>
        <w:rPr>
          <w:rStyle w:val="21"/>
          <w:rFonts w:hint="eastAsia"/>
          <w:color w:val="000000"/>
          <w:sz w:val="24"/>
        </w:rPr>
        <w:t>双方之间如因本合同的履行发生纠纷，可协商解决，协商无果可直接向甲方所在地人民法院提起诉讼。</w:t>
      </w:r>
    </w:p>
    <w:p>
      <w:pPr>
        <w:pStyle w:val="2"/>
        <w:spacing w:line="360" w:lineRule="auto"/>
        <w:ind w:firstLine="465"/>
        <w:rPr>
          <w:sz w:val="24"/>
          <w:szCs w:val="24"/>
        </w:rPr>
      </w:pPr>
      <w:r>
        <w:rPr>
          <w:rStyle w:val="21"/>
          <w:rFonts w:hint="eastAsia"/>
          <w:color w:val="000000"/>
          <w:sz w:val="24"/>
        </w:rPr>
        <w:t>5、甲方已就本合同项下涉及乙方重大利害关系的条款向乙方作出详细说明，乙方理解上述条款的含义，并自愿签订本合同。</w:t>
      </w:r>
    </w:p>
    <w:p>
      <w:pPr>
        <w:spacing w:line="360" w:lineRule="auto"/>
        <w:ind w:firstLine="480" w:firstLineChars="200"/>
        <w:rPr>
          <w:color w:val="000000"/>
          <w:sz w:val="24"/>
          <w:lang w:eastAsia="zh-CN"/>
        </w:rPr>
      </w:pPr>
      <w:r>
        <w:rPr>
          <w:rFonts w:hint="eastAsia"/>
          <w:color w:val="000000"/>
          <w:sz w:val="24"/>
          <w:lang w:eastAsia="zh-CN"/>
        </w:rPr>
        <w:t>十一、本合同一式</w:t>
      </w:r>
      <w:r>
        <w:rPr>
          <w:color w:val="000000"/>
          <w:sz w:val="24"/>
          <w:u w:val="single"/>
          <w:lang w:eastAsia="zh-CN"/>
        </w:rPr>
        <w:t xml:space="preserve"> </w:t>
      </w:r>
      <w:r>
        <w:rPr>
          <w:rFonts w:hint="eastAsia"/>
          <w:color w:val="000000"/>
          <w:sz w:val="24"/>
          <w:u w:val="single"/>
          <w:lang w:eastAsia="zh-CN"/>
        </w:rPr>
        <w:t>陆</w:t>
      </w:r>
      <w:r>
        <w:rPr>
          <w:color w:val="000000"/>
          <w:sz w:val="24"/>
          <w:u w:val="single"/>
          <w:lang w:eastAsia="zh-CN"/>
        </w:rPr>
        <w:t xml:space="preserve"> </w:t>
      </w:r>
      <w:r>
        <w:rPr>
          <w:rFonts w:hint="eastAsia"/>
          <w:color w:val="000000"/>
          <w:sz w:val="24"/>
          <w:lang w:eastAsia="zh-CN"/>
        </w:rPr>
        <w:t>份，双方签订后生效，甲方执</w:t>
      </w:r>
      <w:r>
        <w:rPr>
          <w:color w:val="000000"/>
          <w:sz w:val="24"/>
          <w:u w:val="single"/>
          <w:lang w:eastAsia="zh-CN"/>
        </w:rPr>
        <w:t xml:space="preserve"> </w:t>
      </w:r>
      <w:r>
        <w:rPr>
          <w:rFonts w:hint="eastAsia"/>
          <w:color w:val="000000"/>
          <w:sz w:val="24"/>
          <w:u w:val="single"/>
          <w:lang w:eastAsia="zh-CN"/>
        </w:rPr>
        <w:t>肆</w:t>
      </w:r>
      <w:r>
        <w:rPr>
          <w:color w:val="000000"/>
          <w:sz w:val="24"/>
          <w:u w:val="single"/>
          <w:lang w:eastAsia="zh-CN"/>
        </w:rPr>
        <w:t xml:space="preserve"> </w:t>
      </w:r>
      <w:r>
        <w:rPr>
          <w:rFonts w:hint="eastAsia"/>
          <w:color w:val="000000"/>
          <w:sz w:val="24"/>
          <w:lang w:eastAsia="zh-CN"/>
        </w:rPr>
        <w:t>份，乙方执</w:t>
      </w:r>
      <w:r>
        <w:rPr>
          <w:color w:val="000000"/>
          <w:sz w:val="24"/>
          <w:u w:val="single"/>
          <w:lang w:eastAsia="zh-CN"/>
        </w:rPr>
        <w:t xml:space="preserve"> </w:t>
      </w:r>
      <w:r>
        <w:rPr>
          <w:rFonts w:hint="eastAsia"/>
          <w:color w:val="000000"/>
          <w:sz w:val="24"/>
          <w:u w:val="single"/>
          <w:lang w:eastAsia="zh-CN"/>
        </w:rPr>
        <w:t>贰</w:t>
      </w:r>
      <w:r>
        <w:rPr>
          <w:color w:val="000000"/>
          <w:sz w:val="24"/>
          <w:u w:val="single"/>
          <w:lang w:eastAsia="zh-CN"/>
        </w:rPr>
        <w:t xml:space="preserve"> </w:t>
      </w:r>
      <w:r>
        <w:rPr>
          <w:rFonts w:hint="eastAsia"/>
          <w:color w:val="000000"/>
          <w:sz w:val="24"/>
          <w:lang w:eastAsia="zh-CN"/>
        </w:rPr>
        <w:t>份，具有同等法律效力。</w:t>
      </w:r>
    </w:p>
    <w:p>
      <w:pPr>
        <w:spacing w:line="360" w:lineRule="auto"/>
        <w:ind w:firstLine="480" w:firstLineChars="200"/>
        <w:rPr>
          <w:color w:val="000000"/>
          <w:sz w:val="24"/>
          <w:lang w:eastAsia="zh-CN"/>
        </w:rPr>
      </w:pPr>
      <w:r>
        <w:rPr>
          <w:rFonts w:hint="eastAsia"/>
          <w:color w:val="000000"/>
          <w:sz w:val="24"/>
          <w:lang w:eastAsia="zh-CN"/>
        </w:rPr>
        <w:t>十二、附件：安全环保协议书</w:t>
      </w:r>
    </w:p>
    <w:p>
      <w:pPr>
        <w:pStyle w:val="2"/>
      </w:pP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（以下无正文）</w:t>
      </w:r>
    </w:p>
    <w:p>
      <w:pPr>
        <w:spacing w:line="360" w:lineRule="auto"/>
        <w:rPr>
          <w:rFonts w:asciiTheme="minorEastAsia" w:hAnsiTheme="minorEastAsia" w:eastAsiaTheme="minorEastAsia"/>
          <w:sz w:val="24"/>
          <w:lang w:eastAsia="zh-CN"/>
        </w:rPr>
      </w:pPr>
    </w:p>
    <w:p>
      <w:pPr>
        <w:pStyle w:val="2"/>
      </w:pPr>
    </w:p>
    <w:p>
      <w:pPr>
        <w:pStyle w:val="2"/>
      </w:pPr>
    </w:p>
    <w:p>
      <w:pPr>
        <w:pStyle w:val="2"/>
      </w:pPr>
    </w:p>
    <w:tbl>
      <w:tblPr>
        <w:tblStyle w:val="19"/>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甲方：</w:t>
            </w:r>
            <w:r>
              <w:rPr>
                <w:rFonts w:hint="eastAsia" w:asciiTheme="majorEastAsia" w:hAnsiTheme="majorEastAsia" w:eastAsiaTheme="majorEastAsia"/>
                <w:b/>
                <w:sz w:val="24"/>
                <w:szCs w:val="24"/>
                <w:lang w:eastAsia="zh-CN"/>
              </w:rPr>
              <w:t>腾龙芳烃（漳州）有限公司</w:t>
            </w:r>
          </w:p>
        </w:tc>
        <w:tc>
          <w:tcPr>
            <w:tcW w:w="4821" w:type="dxa"/>
            <w:vAlign w:val="center"/>
          </w:tcPr>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地址：</w:t>
            </w:r>
            <w:r>
              <w:rPr>
                <w:rFonts w:hint="eastAsia" w:cs="Courier New" w:asciiTheme="majorEastAsia" w:hAnsiTheme="majorEastAsia" w:eastAsiaTheme="majorEastAsia"/>
                <w:sz w:val="24"/>
                <w:szCs w:val="24"/>
                <w:lang w:eastAsia="zh-CN"/>
              </w:rPr>
              <w:t>福建省漳州市古雷港经济开发区</w:t>
            </w:r>
          </w:p>
        </w:tc>
        <w:tc>
          <w:tcPr>
            <w:tcW w:w="4821" w:type="dxa"/>
            <w:vAlign w:val="center"/>
          </w:tcPr>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地址：</w:t>
            </w:r>
            <w:r>
              <w:rPr>
                <w:rFonts w:asciiTheme="majorEastAsia" w:hAnsiTheme="majorEastAsia" w:eastAsiaTheme="majorEastAsia"/>
                <w:sz w:val="24"/>
                <w:szCs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w:t>
            </w:r>
            <w:r>
              <w:rPr>
                <w:rFonts w:hint="eastAsia" w:cs="Courier New" w:asciiTheme="majorEastAsia" w:hAnsiTheme="majorEastAsia" w:eastAsiaTheme="majorEastAsia"/>
                <w:sz w:val="24"/>
                <w:szCs w:val="24"/>
              </w:rPr>
              <w:t>腾龙路84号</w:t>
            </w:r>
          </w:p>
        </w:tc>
        <w:tc>
          <w:tcPr>
            <w:tcW w:w="4821" w:type="dxa"/>
            <w:vAlign w:val="center"/>
          </w:tcPr>
          <w:p>
            <w:pPr>
              <w:spacing w:line="360" w:lineRule="auto"/>
              <w:rPr>
                <w:rFonts w:asciiTheme="majorEastAsia" w:hAnsiTheme="majorEastAsia" w:eastAsiaTheme="majorEastAsia"/>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电话：0596-6311083</w:t>
            </w:r>
          </w:p>
        </w:tc>
        <w:tc>
          <w:tcPr>
            <w:tcW w:w="4821" w:type="dxa"/>
            <w:vAlign w:val="center"/>
          </w:tcPr>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开户银行：</w:t>
            </w:r>
            <w:r>
              <w:rPr>
                <w:rFonts w:hint="eastAsia"/>
                <w:sz w:val="24"/>
                <w:szCs w:val="24"/>
                <w:lang w:eastAsia="zh-CN"/>
              </w:rPr>
              <w:t>兴业银行漳州古雷支行</w:t>
            </w:r>
          </w:p>
        </w:tc>
        <w:tc>
          <w:tcPr>
            <w:tcW w:w="4821" w:type="dxa"/>
            <w:vAlign w:val="center"/>
          </w:tcPr>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开户银行：</w:t>
            </w:r>
            <w:r>
              <w:rPr>
                <w:rFonts w:asciiTheme="majorEastAsia" w:hAnsiTheme="majorEastAsia" w:eastAsiaTheme="majorEastAsia"/>
                <w:sz w:val="24"/>
                <w:szCs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账号：</w:t>
            </w:r>
            <w:r>
              <w:rPr>
                <w:rFonts w:hint="eastAsia"/>
                <w:sz w:val="24"/>
                <w:szCs w:val="24"/>
                <w:lang w:eastAsia="zh-CN"/>
              </w:rPr>
              <w:t>162070100100021071</w:t>
            </w:r>
          </w:p>
        </w:tc>
        <w:tc>
          <w:tcPr>
            <w:tcW w:w="4821" w:type="dxa"/>
            <w:vAlign w:val="center"/>
          </w:tcPr>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税号：</w:t>
            </w:r>
            <w:r>
              <w:rPr>
                <w:rFonts w:hint="eastAsia"/>
                <w:sz w:val="24"/>
                <w:szCs w:val="24"/>
                <w:lang w:eastAsia="zh-CN"/>
              </w:rPr>
              <w:t>91350600717866709A</w:t>
            </w:r>
          </w:p>
        </w:tc>
        <w:tc>
          <w:tcPr>
            <w:tcW w:w="4821" w:type="dxa"/>
            <w:vAlign w:val="center"/>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税号：</w:t>
            </w:r>
          </w:p>
        </w:tc>
      </w:tr>
    </w:tbl>
    <w:p>
      <w:pPr>
        <w:spacing w:line="400" w:lineRule="exact"/>
        <w:ind w:left="210" w:hanging="210" w:hangingChars="87"/>
        <w:rPr>
          <w:b/>
          <w:color w:val="000000"/>
          <w:sz w:val="24"/>
          <w:lang w:eastAsia="zh-CN"/>
        </w:rPr>
      </w:pPr>
    </w:p>
    <w:p>
      <w:pPr>
        <w:pStyle w:val="2"/>
      </w:pPr>
    </w:p>
    <w:p>
      <w:pPr>
        <w:spacing w:line="400" w:lineRule="exact"/>
        <w:ind w:left="210" w:hanging="210" w:hangingChars="87"/>
        <w:rPr>
          <w:b/>
          <w:color w:val="000000"/>
          <w:sz w:val="24"/>
          <w:lang w:eastAsia="zh-CN"/>
        </w:rPr>
      </w:pPr>
    </w:p>
    <w:p>
      <w:pPr>
        <w:spacing w:line="400" w:lineRule="exact"/>
        <w:ind w:left="210" w:hanging="210" w:hangingChars="87"/>
        <w:rPr>
          <w:b/>
          <w:color w:val="000000"/>
          <w:sz w:val="24"/>
          <w:lang w:eastAsia="zh-CN"/>
        </w:rPr>
      </w:pPr>
    </w:p>
    <w:p>
      <w:pPr>
        <w:spacing w:line="400" w:lineRule="exact"/>
        <w:ind w:left="210" w:hanging="210" w:hangingChars="87"/>
        <w:rPr>
          <w:b/>
          <w:color w:val="000000"/>
          <w:sz w:val="24"/>
          <w:lang w:eastAsia="zh-CN"/>
        </w:rPr>
      </w:pPr>
    </w:p>
    <w:p>
      <w:pPr>
        <w:spacing w:line="400" w:lineRule="exact"/>
        <w:ind w:left="210" w:hanging="210" w:hangingChars="87"/>
        <w:rPr>
          <w:b/>
          <w:color w:val="000000"/>
          <w:sz w:val="24"/>
          <w:lang w:eastAsia="zh-CN"/>
        </w:rPr>
      </w:pPr>
    </w:p>
    <w:p>
      <w:pPr>
        <w:spacing w:line="400" w:lineRule="exact"/>
        <w:ind w:left="210" w:hanging="210" w:hangingChars="87"/>
        <w:rPr>
          <w:b/>
          <w:color w:val="000000"/>
          <w:sz w:val="24"/>
          <w:lang w:eastAsia="zh-CN"/>
        </w:rPr>
      </w:pPr>
    </w:p>
    <w:p>
      <w:pPr>
        <w:spacing w:line="400" w:lineRule="exact"/>
        <w:rPr>
          <w:b/>
          <w:color w:val="000000"/>
          <w:sz w:val="24"/>
          <w:lang w:eastAsia="zh-CN"/>
        </w:rPr>
      </w:pPr>
      <w:r>
        <w:rPr>
          <w:rFonts w:hint="eastAsia"/>
          <w:b/>
          <w:color w:val="000000"/>
          <w:sz w:val="24"/>
          <w:lang w:eastAsia="zh-CN"/>
        </w:rPr>
        <w:t xml:space="preserve">附件:   </w:t>
      </w:r>
    </w:p>
    <w:p>
      <w:pPr>
        <w:spacing w:line="400" w:lineRule="exact"/>
        <w:ind w:left="210" w:hanging="210" w:hangingChars="87"/>
        <w:rPr>
          <w:b/>
          <w:color w:val="000000"/>
          <w:sz w:val="24"/>
          <w:lang w:eastAsia="zh-CN"/>
        </w:rPr>
      </w:pPr>
    </w:p>
    <w:p>
      <w:pPr>
        <w:pStyle w:val="8"/>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发包单位（以下简称甲方）：</w:t>
      </w:r>
      <w:r>
        <w:rPr>
          <w:rFonts w:ascii="Times New Roman" w:hAnsi="Times New Roman" w:cs="Times New Roman"/>
          <w:sz w:val="21"/>
          <w:szCs w:val="21"/>
          <w:u w:val="single"/>
          <w:lang w:eastAsia="zh-CN"/>
        </w:rPr>
        <w:t>腾龙芳烃（漳州）有限公司</w:t>
      </w:r>
      <w:r>
        <w:rPr>
          <w:rFonts w:ascii="Times New Roman" w:hAnsi="Times New Roman" w:cs="Times New Roman"/>
          <w:sz w:val="21"/>
          <w:szCs w:val="21"/>
          <w:lang w:eastAsia="zh-CN"/>
        </w:rPr>
        <w:t xml:space="preserve"> </w:t>
      </w:r>
    </w:p>
    <w:p>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承包单位（以下简称乙方）：</w:t>
      </w:r>
      <w:r>
        <w:rPr>
          <w:rFonts w:ascii="Times New Roman" w:hAnsi="Times New Roman" w:cs="Times New Roman"/>
          <w:sz w:val="21"/>
          <w:szCs w:val="21"/>
          <w:u w:val="single"/>
          <w:lang w:eastAsia="zh-CN"/>
        </w:rPr>
        <w:t xml:space="preserve"> </w:t>
      </w:r>
      <w:r>
        <w:rPr>
          <w:rFonts w:hint="eastAsia" w:ascii="Times New Roman" w:hAnsi="Times New Roman" w:cs="Times New Roman"/>
          <w:sz w:val="21"/>
          <w:szCs w:val="21"/>
          <w:u w:val="single"/>
          <w:lang w:eastAsia="zh-CN"/>
        </w:rPr>
        <w:t xml:space="preserve">                     </w:t>
      </w:r>
      <w:r>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 xml:space="preserve">     </w:t>
      </w:r>
    </w:p>
    <w:p>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双方就</w:t>
      </w:r>
      <w:r>
        <w:rPr>
          <w:rFonts w:ascii="Times New Roman" w:hAnsi="Times New Roman" w:cs="Times New Roman"/>
          <w:sz w:val="21"/>
          <w:szCs w:val="21"/>
          <w:u w:val="single"/>
          <w:lang w:eastAsia="zh-CN"/>
        </w:rPr>
        <w:t xml:space="preserve"> 颗粒计数器检定</w:t>
      </w:r>
      <w:r>
        <w:rPr>
          <w:rFonts w:ascii="Times New Roman" w:hAnsi="Times New Roman" w:cs="Times New Roman"/>
          <w:sz w:val="21"/>
          <w:szCs w:val="21"/>
          <w:lang w:eastAsia="zh-CN"/>
        </w:rPr>
        <w:t>项目签订了</w:t>
      </w:r>
      <w:r>
        <w:rPr>
          <w:rFonts w:ascii="Times New Roman" w:hAnsi="Times New Roman" w:cs="Times New Roman"/>
          <w:sz w:val="21"/>
          <w:szCs w:val="21"/>
          <w:u w:val="single"/>
          <w:lang w:eastAsia="zh-CN"/>
        </w:rPr>
        <w:t xml:space="preserve"> 委托检定服务 </w:t>
      </w:r>
      <w:r>
        <w:rPr>
          <w:rFonts w:ascii="Times New Roman" w:hAnsi="Times New Roman" w:cs="Times New Roman"/>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腾龙芳烃（漳州）有限公司HSE管理制度，经双方协商，双方自愿签订本安全环保协议，作为主合同的附件。</w:t>
      </w:r>
    </w:p>
    <w:p>
      <w:pPr>
        <w:spacing w:line="360" w:lineRule="auto"/>
        <w:rPr>
          <w:rFonts w:ascii="Times New Roman" w:hAnsi="Times New Roman" w:cs="Times New Roman"/>
          <w:sz w:val="21"/>
          <w:szCs w:val="21"/>
          <w:lang w:eastAsia="zh-CN"/>
        </w:rPr>
      </w:pPr>
      <w:r>
        <w:rPr>
          <w:rFonts w:ascii="Times New Roman" w:hAnsi="Times New Roman" w:cs="Times New Roman"/>
          <w:b/>
          <w:sz w:val="21"/>
          <w:szCs w:val="21"/>
          <w:lang w:eastAsia="zh-CN"/>
        </w:rPr>
        <w:t>一、甲方的权利和义务：</w:t>
      </w:r>
    </w:p>
    <w:p>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 甲方有权对乙方的资质进行审查，确认其符合且具备进厂条件，方可进厂施工。</w:t>
      </w:r>
    </w:p>
    <w:p>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2、 甲方有权要求乙方维护好甲方相关的安全环保设施、设备和器材。</w:t>
      </w:r>
    </w:p>
    <w:p>
      <w:pPr>
        <w:tabs>
          <w:tab w:val="left" w:pos="360"/>
          <w:tab w:val="left" w:pos="840"/>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rFonts w:ascii="Times New Roman" w:hAnsi="Times New Roman" w:cs="Times New Roman"/>
          <w:color w:val="FF0000"/>
          <w:sz w:val="21"/>
          <w:szCs w:val="21"/>
          <w:lang w:eastAsia="zh-CN"/>
        </w:rPr>
      </w:pPr>
      <w:r>
        <w:rPr>
          <w:rFonts w:ascii="Times New Roman" w:hAnsi="Times New Roman" w:cs="Times New Roman"/>
          <w:sz w:val="21"/>
          <w:szCs w:val="21"/>
          <w:lang w:eastAsia="zh-CN"/>
        </w:rPr>
        <w:t>5、 甲方有权对乙方不服从管理和严重违章者，驱除施工现场。</w:t>
      </w:r>
    </w:p>
    <w:p>
      <w:pPr>
        <w:spacing w:line="360" w:lineRule="auto"/>
        <w:rPr>
          <w:rFonts w:ascii="Times New Roman" w:hAnsi="Times New Roman" w:cs="Times New Roman"/>
          <w:b/>
          <w:sz w:val="21"/>
          <w:szCs w:val="21"/>
          <w:lang w:eastAsia="zh-CN"/>
        </w:rPr>
      </w:pPr>
      <w:r>
        <w:rPr>
          <w:rFonts w:ascii="Times New Roman" w:hAnsi="Times New Roman" w:cs="Times New Roman"/>
          <w:sz w:val="21"/>
          <w:szCs w:val="21"/>
          <w:lang w:eastAsia="zh-CN"/>
        </w:rPr>
        <w:t>6、 甲方负责对乙方进行厂级和部门级安全培训教育和考核，合格方可办理入厂手续。</w:t>
      </w:r>
    </w:p>
    <w:p>
      <w:pPr>
        <w:tabs>
          <w:tab w:val="left" w:pos="360"/>
          <w:tab w:val="left" w:pos="840"/>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7、 甲方负责各装置的工艺处理、退料、置换、吹扫及盲板隔离工作，为本项目提供安全的施工条件。</w:t>
      </w:r>
    </w:p>
    <w:p>
      <w:pPr>
        <w:tabs>
          <w:tab w:val="left" w:pos="360"/>
          <w:tab w:val="left" w:pos="840"/>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8、 甲方应乙方要求，向乙方提供与乙方作业相关甲方有毒有害、易燃易爆物品的数据。</w:t>
      </w:r>
    </w:p>
    <w:p>
      <w:pPr>
        <w:tabs>
          <w:tab w:val="left" w:pos="360"/>
          <w:tab w:val="left" w:pos="840"/>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9、 甲方在开工前必须对乙方进行全面的安全技术及文明施工交底。</w:t>
      </w:r>
    </w:p>
    <w:p>
      <w:pPr>
        <w:spacing w:line="360" w:lineRule="auto"/>
        <w:ind w:left="1" w:hanging="1"/>
        <w:rPr>
          <w:rFonts w:ascii="Times New Roman" w:hAnsi="Times New Roman" w:cs="Times New Roman"/>
          <w:b/>
          <w:sz w:val="21"/>
          <w:szCs w:val="21"/>
          <w:lang w:eastAsia="zh-CN"/>
        </w:rPr>
      </w:pPr>
      <w:r>
        <w:rPr>
          <w:rFonts w:ascii="Times New Roman" w:hAnsi="Times New Roman" w:cs="Times New Roman"/>
          <w:b/>
          <w:sz w:val="21"/>
          <w:szCs w:val="21"/>
          <w:lang w:eastAsia="zh-CN"/>
        </w:rPr>
        <w:t>二、乙方的权利和义务：</w:t>
      </w:r>
    </w:p>
    <w:p>
      <w:pPr>
        <w:spacing w:line="360" w:lineRule="auto"/>
        <w:ind w:left="-187" w:hanging="1"/>
        <w:rPr>
          <w:rFonts w:ascii="Times New Roman" w:hAnsi="Times New Roman" w:cs="Times New Roman"/>
          <w:sz w:val="21"/>
          <w:szCs w:val="21"/>
          <w:lang w:eastAsia="zh-CN"/>
        </w:rPr>
      </w:pPr>
      <w:r>
        <w:rPr>
          <w:rFonts w:ascii="Times New Roman" w:hAnsi="Times New Roman" w:cs="Times New Roman"/>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187" w:hanging="1"/>
        <w:rPr>
          <w:rFonts w:ascii="Times New Roman" w:hAnsi="Times New Roman" w:cs="Times New Roman"/>
          <w:sz w:val="21"/>
          <w:szCs w:val="21"/>
          <w:lang w:eastAsia="zh-CN"/>
        </w:rPr>
      </w:pPr>
      <w:r>
        <w:rPr>
          <w:rFonts w:ascii="Times New Roman" w:hAnsi="Times New Roman" w:cs="Times New Roman"/>
          <w:sz w:val="21"/>
          <w:szCs w:val="21"/>
          <w:lang w:eastAsia="zh-CN"/>
        </w:rPr>
        <w:t>2、  乙方有权对甲方安全管理工作提出合理化建议或改进措施。</w:t>
      </w:r>
    </w:p>
    <w:p>
      <w:pPr>
        <w:spacing w:line="360" w:lineRule="auto"/>
        <w:ind w:left="-187" w:hanging="1"/>
        <w:rPr>
          <w:rFonts w:ascii="Times New Roman" w:hAnsi="Times New Roman" w:cs="Times New Roman"/>
          <w:sz w:val="21"/>
          <w:szCs w:val="21"/>
          <w:lang w:eastAsia="zh-CN"/>
        </w:rPr>
      </w:pPr>
      <w:r>
        <w:rPr>
          <w:rFonts w:ascii="Times New Roman" w:hAnsi="Times New Roman" w:cs="Times New Roman"/>
          <w:sz w:val="21"/>
          <w:szCs w:val="21"/>
          <w:lang w:eastAsia="zh-CN"/>
        </w:rPr>
        <w:t xml:space="preserve">3、 乙方对甲方管理人员违章指挥、强令冒险作业、有权拒绝执行。对打击和报复行为有权向上级和有关部门汇报。 </w:t>
      </w:r>
    </w:p>
    <w:p>
      <w:pPr>
        <w:spacing w:line="360" w:lineRule="auto"/>
        <w:ind w:left="-187" w:hanging="1"/>
        <w:rPr>
          <w:rFonts w:ascii="Times New Roman" w:hAnsi="Times New Roman" w:cs="Times New Roman"/>
          <w:sz w:val="21"/>
          <w:szCs w:val="21"/>
          <w:lang w:eastAsia="zh-CN"/>
        </w:rPr>
      </w:pPr>
      <w:r>
        <w:rPr>
          <w:rFonts w:ascii="Times New Roman" w:hAnsi="Times New Roman" w:cs="Times New Roman"/>
          <w:sz w:val="21"/>
          <w:szCs w:val="21"/>
          <w:lang w:eastAsia="zh-CN"/>
        </w:rPr>
        <w:t>4、 乙方对危及生命安全和身体健康的施工作业条件和环境，有权提出整改建议或拒绝施工作业。</w:t>
      </w:r>
    </w:p>
    <w:p>
      <w:pPr>
        <w:spacing w:line="360" w:lineRule="auto"/>
        <w:ind w:left="-187" w:hanging="1"/>
        <w:rPr>
          <w:rFonts w:ascii="Times New Roman" w:hAnsi="Times New Roman" w:cs="Times New Roman"/>
          <w:sz w:val="21"/>
          <w:szCs w:val="21"/>
          <w:lang w:eastAsia="zh-CN"/>
        </w:rPr>
      </w:pPr>
      <w:r>
        <w:rPr>
          <w:rFonts w:ascii="Times New Roman" w:hAnsi="Times New Roman" w:cs="Times New Roman"/>
          <w:sz w:val="21"/>
          <w:szCs w:val="21"/>
          <w:lang w:eastAsia="zh-CN"/>
        </w:rPr>
        <w:t>5、 乙方施工过程中在发生严重危及作业人员生命安全的不可抗拒紧急情况时，有权采取必要的避险措施，并立即向管理部门报告。</w:t>
      </w:r>
    </w:p>
    <w:p>
      <w:pPr>
        <w:spacing w:line="360" w:lineRule="auto"/>
        <w:ind w:left="-187" w:hanging="1"/>
        <w:rPr>
          <w:rFonts w:ascii="Times New Roman" w:hAnsi="Times New Roman" w:cs="Times New Roman"/>
          <w:sz w:val="21"/>
          <w:szCs w:val="21"/>
          <w:lang w:eastAsia="zh-CN"/>
        </w:rPr>
      </w:pPr>
      <w:r>
        <w:rPr>
          <w:rFonts w:ascii="Times New Roman" w:hAnsi="Times New Roman" w:cs="Times New Roman"/>
          <w:sz w:val="21"/>
          <w:szCs w:val="21"/>
          <w:lang w:eastAsia="zh-CN"/>
        </w:rPr>
        <w:t>6、 乙方有权要求甲方提供相关的安全资料。</w:t>
      </w:r>
    </w:p>
    <w:p>
      <w:pPr>
        <w:spacing w:line="360" w:lineRule="auto"/>
        <w:ind w:left="-187" w:hanging="1"/>
        <w:rPr>
          <w:rFonts w:ascii="Times New Roman" w:hAnsi="Times New Roman" w:cs="Times New Roman"/>
          <w:b/>
          <w:sz w:val="21"/>
          <w:szCs w:val="21"/>
          <w:lang w:eastAsia="zh-CN"/>
        </w:rPr>
      </w:pPr>
      <w:r>
        <w:rPr>
          <w:rFonts w:ascii="Times New Roman" w:hAnsi="Times New Roman" w:cs="Times New Roman"/>
          <w:sz w:val="21"/>
          <w:szCs w:val="21"/>
          <w:lang w:eastAsia="zh-CN"/>
        </w:rPr>
        <w:t>7、 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pPr>
        <w:spacing w:line="360" w:lineRule="auto"/>
        <w:ind w:left="-82" w:hanging="1"/>
        <w:rPr>
          <w:rFonts w:ascii="Times New Roman" w:hAnsi="Times New Roman" w:cs="Times New Roman"/>
          <w:sz w:val="21"/>
          <w:szCs w:val="21"/>
          <w:lang w:eastAsia="zh-CN"/>
        </w:rPr>
      </w:pPr>
      <w:r>
        <w:rPr>
          <w:rFonts w:ascii="Times New Roman" w:hAnsi="Times New Roman" w:cs="Times New Roman"/>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sz w:val="21"/>
          <w:szCs w:val="21"/>
          <w:lang w:eastAsia="zh-CN"/>
        </w:rPr>
        <w:t xml:space="preserve">11、乙方应按《中华人民共和国劳动法》等法律、法规、规定用工，严禁使用未成年工和有职业禁忌的人员进行施工作业。 </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sz w:val="21"/>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正常使用，以保证消防通道畅通无阻和消防设施处于完好状态。</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sz w:val="21"/>
          <w:szCs w:val="21"/>
          <w:lang w:eastAsia="zh-CN"/>
        </w:rPr>
        <w:t xml:space="preserve">17、 </w:t>
      </w:r>
      <w:r>
        <w:rPr>
          <w:rFonts w:ascii="Times New Roman" w:hAnsi="Times New Roman" w:cs="Times New Roman"/>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105" w:hanging="1"/>
        <w:rPr>
          <w:rFonts w:ascii="Times New Roman" w:hAnsi="Times New Roman" w:cs="Times New Roman"/>
          <w:bCs/>
          <w:sz w:val="21"/>
          <w:szCs w:val="21"/>
          <w:lang w:eastAsia="zh-CN"/>
        </w:rPr>
      </w:pPr>
      <w:r>
        <w:rPr>
          <w:rFonts w:ascii="Times New Roman" w:hAnsi="Times New Roman" w:cs="Times New Roman"/>
          <w:bCs/>
          <w:sz w:val="21"/>
          <w:szCs w:val="21"/>
          <w:lang w:eastAsia="zh-CN"/>
        </w:rPr>
        <w:t xml:space="preserve">18、 </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1"/>
          <w:szCs w:val="21"/>
          <w:lang w:eastAsia="zh-CN"/>
        </w:rPr>
        <w:t>GB 2894-2008）</w:t>
      </w:r>
      <w:r>
        <w:rPr>
          <w:rFonts w:ascii="Times New Roman" w:hAnsi="Times New Roman" w:cs="Times New Roman"/>
          <w:bCs/>
          <w:sz w:val="21"/>
          <w:szCs w:val="21"/>
          <w:lang w:eastAsia="zh-CN"/>
        </w:rPr>
        <w:t>的规定。</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bCs/>
          <w:sz w:val="21"/>
          <w:szCs w:val="21"/>
          <w:lang w:eastAsia="zh-CN"/>
        </w:rPr>
        <w:t>19、</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sz w:val="21"/>
          <w:szCs w:val="21"/>
          <w:lang w:eastAsia="zh-CN"/>
        </w:rPr>
        <w:t>20、 乙方施工产生的</w:t>
      </w:r>
      <w:r>
        <w:rPr>
          <w:rFonts w:ascii="Times New Roman" w:hAnsi="Times New Roman" w:cs="Times New Roman"/>
          <w:bCs/>
          <w:sz w:val="21"/>
          <w:szCs w:val="21"/>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1"/>
          <w:szCs w:val="21"/>
          <w:lang w:eastAsia="zh-CN"/>
        </w:rPr>
        <w:t>产生的废物应进行鉴别，一般固废和危险废物应妥善包装、分类堆放，并及时清理。不能任意排放和丢弃。</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105" w:hanging="1"/>
        <w:rPr>
          <w:rFonts w:ascii="Times New Roman" w:hAnsi="Times New Roman" w:cs="Times New Roman"/>
          <w:sz w:val="21"/>
          <w:szCs w:val="21"/>
          <w:lang w:eastAsia="zh-CN"/>
        </w:rPr>
      </w:pPr>
      <w:r>
        <w:rPr>
          <w:rFonts w:ascii="Times New Roman" w:hAnsi="Times New Roman" w:cs="Times New Roman"/>
          <w:sz w:val="21"/>
          <w:szCs w:val="21"/>
          <w:lang w:eastAsia="zh-CN"/>
        </w:rPr>
        <w:t xml:space="preserve">22、 </w:t>
      </w:r>
      <w:r>
        <w:rPr>
          <w:rFonts w:ascii="Times New Roman" w:hAnsi="Times New Roman" w:cs="Times New Roman"/>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rPr>
          <w:rFonts w:ascii="Times New Roman" w:hAnsi="Times New Roman" w:cs="Times New Roman"/>
          <w:b/>
          <w:sz w:val="21"/>
          <w:szCs w:val="21"/>
        </w:rPr>
      </w:pPr>
      <w:r>
        <w:rPr>
          <w:rFonts w:ascii="Times New Roman" w:hAnsi="Times New Roman" w:cs="Times New Roman"/>
          <w:b/>
          <w:sz w:val="21"/>
          <w:szCs w:val="21"/>
        </w:rPr>
        <w:t>三、违约责任及处理</w:t>
      </w:r>
    </w:p>
    <w:p>
      <w:pPr>
        <w:pStyle w:val="20"/>
        <w:numPr>
          <w:ilvl w:val="0"/>
          <w:numId w:val="8"/>
        </w:numPr>
        <w:autoSpaceDE/>
        <w:autoSpaceDN/>
        <w:spacing w:before="0" w:line="550" w:lineRule="exact"/>
        <w:jc w:val="both"/>
        <w:rPr>
          <w:rFonts w:ascii="Times New Roman" w:hAnsi="Times New Roman" w:cs="Times New Roman"/>
          <w:b/>
          <w:sz w:val="21"/>
          <w:szCs w:val="21"/>
          <w:lang w:eastAsia="zh-CN"/>
        </w:rPr>
      </w:pPr>
      <w:r>
        <w:rPr>
          <w:rFonts w:ascii="Times New Roman" w:hAnsi="Times New Roman" w:cs="Times New Roman"/>
          <w:sz w:val="21"/>
          <w:szCs w:val="21"/>
          <w:lang w:eastAsia="zh-CN"/>
        </w:rPr>
        <w:t>乙方不得将工程违法转包、分包。</w:t>
      </w:r>
    </w:p>
    <w:p>
      <w:pPr>
        <w:spacing w:line="550" w:lineRule="exact"/>
        <w:rPr>
          <w:rFonts w:ascii="Times New Roman" w:hAnsi="Times New Roman" w:cs="Times New Roman"/>
          <w:sz w:val="21"/>
          <w:szCs w:val="21"/>
          <w:lang w:eastAsia="zh-CN"/>
        </w:rPr>
      </w:pPr>
      <w:r>
        <w:rPr>
          <w:rFonts w:ascii="Times New Roman" w:hAnsi="Times New Roman" w:cs="Times New Roman"/>
          <w:sz w:val="21"/>
          <w:szCs w:val="21"/>
          <w:lang w:eastAsia="zh-CN"/>
        </w:rPr>
        <w:t>2、发生安全事故时，甲乙双方均有抢险、救灾的义务，所发生的费用由责任方承担。</w:t>
      </w:r>
    </w:p>
    <w:p>
      <w:pPr>
        <w:spacing w:line="550" w:lineRule="exact"/>
        <w:rPr>
          <w:rFonts w:ascii="Times New Roman" w:hAnsi="Times New Roman" w:cs="Times New Roman"/>
          <w:sz w:val="21"/>
          <w:szCs w:val="21"/>
          <w:lang w:eastAsia="zh-CN"/>
        </w:rPr>
      </w:pPr>
      <w:r>
        <w:rPr>
          <w:rFonts w:ascii="Times New Roman" w:hAnsi="Times New Roman" w:cs="Times New Roman"/>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rPr>
          <w:rFonts w:ascii="Times New Roman" w:hAnsi="Times New Roman" w:cs="Times New Roman"/>
          <w:sz w:val="21"/>
          <w:szCs w:val="21"/>
          <w:lang w:eastAsia="zh-CN"/>
        </w:rPr>
      </w:pPr>
      <w:r>
        <w:rPr>
          <w:rFonts w:ascii="Times New Roman" w:hAnsi="Times New Roman" w:cs="Times New Roman"/>
          <w:sz w:val="21"/>
          <w:szCs w:val="21"/>
          <w:lang w:eastAsia="zh-CN"/>
        </w:rPr>
        <w:t>4、甲方违约造成的事故，甲方承担全部责任，并按规定追究有关人员责任及上报。</w:t>
      </w:r>
    </w:p>
    <w:p>
      <w:pPr>
        <w:spacing w:line="550" w:lineRule="exact"/>
        <w:rPr>
          <w:rFonts w:ascii="Times New Roman" w:hAnsi="Times New Roman" w:cs="Times New Roman"/>
          <w:sz w:val="21"/>
          <w:szCs w:val="21"/>
          <w:lang w:eastAsia="zh-CN"/>
        </w:rPr>
      </w:pPr>
      <w:r>
        <w:rPr>
          <w:rFonts w:ascii="Times New Roman" w:hAnsi="Times New Roman" w:cs="Times New Roman"/>
          <w:sz w:val="21"/>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rPr>
          <w:rFonts w:ascii="Times New Roman" w:hAnsi="Times New Roman" w:cs="Times New Roman"/>
          <w:color w:val="FF0000"/>
          <w:sz w:val="21"/>
          <w:szCs w:val="21"/>
          <w:lang w:eastAsia="zh-CN"/>
        </w:rPr>
      </w:pPr>
      <w:r>
        <w:rPr>
          <w:rFonts w:ascii="Times New Roman" w:hAnsi="Times New Roman" w:cs="Times New Roman"/>
          <w:sz w:val="21"/>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550" w:lineRule="exact"/>
        <w:rPr>
          <w:rFonts w:ascii="Times New Roman" w:hAnsi="Times New Roman" w:cs="Times New Roman"/>
          <w:color w:val="FF0000"/>
          <w:sz w:val="21"/>
          <w:szCs w:val="21"/>
          <w:lang w:eastAsia="zh-CN"/>
        </w:rPr>
      </w:pPr>
      <w:r>
        <w:rPr>
          <w:rFonts w:ascii="Times New Roman" w:hAnsi="Times New Roman" w:cs="Times New Roman"/>
          <w:sz w:val="21"/>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pPr>
        <w:spacing w:line="550" w:lineRule="exact"/>
        <w:ind w:left="1"/>
        <w:rPr>
          <w:rFonts w:ascii="Times New Roman" w:hAnsi="Times New Roman" w:cs="Times New Roman"/>
          <w:b/>
          <w:sz w:val="21"/>
          <w:szCs w:val="21"/>
          <w:lang w:eastAsia="zh-CN"/>
        </w:rPr>
      </w:pPr>
      <w:r>
        <w:rPr>
          <w:rFonts w:ascii="Times New Roman" w:hAnsi="Times New Roman" w:cs="Times New Roman"/>
          <w:b/>
          <w:sz w:val="21"/>
          <w:szCs w:val="21"/>
          <w:lang w:eastAsia="zh-CN"/>
        </w:rPr>
        <w:t>四、 不可抗力：</w:t>
      </w:r>
    </w:p>
    <w:p>
      <w:pPr>
        <w:spacing w:line="550" w:lineRule="exac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由于不可抗力造成合同项目施工作业事故及产生的损失，甲乙双方各自承担相应的损失。</w:t>
      </w:r>
    </w:p>
    <w:p>
      <w:pPr>
        <w:spacing w:line="360" w:lineRule="auto"/>
        <w:ind w:left="1"/>
        <w:rPr>
          <w:rFonts w:ascii="Times New Roman" w:hAnsi="Times New Roman" w:cs="Times New Roman"/>
          <w:sz w:val="21"/>
          <w:szCs w:val="21"/>
          <w:lang w:eastAsia="zh-CN"/>
        </w:rPr>
      </w:pPr>
      <w:r>
        <w:rPr>
          <w:rFonts w:ascii="Times New Roman" w:hAnsi="Times New Roman" w:cs="Times New Roman"/>
          <w:b/>
          <w:sz w:val="21"/>
          <w:szCs w:val="21"/>
          <w:lang w:eastAsia="zh-CN"/>
        </w:rPr>
        <w:t>五、</w:t>
      </w:r>
      <w:r>
        <w:rPr>
          <w:rFonts w:ascii="Times New Roman" w:hAnsi="Times New Roman" w:cs="Times New Roman"/>
          <w:sz w:val="21"/>
          <w:szCs w:val="21"/>
          <w:lang w:eastAsia="zh-CN"/>
        </w:rPr>
        <w:t>本协议书一式两份，甲乙双方各执一份。</w:t>
      </w:r>
    </w:p>
    <w:p>
      <w:pPr>
        <w:spacing w:line="360" w:lineRule="auto"/>
        <w:ind w:left="1"/>
        <w:rPr>
          <w:rFonts w:ascii="Times New Roman" w:hAnsi="Times New Roman" w:cs="Times New Roman"/>
          <w:sz w:val="21"/>
          <w:szCs w:val="21"/>
          <w:lang w:eastAsia="zh-CN"/>
        </w:rPr>
      </w:pPr>
      <w:r>
        <w:rPr>
          <w:rFonts w:ascii="Times New Roman" w:hAnsi="Times New Roman" w:cs="Times New Roman"/>
          <w:b/>
          <w:sz w:val="21"/>
          <w:szCs w:val="21"/>
          <w:lang w:eastAsia="zh-CN"/>
        </w:rPr>
        <w:t>六、</w:t>
      </w:r>
      <w:r>
        <w:rPr>
          <w:rFonts w:ascii="Times New Roman" w:hAnsi="Times New Roman" w:cs="Times New Roman"/>
          <w:sz w:val="21"/>
          <w:szCs w:val="21"/>
          <w:lang w:eastAsia="zh-CN"/>
        </w:rPr>
        <w:t>本协议书经双方盖章后生效。</w:t>
      </w:r>
    </w:p>
    <w:p>
      <w:pPr>
        <w:spacing w:line="550" w:lineRule="exact"/>
        <w:ind w:left="1"/>
        <w:rPr>
          <w:rFonts w:ascii="Times New Roman" w:hAnsi="Times New Roman" w:cs="Times New Roman"/>
          <w:b/>
          <w:sz w:val="21"/>
          <w:szCs w:val="21"/>
          <w:lang w:eastAsia="zh-CN"/>
        </w:rPr>
      </w:pPr>
      <w:r>
        <w:rPr>
          <w:rFonts w:ascii="Times New Roman" w:hAnsi="Times New Roman" w:cs="Times New Roman"/>
          <w:b/>
          <w:sz w:val="21"/>
          <w:szCs w:val="21"/>
          <w:lang w:eastAsia="zh-CN"/>
        </w:rPr>
        <w:t>七、协议期限：</w:t>
      </w:r>
    </w:p>
    <w:p>
      <w:pPr>
        <w:spacing w:line="550" w:lineRule="exact"/>
        <w:rPr>
          <w:rFonts w:ascii="Times New Roman" w:hAnsi="Times New Roman" w:cs="Times New Roman"/>
          <w:sz w:val="21"/>
          <w:szCs w:val="21"/>
          <w:lang w:eastAsia="zh-CN"/>
        </w:rPr>
      </w:pPr>
      <w:r>
        <w:rPr>
          <w:rFonts w:ascii="Times New Roman" w:hAnsi="Times New Roman" w:cs="Times New Roman"/>
          <w:sz w:val="21"/>
          <w:szCs w:val="21"/>
          <w:lang w:eastAsia="zh-CN"/>
        </w:rPr>
        <w:t>本协议期限应与主合同期限一致。如果主合同因故需要变更期限，本合同应与主同变更至相同期限。</w:t>
      </w:r>
    </w:p>
    <w:p>
      <w:pPr>
        <w:spacing w:line="360" w:lineRule="auto"/>
        <w:ind w:left="-105"/>
        <w:rPr>
          <w:rFonts w:ascii="Times New Roman" w:hAnsi="Times New Roman" w:cs="Times New Roman"/>
          <w:sz w:val="21"/>
          <w:szCs w:val="21"/>
          <w:lang w:eastAsia="zh-CN"/>
        </w:rPr>
      </w:pPr>
      <w:r>
        <w:rPr>
          <w:rFonts w:ascii="Times New Roman" w:hAnsi="Times New Roman" w:cs="Times New Roman"/>
          <w:sz w:val="21"/>
          <w:szCs w:val="21"/>
          <w:lang w:eastAsia="zh-CN"/>
        </w:rPr>
        <w:t>（以下无正文）</w:t>
      </w:r>
    </w:p>
    <w:p>
      <w:pPr>
        <w:spacing w:line="276" w:lineRule="auto"/>
        <w:ind w:left="-560" w:leftChars="-339" w:hanging="186" w:hangingChars="89"/>
        <w:rPr>
          <w:rFonts w:ascii="Times New Roman" w:hAnsi="Times New Roman" w:cs="Times New Roman"/>
          <w:sz w:val="21"/>
          <w:szCs w:val="21"/>
          <w:lang w:eastAsia="zh-CN"/>
        </w:rPr>
      </w:pPr>
    </w:p>
    <w:p>
      <w:pPr>
        <w:spacing w:line="276" w:lineRule="auto"/>
        <w:rPr>
          <w:rFonts w:ascii="Times New Roman" w:hAnsi="Times New Roman" w:cs="Times New Roman"/>
          <w:sz w:val="24"/>
          <w:szCs w:val="24"/>
          <w:lang w:eastAsia="zh-CN"/>
        </w:rPr>
      </w:pPr>
    </w:p>
    <w:p>
      <w:pPr>
        <w:spacing w:line="276"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甲方 (章)：                                  乙方(章)：</w:t>
      </w:r>
    </w:p>
    <w:p>
      <w:pPr>
        <w:spacing w:line="276" w:lineRule="auto"/>
        <w:ind w:firstLine="602" w:firstLineChars="250"/>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腾龙芳烃（漳州）有限公司             </w:t>
      </w:r>
    </w:p>
    <w:p>
      <w:pPr>
        <w:spacing w:line="276" w:lineRule="auto"/>
        <w:ind w:left="-187"/>
        <w:rPr>
          <w:rFonts w:ascii="Times New Roman" w:hAnsi="Times New Roman" w:cs="Times New Roman"/>
          <w:sz w:val="24"/>
          <w:szCs w:val="24"/>
          <w:lang w:eastAsia="zh-CN"/>
        </w:rPr>
      </w:pPr>
    </w:p>
    <w:p>
      <w:pPr>
        <w:spacing w:line="276" w:lineRule="auto"/>
        <w:rPr>
          <w:rFonts w:ascii="Times New Roman" w:hAnsi="Times New Roman" w:cs="Times New Roman"/>
          <w:sz w:val="24"/>
          <w:szCs w:val="24"/>
          <w:lang w:eastAsia="zh-CN"/>
        </w:rPr>
      </w:pPr>
    </w:p>
    <w:p>
      <w:pPr>
        <w:spacing w:line="276" w:lineRule="auto"/>
        <w:rPr>
          <w:rFonts w:ascii="Times New Roman" w:hAnsi="Times New Roman" w:cs="Times New Roman"/>
          <w:sz w:val="24"/>
          <w:szCs w:val="24"/>
          <w:lang w:eastAsia="zh-CN"/>
        </w:rPr>
      </w:pPr>
    </w:p>
    <w:p>
      <w:pPr>
        <w:jc w:val="center"/>
        <w:rPr>
          <w:rFonts w:asciiTheme="minorEastAsia" w:hAnsiTheme="minorEastAsia" w:eastAsiaTheme="minorEastAsia"/>
          <w:lang w:eastAsia="zh-CN"/>
        </w:rPr>
      </w:pPr>
      <w:r>
        <w:rPr>
          <w:rFonts w:ascii="Times New Roman" w:hAnsi="Times New Roman" w:cs="Times New Roman"/>
          <w:sz w:val="24"/>
          <w:szCs w:val="24"/>
          <w:lang w:eastAsia="zh-CN"/>
        </w:rPr>
        <w:t xml:space="preserve">签定日期：     年    月    日       </w:t>
      </w:r>
      <w:r>
        <w:rPr>
          <w:rFonts w:asciiTheme="minorEastAsia" w:hAnsiTheme="minorEastAsia" w:eastAsiaTheme="minorEastAsia"/>
          <w:lang w:eastAsia="zh-CN"/>
        </w:rPr>
        <w:br w:type="page"/>
      </w:r>
    </w:p>
    <w:p>
      <w:pPr>
        <w:pStyle w:val="2"/>
      </w:pPr>
      <w:r>
        <w:rPr>
          <w:rFonts w:hint="eastAsia"/>
        </w:rPr>
        <w:t>附件二</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18"/>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7" w:type="dxa"/>
          </w:tcPr>
          <w:p>
            <w:pPr>
              <w:spacing w:line="500" w:lineRule="exact"/>
              <w:rPr>
                <w:sz w:val="24"/>
                <w:lang w:eastAsia="zh-CN"/>
              </w:rPr>
            </w:pPr>
            <w:r>
              <w:rPr>
                <w:rFonts w:hint="eastAsia"/>
                <w:sz w:val="24"/>
                <w:lang w:eastAsia="zh-CN"/>
              </w:rPr>
              <w:t>法定代表人授权委托书</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7" w:type="dxa"/>
          </w:tcPr>
          <w:p>
            <w:pPr>
              <w:spacing w:line="500" w:lineRule="exact"/>
              <w:rPr>
                <w:sz w:val="24"/>
              </w:rPr>
            </w:pPr>
            <w:r>
              <w:rPr>
                <w:rFonts w:hint="eastAsia"/>
                <w:sz w:val="24"/>
              </w:rPr>
              <w:t>营业执照复印件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7" w:type="dxa"/>
          </w:tcPr>
          <w:p>
            <w:pPr>
              <w:spacing w:line="500" w:lineRule="exact"/>
              <w:rPr>
                <w:sz w:val="24"/>
              </w:rPr>
            </w:pPr>
            <w:r>
              <w:rPr>
                <w:rFonts w:hint="eastAsia"/>
                <w:sz w:val="24"/>
                <w:szCs w:val="28"/>
              </w:rPr>
              <w:t>业绩的证明</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7" w:type="dxa"/>
          </w:tcPr>
          <w:p>
            <w:pPr>
              <w:spacing w:line="500" w:lineRule="exact"/>
              <w:rPr>
                <w:sz w:val="24"/>
              </w:rPr>
            </w:pPr>
            <w:r>
              <w:rPr>
                <w:rFonts w:hint="eastAsia"/>
                <w:sz w:val="24"/>
              </w:rPr>
              <w:t>参选报价单</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7" w:type="dxa"/>
          </w:tcPr>
          <w:p>
            <w:pPr>
              <w:spacing w:line="500" w:lineRule="exact"/>
              <w:rPr>
                <w:sz w:val="24"/>
              </w:rPr>
            </w:pPr>
            <w:r>
              <w:rPr>
                <w:rFonts w:hint="eastAsia"/>
                <w:sz w:val="24"/>
              </w:rPr>
              <w:t>承诺函</w:t>
            </w:r>
          </w:p>
        </w:tc>
        <w:tc>
          <w:tcPr>
            <w:tcW w:w="1363" w:type="dxa"/>
          </w:tcPr>
          <w:p>
            <w:pPr>
              <w:spacing w:line="500" w:lineRule="exact"/>
              <w:jc w:val="center"/>
              <w:rPr>
                <w:sz w:val="24"/>
              </w:rPr>
            </w:pPr>
          </w:p>
        </w:tc>
      </w:tr>
    </w:tbl>
    <w:p>
      <w:pPr>
        <w:spacing w:line="500" w:lineRule="exact"/>
        <w:jc w:val="center"/>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FF0000"/>
          <w:sz w:val="28"/>
          <w:szCs w:val="28"/>
          <w:u w:val="single"/>
          <w:lang w:eastAsia="zh-CN"/>
        </w:rPr>
        <w:t>被授权代表人姓名</w:t>
      </w:r>
      <w:r>
        <w:rPr>
          <w:rFonts w:hint="eastAsia"/>
          <w:sz w:val="24"/>
          <w:lang w:eastAsia="zh-CN"/>
        </w:rPr>
        <w:t>被我方正式授权并代表我公司</w:t>
      </w:r>
      <w:r>
        <w:rPr>
          <w:rFonts w:hint="eastAsia" w:cs="Times New Roman"/>
          <w:color w:val="FF000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1440" w:firstLineChars="6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snapToGrid w:val="0"/>
        <w:spacing w:line="360" w:lineRule="auto"/>
        <w:jc w:val="center"/>
        <w:rPr>
          <w:rFonts w:cs="Times New Roman" w:asciiTheme="minorEastAsia" w:hAnsiTheme="minorEastAsia" w:eastAsiaTheme="minorEastAsia"/>
          <w:b/>
          <w:bCs/>
          <w:sz w:val="24"/>
          <w:szCs w:val="32"/>
          <w:lang w:eastAsia="zh-CN"/>
        </w:rPr>
      </w:pPr>
      <w:r>
        <w:rPr>
          <w:rFonts w:hint="eastAsia" w:asciiTheme="minorEastAsia" w:hAnsiTheme="minorEastAsia" w:eastAsiaTheme="minorEastAsia"/>
          <w:b/>
          <w:bCs/>
          <w:sz w:val="24"/>
          <w:szCs w:val="32"/>
          <w:lang w:eastAsia="zh-CN"/>
        </w:rPr>
        <w:t>法定代表人授权委托书</w:t>
      </w:r>
    </w:p>
    <w:p>
      <w:pPr>
        <w:snapToGrid w:val="0"/>
        <w:spacing w:line="360" w:lineRule="auto"/>
        <w:jc w:val="center"/>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(公司住所)</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（公司名称)</w:t>
      </w:r>
      <w:r>
        <w:rPr>
          <w:rFonts w:hint="eastAsia" w:asciiTheme="minorEastAsia" w:hAnsiTheme="minorEastAsia" w:eastAsiaTheme="minorEastAsia"/>
          <w:sz w:val="24"/>
          <w:szCs w:val="24"/>
          <w:lang w:eastAsia="zh-CN"/>
        </w:rPr>
        <w:t>的法定代表人</w:t>
      </w:r>
      <w:r>
        <w:rPr>
          <w:rFonts w:hint="eastAsia" w:asciiTheme="minorEastAsia" w:hAnsiTheme="minorEastAsia" w:eastAsiaTheme="minorEastAsia"/>
          <w:sz w:val="24"/>
          <w:szCs w:val="24"/>
          <w:u w:val="single"/>
          <w:lang w:eastAsia="zh-CN"/>
        </w:rPr>
        <w:t xml:space="preserve">        (法定代表人姓名)</w:t>
      </w:r>
      <w:r>
        <w:rPr>
          <w:rFonts w:hint="eastAsia" w:asciiTheme="minorEastAsia" w:hAnsiTheme="minorEastAsia" w:eastAsiaTheme="minorEastAsia"/>
          <w:sz w:val="24"/>
          <w:szCs w:val="24"/>
          <w:lang w:eastAsia="zh-CN"/>
        </w:rPr>
        <w:t>代表本公司授权</w:t>
      </w:r>
      <w:r>
        <w:rPr>
          <w:rFonts w:hint="eastAsia" w:asciiTheme="minorEastAsia" w:hAnsiTheme="minorEastAsia" w:eastAsiaTheme="minorEastAsia"/>
          <w:sz w:val="24"/>
          <w:szCs w:val="24"/>
          <w:u w:val="single"/>
          <w:lang w:eastAsia="zh-CN"/>
        </w:rPr>
        <w:t xml:space="preserve">          （代理人的姓名）</w:t>
      </w:r>
      <w:r>
        <w:rPr>
          <w:rFonts w:hint="eastAsia" w:asciiTheme="minorEastAsia" w:hAnsiTheme="minorEastAsia" w:eastAsiaTheme="minorEastAsia"/>
          <w:sz w:val="24"/>
          <w:szCs w:val="24"/>
          <w:lang w:eastAsia="zh-CN"/>
        </w:rPr>
        <w:t>为公司的合法代理人，参加</w:t>
      </w:r>
      <w:r>
        <w:rPr>
          <w:rFonts w:hint="eastAsia"/>
          <w:sz w:val="24"/>
          <w:szCs w:val="24"/>
          <w:lang w:eastAsia="zh-CN"/>
        </w:rPr>
        <w:t>颗粒计数器检定检测项</w:t>
      </w:r>
      <w:r>
        <w:rPr>
          <w:rFonts w:hint="eastAsia" w:asciiTheme="minorEastAsia" w:hAnsiTheme="minorEastAsia" w:eastAsiaTheme="minorEastAsia"/>
          <w:bCs/>
          <w:sz w:val="24"/>
          <w:szCs w:val="24"/>
          <w:u w:val="single"/>
          <w:lang w:eastAsia="zh-CN"/>
        </w:rPr>
        <w:t>目（项目编号：FHC-PTCG20230207001)</w:t>
      </w:r>
      <w:r>
        <w:rPr>
          <w:rFonts w:hint="eastAsia"/>
          <w:sz w:val="24"/>
          <w:szCs w:val="24"/>
          <w:lang w:eastAsia="zh-CN"/>
        </w:rPr>
        <w:t xml:space="preserve"> </w:t>
      </w:r>
      <w:r>
        <w:rPr>
          <w:rFonts w:hint="eastAsia" w:asciiTheme="minorEastAsia" w:hAnsiTheme="minorEastAsia" w:eastAsiaTheme="minorEastAsia"/>
          <w:sz w:val="24"/>
          <w:szCs w:val="24"/>
          <w:lang w:eastAsia="zh-CN"/>
        </w:rPr>
        <w:t>的意向比选方申请登记、比选竞价，我方承认代理人全权代表我方所签署的本项目的参选文件、签订合同和处理有关事宜，其法律后果由我方承担。</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pPr>
        <w:spacing w:line="360" w:lineRule="auto"/>
        <w:ind w:firstLine="480" w:firstLineChars="200"/>
        <w:rPr>
          <w:rFonts w:cs="Times New Roman"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附：法定代表人身份证明</w:t>
      </w:r>
    </w:p>
    <w:tbl>
      <w:tblPr>
        <w:tblStyle w:val="19"/>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spacing w:line="276" w:lineRule="auto"/>
        <w:ind w:firstLine="480" w:firstLineChars="200"/>
        <w:rPr>
          <w:rFonts w:cs="Times New Roman" w:asciiTheme="minorEastAsia" w:hAnsiTheme="minorEastAsia" w:eastAsiaTheme="minorEastAsia"/>
          <w:color w:val="000000"/>
          <w:sz w:val="24"/>
          <w:szCs w:val="24"/>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  理  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lang w:eastAsia="zh-CN"/>
        </w:rPr>
        <w:t>性别：</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年龄：</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身份证号码：</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职务：</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委托期限：</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日至</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代理人电话：</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邮箱：</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法定代表人：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u w:val="single"/>
          <w:lang w:eastAsia="zh-CN"/>
        </w:rPr>
        <w:t xml:space="preserve">  </w:t>
      </w:r>
    </w:p>
    <w:p>
      <w:pPr>
        <w:spacing w:line="276" w:lineRule="auto"/>
        <w:ind w:firstLine="480" w:firstLineChars="200"/>
        <w:rPr>
          <w:rFonts w:asciiTheme="minorEastAsia" w:hAnsiTheme="minorEastAsia" w:eastAsiaTheme="minorEastAsia"/>
          <w:color w:val="000000"/>
          <w:sz w:val="24"/>
          <w:szCs w:val="24"/>
          <w:lang w:eastAsia="zh-CN"/>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  选  人：</w:t>
      </w:r>
      <w:r>
        <w:rPr>
          <w:rFonts w:hint="eastAsia" w:asciiTheme="minorEastAsia" w:hAnsiTheme="minorEastAsia" w:eastAsiaTheme="minorEastAsia"/>
          <w:color w:val="000000"/>
          <w:sz w:val="24"/>
          <w:szCs w:val="24"/>
          <w:u w:val="single"/>
          <w:lang w:eastAsia="zh-CN"/>
        </w:rPr>
        <w:t xml:space="preserve">                                   （盖单位章）  </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附：代理人身份证明</w:t>
      </w:r>
    </w:p>
    <w:tbl>
      <w:tblPr>
        <w:tblStyle w:val="19"/>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widowControl/>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rPr>
      </w:pPr>
    </w:p>
    <w:p>
      <w:pPr>
        <w:snapToGrid w:val="0"/>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参选人营业执照（加盖单位公章的复印件）</w:t>
      </w:r>
    </w:p>
    <w:p>
      <w:pPr>
        <w:pStyle w:val="2"/>
      </w:pP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p>
    <w:p>
      <w:pPr>
        <w:widowControl/>
        <w:ind w:firstLine="840" w:firstLineChars="350"/>
        <w:rPr>
          <w:sz w:val="24"/>
          <w:szCs w:val="28"/>
          <w:lang w:eastAsia="zh-CN"/>
        </w:rPr>
      </w:pPr>
      <w:r>
        <w:rPr>
          <w:rFonts w:hint="eastAsia"/>
          <w:sz w:val="24"/>
          <w:szCs w:val="28"/>
          <w:lang w:eastAsia="zh-CN"/>
        </w:rPr>
        <w:t>业绩的证明</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asciiTheme="minorEastAsia" w:hAnsiTheme="minorEastAsia" w:eastAsiaTheme="minorEastAsia"/>
          <w:b/>
          <w:sz w:val="36"/>
          <w:szCs w:val="36"/>
        </w:rPr>
      </w:pPr>
      <w:r>
        <w:rPr>
          <w:rFonts w:hint="eastAsia" w:ascii="Times New Roman" w:hAnsi="Times New Roman"/>
          <w:b/>
          <w:sz w:val="36"/>
          <w:szCs w:val="36"/>
        </w:rPr>
        <w:t xml:space="preserve">  </w:t>
      </w:r>
      <w:r>
        <w:rPr>
          <w:rFonts w:hint="eastAsia" w:asciiTheme="minorEastAsia" w:hAnsiTheme="minorEastAsia" w:eastAsiaTheme="minorEastAsia"/>
          <w:b/>
          <w:sz w:val="36"/>
          <w:szCs w:val="36"/>
        </w:rPr>
        <w:t>参选报价单</w:t>
      </w:r>
    </w:p>
    <w:p>
      <w:pPr>
        <w:ind w:firstLine="2891" w:firstLineChars="800"/>
        <w:rPr>
          <w:rFonts w:asciiTheme="minorEastAsia" w:hAnsiTheme="minorEastAsia" w:eastAsiaTheme="minorEastAsia"/>
          <w:b/>
          <w:bCs/>
          <w:sz w:val="36"/>
          <w:lang w:eastAsia="zh-CN"/>
        </w:rPr>
      </w:pPr>
      <w:r>
        <w:rPr>
          <w:rFonts w:hint="eastAsia" w:asciiTheme="minorEastAsia" w:hAnsiTheme="minorEastAsia" w:eastAsiaTheme="minorEastAsia"/>
          <w:b/>
          <w:bCs/>
          <w:sz w:val="36"/>
          <w:lang w:eastAsia="zh-CN"/>
        </w:rPr>
        <w:t>参   选   优  惠  价</w:t>
      </w:r>
    </w:p>
    <w:p>
      <w:pPr>
        <w:spacing w:beforeLines="50"/>
        <w:rPr>
          <w:rFonts w:asciiTheme="minorEastAsia" w:hAnsiTheme="minorEastAsia" w:eastAsiaTheme="minorEastAsia"/>
          <w:b/>
          <w:bCs/>
          <w:sz w:val="28"/>
          <w:szCs w:val="28"/>
          <w:u w:val="single"/>
          <w:lang w:eastAsia="zh-CN"/>
        </w:rPr>
      </w:pPr>
      <w:r>
        <w:rPr>
          <w:rFonts w:hint="eastAsia" w:asciiTheme="minorEastAsia" w:hAnsiTheme="minorEastAsia" w:eastAsiaTheme="minorEastAsia"/>
          <w:b/>
          <w:bCs/>
          <w:sz w:val="28"/>
          <w:szCs w:val="28"/>
          <w:lang w:eastAsia="zh-CN"/>
        </w:rPr>
        <w:t>比选单位：</w:t>
      </w:r>
      <w:r>
        <w:rPr>
          <w:rFonts w:hint="eastAsia" w:asciiTheme="minorEastAsia" w:hAnsiTheme="minorEastAsia" w:eastAsiaTheme="minorEastAsia"/>
          <w:b/>
          <w:bCs/>
          <w:sz w:val="28"/>
          <w:szCs w:val="28"/>
          <w:u w:val="single"/>
          <w:lang w:eastAsia="zh-CN"/>
        </w:rPr>
        <w:t>福建福海创石油化工有限公司</w:t>
      </w:r>
    </w:p>
    <w:p>
      <w:pPr>
        <w:pStyle w:val="2"/>
        <w:spacing w:line="480" w:lineRule="exact"/>
        <w:jc w:val="left"/>
        <w:rPr>
          <w:rFonts w:hAnsi="宋体" w:cs="宋体"/>
          <w:sz w:val="24"/>
          <w:szCs w:val="24"/>
        </w:rPr>
      </w:pPr>
      <w:r>
        <w:rPr>
          <w:rFonts w:hint="eastAsia" w:hAnsi="宋体" w:cs="宋体"/>
          <w:b/>
          <w:bCs/>
          <w:sz w:val="24"/>
          <w:szCs w:val="24"/>
        </w:rPr>
        <w:t xml:space="preserve">项目名称： </w:t>
      </w:r>
      <w:r>
        <w:rPr>
          <w:rFonts w:hint="eastAsia" w:hAnsi="宋体" w:cs="宋体"/>
          <w:sz w:val="24"/>
          <w:szCs w:val="24"/>
        </w:rPr>
        <w:t>颗粒计数器检定检测项</w:t>
      </w:r>
      <w:r>
        <w:rPr>
          <w:rFonts w:hint="eastAsia" w:asciiTheme="minorEastAsia" w:hAnsiTheme="minorEastAsia" w:eastAsiaTheme="minorEastAsia"/>
          <w:bCs/>
          <w:sz w:val="24"/>
          <w:szCs w:val="24"/>
          <w:u w:val="single"/>
        </w:rPr>
        <w:t>目（项目编号：FHC-PTCG20230207001)</w:t>
      </w:r>
      <w:r>
        <w:rPr>
          <w:rFonts w:hint="eastAsia" w:hAnsi="宋体" w:cs="宋体"/>
          <w:sz w:val="24"/>
          <w:szCs w:val="24"/>
        </w:rPr>
        <w:t xml:space="preserve">   </w:t>
      </w:r>
    </w:p>
    <w:p>
      <w:pPr>
        <w:pStyle w:val="2"/>
        <w:spacing w:beforeLines="50" w:line="360" w:lineRule="auto"/>
        <w:ind w:firstLine="480" w:firstLineChars="200"/>
        <w:rPr>
          <w:color w:val="000000"/>
          <w:sz w:val="24"/>
        </w:rPr>
      </w:pPr>
      <w:r>
        <w:rPr>
          <w:rFonts w:hint="eastAsia"/>
          <w:sz w:val="24"/>
        </w:rPr>
        <w:t>本合同以年约形式执行，共计</w:t>
      </w:r>
      <w:r>
        <w:rPr>
          <w:rFonts w:hint="eastAsia"/>
          <w:b/>
          <w:bCs/>
          <w:sz w:val="24"/>
        </w:rPr>
        <w:t>壹</w:t>
      </w:r>
      <w:r>
        <w:rPr>
          <w:rFonts w:hint="eastAsia"/>
          <w:sz w:val="24"/>
        </w:rPr>
        <w:t>年，1次/年，单次检定费为</w:t>
      </w:r>
      <w:r>
        <w:rPr>
          <w:sz w:val="24"/>
          <w:u w:val="single"/>
        </w:rPr>
        <w:t xml:space="preserve"> </w:t>
      </w:r>
      <w:r>
        <w:rPr>
          <w:rFonts w:hint="eastAsia"/>
          <w:sz w:val="24"/>
          <w:u w:val="single"/>
        </w:rPr>
        <w:t xml:space="preserve">    </w:t>
      </w:r>
      <w:r>
        <w:rPr>
          <w:rFonts w:hint="eastAsia"/>
          <w:sz w:val="24"/>
        </w:rPr>
        <w:t>元整（</w:t>
      </w:r>
      <w:r>
        <w:rPr>
          <w:rFonts w:hint="eastAsia"/>
          <w:sz w:val="24"/>
          <w:u w:val="single"/>
        </w:rPr>
        <w:t xml:space="preserve">￥     </w:t>
      </w:r>
      <w:r>
        <w:rPr>
          <w:rFonts w:hint="eastAsia"/>
          <w:color w:val="000000"/>
          <w:sz w:val="24"/>
        </w:rPr>
        <w:t>元），包干含税价，税率</w:t>
      </w:r>
      <w:r>
        <w:rPr>
          <w:rFonts w:hint="eastAsia"/>
          <w:color w:val="000000"/>
          <w:sz w:val="24"/>
          <w:u w:val="single"/>
        </w:rPr>
        <w:t xml:space="preserve">   %</w:t>
      </w:r>
      <w:r>
        <w:rPr>
          <w:rFonts w:hint="eastAsia"/>
          <w:color w:val="000000"/>
          <w:sz w:val="24"/>
        </w:rPr>
        <w:t>；</w:t>
      </w:r>
      <w:r>
        <w:rPr>
          <w:rFonts w:hint="eastAsia"/>
          <w:sz w:val="24"/>
        </w:rPr>
        <w:t>具体价格明细如下：</w:t>
      </w:r>
    </w:p>
    <w:tbl>
      <w:tblPr>
        <w:tblStyle w:val="19"/>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843"/>
        <w:gridCol w:w="1417"/>
        <w:gridCol w:w="1134"/>
        <w:gridCol w:w="1560"/>
        <w:gridCol w:w="1559"/>
        <w:gridCol w:w="14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pStyle w:val="2"/>
              <w:spacing w:line="240" w:lineRule="auto"/>
              <w:jc w:val="center"/>
              <w:rPr>
                <w:color w:val="000000"/>
                <w:sz w:val="21"/>
                <w:szCs w:val="21"/>
              </w:rPr>
            </w:pPr>
            <w:r>
              <w:rPr>
                <w:rFonts w:hint="eastAsia"/>
                <w:color w:val="000000"/>
                <w:sz w:val="21"/>
                <w:szCs w:val="21"/>
              </w:rPr>
              <w:t>序号</w:t>
            </w:r>
          </w:p>
        </w:tc>
        <w:tc>
          <w:tcPr>
            <w:tcW w:w="1843" w:type="dxa"/>
            <w:vAlign w:val="center"/>
          </w:tcPr>
          <w:p>
            <w:pPr>
              <w:pStyle w:val="2"/>
              <w:spacing w:line="360" w:lineRule="auto"/>
              <w:jc w:val="center"/>
              <w:rPr>
                <w:color w:val="000000"/>
                <w:sz w:val="21"/>
                <w:szCs w:val="21"/>
              </w:rPr>
            </w:pPr>
            <w:r>
              <w:rPr>
                <w:rFonts w:hint="eastAsia"/>
                <w:color w:val="000000"/>
                <w:sz w:val="21"/>
                <w:szCs w:val="21"/>
              </w:rPr>
              <w:t>服务项目</w:t>
            </w:r>
          </w:p>
        </w:tc>
        <w:tc>
          <w:tcPr>
            <w:tcW w:w="1417" w:type="dxa"/>
            <w:vAlign w:val="center"/>
          </w:tcPr>
          <w:p>
            <w:pPr>
              <w:pStyle w:val="2"/>
              <w:spacing w:line="360" w:lineRule="auto"/>
              <w:jc w:val="center"/>
              <w:rPr>
                <w:color w:val="000000"/>
                <w:sz w:val="21"/>
                <w:szCs w:val="21"/>
              </w:rPr>
            </w:pPr>
            <w:r>
              <w:rPr>
                <w:rFonts w:hint="eastAsia"/>
                <w:color w:val="000000"/>
                <w:sz w:val="21"/>
                <w:szCs w:val="21"/>
              </w:rPr>
              <w:t>计数器型号</w:t>
            </w:r>
          </w:p>
        </w:tc>
        <w:tc>
          <w:tcPr>
            <w:tcW w:w="1134" w:type="dxa"/>
            <w:vAlign w:val="center"/>
          </w:tcPr>
          <w:p>
            <w:pPr>
              <w:pStyle w:val="2"/>
              <w:spacing w:line="360" w:lineRule="auto"/>
              <w:jc w:val="center"/>
              <w:rPr>
                <w:color w:val="000000"/>
                <w:sz w:val="21"/>
                <w:szCs w:val="21"/>
              </w:rPr>
            </w:pPr>
            <w:r>
              <w:rPr>
                <w:rFonts w:hint="eastAsia"/>
                <w:color w:val="000000"/>
                <w:sz w:val="21"/>
                <w:szCs w:val="21"/>
              </w:rPr>
              <w:t>数量</w:t>
            </w:r>
          </w:p>
        </w:tc>
        <w:tc>
          <w:tcPr>
            <w:tcW w:w="1560" w:type="dxa"/>
            <w:vAlign w:val="center"/>
          </w:tcPr>
          <w:p>
            <w:pPr>
              <w:pStyle w:val="2"/>
              <w:spacing w:line="360" w:lineRule="auto"/>
              <w:jc w:val="center"/>
              <w:rPr>
                <w:color w:val="000000"/>
                <w:sz w:val="21"/>
                <w:szCs w:val="21"/>
              </w:rPr>
            </w:pPr>
            <w:r>
              <w:rPr>
                <w:rFonts w:hint="eastAsia"/>
                <w:color w:val="000000"/>
                <w:sz w:val="21"/>
                <w:szCs w:val="21"/>
              </w:rPr>
              <w:t>检定方法</w:t>
            </w:r>
          </w:p>
        </w:tc>
        <w:tc>
          <w:tcPr>
            <w:tcW w:w="1559" w:type="dxa"/>
            <w:tcBorders>
              <w:right w:val="single" w:color="auto" w:sz="4" w:space="0"/>
            </w:tcBorders>
            <w:vAlign w:val="center"/>
          </w:tcPr>
          <w:p>
            <w:pPr>
              <w:pStyle w:val="2"/>
              <w:spacing w:line="360" w:lineRule="auto"/>
              <w:jc w:val="center"/>
              <w:rPr>
                <w:color w:val="000000"/>
                <w:sz w:val="21"/>
                <w:szCs w:val="21"/>
              </w:rPr>
            </w:pPr>
            <w:r>
              <w:rPr>
                <w:rFonts w:hint="eastAsia"/>
                <w:color w:val="000000"/>
                <w:sz w:val="21"/>
                <w:szCs w:val="21"/>
              </w:rPr>
              <w:t>价格</w:t>
            </w:r>
          </w:p>
        </w:tc>
        <w:tc>
          <w:tcPr>
            <w:tcW w:w="1417" w:type="dxa"/>
            <w:tcBorders>
              <w:left w:val="single" w:color="auto" w:sz="4" w:space="0"/>
            </w:tcBorders>
            <w:vAlign w:val="center"/>
          </w:tcPr>
          <w:p>
            <w:pPr>
              <w:pStyle w:val="2"/>
              <w:spacing w:line="360" w:lineRule="auto"/>
              <w:jc w:val="center"/>
              <w:rPr>
                <w:color w:val="000000"/>
                <w:sz w:val="21"/>
                <w:szCs w:val="21"/>
              </w:rPr>
            </w:pPr>
            <w:r>
              <w:rPr>
                <w:rFonts w:hint="eastAsia"/>
                <w:color w:val="000000"/>
                <w:sz w:val="21"/>
                <w:szCs w:val="21"/>
              </w:rPr>
              <w:t>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9" w:hRule="atLeast"/>
        </w:trPr>
        <w:tc>
          <w:tcPr>
            <w:tcW w:w="817" w:type="dxa"/>
          </w:tcPr>
          <w:p>
            <w:pPr>
              <w:pStyle w:val="2"/>
              <w:spacing w:line="360" w:lineRule="auto"/>
              <w:jc w:val="center"/>
              <w:rPr>
                <w:color w:val="000000"/>
                <w:sz w:val="21"/>
                <w:szCs w:val="21"/>
              </w:rPr>
            </w:pPr>
            <w:r>
              <w:rPr>
                <w:rFonts w:hint="eastAsia"/>
                <w:color w:val="000000"/>
                <w:sz w:val="21"/>
                <w:szCs w:val="21"/>
              </w:rPr>
              <w:t>1</w:t>
            </w:r>
          </w:p>
        </w:tc>
        <w:tc>
          <w:tcPr>
            <w:tcW w:w="1843" w:type="dxa"/>
            <w:vMerge w:val="restart"/>
            <w:vAlign w:val="center"/>
          </w:tcPr>
          <w:p>
            <w:pPr>
              <w:pStyle w:val="2"/>
              <w:spacing w:line="360" w:lineRule="auto"/>
              <w:jc w:val="center"/>
              <w:rPr>
                <w:color w:val="000000"/>
                <w:sz w:val="21"/>
                <w:szCs w:val="21"/>
              </w:rPr>
            </w:pPr>
            <w:r>
              <w:rPr>
                <w:rFonts w:hint="eastAsia"/>
                <w:color w:val="000000"/>
                <w:sz w:val="21"/>
                <w:szCs w:val="21"/>
              </w:rPr>
              <w:t>颗粒计数器检定</w:t>
            </w:r>
          </w:p>
        </w:tc>
        <w:tc>
          <w:tcPr>
            <w:tcW w:w="1417" w:type="dxa"/>
            <w:vMerge w:val="restart"/>
            <w:vAlign w:val="center"/>
          </w:tcPr>
          <w:p>
            <w:pPr>
              <w:pStyle w:val="2"/>
              <w:spacing w:line="360" w:lineRule="auto"/>
              <w:jc w:val="center"/>
              <w:rPr>
                <w:color w:val="000000"/>
                <w:sz w:val="21"/>
                <w:szCs w:val="21"/>
              </w:rPr>
            </w:pPr>
            <w:r>
              <w:rPr>
                <w:rFonts w:hint="eastAsia"/>
                <w:color w:val="000000"/>
                <w:sz w:val="21"/>
                <w:szCs w:val="21"/>
              </w:rPr>
              <w:t>SBSS-C</w:t>
            </w:r>
          </w:p>
        </w:tc>
        <w:tc>
          <w:tcPr>
            <w:tcW w:w="1134" w:type="dxa"/>
            <w:vMerge w:val="restart"/>
            <w:vAlign w:val="center"/>
          </w:tcPr>
          <w:p>
            <w:pPr>
              <w:pStyle w:val="2"/>
              <w:spacing w:line="360" w:lineRule="auto"/>
              <w:jc w:val="center"/>
              <w:rPr>
                <w:color w:val="000000"/>
                <w:sz w:val="21"/>
                <w:szCs w:val="21"/>
              </w:rPr>
            </w:pPr>
            <w:r>
              <w:rPr>
                <w:rFonts w:hint="eastAsia"/>
                <w:color w:val="000000"/>
                <w:sz w:val="21"/>
                <w:szCs w:val="21"/>
              </w:rPr>
              <w:t>1台</w:t>
            </w:r>
          </w:p>
        </w:tc>
        <w:tc>
          <w:tcPr>
            <w:tcW w:w="1560" w:type="dxa"/>
          </w:tcPr>
          <w:p>
            <w:pPr>
              <w:pStyle w:val="2"/>
              <w:spacing w:line="360" w:lineRule="auto"/>
              <w:jc w:val="center"/>
              <w:rPr>
                <w:color w:val="000000"/>
                <w:sz w:val="21"/>
                <w:szCs w:val="21"/>
              </w:rPr>
            </w:pPr>
            <w:r>
              <w:rPr>
                <w:rFonts w:hint="eastAsia"/>
                <w:color w:val="000000"/>
                <w:sz w:val="21"/>
                <w:szCs w:val="21"/>
              </w:rPr>
              <w:t>AC</w:t>
            </w:r>
          </w:p>
        </w:tc>
        <w:tc>
          <w:tcPr>
            <w:tcW w:w="1559" w:type="dxa"/>
            <w:tcBorders>
              <w:right w:val="single" w:color="auto" w:sz="4" w:space="0"/>
            </w:tcBorders>
          </w:tcPr>
          <w:p>
            <w:pPr>
              <w:pStyle w:val="2"/>
              <w:spacing w:line="360" w:lineRule="auto"/>
              <w:jc w:val="center"/>
              <w:rPr>
                <w:color w:val="000000"/>
                <w:sz w:val="21"/>
                <w:szCs w:val="21"/>
              </w:rPr>
            </w:pPr>
            <w:r>
              <w:rPr>
                <w:rFonts w:hint="eastAsia"/>
                <w:color w:val="000000"/>
                <w:sz w:val="21"/>
                <w:szCs w:val="21"/>
              </w:rPr>
              <w:t xml:space="preserve">  元/台</w:t>
            </w:r>
          </w:p>
        </w:tc>
        <w:tc>
          <w:tcPr>
            <w:tcW w:w="1417" w:type="dxa"/>
            <w:tcBorders>
              <w:left w:val="single" w:color="auto" w:sz="4" w:space="0"/>
            </w:tcBorders>
          </w:tcPr>
          <w:p>
            <w:pPr>
              <w:pStyle w:val="2"/>
              <w:spacing w:line="360" w:lineRule="auto"/>
              <w:jc w:val="center"/>
              <w:rPr>
                <w:color w:val="000000"/>
                <w:sz w:val="21"/>
                <w:szCs w:val="21"/>
              </w:rPr>
            </w:pPr>
            <w:r>
              <w:rPr>
                <w:rFonts w:hint="eastAsia"/>
                <w:color w:val="000000"/>
                <w:sz w:val="21"/>
                <w:szCs w:val="21"/>
              </w:rPr>
              <w:t>2023年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1" w:hRule="atLeast"/>
        </w:trPr>
        <w:tc>
          <w:tcPr>
            <w:tcW w:w="817" w:type="dxa"/>
          </w:tcPr>
          <w:p>
            <w:pPr>
              <w:pStyle w:val="2"/>
              <w:spacing w:line="360" w:lineRule="auto"/>
              <w:jc w:val="center"/>
              <w:rPr>
                <w:color w:val="000000"/>
                <w:sz w:val="21"/>
                <w:szCs w:val="21"/>
              </w:rPr>
            </w:pPr>
            <w:r>
              <w:rPr>
                <w:rFonts w:hint="eastAsia"/>
                <w:color w:val="000000"/>
                <w:sz w:val="21"/>
                <w:szCs w:val="21"/>
              </w:rPr>
              <w:t>2</w:t>
            </w:r>
          </w:p>
        </w:tc>
        <w:tc>
          <w:tcPr>
            <w:tcW w:w="1843" w:type="dxa"/>
            <w:vMerge w:val="continue"/>
          </w:tcPr>
          <w:p>
            <w:pPr>
              <w:pStyle w:val="2"/>
              <w:spacing w:line="360" w:lineRule="auto"/>
              <w:rPr>
                <w:color w:val="000000"/>
                <w:sz w:val="21"/>
                <w:szCs w:val="21"/>
              </w:rPr>
            </w:pPr>
          </w:p>
        </w:tc>
        <w:tc>
          <w:tcPr>
            <w:tcW w:w="1417" w:type="dxa"/>
            <w:vMerge w:val="continue"/>
          </w:tcPr>
          <w:p>
            <w:pPr>
              <w:pStyle w:val="2"/>
              <w:spacing w:line="360" w:lineRule="auto"/>
              <w:rPr>
                <w:color w:val="000000"/>
                <w:sz w:val="21"/>
                <w:szCs w:val="21"/>
              </w:rPr>
            </w:pPr>
          </w:p>
        </w:tc>
        <w:tc>
          <w:tcPr>
            <w:tcW w:w="1134" w:type="dxa"/>
            <w:vMerge w:val="continue"/>
          </w:tcPr>
          <w:p>
            <w:pPr>
              <w:pStyle w:val="2"/>
              <w:spacing w:line="360" w:lineRule="auto"/>
              <w:rPr>
                <w:color w:val="000000"/>
                <w:sz w:val="21"/>
                <w:szCs w:val="21"/>
              </w:rPr>
            </w:pPr>
          </w:p>
        </w:tc>
        <w:tc>
          <w:tcPr>
            <w:tcW w:w="1560" w:type="dxa"/>
          </w:tcPr>
          <w:p>
            <w:pPr>
              <w:pStyle w:val="2"/>
              <w:spacing w:line="360" w:lineRule="auto"/>
              <w:jc w:val="center"/>
              <w:rPr>
                <w:color w:val="000000"/>
                <w:sz w:val="21"/>
                <w:szCs w:val="21"/>
              </w:rPr>
            </w:pPr>
            <w:r>
              <w:rPr>
                <w:rFonts w:hint="eastAsia"/>
                <w:color w:val="000000"/>
                <w:sz w:val="21"/>
                <w:szCs w:val="21"/>
              </w:rPr>
              <w:t>MTD</w:t>
            </w:r>
          </w:p>
        </w:tc>
        <w:tc>
          <w:tcPr>
            <w:tcW w:w="1559" w:type="dxa"/>
            <w:tcBorders>
              <w:right w:val="single" w:color="auto" w:sz="4" w:space="0"/>
            </w:tcBorders>
          </w:tcPr>
          <w:p>
            <w:pPr>
              <w:pStyle w:val="2"/>
              <w:spacing w:line="360" w:lineRule="auto"/>
              <w:jc w:val="center"/>
              <w:rPr>
                <w:color w:val="000000"/>
                <w:sz w:val="21"/>
                <w:szCs w:val="21"/>
              </w:rPr>
            </w:pPr>
            <w:r>
              <w:rPr>
                <w:rFonts w:hint="eastAsia"/>
                <w:color w:val="000000"/>
                <w:sz w:val="21"/>
                <w:szCs w:val="21"/>
              </w:rPr>
              <w:t xml:space="preserve">  元/台</w:t>
            </w:r>
          </w:p>
        </w:tc>
        <w:tc>
          <w:tcPr>
            <w:tcW w:w="1417" w:type="dxa"/>
            <w:tcBorders>
              <w:left w:val="single" w:color="auto" w:sz="4" w:space="0"/>
            </w:tcBorders>
          </w:tcPr>
          <w:p>
            <w:pPr>
              <w:pStyle w:val="2"/>
              <w:spacing w:line="360" w:lineRule="auto"/>
              <w:jc w:val="center"/>
              <w:rPr>
                <w:color w:val="000000"/>
                <w:sz w:val="21"/>
                <w:szCs w:val="21"/>
              </w:rPr>
            </w:pPr>
            <w:r>
              <w:rPr>
                <w:rFonts w:hint="eastAsia"/>
                <w:color w:val="000000"/>
                <w:sz w:val="21"/>
                <w:szCs w:val="21"/>
              </w:rPr>
              <w:t>2023年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2" w:hRule="atLeast"/>
        </w:trPr>
        <w:tc>
          <w:tcPr>
            <w:tcW w:w="817" w:type="dxa"/>
          </w:tcPr>
          <w:p>
            <w:pPr>
              <w:pStyle w:val="2"/>
              <w:spacing w:line="360" w:lineRule="auto"/>
              <w:jc w:val="center"/>
              <w:rPr>
                <w:color w:val="000000"/>
                <w:sz w:val="21"/>
                <w:szCs w:val="21"/>
              </w:rPr>
            </w:pPr>
            <w:r>
              <w:rPr>
                <w:rFonts w:hint="eastAsia"/>
                <w:color w:val="000000"/>
                <w:sz w:val="21"/>
                <w:szCs w:val="21"/>
              </w:rPr>
              <w:t>5</w:t>
            </w:r>
          </w:p>
        </w:tc>
        <w:tc>
          <w:tcPr>
            <w:tcW w:w="1843" w:type="dxa"/>
            <w:vAlign w:val="center"/>
          </w:tcPr>
          <w:p>
            <w:pPr>
              <w:pStyle w:val="2"/>
              <w:spacing w:line="360" w:lineRule="auto"/>
              <w:jc w:val="center"/>
              <w:rPr>
                <w:color w:val="000000"/>
                <w:sz w:val="21"/>
                <w:szCs w:val="21"/>
              </w:rPr>
            </w:pPr>
            <w:r>
              <w:rPr>
                <w:rFonts w:hint="eastAsia"/>
                <w:color w:val="000000"/>
                <w:sz w:val="21"/>
                <w:szCs w:val="21"/>
              </w:rPr>
              <w:t>上门服务费</w:t>
            </w:r>
          </w:p>
        </w:tc>
        <w:tc>
          <w:tcPr>
            <w:tcW w:w="2551" w:type="dxa"/>
            <w:gridSpan w:val="2"/>
          </w:tcPr>
          <w:p>
            <w:pPr>
              <w:pStyle w:val="2"/>
              <w:spacing w:line="360" w:lineRule="auto"/>
              <w:jc w:val="center"/>
              <w:rPr>
                <w:color w:val="000000"/>
                <w:sz w:val="21"/>
                <w:szCs w:val="21"/>
              </w:rPr>
            </w:pPr>
            <w:r>
              <w:rPr>
                <w:rFonts w:hint="eastAsia"/>
                <w:color w:val="000000"/>
                <w:sz w:val="21"/>
                <w:szCs w:val="21"/>
              </w:rPr>
              <w:t>2023年</w:t>
            </w:r>
          </w:p>
        </w:tc>
        <w:tc>
          <w:tcPr>
            <w:tcW w:w="1560" w:type="dxa"/>
          </w:tcPr>
          <w:p>
            <w:pPr>
              <w:pStyle w:val="2"/>
              <w:spacing w:line="360" w:lineRule="auto"/>
              <w:jc w:val="center"/>
              <w:rPr>
                <w:color w:val="000000"/>
                <w:sz w:val="21"/>
                <w:szCs w:val="21"/>
              </w:rPr>
            </w:pPr>
            <w:r>
              <w:rPr>
                <w:rFonts w:hint="eastAsia"/>
                <w:color w:val="000000"/>
                <w:sz w:val="21"/>
                <w:szCs w:val="21"/>
              </w:rPr>
              <w:t>1次</w:t>
            </w:r>
          </w:p>
        </w:tc>
        <w:tc>
          <w:tcPr>
            <w:tcW w:w="2976" w:type="dxa"/>
            <w:gridSpan w:val="2"/>
          </w:tcPr>
          <w:p>
            <w:pPr>
              <w:pStyle w:val="2"/>
              <w:spacing w:line="360" w:lineRule="auto"/>
              <w:jc w:val="center"/>
              <w:rPr>
                <w:color w:val="000000"/>
                <w:sz w:val="21"/>
                <w:szCs w:val="21"/>
              </w:rPr>
            </w:pPr>
            <w:r>
              <w:rPr>
                <w:rFonts w:hint="eastAsia"/>
                <w:color w:val="000000"/>
                <w:sz w:val="21"/>
                <w:szCs w:val="21"/>
              </w:rPr>
              <w:t xml:space="preserve"> 元/次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8" w:hRule="atLeast"/>
        </w:trPr>
        <w:tc>
          <w:tcPr>
            <w:tcW w:w="817" w:type="dxa"/>
          </w:tcPr>
          <w:p>
            <w:pPr>
              <w:pStyle w:val="2"/>
              <w:spacing w:line="360" w:lineRule="auto"/>
              <w:rPr>
                <w:color w:val="000000"/>
                <w:sz w:val="21"/>
                <w:szCs w:val="21"/>
              </w:rPr>
            </w:pPr>
          </w:p>
        </w:tc>
        <w:tc>
          <w:tcPr>
            <w:tcW w:w="1843" w:type="dxa"/>
          </w:tcPr>
          <w:p>
            <w:pPr>
              <w:pStyle w:val="2"/>
              <w:spacing w:line="360" w:lineRule="auto"/>
              <w:rPr>
                <w:color w:val="000000"/>
                <w:sz w:val="21"/>
                <w:szCs w:val="21"/>
              </w:rPr>
            </w:pPr>
            <w:r>
              <w:rPr>
                <w:rFonts w:hint="eastAsia"/>
                <w:color w:val="000000"/>
                <w:sz w:val="21"/>
                <w:szCs w:val="21"/>
              </w:rPr>
              <w:t>共计：</w:t>
            </w:r>
          </w:p>
        </w:tc>
        <w:tc>
          <w:tcPr>
            <w:tcW w:w="7087" w:type="dxa"/>
            <w:gridSpan w:val="5"/>
            <w:vAlign w:val="center"/>
          </w:tcPr>
          <w:p>
            <w:pPr>
              <w:pStyle w:val="2"/>
              <w:spacing w:line="360" w:lineRule="auto"/>
              <w:jc w:val="center"/>
              <w:rPr>
                <w:color w:val="000000"/>
                <w:sz w:val="21"/>
                <w:szCs w:val="21"/>
              </w:rPr>
            </w:pPr>
            <w:r>
              <w:rPr>
                <w:rFonts w:hint="eastAsia"/>
                <w:color w:val="000000"/>
                <w:sz w:val="21"/>
                <w:szCs w:val="21"/>
              </w:rPr>
              <w:t>元整（含   % 增值税）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34" w:hRule="atLeast"/>
        </w:trPr>
        <w:tc>
          <w:tcPr>
            <w:tcW w:w="9747" w:type="dxa"/>
            <w:gridSpan w:val="7"/>
            <w:vAlign w:val="center"/>
          </w:tcPr>
          <w:p>
            <w:pPr>
              <w:spacing w:line="360" w:lineRule="auto"/>
              <w:ind w:left="15"/>
              <w:outlineLvl w:val="0"/>
              <w:rPr>
                <w:sz w:val="24"/>
                <w:szCs w:val="24"/>
              </w:rPr>
            </w:pPr>
            <w:r>
              <w:rPr>
                <w:rFonts w:hint="eastAsia"/>
                <w:sz w:val="24"/>
                <w:szCs w:val="24"/>
              </w:rPr>
              <w:t>说明：</w:t>
            </w:r>
          </w:p>
          <w:p>
            <w:pPr>
              <w:widowControl/>
              <w:numPr>
                <w:ilvl w:val="0"/>
                <w:numId w:val="9"/>
              </w:numPr>
              <w:autoSpaceDE/>
              <w:autoSpaceDN/>
              <w:rPr>
                <w:sz w:val="24"/>
                <w:szCs w:val="24"/>
                <w:lang w:eastAsia="zh-CN"/>
              </w:rPr>
            </w:pPr>
            <w:r>
              <w:rPr>
                <w:rFonts w:hint="eastAsia"/>
                <w:sz w:val="24"/>
                <w:szCs w:val="24"/>
                <w:lang w:eastAsia="zh-CN"/>
              </w:rPr>
              <w:t>项目地点：福建省漳州市古雷经济开发区腾龙路84号。</w:t>
            </w:r>
          </w:p>
          <w:p>
            <w:pPr>
              <w:widowControl/>
              <w:numPr>
                <w:ilvl w:val="0"/>
                <w:numId w:val="9"/>
              </w:numPr>
              <w:autoSpaceDE/>
              <w:autoSpaceDN/>
              <w:ind w:left="400" w:hanging="400"/>
              <w:rPr>
                <w:sz w:val="24"/>
                <w:szCs w:val="24"/>
                <w:lang w:eastAsia="zh-CN"/>
              </w:rPr>
            </w:pPr>
            <w:r>
              <w:rPr>
                <w:rFonts w:hint="eastAsia"/>
                <w:sz w:val="24"/>
                <w:szCs w:val="24"/>
                <w:lang w:eastAsia="zh-CN"/>
              </w:rPr>
              <w:t>报价为包干含税价，已包含来回运费、装运等费用，提供发票：   %增值税专用发票；</w:t>
            </w:r>
          </w:p>
          <w:p>
            <w:pPr>
              <w:widowControl/>
              <w:numPr>
                <w:ilvl w:val="0"/>
                <w:numId w:val="9"/>
              </w:numPr>
              <w:autoSpaceDE/>
              <w:autoSpaceDN/>
              <w:ind w:left="400" w:hanging="400"/>
              <w:rPr>
                <w:sz w:val="24"/>
                <w:szCs w:val="24"/>
                <w:lang w:eastAsia="zh-CN"/>
              </w:rPr>
            </w:pPr>
            <w:r>
              <w:rPr>
                <w:rFonts w:hint="eastAsia"/>
                <w:sz w:val="24"/>
                <w:szCs w:val="24"/>
                <w:lang w:eastAsia="zh-CN"/>
              </w:rPr>
              <w:t>根据生产现场要求，需检定电力用油DL/T432-2007和液压油ISO4406两种标准（热电团队样品执行电力用油标准，设备部样品执行液压油标准）。</w:t>
            </w:r>
          </w:p>
          <w:p>
            <w:pPr>
              <w:pStyle w:val="2"/>
              <w:rPr>
                <w:rFonts w:hAnsi="宋体" w:cs="宋体"/>
                <w:sz w:val="24"/>
                <w:szCs w:val="24"/>
              </w:rPr>
            </w:pPr>
            <w:r>
              <w:rPr>
                <w:rFonts w:hint="eastAsia" w:hAnsi="宋体" w:cs="宋体"/>
                <w:sz w:val="24"/>
                <w:szCs w:val="24"/>
              </w:rPr>
              <w:t>4、检定结果须附检定证书、检定标识及给出检定结论。</w:t>
            </w:r>
          </w:p>
          <w:p>
            <w:pPr>
              <w:widowControl/>
              <w:autoSpaceDE/>
              <w:autoSpaceDN/>
              <w:ind w:left="360" w:hanging="360" w:hangingChars="150"/>
              <w:rPr>
                <w:color w:val="000000"/>
                <w:sz w:val="21"/>
                <w:szCs w:val="21"/>
                <w:lang w:eastAsia="zh-CN"/>
              </w:rPr>
            </w:pPr>
            <w:r>
              <w:rPr>
                <w:rFonts w:hint="eastAsia"/>
                <w:sz w:val="24"/>
                <w:szCs w:val="24"/>
                <w:lang w:eastAsia="zh-CN"/>
              </w:rPr>
              <w:t>5、付款条件：无预付款，颗粒计数器检定完成并出具检定证书经验收合格，且收到乙方提供的全额增值税专用发票30个工作日内，甲方支付全款。 </w:t>
            </w:r>
          </w:p>
        </w:tc>
      </w:tr>
    </w:tbl>
    <w:p>
      <w:pPr>
        <w:ind w:firstLine="555"/>
        <w:rPr>
          <w:rFonts w:asciiTheme="minorEastAsia" w:hAnsiTheme="minorEastAsia" w:eastAsiaTheme="minorEastAsia"/>
          <w:sz w:val="28"/>
          <w:szCs w:val="28"/>
          <w:lang w:eastAsia="zh-CN"/>
        </w:rPr>
      </w:pPr>
    </w:p>
    <w:p>
      <w:pPr>
        <w:ind w:firstLine="555"/>
        <w:rPr>
          <w:rFonts w:asciiTheme="minorEastAsia" w:hAnsiTheme="minorEastAsia" w:eastAsiaTheme="minorEastAsia"/>
          <w:sz w:val="28"/>
          <w:szCs w:val="28"/>
          <w:lang w:eastAsia="zh-CN"/>
        </w:rPr>
      </w:pPr>
    </w:p>
    <w:p>
      <w:pPr>
        <w:ind w:firstLine="555"/>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参选人：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color w:val="00B050"/>
          <w:sz w:val="28"/>
          <w:szCs w:val="28"/>
          <w:lang w:eastAsia="zh-CN"/>
        </w:rPr>
        <w:t>（加盖参选单位章）</w:t>
      </w:r>
    </w:p>
    <w:p>
      <w:pPr>
        <w:spacing w:line="460" w:lineRule="exact"/>
        <w:ind w:firstLine="560" w:firstLineChars="200"/>
        <w:rPr>
          <w:rFonts w:asciiTheme="minorEastAsia" w:hAnsiTheme="minorEastAsia" w:eastAsiaTheme="minorEastAsia"/>
          <w:color w:val="00B050"/>
          <w:sz w:val="28"/>
          <w:szCs w:val="28"/>
          <w:lang w:eastAsia="zh-CN"/>
        </w:rPr>
      </w:pPr>
      <w:r>
        <w:rPr>
          <w:rFonts w:hint="eastAsia" w:asciiTheme="minorEastAsia" w:hAnsiTheme="minorEastAsia" w:eastAsiaTheme="minorEastAsia"/>
          <w:sz w:val="28"/>
          <w:szCs w:val="28"/>
          <w:lang w:eastAsia="zh-CN"/>
        </w:rPr>
        <w:t>法定代表人：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color w:val="00B050"/>
          <w:sz w:val="28"/>
          <w:szCs w:val="28"/>
          <w:lang w:eastAsia="zh-CN"/>
        </w:rPr>
        <w:t>（签字）</w:t>
      </w:r>
    </w:p>
    <w:p>
      <w:pPr>
        <w:spacing w:line="460" w:lineRule="exact"/>
        <w:ind w:firstLine="560" w:firstLineChars="200"/>
        <w:rPr>
          <w:rFonts w:asciiTheme="minorEastAsia" w:hAnsiTheme="minorEastAsia" w:eastAsiaTheme="minorEastAsia"/>
          <w:color w:val="C00000"/>
          <w:sz w:val="28"/>
          <w:szCs w:val="28"/>
          <w:u w:val="single"/>
          <w:lang w:eastAsia="zh-CN"/>
        </w:rPr>
      </w:pPr>
      <w:r>
        <w:rPr>
          <w:rFonts w:hint="eastAsia" w:asciiTheme="minorEastAsia" w:hAnsiTheme="minorEastAsia" w:eastAsiaTheme="minorEastAsia"/>
          <w:sz w:val="28"/>
          <w:szCs w:val="28"/>
          <w:lang w:eastAsia="zh-CN"/>
        </w:rPr>
        <w:t>或其授权委托代理人：</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lang w:eastAsia="zh-CN"/>
        </w:rPr>
        <w:t>_</w:t>
      </w:r>
      <w:r>
        <w:rPr>
          <w:rFonts w:hint="eastAsia" w:asciiTheme="minorEastAsia" w:hAnsiTheme="minorEastAsia" w:eastAsiaTheme="minorEastAsia"/>
          <w:color w:val="00B050"/>
          <w:sz w:val="28"/>
          <w:szCs w:val="28"/>
          <w:lang w:eastAsia="zh-CN"/>
        </w:rPr>
        <w:t>（签字）</w:t>
      </w:r>
    </w:p>
    <w:p>
      <w:pPr>
        <w:ind w:firstLine="560" w:firstLineChars="200"/>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 xml:space="preserve">编制时间： </w:t>
      </w:r>
      <w:r>
        <w:rPr>
          <w:rFonts w:hint="eastAsia" w:asciiTheme="minorEastAsia" w:hAnsiTheme="minorEastAsia" w:eastAsiaTheme="minorEastAsia"/>
          <w:sz w:val="28"/>
          <w:szCs w:val="28"/>
          <w:u w:val="single"/>
          <w:lang w:eastAsia="zh-CN"/>
        </w:rPr>
        <w:t xml:space="preserve">      年   月   日         </w:t>
      </w:r>
    </w:p>
    <w:p>
      <w:pPr>
        <w:pStyle w:val="2"/>
      </w:pPr>
    </w:p>
    <w:p>
      <w:pPr>
        <w:pStyle w:val="2"/>
      </w:pPr>
    </w:p>
    <w:p>
      <w:pPr>
        <w:pStyle w:val="2"/>
      </w:pPr>
    </w:p>
    <w:p>
      <w:pPr>
        <w:snapToGrid w:val="0"/>
        <w:spacing w:line="360" w:lineRule="auto"/>
        <w:jc w:val="center"/>
        <w:rPr>
          <w:rFonts w:asciiTheme="minorEastAsia" w:hAnsiTheme="minorEastAsia" w:eastAsiaTheme="minorEastAsia"/>
          <w:b/>
          <w:bCs/>
          <w:sz w:val="24"/>
          <w:szCs w:val="24"/>
          <w:lang w:eastAsia="zh-CN"/>
        </w:rPr>
      </w:pPr>
    </w:p>
    <w:p>
      <w:pPr>
        <w:snapToGrid w:val="0"/>
        <w:spacing w:line="360" w:lineRule="auto"/>
        <w:jc w:val="center"/>
        <w:rPr>
          <w:rFonts w:cs="Times New Roman" w:asciiTheme="minorEastAsia" w:hAnsiTheme="minorEastAsia" w:eastAsiaTheme="minorEastAsia"/>
          <w:b/>
          <w:bCs/>
          <w:sz w:val="30"/>
          <w:szCs w:val="30"/>
          <w:lang w:eastAsia="zh-CN"/>
        </w:rPr>
      </w:pPr>
      <w:r>
        <w:rPr>
          <w:rFonts w:hint="eastAsia" w:asciiTheme="minorEastAsia" w:hAnsiTheme="minorEastAsia" w:eastAsiaTheme="minorEastAsia"/>
          <w:b/>
          <w:bCs/>
          <w:sz w:val="30"/>
          <w:szCs w:val="30"/>
          <w:lang w:eastAsia="zh-CN"/>
        </w:rPr>
        <w:t>承 诺 函</w:t>
      </w: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napToGrid w:val="0"/>
        <w:spacing w:beforeLines="50"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sz w:val="24"/>
          <w:szCs w:val="24"/>
          <w:u w:val="single"/>
          <w:lang w:eastAsia="zh-CN"/>
        </w:rPr>
        <w:t>颗粒计数器检定检测项</w:t>
      </w:r>
      <w:r>
        <w:rPr>
          <w:rFonts w:hint="eastAsia" w:asciiTheme="minorEastAsia" w:hAnsiTheme="minorEastAsia" w:eastAsiaTheme="minorEastAsia"/>
          <w:bCs/>
          <w:sz w:val="24"/>
          <w:szCs w:val="24"/>
          <w:u w:val="single"/>
          <w:lang w:eastAsia="zh-CN"/>
        </w:rPr>
        <w:t>目（项目编号：FHC-PTCG20230207001)</w:t>
      </w:r>
      <w:r>
        <w:rPr>
          <w:rFonts w:hint="eastAsia"/>
          <w:sz w:val="24"/>
          <w:szCs w:val="24"/>
          <w:u w:val="single"/>
          <w:lang w:eastAsia="zh-CN"/>
        </w:rPr>
        <w:t xml:space="preserve"> </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sz w:val="24"/>
          <w:szCs w:val="24"/>
          <w:lang w:eastAsia="zh-CN"/>
        </w:rPr>
        <w:t>颗粒计数器检定检测项</w:t>
      </w:r>
      <w:r>
        <w:rPr>
          <w:rFonts w:hint="eastAsia" w:asciiTheme="minorEastAsia" w:hAnsiTheme="minorEastAsia" w:eastAsiaTheme="minorEastAsia"/>
          <w:bCs/>
          <w:sz w:val="24"/>
          <w:szCs w:val="24"/>
          <w:u w:val="single"/>
          <w:lang w:eastAsia="zh-CN"/>
        </w:rPr>
        <w:t>目（项目编号：FHC-PTCG20230207001)</w:t>
      </w:r>
      <w:r>
        <w:rPr>
          <w:rFonts w:hint="eastAsia"/>
          <w:sz w:val="24"/>
          <w:szCs w:val="24"/>
          <w:lang w:eastAsia="zh-CN"/>
        </w:rPr>
        <w:t xml:space="preserve"> </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法定代表人或委托代理人（签字）：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22"/>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spacing w:line="500" w:lineRule="exact"/>
        <w:jc w:val="center"/>
        <w:rPr>
          <w:b/>
          <w:bCs/>
          <w:sz w:val="36"/>
          <w:szCs w:val="36"/>
          <w:lang w:eastAsia="zh-CN"/>
        </w:rPr>
      </w:pPr>
    </w:p>
    <w:p>
      <w:pPr>
        <w:pStyle w:val="2"/>
      </w:pPr>
    </w:p>
    <w:bookmarkEnd w:id="9"/>
    <w:p/>
    <w:p>
      <w:pPr>
        <w:pStyle w:val="6"/>
        <w:spacing w:before="106"/>
        <w:ind w:left="218"/>
      </w:pPr>
    </w:p>
    <w:p/>
    <w:p/>
    <w:sectPr>
      <w:footerReference r:id="rId4" w:type="default"/>
      <w:pgSz w:w="11910" w:h="16840"/>
      <w:pgMar w:top="1500" w:right="99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roman"/>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eastAsia="zh-CN"/>
      </w:rPr>
      <w:pict>
        <v:shape id="Text Box 1"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OnFXtkA&#10;AAANAQAADwAAAAAAAAABACAAAAAiAAAAZHJzL2Rvd25yZXYueG1sUEsBAhQAFAAAAAgAh07iQGkH&#10;v+DlAQAAwwMAAA4AAAAAAAAAAQAgAAAAKAEAAGRycy9lMm9Eb2MueG1sUEsFBgAAAAAGAAYAWQEA&#10;AH8FA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495F05EB"/>
    <w:multiLevelType w:val="multilevel"/>
    <w:tmpl w:val="495F05EB"/>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26A3ADE"/>
    <w:multiLevelType w:val="singleLevel"/>
    <w:tmpl w:val="626A3ADE"/>
    <w:lvl w:ilvl="0" w:tentative="0">
      <w:start w:val="4"/>
      <w:numFmt w:val="chineseCounting"/>
      <w:suff w:val="nothing"/>
      <w:lvlText w:val="%1、"/>
      <w:lvlJc w:val="left"/>
    </w:lvl>
  </w:abstractNum>
  <w:abstractNum w:abstractNumId="5">
    <w:nsid w:val="63EC3FA7"/>
    <w:multiLevelType w:val="singleLevel"/>
    <w:tmpl w:val="63EC3FA7"/>
    <w:lvl w:ilvl="0" w:tentative="0">
      <w:start w:val="2"/>
      <w:numFmt w:val="chineseCounting"/>
      <w:suff w:val="nothing"/>
      <w:lvlText w:val="%1、"/>
      <w:lvlJc w:val="left"/>
    </w:lvl>
  </w:abstractNum>
  <w:abstractNum w:abstractNumId="6">
    <w:nsid w:val="63EC3FEB"/>
    <w:multiLevelType w:val="singleLevel"/>
    <w:tmpl w:val="63EC3FEB"/>
    <w:lvl w:ilvl="0" w:tentative="0">
      <w:start w:val="2"/>
      <w:numFmt w:val="decimal"/>
      <w:suff w:val="nothing"/>
      <w:lvlText w:val="%1、"/>
      <w:lvlJc w:val="left"/>
    </w:lvl>
  </w:abstractNum>
  <w:abstractNum w:abstractNumId="7">
    <w:nsid w:val="69286594"/>
    <w:multiLevelType w:val="multilevel"/>
    <w:tmpl w:val="69286594"/>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0"/>
  </w:num>
  <w:num w:numId="2">
    <w:abstractNumId w:val="8"/>
  </w:num>
  <w:num w:numId="3">
    <w:abstractNumId w:val="2"/>
  </w:num>
  <w:num w:numId="4">
    <w:abstractNumId w:val="1"/>
  </w:num>
  <w:num w:numId="5">
    <w:abstractNumId w:val="4"/>
  </w:num>
  <w:num w:numId="6">
    <w:abstractNumId w:val="5"/>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B260B5C"/>
    <w:rsid w:val="0010116D"/>
    <w:rsid w:val="00344E59"/>
    <w:rsid w:val="00412DCD"/>
    <w:rsid w:val="00516561"/>
    <w:rsid w:val="00904D50"/>
    <w:rsid w:val="08D45BDD"/>
    <w:rsid w:val="0E9E3FC4"/>
    <w:rsid w:val="14BA06E2"/>
    <w:rsid w:val="171F33D0"/>
    <w:rsid w:val="1C2A2D38"/>
    <w:rsid w:val="30F37888"/>
    <w:rsid w:val="3B260B5C"/>
    <w:rsid w:val="43DB698D"/>
    <w:rsid w:val="44CA1FE0"/>
    <w:rsid w:val="6ACA6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paragraph" w:styleId="4">
    <w:name w:val="heading 2"/>
    <w:basedOn w:val="1"/>
    <w:next w:val="1"/>
    <w:unhideWhenUsed/>
    <w:qFormat/>
    <w:uiPriority w:val="0"/>
    <w:pPr>
      <w:ind w:left="629"/>
      <w:outlineLvl w:val="1"/>
    </w:pPr>
    <w:rPr>
      <w:b/>
      <w:bCs/>
      <w:sz w:val="24"/>
      <w:szCs w:val="24"/>
    </w:rPr>
  </w:style>
  <w:style w:type="character" w:default="1" w:styleId="11">
    <w:name w:val="Default Paragraph Font"/>
    <w:unhideWhenUsed/>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Body Text"/>
    <w:basedOn w:val="1"/>
    <w:uiPriority w:val="0"/>
    <w:rPr>
      <w:sz w:val="24"/>
      <w:szCs w:val="24"/>
    </w:rPr>
  </w:style>
  <w:style w:type="paragraph" w:styleId="7">
    <w:name w:val="Body Text Indent"/>
    <w:basedOn w:val="1"/>
    <w:uiPriority w:val="0"/>
    <w:pPr>
      <w:spacing w:after="120"/>
      <w:ind w:left="420" w:leftChars="200"/>
    </w:pPr>
  </w:style>
  <w:style w:type="paragraph" w:styleId="8">
    <w:name w:val="Plain Text"/>
    <w:basedOn w:val="1"/>
    <w:uiPriority w:val="0"/>
    <w:rPr>
      <w:rFonts w:hAnsi="Courier New" w:cs="Courier New"/>
      <w:szCs w:val="21"/>
    </w:rPr>
  </w:style>
  <w:style w:type="paragraph" w:styleId="9">
    <w:name w:val="footer"/>
    <w:basedOn w:val="1"/>
    <w:link w:val="58"/>
    <w:uiPriority w:val="0"/>
    <w:pPr>
      <w:tabs>
        <w:tab w:val="center" w:pos="4153"/>
        <w:tab w:val="right" w:pos="8306"/>
      </w:tabs>
      <w:snapToGrid w:val="0"/>
    </w:pPr>
    <w:rPr>
      <w:sz w:val="18"/>
      <w:szCs w:val="18"/>
    </w:rPr>
  </w:style>
  <w:style w:type="paragraph" w:styleId="10">
    <w:name w:val="header"/>
    <w:basedOn w:val="1"/>
    <w:link w:val="57"/>
    <w:uiPriority w:val="0"/>
    <w:pPr>
      <w:pBdr>
        <w:bottom w:val="single" w:color="auto" w:sz="6" w:space="1"/>
      </w:pBdr>
      <w:tabs>
        <w:tab w:val="center" w:pos="4153"/>
        <w:tab w:val="right" w:pos="8306"/>
      </w:tabs>
      <w:snapToGrid w:val="0"/>
      <w:jc w:val="center"/>
    </w:pPr>
    <w:rPr>
      <w:sz w:val="18"/>
      <w:szCs w:val="18"/>
    </w:rPr>
  </w:style>
  <w:style w:type="character" w:styleId="12">
    <w:name w:val="FollowedHyperlink"/>
    <w:basedOn w:val="11"/>
    <w:uiPriority w:val="0"/>
    <w:rPr>
      <w:color w:val="2490F8"/>
      <w:u w:val="none"/>
    </w:rPr>
  </w:style>
  <w:style w:type="character" w:styleId="13">
    <w:name w:val="HTML Definition"/>
    <w:basedOn w:val="11"/>
    <w:uiPriority w:val="0"/>
    <w:rPr>
      <w:color w:val="666666"/>
      <w:sz w:val="18"/>
      <w:szCs w:val="18"/>
      <w:bdr w:val="single" w:color="D4D4D4" w:sz="6" w:space="0"/>
      <w:shd w:val="clear" w:color="auto" w:fill="FFFFFF"/>
    </w:rPr>
  </w:style>
  <w:style w:type="character" w:styleId="14">
    <w:name w:val="HTML Variable"/>
    <w:basedOn w:val="11"/>
    <w:uiPriority w:val="0"/>
  </w:style>
  <w:style w:type="character" w:styleId="15">
    <w:name w:val="Hyperlink"/>
    <w:basedOn w:val="11"/>
    <w:qFormat/>
    <w:uiPriority w:val="0"/>
    <w:rPr>
      <w:color w:val="0000FF"/>
      <w:u w:val="single"/>
    </w:rPr>
  </w:style>
  <w:style w:type="character" w:styleId="16">
    <w:name w:val="HTML Code"/>
    <w:basedOn w:val="11"/>
    <w:qFormat/>
    <w:uiPriority w:val="0"/>
    <w:rPr>
      <w:rFonts w:ascii="Courier New" w:hAnsi="Courier New"/>
      <w:sz w:val="20"/>
    </w:rPr>
  </w:style>
  <w:style w:type="character" w:styleId="17">
    <w:name w:val="HTML Cite"/>
    <w:basedOn w:val="11"/>
    <w:qFormat/>
    <w:uiPriority w:val="0"/>
  </w:style>
  <w:style w:type="table" w:styleId="19">
    <w:name w:val="Table Grid"/>
    <w:basedOn w:val="1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
    <w:name w:val="列出段落1"/>
    <w:basedOn w:val="1"/>
    <w:qFormat/>
    <w:uiPriority w:val="34"/>
    <w:pPr>
      <w:spacing w:before="206"/>
      <w:ind w:left="959" w:hanging="361"/>
    </w:pPr>
  </w:style>
  <w:style w:type="character" w:customStyle="1" w:styleId="21">
    <w:name w:val="apple-converted-space"/>
    <w:basedOn w:val="11"/>
    <w:qFormat/>
    <w:uiPriority w:val="0"/>
  </w:style>
  <w:style w:type="paragraph" w:customStyle="1" w:styleId="22">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3">
    <w:name w:val="pagechatarealistclose_box"/>
    <w:basedOn w:val="11"/>
    <w:qFormat/>
    <w:uiPriority w:val="0"/>
  </w:style>
  <w:style w:type="character" w:customStyle="1" w:styleId="24">
    <w:name w:val="pagechatarealistclose_box1"/>
    <w:basedOn w:val="11"/>
    <w:qFormat/>
    <w:uiPriority w:val="0"/>
  </w:style>
  <w:style w:type="character" w:customStyle="1" w:styleId="25">
    <w:name w:val="icontext2"/>
    <w:basedOn w:val="11"/>
    <w:qFormat/>
    <w:uiPriority w:val="0"/>
  </w:style>
  <w:style w:type="character" w:customStyle="1" w:styleId="26">
    <w:name w:val="layui-layer-tabnow"/>
    <w:basedOn w:val="11"/>
    <w:qFormat/>
    <w:uiPriority w:val="0"/>
    <w:rPr>
      <w:bdr w:val="single" w:color="CCCCCC" w:sz="6" w:space="0"/>
      <w:shd w:val="clear" w:color="auto" w:fill="FFFFFF"/>
    </w:rPr>
  </w:style>
  <w:style w:type="character" w:customStyle="1" w:styleId="27">
    <w:name w:val="design_class"/>
    <w:basedOn w:val="11"/>
    <w:uiPriority w:val="0"/>
  </w:style>
  <w:style w:type="character" w:customStyle="1" w:styleId="28">
    <w:name w:val="tmpztreemove_arrow"/>
    <w:basedOn w:val="11"/>
    <w:qFormat/>
    <w:uiPriority w:val="0"/>
  </w:style>
  <w:style w:type="character" w:customStyle="1" w:styleId="29">
    <w:name w:val="icontext1"/>
    <w:basedOn w:val="11"/>
    <w:qFormat/>
    <w:uiPriority w:val="0"/>
  </w:style>
  <w:style w:type="character" w:customStyle="1" w:styleId="30">
    <w:name w:val="xdrichtextbox4"/>
    <w:basedOn w:val="11"/>
    <w:qFormat/>
    <w:uiPriority w:val="0"/>
  </w:style>
  <w:style w:type="character" w:customStyle="1" w:styleId="31">
    <w:name w:val="biggerthanmax"/>
    <w:basedOn w:val="11"/>
    <w:qFormat/>
    <w:uiPriority w:val="0"/>
    <w:rPr>
      <w:shd w:val="clear" w:color="auto" w:fill="FFFF00"/>
    </w:rPr>
  </w:style>
  <w:style w:type="character" w:customStyle="1" w:styleId="32">
    <w:name w:val="ico1654"/>
    <w:basedOn w:val="11"/>
    <w:qFormat/>
    <w:uiPriority w:val="0"/>
  </w:style>
  <w:style w:type="character" w:customStyle="1" w:styleId="33">
    <w:name w:val="ico1655"/>
    <w:basedOn w:val="11"/>
    <w:qFormat/>
    <w:uiPriority w:val="0"/>
  </w:style>
  <w:style w:type="character" w:customStyle="1" w:styleId="34">
    <w:name w:val="cy"/>
    <w:basedOn w:val="11"/>
    <w:uiPriority w:val="0"/>
  </w:style>
  <w:style w:type="character" w:customStyle="1" w:styleId="35">
    <w:name w:val="first-child"/>
    <w:basedOn w:val="11"/>
    <w:qFormat/>
    <w:uiPriority w:val="0"/>
  </w:style>
  <w:style w:type="character" w:customStyle="1" w:styleId="36">
    <w:name w:val="after"/>
    <w:basedOn w:val="11"/>
    <w:uiPriority w:val="0"/>
    <w:rPr>
      <w:sz w:val="0"/>
      <w:szCs w:val="0"/>
    </w:rPr>
  </w:style>
  <w:style w:type="character" w:customStyle="1" w:styleId="37">
    <w:name w:val="choosename"/>
    <w:basedOn w:val="11"/>
    <w:qFormat/>
    <w:uiPriority w:val="0"/>
  </w:style>
  <w:style w:type="character" w:customStyle="1" w:styleId="38">
    <w:name w:val="iconline2"/>
    <w:basedOn w:val="11"/>
    <w:qFormat/>
    <w:uiPriority w:val="0"/>
  </w:style>
  <w:style w:type="character" w:customStyle="1" w:styleId="39">
    <w:name w:val="iconline21"/>
    <w:basedOn w:val="11"/>
    <w:qFormat/>
    <w:uiPriority w:val="0"/>
  </w:style>
  <w:style w:type="character" w:customStyle="1" w:styleId="40">
    <w:name w:val="drapbtn"/>
    <w:basedOn w:val="11"/>
    <w:qFormat/>
    <w:uiPriority w:val="0"/>
  </w:style>
  <w:style w:type="character" w:customStyle="1" w:styleId="41">
    <w:name w:val="icontext3"/>
    <w:basedOn w:val="11"/>
    <w:qFormat/>
    <w:uiPriority w:val="0"/>
  </w:style>
  <w:style w:type="character" w:customStyle="1" w:styleId="42">
    <w:name w:val="edit_class"/>
    <w:basedOn w:val="11"/>
    <w:qFormat/>
    <w:uiPriority w:val="0"/>
  </w:style>
  <w:style w:type="character" w:customStyle="1" w:styleId="43">
    <w:name w:val="button"/>
    <w:basedOn w:val="11"/>
    <w:qFormat/>
    <w:uiPriority w:val="0"/>
  </w:style>
  <w:style w:type="character" w:customStyle="1" w:styleId="44">
    <w:name w:val="hilite"/>
    <w:basedOn w:val="11"/>
    <w:qFormat/>
    <w:uiPriority w:val="0"/>
    <w:rPr>
      <w:color w:val="FFFFFF"/>
      <w:shd w:val="clear" w:color="auto" w:fill="666666"/>
    </w:rPr>
  </w:style>
  <w:style w:type="character" w:customStyle="1" w:styleId="45">
    <w:name w:val="active5"/>
    <w:basedOn w:val="11"/>
    <w:qFormat/>
    <w:uiPriority w:val="0"/>
    <w:rPr>
      <w:shd w:val="clear" w:color="auto" w:fill="EC3535"/>
    </w:rPr>
  </w:style>
  <w:style w:type="character" w:customStyle="1" w:styleId="46">
    <w:name w:val="active6"/>
    <w:basedOn w:val="11"/>
    <w:qFormat/>
    <w:uiPriority w:val="0"/>
    <w:rPr>
      <w:color w:val="00FF00"/>
      <w:shd w:val="clear" w:color="auto" w:fill="111111"/>
    </w:rPr>
  </w:style>
  <w:style w:type="character" w:customStyle="1" w:styleId="47">
    <w:name w:val="associateddata"/>
    <w:basedOn w:val="11"/>
    <w:qFormat/>
    <w:uiPriority w:val="0"/>
    <w:rPr>
      <w:shd w:val="clear" w:color="auto" w:fill="50A6F9"/>
    </w:rPr>
  </w:style>
  <w:style w:type="character" w:customStyle="1" w:styleId="48">
    <w:name w:val="hover41"/>
    <w:basedOn w:val="11"/>
    <w:qFormat/>
    <w:uiPriority w:val="0"/>
    <w:rPr>
      <w:color w:val="FFFFFF"/>
    </w:rPr>
  </w:style>
  <w:style w:type="character" w:customStyle="1" w:styleId="49">
    <w:name w:val="cdropright"/>
    <w:basedOn w:val="11"/>
    <w:uiPriority w:val="0"/>
  </w:style>
  <w:style w:type="character" w:customStyle="1" w:styleId="50">
    <w:name w:val="cdropleft"/>
    <w:basedOn w:val="11"/>
    <w:qFormat/>
    <w:uiPriority w:val="0"/>
  </w:style>
  <w:style w:type="character" w:customStyle="1" w:styleId="51">
    <w:name w:val="w32"/>
    <w:basedOn w:val="11"/>
    <w:qFormat/>
    <w:uiPriority w:val="0"/>
  </w:style>
  <w:style w:type="character" w:customStyle="1" w:styleId="52">
    <w:name w:val="xdrichtextbox"/>
    <w:basedOn w:val="11"/>
    <w:qFormat/>
    <w:uiPriority w:val="0"/>
    <w:rPr>
      <w:color w:val="auto"/>
      <w:u w:val="none"/>
      <w:bdr w:val="single" w:color="DCDCDC" w:sz="8" w:space="0"/>
      <w:shd w:val="clear" w:color="auto" w:fill="auto"/>
    </w:rPr>
  </w:style>
  <w:style w:type="character" w:customStyle="1" w:styleId="53">
    <w:name w:val="active"/>
    <w:basedOn w:val="11"/>
    <w:uiPriority w:val="0"/>
    <w:rPr>
      <w:shd w:val="clear" w:color="auto" w:fill="EC3535"/>
    </w:rPr>
  </w:style>
  <w:style w:type="character" w:customStyle="1" w:styleId="54">
    <w:name w:val="active1"/>
    <w:basedOn w:val="11"/>
    <w:uiPriority w:val="0"/>
    <w:rPr>
      <w:color w:val="00FF00"/>
      <w:shd w:val="clear" w:color="auto" w:fill="111111"/>
    </w:rPr>
  </w:style>
  <w:style w:type="character" w:customStyle="1" w:styleId="55">
    <w:name w:val="icontext11"/>
    <w:basedOn w:val="11"/>
    <w:qFormat/>
    <w:uiPriority w:val="0"/>
  </w:style>
  <w:style w:type="character" w:customStyle="1" w:styleId="56">
    <w:name w:val="icontext12"/>
    <w:basedOn w:val="11"/>
    <w:qFormat/>
    <w:uiPriority w:val="0"/>
  </w:style>
  <w:style w:type="character" w:customStyle="1" w:styleId="57">
    <w:name w:val="页眉 Char"/>
    <w:basedOn w:val="11"/>
    <w:link w:val="10"/>
    <w:qFormat/>
    <w:uiPriority w:val="0"/>
    <w:rPr>
      <w:rFonts w:ascii="宋体" w:hAnsi="宋体" w:eastAsia="宋体" w:cs="宋体"/>
      <w:sz w:val="18"/>
      <w:szCs w:val="18"/>
      <w:lang w:eastAsia="en-US"/>
    </w:rPr>
  </w:style>
  <w:style w:type="character" w:customStyle="1" w:styleId="58">
    <w:name w:val="页脚 Char"/>
    <w:basedOn w:val="11"/>
    <w:link w:val="9"/>
    <w:qFormat/>
    <w:uiPriority w:val="0"/>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fhzz</Company>
  <Pages>23</Pages>
  <Words>2245</Words>
  <Characters>12802</Characters>
  <Lines>106</Lines>
  <Paragraphs>30</Paragraphs>
  <TotalTime>22</TotalTime>
  <ScaleCrop>false</ScaleCrop>
  <LinksUpToDate>false</LinksUpToDate>
  <CharactersWithSpaces>15017</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2023-02-15T00:38:00Z</dcterms:created>
  <dc:creator>mqhuang</dc:creator>
  <cp:lastModifiedBy>mqhuang</cp:lastModifiedBy>
  <dcterms:modified xsi:type="dcterms:W3CDTF">2023-02-17T00:52:53Z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