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Cs w:val="28"/>
          <w:lang w:eastAsia="zh-CN"/>
        </w:rPr>
      </w:pPr>
      <w:r>
        <w:rPr>
          <w:rFonts w:hint="eastAsia" w:ascii="昆仑仿宋"/>
          <w:b/>
          <w:bCs/>
          <w:sz w:val="32"/>
          <w:lang w:eastAsia="zh-CN"/>
        </w:rPr>
        <w:t>43-H-102加热炉低氧燃烧及优化控制成套技术开发项目采购说明</w:t>
      </w:r>
    </w:p>
    <w:p>
      <w:pPr>
        <w:spacing w:line="440" w:lineRule="exact"/>
        <w:ind w:firstLine="482" w:firstLineChars="2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一、项目名称：</w:t>
      </w:r>
    </w:p>
    <w:p>
      <w:p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43-H-102加热炉低氧燃烧及优化控制成套技术开发</w:t>
      </w:r>
    </w:p>
    <w:p>
      <w:pPr>
        <w:spacing w:line="440" w:lineRule="exact"/>
        <w:ind w:left="42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二、项目概况：</w:t>
      </w:r>
    </w:p>
    <w:p>
      <w:p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随着我国“碳达峰、碳中和”的工作逐步启动全国碳市场履约周期。届时留给石化行业的排放指标越来越严，排放空间越来越少。加热炉是石化企业主要的耗能设备，同时也是CO</w:t>
      </w:r>
      <w:r>
        <w:rPr>
          <w:rFonts w:hint="eastAsia" w:asciiTheme="minorEastAsia" w:hAnsiTheme="minorEastAsia" w:eastAsiaTheme="minorEastAsia"/>
          <w:sz w:val="24"/>
          <w:szCs w:val="24"/>
          <w:vertAlign w:val="subscript"/>
          <w:lang w:eastAsia="zh-CN"/>
        </w:rPr>
        <w:t>2</w:t>
      </w:r>
      <w:r>
        <w:rPr>
          <w:rFonts w:hint="eastAsia" w:asciiTheme="minorEastAsia" w:hAnsiTheme="minorEastAsia" w:eastAsiaTheme="minorEastAsia"/>
          <w:sz w:val="24"/>
          <w:szCs w:val="24"/>
          <w:lang w:eastAsia="zh-CN"/>
        </w:rPr>
        <w:t>、NO</w:t>
      </w:r>
      <w:r>
        <w:rPr>
          <w:rFonts w:hint="eastAsia" w:asciiTheme="minorEastAsia" w:hAnsiTheme="minorEastAsia" w:eastAsiaTheme="minorEastAsia"/>
          <w:sz w:val="24"/>
          <w:szCs w:val="24"/>
          <w:vertAlign w:val="subscript"/>
          <w:lang w:eastAsia="zh-CN"/>
        </w:rPr>
        <w:t>x</w:t>
      </w:r>
      <w:r>
        <w:rPr>
          <w:rFonts w:hint="eastAsia" w:asciiTheme="minorEastAsia" w:hAnsiTheme="minorEastAsia" w:eastAsiaTheme="minorEastAsia"/>
          <w:sz w:val="24"/>
          <w:szCs w:val="24"/>
          <w:lang w:eastAsia="zh-CN"/>
        </w:rPr>
        <w:t>等污染物排放的主要来源。对石化企业加热炉进行燃烧优化，提高加热炉热效率，减少污染物排放，已变得非常迫切。</w:t>
      </w:r>
    </w:p>
    <w:p>
      <w:p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目前我司加热炉的平均热效率在90%-93%之间，加热炉氧含量控制指标在2%-4%之间，属于富氧燃烧，加热炉在热损失方面仍具有很大的提升空间。为适应双碳政策及日益严格的环保排放要求，将二甲苯分馏塔加热炉43-H-102作为试点，通过对43-H-102加热炉低氧燃烧及优化控制成套技术开发提升加热炉热效率，减少NO</w:t>
      </w:r>
      <w:r>
        <w:rPr>
          <w:rFonts w:hint="eastAsia" w:asciiTheme="minorEastAsia" w:hAnsiTheme="minorEastAsia" w:eastAsiaTheme="minorEastAsia"/>
          <w:sz w:val="24"/>
          <w:szCs w:val="24"/>
          <w:vertAlign w:val="subscript"/>
          <w:lang w:eastAsia="zh-CN"/>
        </w:rPr>
        <w:t>x</w:t>
      </w:r>
      <w:r>
        <w:rPr>
          <w:rFonts w:hint="eastAsia" w:asciiTheme="minorEastAsia" w:hAnsiTheme="minorEastAsia" w:eastAsiaTheme="minorEastAsia"/>
          <w:sz w:val="24"/>
          <w:szCs w:val="24"/>
          <w:lang w:eastAsia="zh-CN"/>
        </w:rPr>
        <w:t>和CO</w:t>
      </w:r>
      <w:r>
        <w:rPr>
          <w:rFonts w:hint="eastAsia" w:asciiTheme="minorEastAsia" w:hAnsiTheme="minorEastAsia" w:eastAsiaTheme="minorEastAsia"/>
          <w:sz w:val="24"/>
          <w:szCs w:val="24"/>
          <w:vertAlign w:val="subscript"/>
          <w:lang w:eastAsia="zh-CN"/>
        </w:rPr>
        <w:t>2</w:t>
      </w:r>
      <w:r>
        <w:rPr>
          <w:rFonts w:hint="eastAsia" w:asciiTheme="minorEastAsia" w:hAnsiTheme="minorEastAsia" w:eastAsiaTheme="minorEastAsia"/>
          <w:sz w:val="24"/>
          <w:szCs w:val="24"/>
          <w:lang w:eastAsia="zh-CN"/>
        </w:rPr>
        <w:t>的排放。</w:t>
      </w:r>
    </w:p>
    <w:p>
      <w:pPr>
        <w:numPr>
          <w:ilvl w:val="0"/>
          <w:numId w:val="2"/>
        </w:numPr>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采购说明：</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43-H-102加热炉进行低氧燃烧及优化控制成套技术开发。通过自动调节变频器频率，炉膛供风量的大小，来控制理论配比状态下产生的微量CO，降低加热炉的整体过剩空气系数，同时在实施过程中对加热炉的燃烧状态进行优化调整，以此来实现加热炉的高效率运行，减少CO</w:t>
      </w:r>
      <w:r>
        <w:rPr>
          <w:rFonts w:hint="eastAsia" w:asciiTheme="minorEastAsia" w:hAnsiTheme="minorEastAsia" w:eastAsiaTheme="minorEastAsia"/>
          <w:sz w:val="24"/>
          <w:szCs w:val="24"/>
          <w:vertAlign w:val="subscript"/>
          <w:lang w:eastAsia="zh-CN"/>
        </w:rPr>
        <w:t>2</w:t>
      </w:r>
      <w:r>
        <w:rPr>
          <w:rFonts w:hint="eastAsia" w:asciiTheme="minorEastAsia" w:hAnsiTheme="minorEastAsia" w:eastAsiaTheme="minorEastAsia"/>
          <w:sz w:val="24"/>
          <w:szCs w:val="24"/>
          <w:lang w:eastAsia="zh-CN"/>
        </w:rPr>
        <w:t>和NO</w:t>
      </w:r>
      <w:r>
        <w:rPr>
          <w:rFonts w:hint="eastAsia" w:asciiTheme="minorEastAsia" w:hAnsiTheme="minorEastAsia" w:eastAsiaTheme="minorEastAsia"/>
          <w:sz w:val="24"/>
          <w:szCs w:val="24"/>
          <w:vertAlign w:val="subscript"/>
          <w:lang w:eastAsia="zh-CN"/>
        </w:rPr>
        <w:t>x</w:t>
      </w:r>
      <w:r>
        <w:rPr>
          <w:rFonts w:hint="eastAsia" w:asciiTheme="minorEastAsia" w:hAnsiTheme="minorEastAsia" w:eastAsiaTheme="minorEastAsia"/>
          <w:sz w:val="24"/>
          <w:szCs w:val="24"/>
          <w:lang w:eastAsia="zh-CN"/>
        </w:rPr>
        <w:t>的排放。</w:t>
      </w:r>
    </w:p>
    <w:p>
      <w:pPr>
        <w:spacing w:line="440" w:lineRule="exact"/>
        <w:ind w:firstLine="960" w:firstLineChars="4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实施效果：项目实施目标要求,项目实施后：</w:t>
      </w:r>
    </w:p>
    <w:p>
      <w:pPr>
        <w:pStyle w:val="11"/>
        <w:spacing w:line="440" w:lineRule="exact"/>
        <w:ind w:left="900" w:firstLine="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①CO含量：设定值0-100ppm区间任意值；</w:t>
      </w:r>
    </w:p>
    <w:p>
      <w:p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②炉膛氧含量：由目前3.0%左右降低至1.0%及以下；</w:t>
      </w:r>
    </w:p>
    <w:p>
      <w:p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③NO</w:t>
      </w:r>
      <w:r>
        <w:rPr>
          <w:rFonts w:hint="eastAsia" w:asciiTheme="minorEastAsia" w:hAnsiTheme="minorEastAsia" w:eastAsiaTheme="minorEastAsia"/>
          <w:sz w:val="24"/>
          <w:szCs w:val="24"/>
          <w:vertAlign w:val="subscript"/>
          <w:lang w:eastAsia="zh-CN"/>
        </w:rPr>
        <w:t>x</w:t>
      </w:r>
      <w:r>
        <w:rPr>
          <w:rFonts w:hint="eastAsia" w:asciiTheme="minorEastAsia" w:hAnsiTheme="minorEastAsia" w:eastAsiaTheme="minorEastAsia"/>
          <w:sz w:val="24"/>
          <w:szCs w:val="24"/>
          <w:lang w:eastAsia="zh-CN"/>
        </w:rPr>
        <w:t>减排：减少25%及以上。</w:t>
      </w:r>
    </w:p>
    <w:p>
      <w:p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实施地点：福建福海创石油化工有限公司本项目装置现场。</w:t>
      </w:r>
    </w:p>
    <w:p>
      <w:p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质量要求：符合国家有关标准、规范及实施目标要求。</w:t>
      </w:r>
    </w:p>
    <w:p>
      <w:p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承包方需提供设备、配套服务以及工程服务。设备包含高精度加热炉C</w:t>
      </w:r>
      <w:r>
        <w:rPr>
          <w:rFonts w:asciiTheme="minorEastAsia" w:hAnsiTheme="minorEastAsia" w:eastAsiaTheme="minorEastAsia"/>
          <w:sz w:val="24"/>
          <w:szCs w:val="24"/>
          <w:lang w:eastAsia="zh-CN"/>
        </w:rPr>
        <w:t>O</w:t>
      </w:r>
      <w:r>
        <w:rPr>
          <w:rFonts w:hint="eastAsia" w:asciiTheme="minorEastAsia" w:hAnsiTheme="minorEastAsia" w:eastAsiaTheme="minorEastAsia"/>
          <w:sz w:val="24"/>
          <w:szCs w:val="24"/>
          <w:lang w:eastAsia="zh-CN"/>
        </w:rPr>
        <w:t>分析仪、控制服务器、合同期内备品备件；配套服务含加热炉CO分析仪的安装、调试与加热炉燃烧优化服务；工程服务含工程设计、辅材辅料的采购、配套施工服务等合同期内其他工程服务。</w:t>
      </w:r>
    </w:p>
    <w:p>
      <w:pPr>
        <w:numPr>
          <w:ilvl w:val="0"/>
          <w:numId w:val="2"/>
        </w:numPr>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承包人资格要求：</w:t>
      </w:r>
    </w:p>
    <w:p>
      <w:pPr>
        <w:spacing w:line="440" w:lineRule="exact"/>
        <w:ind w:left="400" w:leftChars="200" w:firstLine="480" w:firstLineChars="200"/>
        <w:rPr>
          <w:rFonts w:asciiTheme="minorEastAsia" w:hAnsiTheme="minorEastAsia" w:eastAsiaTheme="minorEastAsia"/>
          <w:color w:val="FF0000"/>
          <w:sz w:val="24"/>
          <w:szCs w:val="24"/>
          <w:lang w:eastAsia="zh-CN"/>
        </w:rPr>
      </w:pPr>
      <w:r>
        <w:rPr>
          <w:rFonts w:hint="eastAsia" w:asciiTheme="minorEastAsia" w:hAnsiTheme="minorEastAsia" w:eastAsiaTheme="minorEastAsia"/>
          <w:sz w:val="24"/>
          <w:szCs w:val="24"/>
          <w:lang w:eastAsia="zh-CN"/>
        </w:rPr>
        <w:t>1、</w:t>
      </w:r>
      <w:r>
        <w:rPr>
          <w:rFonts w:hint="eastAsia"/>
          <w:color w:val="000000"/>
          <w:sz w:val="24"/>
          <w:szCs w:val="24"/>
          <w:lang w:eastAsia="zh-CN" w:bidi="ar"/>
        </w:rPr>
        <w:t>承包方</w:t>
      </w:r>
      <w:r>
        <w:rPr>
          <w:rFonts w:hint="eastAsia" w:eastAsiaTheme="minorEastAsia"/>
          <w:color w:val="000000"/>
          <w:sz w:val="24"/>
          <w:szCs w:val="24"/>
          <w:lang w:eastAsia="zh-CN" w:bidi="ar"/>
        </w:rPr>
        <w:t>必须具备有效的企业法人营业执照，参选单位应是具备独立法人资格且有能力按我司需求提供货物及服务的厂商</w:t>
      </w:r>
      <w:r>
        <w:rPr>
          <w:rFonts w:hint="eastAsia" w:asciiTheme="minorEastAsia" w:hAnsiTheme="minorEastAsia" w:eastAsiaTheme="minorEastAsia"/>
          <w:sz w:val="24"/>
          <w:szCs w:val="24"/>
          <w:lang w:eastAsia="zh-CN"/>
        </w:rPr>
        <w:t>；</w:t>
      </w:r>
      <w:r>
        <w:rPr>
          <w:rFonts w:asciiTheme="minorEastAsia" w:hAnsiTheme="minorEastAsia" w:eastAsiaTheme="minorEastAsia"/>
          <w:color w:val="FF0000"/>
          <w:sz w:val="24"/>
          <w:szCs w:val="24"/>
          <w:lang w:eastAsia="zh-CN"/>
        </w:rPr>
        <w:t xml:space="preserve"> </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hint="eastAsia"/>
          <w:color w:val="000000"/>
          <w:sz w:val="24"/>
          <w:szCs w:val="24"/>
          <w:lang w:eastAsia="zh-CN" w:bidi="ar"/>
        </w:rPr>
        <w:t>承包方</w:t>
      </w:r>
      <w:r>
        <w:rPr>
          <w:rFonts w:hint="eastAsia" w:asciiTheme="minorEastAsia" w:hAnsiTheme="minorEastAsia" w:eastAsiaTheme="minorEastAsia"/>
          <w:sz w:val="24"/>
          <w:szCs w:val="24"/>
          <w:lang w:eastAsia="zh-CN"/>
        </w:rPr>
        <w:t>必须不在失信黑名单记录（以最高院失信被执行人系统发布信息为准）；</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hint="eastAsia"/>
          <w:color w:val="000000"/>
          <w:sz w:val="24"/>
          <w:szCs w:val="24"/>
          <w:lang w:eastAsia="zh-CN" w:bidi="ar"/>
        </w:rPr>
        <w:t>承包方</w:t>
      </w:r>
      <w:r>
        <w:rPr>
          <w:rFonts w:hint="eastAsia" w:asciiTheme="minorEastAsia" w:hAnsiTheme="minorEastAsia" w:eastAsiaTheme="minorEastAsia"/>
          <w:sz w:val="24"/>
          <w:szCs w:val="24"/>
          <w:lang w:eastAsia="zh-CN"/>
        </w:rPr>
        <w:t>与发包人及相关权属子公司无诉讼纠纷；</w:t>
      </w:r>
    </w:p>
    <w:p>
      <w:pPr>
        <w:spacing w:line="440" w:lineRule="exact"/>
        <w:ind w:left="400" w:leftChars="200" w:firstLine="480" w:firstLineChars="200"/>
        <w:rPr>
          <w:lang w:eastAsia="zh-CN"/>
        </w:rPr>
      </w:pPr>
      <w:r>
        <w:rPr>
          <w:rFonts w:hint="eastAsia" w:asciiTheme="minorEastAsia" w:hAnsiTheme="minorEastAsia" w:eastAsiaTheme="minorEastAsia"/>
          <w:sz w:val="24"/>
          <w:szCs w:val="24"/>
          <w:lang w:eastAsia="zh-CN"/>
        </w:rPr>
        <w:t>4、承包方自2019年起应有3套及以上同类装置的专利技术应用改造业绩；业绩证明文件包括买卖合同、合同发票</w:t>
      </w:r>
      <w:r>
        <w:rPr>
          <w:rFonts w:hint="eastAsia"/>
          <w:sz w:val="24"/>
          <w:szCs w:val="24"/>
          <w:lang w:eastAsia="zh-CN" w:bidi="ar"/>
        </w:rPr>
        <w:t>、技术协议和验收报告（四者缺一不可）</w:t>
      </w:r>
      <w:r>
        <w:rPr>
          <w:rFonts w:hint="eastAsia" w:asciiTheme="minorEastAsia" w:hAnsiTheme="minorEastAsia" w:eastAsiaTheme="minorEastAsia"/>
          <w:sz w:val="24"/>
          <w:szCs w:val="24"/>
          <w:lang w:eastAsia="zh-CN"/>
        </w:rPr>
        <w:t>；</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、卖方所提供的的电子产品必须拥有国际主要认证机构或中国防爆电气产品检测机构领发的防爆证书，且证书在有效期内。认证机构可以是UL,CSA,ATEX、CNAS、CQST、NEPSI和PCECI或IECEx等防爆认证机构。</w:t>
      </w:r>
    </w:p>
    <w:p>
      <w:pPr>
        <w:spacing w:line="440" w:lineRule="exact"/>
        <w:ind w:left="400" w:leftChars="20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备注</w:t>
      </w:r>
      <w:r>
        <w:rPr>
          <w:rFonts w:hint="eastAsia" w:asciiTheme="minorEastAsia" w:hAnsiTheme="minorEastAsia" w:eastAsiaTheme="minorEastAsia"/>
          <w:sz w:val="24"/>
          <w:szCs w:val="24"/>
          <w:lang w:eastAsia="zh-CN"/>
        </w:rPr>
        <w:t>：若发现例如业绩数量、实施效果、产品质量要求技术指标的检测原理等）造假、伪造行为，将列入企业黑名单，不予考虑。</w:t>
      </w:r>
    </w:p>
    <w:p>
      <w:pPr>
        <w:numPr>
          <w:ilvl w:val="0"/>
          <w:numId w:val="2"/>
        </w:numPr>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项目执行要求：</w:t>
      </w:r>
    </w:p>
    <w:p>
      <w:pPr>
        <w:spacing w:line="440" w:lineRule="exact"/>
        <w:ind w:left="4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1、质量要求：</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承包方需提供完整的系统，包括但不限于：在线CO分析仪、以CO含量为变量的控制策略、燃烧工程技术服务和远程监测维护平台（软件需提供软件著作权），详细要求如下：</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1)从燃烧理论出发，提供基于CO控制的理论配比燃烧控制技术，包括在线CO分析仪、SCO系统技术控制策略、燃烧工程技术服务等。</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2)在线一氧化碳分析仪必须能够准确、实时检测烟气中的CO含量。</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3)控制系统能够根据采集到的CO分析数据自动、平稳调整操作风道挡板或者鼓引风机变频；</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4)为保证平台的可靠性,远程监测维护平台应提供实时监控和预警、历史数据查询功能,可远程在生产网内通过 Web方式访问,并提供软件著作权,著作权首次发布日期满一年；</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5）在线一氧化碳分析仪应采用先进的传感器技术和以微处理器为基础的仪表，应确保外观、密封性、测量不确定度、可靠性、稳定性、抗干扰能力、通信能力等方面，具有优良的性能，详细参数见下表。</w:t>
      </w:r>
    </w:p>
    <w:p>
      <w:pPr>
        <w:widowControl/>
        <w:jc w:val="center"/>
        <w:rPr>
          <w:color w:val="000000"/>
          <w:sz w:val="21"/>
          <w:lang w:eastAsia="zh-CN"/>
        </w:rPr>
      </w:pPr>
      <w:r>
        <w:rPr>
          <w:rFonts w:hint="eastAsia"/>
          <w:color w:val="000000"/>
          <w:sz w:val="21"/>
          <w:lang w:eastAsia="zh-CN"/>
        </w:rPr>
        <w:t xml:space="preserve"> 在线一氧化碳分析仪技术指标（最低要求）</w:t>
      </w:r>
    </w:p>
    <w:tbl>
      <w:tblPr>
        <w:tblStyle w:val="13"/>
        <w:tblW w:w="0" w:type="auto"/>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2862"/>
        <w:gridCol w:w="5360"/>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bottom w:val="nil"/>
            </w:tcBorders>
            <w:vAlign w:val="center"/>
          </w:tcPr>
          <w:p>
            <w:pPr>
              <w:widowControl/>
              <w:ind w:left="-144" w:leftChars="-72"/>
              <w:jc w:val="center"/>
              <w:rPr>
                <w:color w:val="000000"/>
                <w:sz w:val="21"/>
              </w:rPr>
            </w:pPr>
            <w:r>
              <w:rPr>
                <w:rFonts w:hint="eastAsia"/>
                <w:color w:val="000000"/>
                <w:sz w:val="21"/>
              </w:rPr>
              <w:t>检测类型</w:t>
            </w:r>
          </w:p>
        </w:tc>
        <w:tc>
          <w:tcPr>
            <w:tcW w:w="5360" w:type="dxa"/>
            <w:tcBorders>
              <w:bottom w:val="nil"/>
            </w:tcBorders>
            <w:vAlign w:val="center"/>
          </w:tcPr>
          <w:p>
            <w:pPr>
              <w:widowControl/>
              <w:jc w:val="center"/>
              <w:rPr>
                <w:color w:val="000000"/>
                <w:sz w:val="21"/>
                <w:lang w:eastAsia="zh-CN"/>
              </w:rPr>
            </w:pPr>
            <w:r>
              <w:rPr>
                <w:color w:val="000000"/>
                <w:sz w:val="21"/>
                <w:lang w:eastAsia="zh-CN"/>
              </w:rPr>
              <w:t>原位、全烟道烟气分析</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检测原理</w:t>
            </w:r>
          </w:p>
        </w:tc>
        <w:tc>
          <w:tcPr>
            <w:tcW w:w="5360" w:type="dxa"/>
            <w:tcBorders>
              <w:top w:val="nil"/>
              <w:bottom w:val="nil"/>
            </w:tcBorders>
            <w:vAlign w:val="center"/>
          </w:tcPr>
          <w:p>
            <w:pPr>
              <w:widowControl/>
              <w:ind w:firstLine="1050" w:firstLineChars="500"/>
              <w:rPr>
                <w:color w:val="000000"/>
                <w:sz w:val="21"/>
                <w:lang w:eastAsia="zh-CN"/>
              </w:rPr>
            </w:pPr>
            <w:r>
              <w:rPr>
                <w:rFonts w:hint="eastAsia"/>
                <w:color w:val="000000"/>
                <w:sz w:val="21"/>
                <w:lang w:eastAsia="zh-CN"/>
              </w:rPr>
              <w:t>量子</w:t>
            </w:r>
            <w:r>
              <w:rPr>
                <w:color w:val="000000"/>
                <w:sz w:val="21"/>
                <w:lang w:eastAsia="zh-CN"/>
              </w:rPr>
              <w:t>串级</w:t>
            </w:r>
            <w:r>
              <w:rPr>
                <w:rFonts w:hint="eastAsia"/>
                <w:color w:val="000000"/>
                <w:sz w:val="21"/>
                <w:lang w:eastAsia="zh-CN"/>
              </w:rPr>
              <w:t>中红外吸收，4.65微米</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光束直径</w:t>
            </w:r>
          </w:p>
        </w:tc>
        <w:tc>
          <w:tcPr>
            <w:tcW w:w="5360" w:type="dxa"/>
            <w:tcBorders>
              <w:top w:val="nil"/>
              <w:bottom w:val="nil"/>
            </w:tcBorders>
            <w:vAlign w:val="center"/>
          </w:tcPr>
          <w:p>
            <w:pPr>
              <w:widowControl/>
              <w:jc w:val="center"/>
              <w:rPr>
                <w:color w:val="000000"/>
                <w:sz w:val="21"/>
              </w:rPr>
            </w:pPr>
            <w:r>
              <w:rPr>
                <w:rFonts w:hint="eastAsia"/>
                <w:color w:val="000000"/>
                <w:sz w:val="21"/>
              </w:rPr>
              <w:t>≥5</w:t>
            </w:r>
            <w:r>
              <w:rPr>
                <w:color w:val="000000"/>
                <w:sz w:val="21"/>
              </w:rPr>
              <w:t>0</w:t>
            </w:r>
            <w:r>
              <w:rPr>
                <w:rFonts w:hint="eastAsia"/>
                <w:color w:val="000000"/>
                <w:sz w:val="21"/>
              </w:rPr>
              <w:t>mm</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烟道直径</w:t>
            </w:r>
          </w:p>
        </w:tc>
        <w:tc>
          <w:tcPr>
            <w:tcW w:w="5360" w:type="dxa"/>
            <w:tcBorders>
              <w:top w:val="nil"/>
              <w:bottom w:val="nil"/>
            </w:tcBorders>
            <w:vAlign w:val="center"/>
          </w:tcPr>
          <w:p>
            <w:pPr>
              <w:widowControl/>
              <w:jc w:val="center"/>
              <w:rPr>
                <w:color w:val="000000"/>
                <w:sz w:val="21"/>
              </w:rPr>
            </w:pPr>
            <w:r>
              <w:rPr>
                <w:color w:val="000000"/>
                <w:sz w:val="21"/>
              </w:rPr>
              <w:t xml:space="preserve">500 ~ </w:t>
            </w:r>
            <w:r>
              <w:rPr>
                <w:rFonts w:hint="eastAsia"/>
                <w:color w:val="000000"/>
                <w:sz w:val="21"/>
              </w:rPr>
              <w:t>500</w:t>
            </w:r>
            <w:r>
              <w:rPr>
                <w:color w:val="000000"/>
                <w:sz w:val="21"/>
              </w:rPr>
              <w:t>0mm</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响应时间</w:t>
            </w:r>
          </w:p>
        </w:tc>
        <w:tc>
          <w:tcPr>
            <w:tcW w:w="5360" w:type="dxa"/>
            <w:tcBorders>
              <w:top w:val="nil"/>
              <w:bottom w:val="nil"/>
            </w:tcBorders>
            <w:vAlign w:val="center"/>
          </w:tcPr>
          <w:p>
            <w:pPr>
              <w:widowControl/>
              <w:jc w:val="center"/>
              <w:rPr>
                <w:color w:val="000000"/>
                <w:sz w:val="21"/>
              </w:rPr>
            </w:pPr>
            <w:r>
              <w:rPr>
                <w:rFonts w:hint="eastAsia"/>
                <w:color w:val="000000"/>
                <w:sz w:val="21"/>
              </w:rPr>
              <w:t>&lt;</w:t>
            </w:r>
            <w:r>
              <w:rPr>
                <w:color w:val="000000"/>
                <w:sz w:val="21"/>
              </w:rPr>
              <w:t>0.</w:t>
            </w:r>
            <w:r>
              <w:rPr>
                <w:rFonts w:hint="eastAsia"/>
                <w:color w:val="000000"/>
                <w:sz w:val="21"/>
              </w:rPr>
              <w:t>2</w:t>
            </w:r>
            <w:r>
              <w:rPr>
                <w:color w:val="000000"/>
                <w:sz w:val="21"/>
              </w:rPr>
              <w:t>s</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信噪比</w:t>
            </w:r>
          </w:p>
        </w:tc>
        <w:tc>
          <w:tcPr>
            <w:tcW w:w="5360" w:type="dxa"/>
            <w:tcBorders>
              <w:top w:val="nil"/>
              <w:bottom w:val="nil"/>
            </w:tcBorders>
            <w:vAlign w:val="center"/>
          </w:tcPr>
          <w:p>
            <w:pPr>
              <w:widowControl/>
              <w:jc w:val="center"/>
              <w:rPr>
                <w:color w:val="000000"/>
                <w:sz w:val="21"/>
              </w:rPr>
            </w:pPr>
            <w:r>
              <w:rPr>
                <w:color w:val="000000"/>
                <w:sz w:val="21"/>
              </w:rPr>
              <w:t>6:1</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测量介质</w:t>
            </w:r>
          </w:p>
        </w:tc>
        <w:tc>
          <w:tcPr>
            <w:tcW w:w="5360" w:type="dxa"/>
            <w:tcBorders>
              <w:top w:val="nil"/>
              <w:bottom w:val="nil"/>
            </w:tcBorders>
            <w:vAlign w:val="center"/>
          </w:tcPr>
          <w:p>
            <w:pPr>
              <w:widowControl/>
              <w:jc w:val="center"/>
              <w:rPr>
                <w:color w:val="000000"/>
                <w:sz w:val="21"/>
              </w:rPr>
            </w:pPr>
            <w:r>
              <w:rPr>
                <w:rFonts w:hint="eastAsia"/>
                <w:color w:val="000000"/>
                <w:sz w:val="21"/>
              </w:rPr>
              <w:t>烟气中</w:t>
            </w:r>
            <w:r>
              <w:rPr>
                <w:color w:val="000000"/>
                <w:sz w:val="21"/>
              </w:rPr>
              <w:t>CO</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介质温度</w:t>
            </w:r>
          </w:p>
        </w:tc>
        <w:tc>
          <w:tcPr>
            <w:tcW w:w="5360" w:type="dxa"/>
            <w:tcBorders>
              <w:top w:val="nil"/>
              <w:bottom w:val="nil"/>
            </w:tcBorders>
            <w:vAlign w:val="center"/>
          </w:tcPr>
          <w:p>
            <w:pPr>
              <w:widowControl/>
              <w:jc w:val="center"/>
              <w:rPr>
                <w:color w:val="000000"/>
                <w:sz w:val="21"/>
              </w:rPr>
            </w:pPr>
            <w:r>
              <w:rPr>
                <w:color w:val="000000"/>
                <w:sz w:val="21"/>
              </w:rPr>
              <w:t xml:space="preserve">0 ~ </w:t>
            </w:r>
            <w:r>
              <w:rPr>
                <w:rFonts w:hint="eastAsia"/>
                <w:color w:val="000000"/>
                <w:sz w:val="21"/>
              </w:rPr>
              <w:t>5</w:t>
            </w:r>
            <w:r>
              <w:rPr>
                <w:color w:val="000000"/>
                <w:sz w:val="21"/>
              </w:rPr>
              <w:t>00</w:t>
            </w:r>
            <w:r>
              <w:rPr>
                <w:rFonts w:hint="eastAsia"/>
                <w:color w:val="000000"/>
                <w:sz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介质压力</w:t>
            </w:r>
          </w:p>
        </w:tc>
        <w:tc>
          <w:tcPr>
            <w:tcW w:w="5360" w:type="dxa"/>
            <w:tcBorders>
              <w:top w:val="nil"/>
              <w:bottom w:val="nil"/>
            </w:tcBorders>
            <w:vAlign w:val="center"/>
          </w:tcPr>
          <w:p>
            <w:pPr>
              <w:widowControl/>
              <w:jc w:val="center"/>
              <w:rPr>
                <w:color w:val="000000"/>
                <w:sz w:val="21"/>
              </w:rPr>
            </w:pPr>
            <w:r>
              <w:rPr>
                <w:color w:val="000000"/>
                <w:sz w:val="21"/>
              </w:rPr>
              <w:t>-1000 ~ 1000Pa</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环境温度</w:t>
            </w:r>
          </w:p>
        </w:tc>
        <w:tc>
          <w:tcPr>
            <w:tcW w:w="5360" w:type="dxa"/>
            <w:tcBorders>
              <w:top w:val="nil"/>
              <w:bottom w:val="nil"/>
            </w:tcBorders>
            <w:vAlign w:val="center"/>
          </w:tcPr>
          <w:p>
            <w:pPr>
              <w:widowControl/>
              <w:jc w:val="center"/>
              <w:rPr>
                <w:color w:val="000000"/>
                <w:sz w:val="21"/>
              </w:rPr>
            </w:pPr>
            <w:r>
              <w:rPr>
                <w:color w:val="000000"/>
                <w:sz w:val="21"/>
              </w:rPr>
              <w:t>-40 ~ 60</w:t>
            </w:r>
            <w:r>
              <w:rPr>
                <w:rFonts w:hint="eastAsia"/>
                <w:color w:val="000000"/>
                <w:sz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量程</w:t>
            </w:r>
          </w:p>
        </w:tc>
        <w:tc>
          <w:tcPr>
            <w:tcW w:w="5360" w:type="dxa"/>
            <w:tcBorders>
              <w:top w:val="nil"/>
              <w:bottom w:val="nil"/>
            </w:tcBorders>
            <w:vAlign w:val="center"/>
          </w:tcPr>
          <w:p>
            <w:pPr>
              <w:widowControl/>
              <w:jc w:val="center"/>
              <w:rPr>
                <w:color w:val="000000"/>
                <w:sz w:val="21"/>
              </w:rPr>
            </w:pPr>
            <w:r>
              <w:rPr>
                <w:color w:val="000000"/>
                <w:sz w:val="21"/>
              </w:rPr>
              <w:t>0 ~ 1000ppm</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精确度</w:t>
            </w:r>
          </w:p>
        </w:tc>
        <w:tc>
          <w:tcPr>
            <w:tcW w:w="5360" w:type="dxa"/>
            <w:tcBorders>
              <w:top w:val="nil"/>
              <w:bottom w:val="nil"/>
            </w:tcBorders>
            <w:vAlign w:val="center"/>
          </w:tcPr>
          <w:p>
            <w:pPr>
              <w:widowControl/>
              <w:jc w:val="center"/>
              <w:rPr>
                <w:color w:val="000000"/>
                <w:sz w:val="21"/>
              </w:rPr>
            </w:pPr>
            <w:r>
              <w:rPr>
                <w:color w:val="000000"/>
                <w:sz w:val="21"/>
              </w:rPr>
              <w:t>± 1.0% FS</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重复性</w:t>
            </w:r>
          </w:p>
        </w:tc>
        <w:tc>
          <w:tcPr>
            <w:tcW w:w="5360" w:type="dxa"/>
            <w:tcBorders>
              <w:top w:val="nil"/>
              <w:bottom w:val="nil"/>
            </w:tcBorders>
            <w:vAlign w:val="center"/>
          </w:tcPr>
          <w:p>
            <w:pPr>
              <w:widowControl/>
              <w:jc w:val="center"/>
              <w:rPr>
                <w:color w:val="000000"/>
                <w:sz w:val="21"/>
              </w:rPr>
            </w:pPr>
            <w:r>
              <w:rPr>
                <w:color w:val="000000"/>
                <w:sz w:val="21"/>
              </w:rPr>
              <w:t>0.50%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灵敏度</w:t>
            </w:r>
          </w:p>
        </w:tc>
        <w:tc>
          <w:tcPr>
            <w:tcW w:w="5360" w:type="dxa"/>
            <w:tcBorders>
              <w:top w:val="nil"/>
              <w:bottom w:val="nil"/>
            </w:tcBorders>
            <w:vAlign w:val="center"/>
          </w:tcPr>
          <w:p>
            <w:pPr>
              <w:widowControl/>
              <w:jc w:val="center"/>
              <w:rPr>
                <w:color w:val="000000"/>
                <w:sz w:val="21"/>
              </w:rPr>
            </w:pPr>
            <w:r>
              <w:rPr>
                <w:color w:val="000000"/>
                <w:sz w:val="21"/>
              </w:rPr>
              <w:t>0.50%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870"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零点漂移</w:t>
            </w:r>
          </w:p>
          <w:p>
            <w:pPr>
              <w:rPr>
                <w:sz w:val="21"/>
              </w:rPr>
            </w:pPr>
          </w:p>
          <w:p>
            <w:pPr>
              <w:rPr>
                <w:sz w:val="21"/>
              </w:rPr>
            </w:pPr>
          </w:p>
          <w:p>
            <w:pPr>
              <w:rPr>
                <w:sz w:val="21"/>
              </w:rPr>
            </w:pPr>
          </w:p>
          <w:p>
            <w:pPr>
              <w:rPr>
                <w:sz w:val="21"/>
              </w:rPr>
            </w:pPr>
          </w:p>
          <w:p>
            <w:pPr>
              <w:rPr>
                <w:sz w:val="21"/>
              </w:rPr>
            </w:pPr>
          </w:p>
        </w:tc>
        <w:tc>
          <w:tcPr>
            <w:tcW w:w="5360" w:type="dxa"/>
            <w:tcBorders>
              <w:top w:val="nil"/>
              <w:bottom w:val="nil"/>
            </w:tcBorders>
            <w:vAlign w:val="center"/>
          </w:tcPr>
          <w:p>
            <w:pPr>
              <w:widowControl/>
              <w:jc w:val="center"/>
              <w:rPr>
                <w:color w:val="000000"/>
                <w:sz w:val="21"/>
                <w:lang w:eastAsia="zh-CN"/>
              </w:rPr>
            </w:pPr>
            <w:r>
              <w:rPr>
                <w:color w:val="000000"/>
                <w:sz w:val="21"/>
                <w:lang w:eastAsia="zh-CN"/>
              </w:rPr>
              <w:t>30</w:t>
            </w:r>
            <w:r>
              <w:rPr>
                <w:rFonts w:hint="eastAsia"/>
                <w:color w:val="000000"/>
                <w:sz w:val="21"/>
                <w:lang w:eastAsia="zh-CN"/>
              </w:rPr>
              <w:t>天内</w:t>
            </w:r>
            <w:r>
              <w:rPr>
                <w:color w:val="000000"/>
                <w:sz w:val="21"/>
                <w:lang w:eastAsia="zh-CN"/>
              </w:rPr>
              <w:t>0 ~ 10ppm</w:t>
            </w:r>
            <w:r>
              <w:rPr>
                <w:rFonts w:hint="eastAsia"/>
                <w:color w:val="000000"/>
                <w:sz w:val="21"/>
                <w:lang w:eastAsia="zh-CN"/>
              </w:rPr>
              <w:t>（只</w:t>
            </w:r>
            <w:r>
              <w:rPr>
                <w:color w:val="000000"/>
                <w:sz w:val="21"/>
                <w:lang w:eastAsia="zh-CN"/>
              </w:rPr>
              <w:t>增加不</w:t>
            </w:r>
            <w:r>
              <w:rPr>
                <w:rFonts w:hint="eastAsia"/>
                <w:color w:val="000000"/>
                <w:sz w:val="21"/>
                <w:lang w:eastAsia="zh-CN"/>
              </w:rPr>
              <w:t>减小）</w:t>
            </w:r>
          </w:p>
          <w:p>
            <w:pPr>
              <w:widowControl/>
              <w:jc w:val="center"/>
              <w:rPr>
                <w:color w:val="000000"/>
                <w:sz w:val="21"/>
              </w:rPr>
            </w:pPr>
            <w:r>
              <w:rPr>
                <w:rFonts w:hint="eastAsia"/>
                <w:color w:val="000000"/>
                <w:sz w:val="21"/>
              </w:rPr>
              <w:t>浓度值只增加不减小</w:t>
            </w:r>
          </w:p>
          <w:p>
            <w:pPr>
              <w:rPr>
                <w:sz w:val="21"/>
              </w:rPr>
            </w:pPr>
          </w:p>
          <w:p>
            <w:pPr>
              <w:rPr>
                <w:sz w:val="21"/>
              </w:rPr>
            </w:pPr>
          </w:p>
          <w:p>
            <w:pPr>
              <w:rPr>
                <w:sz w:val="21"/>
              </w:rPr>
            </w:pP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浓度信号输出</w:t>
            </w:r>
          </w:p>
        </w:tc>
        <w:tc>
          <w:tcPr>
            <w:tcW w:w="5360" w:type="dxa"/>
            <w:tcBorders>
              <w:top w:val="nil"/>
              <w:bottom w:val="nil"/>
            </w:tcBorders>
            <w:vAlign w:val="center"/>
          </w:tcPr>
          <w:p>
            <w:pPr>
              <w:widowControl/>
              <w:jc w:val="center"/>
              <w:rPr>
                <w:color w:val="000000"/>
                <w:sz w:val="21"/>
              </w:rPr>
            </w:pPr>
            <w:r>
              <w:rPr>
                <w:color w:val="000000"/>
                <w:sz w:val="21"/>
              </w:rPr>
              <w:t>4-20mA</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报警信号类型</w:t>
            </w:r>
          </w:p>
        </w:tc>
        <w:tc>
          <w:tcPr>
            <w:tcW w:w="5360" w:type="dxa"/>
            <w:tcBorders>
              <w:top w:val="nil"/>
              <w:bottom w:val="nil"/>
            </w:tcBorders>
            <w:vAlign w:val="center"/>
          </w:tcPr>
          <w:p>
            <w:pPr>
              <w:widowControl/>
              <w:jc w:val="center"/>
              <w:rPr>
                <w:color w:val="000000"/>
                <w:sz w:val="21"/>
              </w:rPr>
            </w:pPr>
            <w:r>
              <w:rPr>
                <w:rFonts w:hint="eastAsia"/>
                <w:color w:val="000000"/>
                <w:sz w:val="21"/>
              </w:rPr>
              <w:t>常开/常闭干接点</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现场吹扫</w:t>
            </w:r>
          </w:p>
        </w:tc>
        <w:tc>
          <w:tcPr>
            <w:tcW w:w="5360" w:type="dxa"/>
            <w:tcBorders>
              <w:top w:val="nil"/>
              <w:bottom w:val="nil"/>
            </w:tcBorders>
            <w:vAlign w:val="center"/>
          </w:tcPr>
          <w:p>
            <w:pPr>
              <w:widowControl/>
              <w:jc w:val="center"/>
              <w:rPr>
                <w:color w:val="000000"/>
                <w:sz w:val="21"/>
              </w:rPr>
            </w:pPr>
            <w:r>
              <w:rPr>
                <w:rFonts w:hint="eastAsia"/>
                <w:color w:val="000000"/>
                <w:sz w:val="21"/>
              </w:rPr>
              <w:t>稳定压力</w:t>
            </w:r>
            <w:r>
              <w:rPr>
                <w:color w:val="000000"/>
                <w:sz w:val="21"/>
              </w:rPr>
              <w:t>仪表风</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防爆类型</w:t>
            </w:r>
          </w:p>
        </w:tc>
        <w:tc>
          <w:tcPr>
            <w:tcW w:w="5360" w:type="dxa"/>
            <w:tcBorders>
              <w:top w:val="nil"/>
              <w:bottom w:val="nil"/>
            </w:tcBorders>
            <w:vAlign w:val="center"/>
          </w:tcPr>
          <w:p>
            <w:pPr>
              <w:widowControl/>
              <w:jc w:val="center"/>
              <w:rPr>
                <w:color w:val="000000"/>
                <w:sz w:val="21"/>
              </w:rPr>
            </w:pPr>
            <w:r>
              <w:rPr>
                <w:rFonts w:hint="eastAsia"/>
                <w:color w:val="000000"/>
                <w:sz w:val="21"/>
              </w:rPr>
              <w:t>正压防爆</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highlight w:val="yellow"/>
              </w:rPr>
            </w:pPr>
            <w:r>
              <w:rPr>
                <w:rFonts w:hint="eastAsia"/>
                <w:color w:val="000000"/>
                <w:sz w:val="21"/>
              </w:rPr>
              <w:t>防护</w:t>
            </w:r>
            <w:r>
              <w:rPr>
                <w:color w:val="000000"/>
                <w:sz w:val="21"/>
              </w:rPr>
              <w:t>等级</w:t>
            </w:r>
            <w:r>
              <w:rPr>
                <w:rFonts w:hint="eastAsia"/>
                <w:color w:val="000000"/>
                <w:sz w:val="21"/>
              </w:rPr>
              <w:t xml:space="preserve">                       </w:t>
            </w:r>
          </w:p>
        </w:tc>
        <w:tc>
          <w:tcPr>
            <w:tcW w:w="5360" w:type="dxa"/>
            <w:tcBorders>
              <w:top w:val="nil"/>
              <w:bottom w:val="nil"/>
            </w:tcBorders>
            <w:vAlign w:val="center"/>
          </w:tcPr>
          <w:p>
            <w:pPr>
              <w:widowControl/>
              <w:jc w:val="center"/>
              <w:rPr>
                <w:sz w:val="21"/>
              </w:rPr>
            </w:pPr>
            <w:r>
              <w:rPr>
                <w:rFonts w:hint="eastAsia"/>
                <w:sz w:val="21"/>
              </w:rPr>
              <w:t>IP65</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sz w:val="21"/>
              </w:rPr>
            </w:pPr>
            <w:r>
              <w:rPr>
                <w:rFonts w:hint="eastAsia"/>
                <w:sz w:val="21"/>
              </w:rPr>
              <w:t>防爆标志</w:t>
            </w:r>
          </w:p>
        </w:tc>
        <w:tc>
          <w:tcPr>
            <w:tcW w:w="5360" w:type="dxa"/>
            <w:tcBorders>
              <w:top w:val="nil"/>
              <w:bottom w:val="nil"/>
            </w:tcBorders>
            <w:vAlign w:val="center"/>
          </w:tcPr>
          <w:p>
            <w:pPr>
              <w:widowControl/>
              <w:jc w:val="center"/>
              <w:rPr>
                <w:sz w:val="21"/>
              </w:rPr>
            </w:pPr>
            <w:r>
              <w:rPr>
                <w:sz w:val="21"/>
              </w:rPr>
              <w:t>Ex d px II CT4 Gb</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气源压力</w:t>
            </w:r>
          </w:p>
        </w:tc>
        <w:tc>
          <w:tcPr>
            <w:tcW w:w="5360" w:type="dxa"/>
            <w:tcBorders>
              <w:top w:val="nil"/>
              <w:bottom w:val="nil"/>
            </w:tcBorders>
            <w:vAlign w:val="center"/>
          </w:tcPr>
          <w:p>
            <w:pPr>
              <w:widowControl/>
              <w:jc w:val="center"/>
              <w:rPr>
                <w:sz w:val="21"/>
              </w:rPr>
            </w:pPr>
            <w:r>
              <w:rPr>
                <w:rFonts w:hint="eastAsia"/>
                <w:sz w:val="21"/>
              </w:rPr>
              <w:t>0</w:t>
            </w:r>
            <w:r>
              <w:rPr>
                <w:sz w:val="21"/>
              </w:rPr>
              <w:t>.4</w:t>
            </w:r>
            <w:r>
              <w:rPr>
                <w:rFonts w:hint="eastAsia"/>
                <w:sz w:val="21"/>
              </w:rPr>
              <w:t>-</w:t>
            </w:r>
            <w:r>
              <w:rPr>
                <w:sz w:val="21"/>
              </w:rPr>
              <w:t>0.8</w:t>
            </w:r>
            <w:r>
              <w:rPr>
                <w:rFonts w:hint="eastAsia"/>
                <w:sz w:val="21"/>
              </w:rPr>
              <w:t>MPa</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防爆进气流量</w:t>
            </w:r>
          </w:p>
        </w:tc>
        <w:tc>
          <w:tcPr>
            <w:tcW w:w="5360" w:type="dxa"/>
            <w:tcBorders>
              <w:top w:val="nil"/>
              <w:bottom w:val="nil"/>
            </w:tcBorders>
            <w:vAlign w:val="center"/>
          </w:tcPr>
          <w:p>
            <w:pPr>
              <w:widowControl/>
              <w:jc w:val="center"/>
              <w:rPr>
                <w:sz w:val="21"/>
              </w:rPr>
            </w:pPr>
            <w:r>
              <w:rPr>
                <w:rFonts w:hint="eastAsia"/>
                <w:sz w:val="21"/>
              </w:rPr>
              <w:t>&gt;3</w:t>
            </w:r>
            <w:r>
              <w:rPr>
                <w:sz w:val="21"/>
              </w:rPr>
              <w:t>m</w:t>
            </w:r>
            <w:r>
              <w:rPr>
                <w:sz w:val="21"/>
                <w:vertAlign w:val="superscript"/>
              </w:rPr>
              <w:t>3</w:t>
            </w:r>
            <w:r>
              <w:rPr>
                <w:sz w:val="21"/>
              </w:rPr>
              <w:t>/h</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bottom w:val="nil"/>
            </w:tcBorders>
            <w:vAlign w:val="center"/>
          </w:tcPr>
          <w:p>
            <w:pPr>
              <w:widowControl/>
              <w:ind w:left="-144" w:leftChars="-72"/>
              <w:jc w:val="center"/>
              <w:rPr>
                <w:color w:val="000000"/>
                <w:sz w:val="21"/>
              </w:rPr>
            </w:pPr>
            <w:r>
              <w:rPr>
                <w:rFonts w:hint="eastAsia"/>
                <w:color w:val="000000"/>
                <w:sz w:val="21"/>
              </w:rPr>
              <w:t>单侧吹扫进气流量</w:t>
            </w:r>
          </w:p>
        </w:tc>
        <w:tc>
          <w:tcPr>
            <w:tcW w:w="5360" w:type="dxa"/>
            <w:tcBorders>
              <w:top w:val="nil"/>
              <w:bottom w:val="nil"/>
            </w:tcBorders>
            <w:vAlign w:val="center"/>
          </w:tcPr>
          <w:p>
            <w:pPr>
              <w:widowControl/>
              <w:jc w:val="center"/>
              <w:rPr>
                <w:sz w:val="21"/>
              </w:rPr>
            </w:pPr>
            <w:r>
              <w:rPr>
                <w:sz w:val="21"/>
              </w:rPr>
              <w:t>1.4m</w:t>
            </w:r>
            <w:r>
              <w:rPr>
                <w:sz w:val="21"/>
                <w:vertAlign w:val="superscript"/>
              </w:rPr>
              <w:t>3</w:t>
            </w:r>
            <w:r>
              <w:rPr>
                <w:sz w:val="21"/>
              </w:rPr>
              <w:t>/h</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54" w:hRule="exact"/>
          <w:jc w:val="center"/>
        </w:trPr>
        <w:tc>
          <w:tcPr>
            <w:tcW w:w="2862" w:type="dxa"/>
            <w:tcBorders>
              <w:top w:val="nil"/>
            </w:tcBorders>
            <w:vAlign w:val="center"/>
          </w:tcPr>
          <w:p>
            <w:pPr>
              <w:widowControl/>
              <w:ind w:left="-144" w:leftChars="-72"/>
              <w:jc w:val="center"/>
              <w:rPr>
                <w:color w:val="000000"/>
                <w:sz w:val="21"/>
              </w:rPr>
            </w:pPr>
            <w:r>
              <w:rPr>
                <w:rFonts w:hint="eastAsia"/>
                <w:color w:val="000000"/>
                <w:sz w:val="21"/>
              </w:rPr>
              <w:t>供电电源</w:t>
            </w:r>
          </w:p>
        </w:tc>
        <w:tc>
          <w:tcPr>
            <w:tcW w:w="5360" w:type="dxa"/>
            <w:tcBorders>
              <w:top w:val="nil"/>
            </w:tcBorders>
            <w:vAlign w:val="center"/>
          </w:tcPr>
          <w:p>
            <w:pPr>
              <w:widowControl/>
              <w:jc w:val="center"/>
              <w:rPr>
                <w:color w:val="000000"/>
                <w:sz w:val="21"/>
              </w:rPr>
            </w:pPr>
            <w:r>
              <w:rPr>
                <w:color w:val="000000"/>
                <w:sz w:val="21"/>
              </w:rPr>
              <w:t>220</w:t>
            </w:r>
            <w:r>
              <w:rPr>
                <w:rFonts w:hint="eastAsia"/>
                <w:color w:val="000000"/>
                <w:sz w:val="21"/>
              </w:rPr>
              <w:t>V</w:t>
            </w:r>
            <w:r>
              <w:rPr>
                <w:color w:val="000000"/>
                <w:sz w:val="21"/>
              </w:rPr>
              <w:t xml:space="preserve"> </w:t>
            </w:r>
            <w:r>
              <w:rPr>
                <w:rFonts w:hint="eastAsia"/>
                <w:color w:val="000000"/>
                <w:sz w:val="21"/>
              </w:rPr>
              <w:t>5A</w:t>
            </w:r>
          </w:p>
        </w:tc>
      </w:tr>
    </w:tbl>
    <w:p>
      <w:pPr>
        <w:spacing w:line="440" w:lineRule="exact"/>
        <w:ind w:left="400" w:leftChars="20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w:t>
      </w:r>
      <w:r>
        <w:rPr>
          <w:rFonts w:hint="eastAsia" w:asciiTheme="minorEastAsia" w:hAnsiTheme="minorEastAsia" w:eastAsiaTheme="minorEastAsia"/>
          <w:sz w:val="24"/>
          <w:szCs w:val="24"/>
          <w:lang w:eastAsia="zh-CN"/>
        </w:rPr>
        <w:t>）承包方提供的设备，包括仪表和电气设备等，需满足I类2区IIC级T4组（相同级别）现场环境使用，远传仪表防护等级不低于IP65。正压防爆空气入口、分析仪发射端和接收端镜片隔离风入口须配置带自动排液功能的大功率过滤减压阀，大功率过滤减压阀一用一备带配套切断阀,仪表风管线及连接件全部采用316不锈钢材质。</w:t>
      </w:r>
    </w:p>
    <w:p>
      <w:p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2、施工安全要求：</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设备安装由承包方完成，施工必须依照业主QHSE管理要求做好各种防护措施，保证施工中人身、设备、线路等安全。</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文明施工、科学组织，合理安排好施工人员、设备准备、运输、工器具到位，保证施工现场整洁、卫生、高效。</w:t>
      </w:r>
    </w:p>
    <w:p>
      <w:pPr>
        <w:spacing w:line="440" w:lineRule="exact"/>
        <w:ind w:left="400" w:leftChars="20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每日作业完工后需将作业场所清理干净，做到工完、料净、场地清。</w:t>
      </w:r>
    </w:p>
    <w:p>
      <w:pPr>
        <w:numPr>
          <w:ilvl w:val="0"/>
          <w:numId w:val="2"/>
        </w:numPr>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评比规则：</w:t>
      </w:r>
    </w:p>
    <w:p>
      <w:pPr>
        <w:numPr>
          <w:ilvl w:val="0"/>
          <w:numId w:val="3"/>
        </w:numPr>
        <w:spacing w:line="440" w:lineRule="exact"/>
        <w:ind w:left="420" w:firstLine="480" w:firstLineChars="200"/>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评分办法：本项目采用综合评分法，满分1</w:t>
      </w:r>
      <w:r>
        <w:rPr>
          <w:rFonts w:asciiTheme="minorEastAsia" w:hAnsiTheme="minorEastAsia" w:eastAsiaTheme="minorEastAsia"/>
          <w:sz w:val="24"/>
          <w:szCs w:val="24"/>
          <w:highlight w:val="none"/>
          <w:lang w:eastAsia="zh-CN"/>
        </w:rPr>
        <w:t>00</w:t>
      </w:r>
      <w:r>
        <w:rPr>
          <w:rFonts w:hint="eastAsia" w:asciiTheme="minorEastAsia" w:hAnsiTheme="minorEastAsia" w:eastAsiaTheme="minorEastAsia"/>
          <w:sz w:val="24"/>
          <w:szCs w:val="24"/>
          <w:highlight w:val="none"/>
          <w:lang w:eastAsia="zh-CN"/>
        </w:rPr>
        <w:t>分，商务部分</w:t>
      </w:r>
      <w:r>
        <w:rPr>
          <w:rFonts w:hint="eastAsia" w:asciiTheme="minorEastAsia" w:hAnsiTheme="minorEastAsia" w:eastAsiaTheme="minorEastAsia"/>
          <w:sz w:val="24"/>
          <w:szCs w:val="24"/>
          <w:highlight w:val="none"/>
          <w:u w:val="single"/>
          <w:lang w:eastAsia="zh-CN"/>
        </w:rPr>
        <w:t xml:space="preserve"> </w:t>
      </w:r>
      <w:r>
        <w:rPr>
          <w:rFonts w:asciiTheme="minorEastAsia" w:hAnsiTheme="minorEastAsia" w:eastAsiaTheme="minorEastAsia"/>
          <w:sz w:val="24"/>
          <w:szCs w:val="24"/>
          <w:highlight w:val="none"/>
          <w:u w:val="single"/>
          <w:lang w:eastAsia="zh-CN"/>
        </w:rPr>
        <w:t xml:space="preserve">45 </w:t>
      </w:r>
      <w:r>
        <w:rPr>
          <w:rFonts w:hint="eastAsia" w:asciiTheme="minorEastAsia" w:hAnsiTheme="minorEastAsia" w:eastAsiaTheme="minorEastAsia"/>
          <w:sz w:val="24"/>
          <w:szCs w:val="24"/>
          <w:highlight w:val="none"/>
          <w:lang w:eastAsia="zh-CN"/>
        </w:rPr>
        <w:t>分，技术部分</w:t>
      </w:r>
      <w:r>
        <w:rPr>
          <w:rFonts w:hint="eastAsia" w:asciiTheme="minorEastAsia" w:hAnsiTheme="minorEastAsia" w:eastAsiaTheme="minorEastAsia"/>
          <w:sz w:val="24"/>
          <w:szCs w:val="24"/>
          <w:highlight w:val="none"/>
          <w:u w:val="single"/>
          <w:lang w:eastAsia="zh-CN"/>
        </w:rPr>
        <w:t xml:space="preserve"> </w:t>
      </w:r>
      <w:r>
        <w:rPr>
          <w:rFonts w:asciiTheme="minorEastAsia" w:hAnsiTheme="minorEastAsia" w:eastAsiaTheme="minorEastAsia"/>
          <w:sz w:val="24"/>
          <w:szCs w:val="24"/>
          <w:highlight w:val="none"/>
          <w:u w:val="single"/>
          <w:lang w:eastAsia="zh-CN"/>
        </w:rPr>
        <w:t xml:space="preserve">35 </w:t>
      </w:r>
      <w:r>
        <w:rPr>
          <w:rFonts w:hint="eastAsia" w:asciiTheme="minorEastAsia" w:hAnsiTheme="minorEastAsia" w:eastAsiaTheme="minorEastAsia"/>
          <w:sz w:val="24"/>
          <w:szCs w:val="24"/>
          <w:highlight w:val="none"/>
          <w:lang w:eastAsia="zh-CN"/>
        </w:rPr>
        <w:t>分，公司资质和业绩部分</w:t>
      </w:r>
      <w:r>
        <w:rPr>
          <w:rFonts w:asciiTheme="minorEastAsia" w:hAnsiTheme="minorEastAsia" w:eastAsiaTheme="minorEastAsia"/>
          <w:sz w:val="24"/>
          <w:szCs w:val="24"/>
          <w:highlight w:val="none"/>
          <w:u w:val="single"/>
          <w:lang w:eastAsia="zh-CN"/>
        </w:rPr>
        <w:t xml:space="preserve">20 </w:t>
      </w:r>
      <w:r>
        <w:rPr>
          <w:rFonts w:hint="eastAsia" w:asciiTheme="minorEastAsia" w:hAnsiTheme="minorEastAsia" w:eastAsiaTheme="minorEastAsia"/>
          <w:sz w:val="24"/>
          <w:szCs w:val="24"/>
          <w:highlight w:val="none"/>
          <w:lang w:eastAsia="zh-CN"/>
        </w:rPr>
        <w:t>分。</w:t>
      </w:r>
    </w:p>
    <w:p>
      <w:pPr>
        <w:numPr>
          <w:ilvl w:val="0"/>
          <w:numId w:val="3"/>
        </w:numPr>
        <w:spacing w:line="440" w:lineRule="exact"/>
        <w:ind w:left="42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本项目评标委员会推荐的中标候选人数量为一名。</w:t>
      </w:r>
    </w:p>
    <w:p>
      <w:pPr>
        <w:numPr>
          <w:ilvl w:val="0"/>
          <w:numId w:val="3"/>
        </w:numPr>
        <w:spacing w:line="440" w:lineRule="exact"/>
        <w:ind w:left="4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评分细则如下：</w:t>
      </w:r>
    </w:p>
    <w:p>
      <w:pPr>
        <w:spacing w:line="440" w:lineRule="exact"/>
        <w:ind w:left="84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商务部分45分，请商务自行确定评分规则。</w:t>
      </w:r>
    </w:p>
    <w:p>
      <w:pPr>
        <w:spacing w:line="440" w:lineRule="exact"/>
        <w:ind w:left="84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公司资质和业绩部分，此部分由商务和技术共同打分。</w:t>
      </w:r>
      <w:r>
        <w:rPr>
          <w:rFonts w:hint="eastAsia" w:asciiTheme="minorEastAsia" w:hAnsiTheme="minorEastAsia" w:eastAsiaTheme="minorEastAsia"/>
          <w:sz w:val="24"/>
          <w:szCs w:val="24"/>
        </w:rPr>
        <w:t>（满分</w:t>
      </w:r>
      <w:r>
        <w:rPr>
          <w:rFonts w:asciiTheme="minorEastAsia" w:hAnsiTheme="minorEastAsia" w:eastAsiaTheme="minorEastAsia"/>
          <w:sz w:val="24"/>
          <w:szCs w:val="24"/>
        </w:rPr>
        <w:t>20</w:t>
      </w:r>
      <w:r>
        <w:rPr>
          <w:rFonts w:hint="eastAsia" w:asciiTheme="minorEastAsia" w:hAnsiTheme="minorEastAsia" w:eastAsiaTheme="minorEastAsia"/>
          <w:sz w:val="24"/>
          <w:szCs w:val="24"/>
        </w:rPr>
        <w:t>分）</w:t>
      </w:r>
    </w:p>
    <w:tbl>
      <w:tblPr>
        <w:tblStyle w:val="7"/>
        <w:tblW w:w="9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746"/>
        <w:gridCol w:w="765"/>
        <w:gridCol w:w="5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序号</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评分指标</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满分</w:t>
            </w:r>
          </w:p>
        </w:tc>
        <w:tc>
          <w:tcPr>
            <w:tcW w:w="59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1</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公司资质</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color w:val="000000"/>
                <w:sz w:val="20"/>
                <w:szCs w:val="20"/>
                <w:lang w:eastAsia="zh-CN" w:bidi="ar"/>
              </w:rPr>
              <w:t>6</w:t>
            </w:r>
            <w:r>
              <w:rPr>
                <w:rFonts w:hint="eastAsia"/>
                <w:color w:val="000000"/>
                <w:sz w:val="20"/>
                <w:szCs w:val="20"/>
                <w:lang w:eastAsia="zh-CN" w:bidi="ar"/>
              </w:rPr>
              <w:t>分</w:t>
            </w:r>
          </w:p>
        </w:tc>
        <w:tc>
          <w:tcPr>
            <w:tcW w:w="59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1.投标方取得高新技术企业证书，加</w:t>
            </w:r>
            <w:r>
              <w:rPr>
                <w:color w:val="000000"/>
                <w:sz w:val="20"/>
                <w:szCs w:val="20"/>
                <w:lang w:eastAsia="zh-CN" w:bidi="ar"/>
              </w:rPr>
              <w:t>1</w:t>
            </w:r>
            <w:r>
              <w:rPr>
                <w:rFonts w:hint="eastAsia"/>
                <w:color w:val="000000"/>
                <w:sz w:val="20"/>
                <w:szCs w:val="20"/>
                <w:lang w:eastAsia="zh-CN" w:bidi="ar"/>
              </w:rPr>
              <w:t>；</w:t>
            </w:r>
          </w:p>
          <w:p>
            <w:pPr>
              <w:widowControl/>
              <w:textAlignment w:val="center"/>
              <w:rPr>
                <w:color w:val="000000"/>
                <w:sz w:val="20"/>
                <w:szCs w:val="20"/>
                <w:lang w:eastAsia="zh-CN" w:bidi="ar"/>
              </w:rPr>
            </w:pPr>
            <w:r>
              <w:rPr>
                <w:color w:val="000000"/>
                <w:sz w:val="20"/>
                <w:szCs w:val="20"/>
                <w:lang w:eastAsia="zh-CN" w:bidi="ar"/>
              </w:rPr>
              <w:t>2</w:t>
            </w:r>
            <w:r>
              <w:rPr>
                <w:rFonts w:hint="eastAsia"/>
                <w:color w:val="000000"/>
                <w:sz w:val="20"/>
                <w:szCs w:val="20"/>
                <w:lang w:eastAsia="zh-CN" w:bidi="ar"/>
              </w:rPr>
              <w:t>.取得符合国家产业政策“专精特新”证书，加</w:t>
            </w:r>
            <w:r>
              <w:rPr>
                <w:color w:val="000000"/>
                <w:sz w:val="20"/>
                <w:szCs w:val="20"/>
                <w:lang w:eastAsia="zh-CN" w:bidi="ar"/>
              </w:rPr>
              <w:t>2</w:t>
            </w:r>
            <w:r>
              <w:rPr>
                <w:rFonts w:hint="eastAsia"/>
                <w:color w:val="000000"/>
                <w:sz w:val="20"/>
                <w:szCs w:val="20"/>
                <w:lang w:eastAsia="zh-CN" w:bidi="ar"/>
              </w:rPr>
              <w:t>分。</w:t>
            </w:r>
          </w:p>
          <w:p>
            <w:pPr>
              <w:widowControl/>
              <w:textAlignment w:val="center"/>
              <w:rPr>
                <w:color w:val="000000"/>
                <w:sz w:val="20"/>
                <w:szCs w:val="20"/>
                <w:lang w:eastAsia="zh-CN" w:bidi="ar"/>
              </w:rPr>
            </w:pPr>
            <w:r>
              <w:rPr>
                <w:color w:val="000000"/>
                <w:sz w:val="20"/>
                <w:szCs w:val="20"/>
                <w:lang w:eastAsia="zh-CN" w:bidi="ar"/>
              </w:rPr>
              <w:t>3.</w:t>
            </w:r>
            <w:r>
              <w:rPr>
                <w:rFonts w:hint="eastAsia" w:cs="Times New Roman"/>
                <w:szCs w:val="24"/>
                <w:lang w:eastAsia="zh-CN"/>
              </w:rPr>
              <w:t>专利（不含外观专利）和软著。以投标文件为依据进行评价打分，发明专利加1分，实用新型加0.5分，软著加0.5分，满分3分，加满为止。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2</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rFonts w:hint="eastAsia"/>
                <w:color w:val="000000"/>
                <w:sz w:val="20"/>
                <w:szCs w:val="20"/>
                <w:lang w:eastAsia="zh-CN" w:bidi="ar"/>
              </w:rPr>
              <w:t>投标人的类似项目业绩</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color w:val="000000"/>
                <w:sz w:val="20"/>
                <w:szCs w:val="20"/>
                <w:lang w:eastAsia="zh-CN" w:bidi="ar"/>
              </w:rPr>
              <w:t>10</w:t>
            </w:r>
            <w:r>
              <w:rPr>
                <w:rFonts w:hint="eastAsia"/>
                <w:color w:val="000000"/>
                <w:sz w:val="20"/>
                <w:szCs w:val="20"/>
                <w:lang w:eastAsia="zh-CN" w:bidi="ar"/>
              </w:rPr>
              <w:t>分</w:t>
            </w:r>
          </w:p>
        </w:tc>
        <w:tc>
          <w:tcPr>
            <w:tcW w:w="59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color w:val="000000"/>
                <w:sz w:val="20"/>
                <w:szCs w:val="20"/>
                <w:lang w:eastAsia="zh-CN" w:bidi="ar"/>
              </w:rPr>
            </w:pPr>
            <w:r>
              <w:rPr>
                <w:rFonts w:hint="eastAsia"/>
                <w:color w:val="000000"/>
                <w:sz w:val="20"/>
                <w:szCs w:val="20"/>
                <w:lang w:eastAsia="zh-CN" w:bidi="ar"/>
              </w:rPr>
              <w:t>投标方所提供的加热炉理论配置燃烧优化技术有成功应用业绩，应用业绩从20</w:t>
            </w:r>
            <w:r>
              <w:rPr>
                <w:color w:val="000000"/>
                <w:sz w:val="20"/>
                <w:szCs w:val="20"/>
                <w:lang w:eastAsia="zh-CN" w:bidi="ar"/>
              </w:rPr>
              <w:t>19</w:t>
            </w:r>
            <w:r>
              <w:rPr>
                <w:rFonts w:hint="eastAsia"/>
                <w:color w:val="000000"/>
                <w:sz w:val="20"/>
                <w:szCs w:val="20"/>
                <w:lang w:eastAsia="zh-CN" w:bidi="ar"/>
              </w:rPr>
              <w:t>年算起，具有连续稳定运行2年及以上同类装置加热炉改造应用业绩，同时满足实施目标要求，每提供1套满足上述要求的应用业绩加</w:t>
            </w:r>
            <w:r>
              <w:rPr>
                <w:color w:val="000000"/>
                <w:sz w:val="20"/>
                <w:szCs w:val="20"/>
                <w:lang w:eastAsia="zh-CN" w:bidi="ar"/>
              </w:rPr>
              <w:t>2</w:t>
            </w:r>
            <w:r>
              <w:rPr>
                <w:rFonts w:hint="eastAsia"/>
                <w:color w:val="000000"/>
                <w:sz w:val="20"/>
                <w:szCs w:val="20"/>
                <w:lang w:eastAsia="zh-CN" w:bidi="ar"/>
              </w:rPr>
              <w:t>分；连续稳定运行1年及以上同类装置加热炉改造应用业绩，同时满足实施目标要求，每提供1套满足上述要求的应用业绩加</w:t>
            </w:r>
            <w:r>
              <w:rPr>
                <w:color w:val="000000"/>
                <w:sz w:val="20"/>
                <w:szCs w:val="20"/>
                <w:lang w:eastAsia="zh-CN" w:bidi="ar"/>
              </w:rPr>
              <w:t>1</w:t>
            </w:r>
            <w:r>
              <w:rPr>
                <w:rFonts w:hint="eastAsia"/>
                <w:color w:val="000000"/>
                <w:sz w:val="20"/>
                <w:szCs w:val="20"/>
                <w:lang w:eastAsia="zh-CN" w:bidi="ar"/>
              </w:rPr>
              <w:t>分，满分</w:t>
            </w:r>
            <w:r>
              <w:rPr>
                <w:color w:val="000000"/>
                <w:sz w:val="20"/>
                <w:szCs w:val="20"/>
                <w:lang w:eastAsia="zh-CN" w:bidi="ar"/>
              </w:rPr>
              <w:t>10</w:t>
            </w:r>
            <w:r>
              <w:rPr>
                <w:rFonts w:hint="eastAsia"/>
                <w:color w:val="000000"/>
                <w:sz w:val="20"/>
                <w:szCs w:val="20"/>
                <w:lang w:eastAsia="zh-CN" w:bidi="ar"/>
              </w:rPr>
              <w:t>分，加满为止。</w:t>
            </w:r>
          </w:p>
          <w:p>
            <w:pPr>
              <w:widowControl/>
              <w:textAlignment w:val="center"/>
              <w:rPr>
                <w:color w:val="000000"/>
                <w:sz w:val="20"/>
                <w:szCs w:val="20"/>
                <w:lang w:eastAsia="zh-CN" w:bidi="ar"/>
              </w:rPr>
            </w:pPr>
            <w:r>
              <w:rPr>
                <w:rFonts w:hint="eastAsia"/>
                <w:color w:val="000000"/>
                <w:sz w:val="20"/>
                <w:szCs w:val="20"/>
                <w:lang w:eastAsia="zh-CN" w:bidi="ar"/>
              </w:rPr>
              <w:t>投标人须提供业绩项目性能证明报告（加盖检测单位公章）、环保指标要求的标定数据报告（加盖检测单位公章）、项目合同复印件及发票复印件、连续运行2年以上的证明材料，否则该业绩不予认可。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color w:val="000000"/>
                <w:sz w:val="20"/>
                <w:szCs w:val="20"/>
                <w:lang w:eastAsia="zh-CN" w:bidi="ar"/>
              </w:rPr>
            </w:pPr>
            <w:r>
              <w:rPr>
                <w:rFonts w:hint="eastAsia"/>
                <w:color w:val="000000"/>
                <w:sz w:val="20"/>
                <w:szCs w:val="20"/>
                <w:lang w:eastAsia="zh-CN" w:bidi="ar"/>
              </w:rPr>
              <w:t>3</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color w:val="000000"/>
                <w:sz w:val="20"/>
                <w:szCs w:val="20"/>
                <w:lang w:eastAsia="zh-CN" w:bidi="ar"/>
              </w:rPr>
            </w:pPr>
            <w:r>
              <w:rPr>
                <w:rFonts w:hint="eastAsia"/>
                <w:color w:val="000000"/>
                <w:sz w:val="20"/>
                <w:szCs w:val="20"/>
                <w:lang w:eastAsia="zh-CN" w:bidi="ar"/>
              </w:rPr>
              <w:t>制造能力</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szCs w:val="20"/>
                <w:lang w:eastAsia="zh-CN" w:bidi="ar"/>
              </w:rPr>
            </w:pPr>
            <w:r>
              <w:rPr>
                <w:color w:val="000000"/>
                <w:sz w:val="20"/>
                <w:szCs w:val="20"/>
                <w:lang w:eastAsia="zh-CN" w:bidi="ar"/>
              </w:rPr>
              <w:t>4</w:t>
            </w:r>
            <w:r>
              <w:rPr>
                <w:rFonts w:hint="eastAsia"/>
                <w:color w:val="000000"/>
                <w:sz w:val="20"/>
                <w:szCs w:val="20"/>
                <w:lang w:eastAsia="zh-CN" w:bidi="ar"/>
              </w:rPr>
              <w:t>分</w:t>
            </w:r>
          </w:p>
        </w:tc>
        <w:tc>
          <w:tcPr>
            <w:tcW w:w="5993" w:type="dxa"/>
            <w:tcBorders>
              <w:top w:val="single" w:color="000000" w:sz="4" w:space="0"/>
              <w:left w:val="single" w:color="000000" w:sz="4" w:space="0"/>
              <w:bottom w:val="single" w:color="000000" w:sz="4" w:space="0"/>
              <w:right w:val="single" w:color="000000" w:sz="4" w:space="0"/>
            </w:tcBorders>
            <w:vAlign w:val="center"/>
          </w:tcPr>
          <w:p>
            <w:pPr>
              <w:rPr>
                <w:lang w:eastAsia="zh-CN"/>
              </w:rPr>
            </w:pPr>
            <w:r>
              <w:rPr>
                <w:rFonts w:hint="eastAsia" w:cs="Times New Roman"/>
                <w:szCs w:val="24"/>
                <w:lang w:eastAsia="zh-CN"/>
              </w:rPr>
              <w:t>1</w:t>
            </w:r>
            <w:r>
              <w:rPr>
                <w:rFonts w:cs="Times New Roman"/>
                <w:szCs w:val="24"/>
                <w:lang w:eastAsia="zh-CN"/>
              </w:rPr>
              <w:t>.</w:t>
            </w:r>
            <w:r>
              <w:rPr>
                <w:rFonts w:hint="eastAsia" w:cs="Times New Roman"/>
                <w:szCs w:val="24"/>
                <w:lang w:eastAsia="zh-CN"/>
              </w:rPr>
              <w:t>营业执照中包含仪器生产制造相关内容，加1分；</w:t>
            </w:r>
          </w:p>
          <w:p>
            <w:pPr>
              <w:rPr>
                <w:lang w:eastAsia="zh-CN"/>
              </w:rPr>
            </w:pPr>
            <w:r>
              <w:rPr>
                <w:rFonts w:hint="eastAsia" w:cs="Times New Roman"/>
                <w:szCs w:val="24"/>
                <w:lang w:eastAsia="zh-CN"/>
              </w:rPr>
              <w:t>2</w:t>
            </w:r>
            <w:r>
              <w:rPr>
                <w:rFonts w:cs="Times New Roman"/>
                <w:szCs w:val="24"/>
                <w:lang w:eastAsia="zh-CN"/>
              </w:rPr>
              <w:t>.</w:t>
            </w:r>
            <w:r>
              <w:rPr>
                <w:rFonts w:hint="eastAsia" w:cs="Times New Roman"/>
                <w:szCs w:val="24"/>
                <w:lang w:eastAsia="zh-CN"/>
              </w:rPr>
              <w:t>具备生产</w:t>
            </w:r>
            <w:r>
              <w:rPr>
                <w:rFonts w:hint="eastAsia" w:ascii="Times New Roman" w:hAnsi="Times New Roman" w:cs="Times New Roman"/>
                <w:szCs w:val="24"/>
                <w:lang w:eastAsia="zh-CN"/>
              </w:rPr>
              <w:t>CO</w:t>
            </w:r>
            <w:r>
              <w:rPr>
                <w:rFonts w:hint="eastAsia" w:cs="Times New Roman"/>
                <w:szCs w:val="24"/>
                <w:lang w:eastAsia="zh-CN"/>
              </w:rPr>
              <w:t>分析仪器的研发、设计、生产制造能力，加</w:t>
            </w:r>
            <w:r>
              <w:rPr>
                <w:rFonts w:cs="Times New Roman"/>
                <w:szCs w:val="24"/>
                <w:lang w:eastAsia="zh-CN"/>
              </w:rPr>
              <w:t>1分</w:t>
            </w:r>
            <w:r>
              <w:rPr>
                <w:rFonts w:hint="eastAsia" w:cs="Times New Roman"/>
                <w:szCs w:val="24"/>
                <w:lang w:eastAsia="zh-CN"/>
              </w:rPr>
              <w:t>；</w:t>
            </w:r>
          </w:p>
          <w:p>
            <w:pPr>
              <w:widowControl/>
              <w:textAlignment w:val="center"/>
              <w:rPr>
                <w:rFonts w:hint="eastAsia"/>
                <w:color w:val="000000"/>
                <w:sz w:val="20"/>
                <w:szCs w:val="20"/>
                <w:lang w:eastAsia="zh-CN" w:bidi="ar"/>
              </w:rPr>
            </w:pPr>
            <w:r>
              <w:rPr>
                <w:rFonts w:hint="eastAsia" w:cs="Times New Roman"/>
                <w:szCs w:val="24"/>
                <w:lang w:eastAsia="zh-CN"/>
              </w:rPr>
              <w:t>3</w:t>
            </w:r>
            <w:r>
              <w:rPr>
                <w:rFonts w:cs="Times New Roman"/>
                <w:szCs w:val="24"/>
                <w:lang w:eastAsia="zh-CN"/>
              </w:rPr>
              <w:t>.</w:t>
            </w:r>
            <w:r>
              <w:rPr>
                <w:rFonts w:hint="eastAsia" w:cs="Times New Roman"/>
                <w:szCs w:val="24"/>
                <w:lang w:eastAsia="zh-CN"/>
              </w:rPr>
              <w:t>CO分析仪取得相应第三方检验报告的，加</w:t>
            </w:r>
            <w:r>
              <w:rPr>
                <w:rFonts w:cs="Times New Roman"/>
                <w:szCs w:val="24"/>
                <w:lang w:eastAsia="zh-CN"/>
              </w:rPr>
              <w:t>2</w:t>
            </w:r>
            <w:r>
              <w:rPr>
                <w:rFonts w:hint="eastAsia" w:cs="Times New Roman"/>
                <w:szCs w:val="24"/>
                <w:lang w:eastAsia="zh-CN"/>
              </w:rPr>
              <w:t>分。</w:t>
            </w:r>
          </w:p>
        </w:tc>
      </w:tr>
    </w:tbl>
    <w:p>
      <w:pPr>
        <w:pStyle w:val="2"/>
        <w:ind w:left="0"/>
        <w:rPr>
          <w:lang w:eastAsia="zh-CN"/>
        </w:rPr>
      </w:pPr>
    </w:p>
    <w:p>
      <w:pPr>
        <w:spacing w:line="440" w:lineRule="exact"/>
        <w:ind w:left="84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技术部分，此部分由技术打分。（满分</w:t>
      </w:r>
      <w:r>
        <w:rPr>
          <w:rFonts w:asciiTheme="minorEastAsia" w:hAnsiTheme="minorEastAsia" w:eastAsiaTheme="minorEastAsia"/>
          <w:sz w:val="24"/>
          <w:szCs w:val="24"/>
          <w:lang w:eastAsia="zh-CN"/>
        </w:rPr>
        <w:t>35分</w:t>
      </w:r>
      <w:r>
        <w:rPr>
          <w:rFonts w:hint="eastAsia" w:asciiTheme="minorEastAsia" w:hAnsiTheme="minorEastAsia" w:eastAsiaTheme="minorEastAsia"/>
          <w:sz w:val="24"/>
          <w:szCs w:val="24"/>
          <w:lang w:eastAsia="zh-CN"/>
        </w:rPr>
        <w:t>）</w:t>
      </w:r>
    </w:p>
    <w:tbl>
      <w:tblPr>
        <w:tblStyle w:val="7"/>
        <w:tblW w:w="87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746"/>
        <w:gridCol w:w="765"/>
        <w:gridCol w:w="5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
                <w:bCs/>
                <w:sz w:val="24"/>
                <w:szCs w:val="24"/>
              </w:rPr>
            </w:pPr>
            <w:r>
              <w:rPr>
                <w:rFonts w:hint="eastAsia"/>
                <w:b/>
                <w:bCs/>
                <w:sz w:val="24"/>
                <w:szCs w:val="24"/>
              </w:rPr>
              <w:t>序号</w:t>
            </w:r>
          </w:p>
        </w:tc>
        <w:tc>
          <w:tcPr>
            <w:tcW w:w="174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
                <w:bCs/>
                <w:sz w:val="24"/>
                <w:szCs w:val="24"/>
              </w:rPr>
            </w:pPr>
            <w:r>
              <w:rPr>
                <w:rFonts w:hint="eastAsia"/>
                <w:b/>
                <w:bCs/>
                <w:sz w:val="24"/>
                <w:szCs w:val="24"/>
              </w:rPr>
              <w:t>评分指标</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
                <w:bCs/>
                <w:sz w:val="24"/>
                <w:szCs w:val="24"/>
              </w:rPr>
            </w:pPr>
            <w:r>
              <w:rPr>
                <w:rFonts w:hint="eastAsia"/>
                <w:b/>
                <w:bCs/>
                <w:sz w:val="24"/>
                <w:szCs w:val="24"/>
              </w:rPr>
              <w:t>满分</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
                <w:bCs/>
                <w:sz w:val="24"/>
                <w:szCs w:val="24"/>
              </w:rPr>
            </w:pPr>
            <w:r>
              <w:rPr>
                <w:rFonts w:hint="eastAsia"/>
                <w:b/>
                <w:bCs/>
                <w:sz w:val="24"/>
                <w:szCs w:val="24"/>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restart"/>
            <w:tcBorders>
              <w:top w:val="single" w:color="000000" w:sz="4" w:space="0"/>
              <w:left w:val="single" w:color="000000" w:sz="4" w:space="0"/>
              <w:right w:val="single" w:color="000000" w:sz="4" w:space="0"/>
            </w:tcBorders>
            <w:vAlign w:val="center"/>
          </w:tcPr>
          <w:p>
            <w:pPr>
              <w:snapToGrid w:val="0"/>
              <w:spacing w:line="460" w:lineRule="exact"/>
              <w:jc w:val="center"/>
              <w:rPr>
                <w:bCs/>
                <w:sz w:val="24"/>
                <w:szCs w:val="24"/>
              </w:rPr>
            </w:pPr>
            <w:r>
              <w:rPr>
                <w:rFonts w:hint="eastAsia"/>
                <w:bCs/>
                <w:sz w:val="24"/>
                <w:szCs w:val="24"/>
              </w:rPr>
              <w:t>1</w:t>
            </w:r>
          </w:p>
        </w:tc>
        <w:tc>
          <w:tcPr>
            <w:tcW w:w="1746" w:type="dxa"/>
            <w:vMerge w:val="restart"/>
            <w:tcBorders>
              <w:top w:val="single" w:color="000000" w:sz="4" w:space="0"/>
              <w:left w:val="single" w:color="000000" w:sz="4" w:space="0"/>
              <w:right w:val="single" w:color="000000" w:sz="4" w:space="0"/>
            </w:tcBorders>
            <w:vAlign w:val="center"/>
          </w:tcPr>
          <w:p>
            <w:pPr>
              <w:snapToGrid w:val="0"/>
              <w:spacing w:line="460" w:lineRule="exact"/>
              <w:jc w:val="center"/>
              <w:rPr>
                <w:bCs/>
                <w:sz w:val="24"/>
                <w:szCs w:val="24"/>
              </w:rPr>
            </w:pPr>
            <w:r>
              <w:rPr>
                <w:rFonts w:hint="eastAsia"/>
                <w:bCs/>
                <w:sz w:val="24"/>
                <w:szCs w:val="24"/>
              </w:rPr>
              <w:t>技术性能保证</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rPr>
            </w:pPr>
            <w:r>
              <w:rPr>
                <w:bCs/>
                <w:sz w:val="24"/>
                <w:szCs w:val="24"/>
              </w:rPr>
              <w:t>15</w:t>
            </w:r>
            <w:r>
              <w:rPr>
                <w:rFonts w:hint="eastAsia"/>
                <w:bCs/>
                <w:sz w:val="24"/>
                <w:szCs w:val="24"/>
              </w:rPr>
              <w:t>分</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lang w:eastAsia="zh-CN"/>
              </w:rPr>
            </w:pPr>
            <w:r>
              <w:rPr>
                <w:rFonts w:hint="eastAsia"/>
                <w:bCs/>
                <w:sz w:val="24"/>
                <w:szCs w:val="24"/>
                <w:lang w:eastAsia="zh-CN"/>
              </w:rPr>
              <w:t>具有国内石油化工行业加热炉改造案例，实际运行指标满足以下技术指标要求：①CO设定值含量0-100ppm；②炉膛氧含量：由目前3.0%以上降低至1.0%及以下；③NOx减排：减少25%及以上。</w:t>
            </w:r>
          </w:p>
          <w:p>
            <w:pPr>
              <w:snapToGrid w:val="0"/>
              <w:spacing w:line="460" w:lineRule="exact"/>
              <w:jc w:val="center"/>
              <w:rPr>
                <w:bCs/>
                <w:sz w:val="24"/>
                <w:szCs w:val="24"/>
                <w:lang w:eastAsia="zh-CN"/>
              </w:rPr>
            </w:pPr>
            <w:r>
              <w:rPr>
                <w:rFonts w:hint="eastAsia"/>
                <w:bCs/>
                <w:sz w:val="24"/>
                <w:szCs w:val="24"/>
                <w:lang w:eastAsia="zh-CN"/>
              </w:rPr>
              <w:t xml:space="preserve">每满足一项得5分。共15分。  </w:t>
            </w:r>
          </w:p>
          <w:p>
            <w:pPr>
              <w:snapToGrid w:val="0"/>
              <w:spacing w:line="460" w:lineRule="exact"/>
              <w:jc w:val="center"/>
              <w:rPr>
                <w:bCs/>
                <w:sz w:val="24"/>
                <w:szCs w:val="24"/>
                <w:lang w:eastAsia="zh-CN"/>
              </w:rPr>
            </w:pPr>
            <w:r>
              <w:rPr>
                <w:rFonts w:hint="eastAsia"/>
                <w:bCs/>
                <w:sz w:val="24"/>
                <w:szCs w:val="24"/>
                <w:lang w:eastAsia="zh-CN"/>
              </w:rPr>
              <w:t>以提供对应的合同或实际运行检测报告（加盖使用单位公章）为准。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Borders>
              <w:left w:val="single" w:color="000000" w:sz="4" w:space="0"/>
              <w:bottom w:val="single" w:color="000000" w:sz="4" w:space="0"/>
              <w:right w:val="single" w:color="000000" w:sz="4" w:space="0"/>
            </w:tcBorders>
            <w:vAlign w:val="center"/>
          </w:tcPr>
          <w:p>
            <w:pPr>
              <w:snapToGrid w:val="0"/>
              <w:spacing w:line="460" w:lineRule="exact"/>
              <w:jc w:val="center"/>
              <w:rPr>
                <w:rFonts w:hint="eastAsia"/>
                <w:bCs/>
                <w:sz w:val="24"/>
                <w:szCs w:val="24"/>
                <w:lang w:eastAsia="zh-CN"/>
              </w:rPr>
            </w:pPr>
          </w:p>
        </w:tc>
        <w:tc>
          <w:tcPr>
            <w:tcW w:w="1746" w:type="dxa"/>
            <w:vMerge w:val="continue"/>
            <w:tcBorders>
              <w:left w:val="single" w:color="000000" w:sz="4" w:space="0"/>
              <w:bottom w:val="single" w:color="000000" w:sz="4" w:space="0"/>
              <w:right w:val="single" w:color="000000" w:sz="4" w:space="0"/>
            </w:tcBorders>
            <w:vAlign w:val="center"/>
          </w:tcPr>
          <w:p>
            <w:pPr>
              <w:snapToGrid w:val="0"/>
              <w:spacing w:line="460" w:lineRule="exact"/>
              <w:jc w:val="center"/>
              <w:rPr>
                <w:rFonts w:hint="eastAsia"/>
                <w:bCs/>
                <w:sz w:val="24"/>
                <w:szCs w:val="24"/>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rPr>
            </w:pPr>
            <w:r>
              <w:rPr>
                <w:rFonts w:hint="eastAsia"/>
                <w:bCs/>
                <w:sz w:val="24"/>
                <w:szCs w:val="24"/>
              </w:rPr>
              <w:t>5分</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Fonts w:hint="eastAsia"/>
                <w:bCs/>
                <w:sz w:val="24"/>
                <w:szCs w:val="24"/>
                <w:lang w:eastAsia="zh-CN"/>
              </w:rPr>
            </w:pPr>
            <w:r>
              <w:rPr>
                <w:rFonts w:hint="eastAsia"/>
                <w:bCs/>
                <w:sz w:val="24"/>
                <w:szCs w:val="24"/>
                <w:lang w:eastAsia="zh-CN"/>
              </w:rPr>
              <w:t>分析仪技术指标</w:t>
            </w:r>
            <w:r>
              <w:rPr>
                <w:bCs/>
                <w:sz w:val="24"/>
                <w:szCs w:val="24"/>
                <w:lang w:eastAsia="zh-CN"/>
              </w:rPr>
              <w:t>符合性：</w:t>
            </w:r>
            <w:r>
              <w:rPr>
                <w:rFonts w:hint="eastAsia"/>
                <w:bCs/>
                <w:sz w:val="24"/>
                <w:szCs w:val="24"/>
                <w:lang w:eastAsia="zh-CN"/>
              </w:rPr>
              <w:t>CO分析仪须符合合同2.4.5分析仪最低的技术指标要求,满足得</w:t>
            </w:r>
            <w:r>
              <w:rPr>
                <w:bCs/>
                <w:sz w:val="24"/>
                <w:szCs w:val="24"/>
                <w:lang w:eastAsia="zh-CN"/>
              </w:rPr>
              <w:t>5</w:t>
            </w:r>
            <w:r>
              <w:rPr>
                <w:rFonts w:hint="eastAsia"/>
                <w:bCs/>
                <w:sz w:val="24"/>
                <w:szCs w:val="24"/>
                <w:lang w:eastAsia="zh-CN"/>
              </w:rPr>
              <w:t>分，不满足不得分；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restart"/>
            <w:tcBorders>
              <w:top w:val="single" w:color="000000" w:sz="4" w:space="0"/>
              <w:left w:val="single" w:color="000000" w:sz="4" w:space="0"/>
              <w:right w:val="single" w:color="000000" w:sz="4" w:space="0"/>
            </w:tcBorders>
            <w:vAlign w:val="center"/>
          </w:tcPr>
          <w:p>
            <w:pPr>
              <w:snapToGrid w:val="0"/>
              <w:spacing w:line="460" w:lineRule="exact"/>
              <w:jc w:val="center"/>
              <w:rPr>
                <w:bCs/>
                <w:sz w:val="24"/>
                <w:szCs w:val="24"/>
              </w:rPr>
            </w:pPr>
            <w:r>
              <w:rPr>
                <w:rFonts w:hint="eastAsia"/>
                <w:bCs/>
                <w:sz w:val="24"/>
                <w:szCs w:val="24"/>
              </w:rPr>
              <w:t>2</w:t>
            </w:r>
          </w:p>
        </w:tc>
        <w:tc>
          <w:tcPr>
            <w:tcW w:w="1746" w:type="dxa"/>
            <w:vMerge w:val="restart"/>
            <w:tcBorders>
              <w:top w:val="single" w:color="000000" w:sz="4" w:space="0"/>
              <w:left w:val="single" w:color="000000" w:sz="4" w:space="0"/>
              <w:right w:val="single" w:color="000000" w:sz="4" w:space="0"/>
            </w:tcBorders>
            <w:vAlign w:val="center"/>
          </w:tcPr>
          <w:p>
            <w:pPr>
              <w:snapToGrid w:val="0"/>
              <w:spacing w:line="460" w:lineRule="exact"/>
              <w:jc w:val="center"/>
              <w:rPr>
                <w:bCs/>
                <w:sz w:val="24"/>
                <w:szCs w:val="24"/>
              </w:rPr>
            </w:pPr>
            <w:r>
              <w:rPr>
                <w:rFonts w:hint="eastAsia"/>
                <w:bCs/>
                <w:sz w:val="24"/>
                <w:szCs w:val="24"/>
              </w:rPr>
              <w:t>工艺技术方案</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rPr>
            </w:pPr>
            <w:r>
              <w:rPr>
                <w:bCs/>
                <w:sz w:val="24"/>
                <w:szCs w:val="24"/>
              </w:rPr>
              <w:t>5</w:t>
            </w:r>
            <w:r>
              <w:rPr>
                <w:rFonts w:hint="eastAsia"/>
                <w:bCs/>
                <w:sz w:val="24"/>
                <w:szCs w:val="24"/>
              </w:rPr>
              <w:t>分</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lang w:eastAsia="zh-CN"/>
              </w:rPr>
            </w:pPr>
            <w:r>
              <w:rPr>
                <w:rFonts w:hint="eastAsia"/>
                <w:bCs/>
                <w:sz w:val="24"/>
                <w:szCs w:val="24"/>
                <w:lang w:eastAsia="zh-CN"/>
              </w:rPr>
              <w:t>技术方案内容（5分）：具体内容包含但不限于技术路线内容、实施计划、实施细则、人员安排、现场服务、关键指标等相关内容，并按照技术路线的科学性、先进性、可行性、完整性及关键指标针对性保障措施进行评分。根据技术方案情况进行打分，第一名得5分、第二名得3分、第三名得1分，其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Borders>
              <w:left w:val="single" w:color="000000" w:sz="4" w:space="0"/>
              <w:bottom w:val="single" w:color="000000" w:sz="4" w:space="0"/>
              <w:right w:val="single" w:color="000000" w:sz="4" w:space="0"/>
            </w:tcBorders>
            <w:vAlign w:val="center"/>
          </w:tcPr>
          <w:p>
            <w:pPr>
              <w:snapToGrid w:val="0"/>
              <w:spacing w:line="460" w:lineRule="exact"/>
              <w:jc w:val="center"/>
              <w:rPr>
                <w:bCs/>
                <w:sz w:val="24"/>
                <w:szCs w:val="24"/>
                <w:lang w:eastAsia="zh-CN"/>
              </w:rPr>
            </w:pPr>
          </w:p>
        </w:tc>
        <w:tc>
          <w:tcPr>
            <w:tcW w:w="1746" w:type="dxa"/>
            <w:vMerge w:val="continue"/>
            <w:tcBorders>
              <w:left w:val="single" w:color="000000" w:sz="4" w:space="0"/>
              <w:bottom w:val="single" w:color="000000" w:sz="4" w:space="0"/>
              <w:right w:val="single" w:color="000000" w:sz="4" w:space="0"/>
            </w:tcBorders>
            <w:vAlign w:val="center"/>
          </w:tcPr>
          <w:p>
            <w:pPr>
              <w:snapToGrid w:val="0"/>
              <w:spacing w:line="460" w:lineRule="exact"/>
              <w:jc w:val="center"/>
              <w:rPr>
                <w:bCs/>
                <w:sz w:val="24"/>
                <w:szCs w:val="24"/>
                <w:lang w:eastAsia="zh-CN"/>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lang w:eastAsia="zh-CN"/>
              </w:rPr>
            </w:pPr>
            <w:r>
              <w:rPr>
                <w:rFonts w:hint="eastAsia"/>
                <w:bCs/>
                <w:sz w:val="24"/>
                <w:szCs w:val="24"/>
                <w:lang w:eastAsia="zh-CN"/>
              </w:rPr>
              <w:t>3分</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lang w:eastAsia="zh-CN"/>
              </w:rPr>
            </w:pPr>
            <w:r>
              <w:rPr>
                <w:rFonts w:hint="eastAsia"/>
                <w:bCs/>
                <w:sz w:val="24"/>
                <w:szCs w:val="24"/>
                <w:lang w:eastAsia="zh-CN"/>
              </w:rPr>
              <w:t>风险因素分析及控制方案（</w:t>
            </w:r>
            <w:r>
              <w:rPr>
                <w:bCs/>
                <w:sz w:val="24"/>
                <w:szCs w:val="24"/>
                <w:lang w:eastAsia="zh-CN"/>
              </w:rPr>
              <w:t>3</w:t>
            </w:r>
            <w:r>
              <w:rPr>
                <w:rFonts w:hint="eastAsia"/>
                <w:bCs/>
                <w:sz w:val="24"/>
                <w:szCs w:val="24"/>
                <w:lang w:eastAsia="zh-CN"/>
              </w:rPr>
              <w:t>分）：投标人针对该工艺方案能够提出全面的装置风险因素分析，并具备完善可靠风险控制措施，根据技术方案情况进行打分，第一名得</w:t>
            </w:r>
            <w:r>
              <w:rPr>
                <w:bCs/>
                <w:sz w:val="24"/>
                <w:szCs w:val="24"/>
                <w:lang w:eastAsia="zh-CN"/>
              </w:rPr>
              <w:t>3</w:t>
            </w:r>
            <w:r>
              <w:rPr>
                <w:rFonts w:hint="eastAsia"/>
                <w:bCs/>
                <w:sz w:val="24"/>
                <w:szCs w:val="24"/>
                <w:lang w:eastAsia="zh-CN"/>
              </w:rPr>
              <w:t>分、第二名得</w:t>
            </w:r>
            <w:r>
              <w:rPr>
                <w:bCs/>
                <w:sz w:val="24"/>
                <w:szCs w:val="24"/>
                <w:lang w:eastAsia="zh-CN"/>
              </w:rPr>
              <w:t>2</w:t>
            </w:r>
            <w:r>
              <w:rPr>
                <w:rFonts w:hint="eastAsia"/>
                <w:bCs/>
                <w:sz w:val="24"/>
                <w:szCs w:val="24"/>
                <w:lang w:eastAsia="zh-CN"/>
              </w:rPr>
              <w:t>分、第三名得1分，其余不得分。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rPr>
            </w:pPr>
            <w:r>
              <w:rPr>
                <w:rFonts w:hint="eastAsia"/>
                <w:bCs/>
                <w:sz w:val="24"/>
                <w:szCs w:val="24"/>
              </w:rPr>
              <w:t>3</w:t>
            </w:r>
          </w:p>
        </w:tc>
        <w:tc>
          <w:tcPr>
            <w:tcW w:w="174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rPr>
            </w:pPr>
            <w:r>
              <w:rPr>
                <w:rFonts w:hint="eastAsia"/>
                <w:bCs/>
                <w:sz w:val="24"/>
                <w:szCs w:val="24"/>
              </w:rPr>
              <w:t>项目实施运维方案</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rPr>
            </w:pPr>
            <w:r>
              <w:rPr>
                <w:bCs/>
                <w:sz w:val="24"/>
                <w:szCs w:val="24"/>
              </w:rPr>
              <w:t>7</w:t>
            </w:r>
            <w:r>
              <w:rPr>
                <w:rFonts w:hint="eastAsia"/>
                <w:bCs/>
                <w:sz w:val="24"/>
                <w:szCs w:val="24"/>
              </w:rPr>
              <w:t>分</w:t>
            </w:r>
          </w:p>
        </w:tc>
        <w:tc>
          <w:tcPr>
            <w:tcW w:w="546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bCs/>
                <w:sz w:val="24"/>
                <w:szCs w:val="24"/>
                <w:lang w:eastAsia="zh-CN"/>
              </w:rPr>
            </w:pPr>
            <w:r>
              <w:rPr>
                <w:rFonts w:hint="eastAsia"/>
                <w:bCs/>
                <w:sz w:val="24"/>
                <w:szCs w:val="24"/>
                <w:lang w:eastAsia="zh-CN"/>
              </w:rPr>
              <w:t>1）具备完善的项目实施管理制度和体系，投标时提供项目实施方案书（包括计划、进度、目标、组织机构人员组成、具体的实施方案、重点、难点的解决办法），内容明确具体，具有针对性和可执行性；第一名</w:t>
            </w:r>
            <w:r>
              <w:rPr>
                <w:bCs/>
                <w:sz w:val="24"/>
                <w:szCs w:val="24"/>
                <w:lang w:eastAsia="zh-CN"/>
              </w:rPr>
              <w:t>5</w:t>
            </w:r>
            <w:r>
              <w:rPr>
                <w:rFonts w:hint="eastAsia"/>
                <w:bCs/>
                <w:sz w:val="24"/>
                <w:szCs w:val="24"/>
                <w:lang w:eastAsia="zh-CN"/>
              </w:rPr>
              <w:t>分，第二名</w:t>
            </w:r>
            <w:r>
              <w:rPr>
                <w:bCs/>
                <w:sz w:val="24"/>
                <w:szCs w:val="24"/>
                <w:lang w:eastAsia="zh-CN"/>
              </w:rPr>
              <w:t>3</w:t>
            </w:r>
            <w:r>
              <w:rPr>
                <w:rFonts w:hint="eastAsia"/>
                <w:bCs/>
                <w:sz w:val="24"/>
                <w:szCs w:val="24"/>
                <w:lang w:eastAsia="zh-CN"/>
              </w:rPr>
              <w:t>分，第三名1分，其余不得分；</w:t>
            </w:r>
          </w:p>
          <w:p>
            <w:pPr>
              <w:snapToGrid w:val="0"/>
              <w:spacing w:line="460" w:lineRule="exact"/>
              <w:jc w:val="center"/>
              <w:rPr>
                <w:bCs/>
                <w:sz w:val="24"/>
                <w:szCs w:val="24"/>
                <w:lang w:eastAsia="zh-CN"/>
              </w:rPr>
            </w:pPr>
            <w:r>
              <w:rPr>
                <w:bCs/>
                <w:sz w:val="24"/>
                <w:szCs w:val="24"/>
                <w:lang w:eastAsia="zh-CN"/>
              </w:rPr>
              <w:t>2</w:t>
            </w:r>
            <w:r>
              <w:rPr>
                <w:rFonts w:hint="eastAsia"/>
                <w:bCs/>
                <w:sz w:val="24"/>
                <w:szCs w:val="24"/>
                <w:lang w:eastAsia="zh-CN"/>
              </w:rPr>
              <w:t>）设置有专门的售后服务机构和人员，制定了详细的售后服务管理办法，得</w:t>
            </w:r>
            <w:r>
              <w:rPr>
                <w:bCs/>
                <w:sz w:val="24"/>
                <w:szCs w:val="24"/>
                <w:lang w:eastAsia="zh-CN"/>
              </w:rPr>
              <w:t>2</w:t>
            </w:r>
            <w:r>
              <w:rPr>
                <w:rFonts w:hint="eastAsia"/>
                <w:bCs/>
                <w:sz w:val="24"/>
                <w:szCs w:val="24"/>
                <w:lang w:eastAsia="zh-CN"/>
              </w:rPr>
              <w:t>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昆仑仿宋">
    <w:altName w:val="宋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tabs>
          <w:tab w:val="left" w:pos="360"/>
        </w:tabs>
        <w:ind w:left="0" w:firstLine="0"/>
      </w:pPr>
      <w:rPr>
        <w:rFonts w:hint="eastAsia" w:ascii="黑体" w:eastAsia="黑体"/>
        <w:b w:val="0"/>
        <w:i w:val="0"/>
        <w:sz w:val="24"/>
      </w:rPr>
    </w:lvl>
    <w:lvl w:ilvl="1" w:tentative="0">
      <w:start w:val="1"/>
      <w:numFmt w:val="decimal"/>
      <w:lvlText w:val="%1.%2"/>
      <w:lvlJc w:val="left"/>
      <w:pPr>
        <w:tabs>
          <w:tab w:val="left" w:pos="1654"/>
        </w:tabs>
        <w:ind w:left="1654" w:hanging="454"/>
      </w:pPr>
      <w:rPr>
        <w:rFonts w:hint="eastAsia" w:ascii="黑体" w:eastAsia="黑体"/>
        <w:b w:val="0"/>
        <w:i w:val="0"/>
        <w:sz w:val="24"/>
      </w:rPr>
    </w:lvl>
    <w:lvl w:ilvl="2" w:tentative="0">
      <w:start w:val="1"/>
      <w:numFmt w:val="decimal"/>
      <w:lvlText w:val="%1.%2.%3"/>
      <w:lvlJc w:val="left"/>
      <w:pPr>
        <w:tabs>
          <w:tab w:val="left" w:pos="2040"/>
        </w:tabs>
        <w:ind w:left="1774" w:hanging="454"/>
      </w:pPr>
      <w:rPr>
        <w:rFonts w:hint="eastAsia" w:ascii="黑体" w:eastAsia="黑体"/>
        <w:b w:val="0"/>
        <w:i w:val="0"/>
        <w:sz w:val="24"/>
      </w:rPr>
    </w:lvl>
    <w:lvl w:ilvl="3" w:tentative="0">
      <w:start w:val="1"/>
      <w:numFmt w:val="decimal"/>
      <w:lvlText w:val="%1.%2.%3.%4"/>
      <w:lvlJc w:val="left"/>
      <w:pPr>
        <w:tabs>
          <w:tab w:val="left" w:pos="1080"/>
        </w:tabs>
        <w:ind w:left="454" w:hanging="454"/>
      </w:pPr>
      <w:rPr>
        <w:rFonts w:hint="eastAsia" w:ascii="黑体" w:eastAsia="黑体"/>
        <w:b w:val="0"/>
        <w:i w:val="0"/>
        <w:sz w:val="24"/>
      </w:rPr>
    </w:lvl>
    <w:lvl w:ilvl="4" w:tentative="0">
      <w:start w:val="1"/>
      <w:numFmt w:val="decimal"/>
      <w:lvlText w:val="%1.%2.%3.%4.%5"/>
      <w:lvlJc w:val="left"/>
      <w:pPr>
        <w:tabs>
          <w:tab w:val="left" w:pos="0"/>
        </w:tabs>
        <w:ind w:left="0" w:firstLine="0"/>
      </w:pPr>
      <w:rPr>
        <w:rFonts w:hint="eastAsia" w:ascii="黑体" w:eastAsia="黑体"/>
        <w:b w:val="0"/>
        <w:i w:val="0"/>
        <w:sz w:val="24"/>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7）"/>
      <w:lvlJc w:val="left"/>
      <w:pPr>
        <w:tabs>
          <w:tab w:val="left" w:pos="567"/>
        </w:tabs>
        <w:ind w:left="567" w:firstLine="0"/>
      </w:pPr>
      <w:rPr>
        <w:rFonts w:hint="eastAsia" w:ascii="黑体" w:eastAsia="黑体"/>
        <w:b w:val="0"/>
        <w:i w:val="0"/>
        <w:sz w:val="24"/>
      </w:rPr>
    </w:lvl>
    <w:lvl w:ilvl="7" w:tentative="0">
      <w:start w:val="1"/>
      <w:numFmt w:val="lowerLetter"/>
      <w:lvlText w:val="%8）"/>
      <w:lvlJc w:val="left"/>
      <w:pPr>
        <w:tabs>
          <w:tab w:val="left" w:pos="0"/>
        </w:tabs>
        <w:ind w:left="1429" w:firstLine="0"/>
      </w:pPr>
      <w:rPr>
        <w:rFonts w:hint="eastAsia" w:ascii="黑体" w:eastAsia="黑体"/>
        <w:b w:val="0"/>
        <w:i w:val="0"/>
        <w:sz w:val="24"/>
      </w:rPr>
    </w:lvl>
    <w:lvl w:ilvl="8" w:tentative="0">
      <w:start w:val="1"/>
      <w:numFmt w:val="lowerRoman"/>
      <w:lvlText w:val="%9）"/>
      <w:lvlJc w:val="left"/>
      <w:pPr>
        <w:tabs>
          <w:tab w:val="left" w:pos="0"/>
        </w:tabs>
        <w:ind w:left="1911" w:firstLine="0"/>
      </w:pPr>
      <w:rPr>
        <w:rFonts w:hint="eastAsia" w:ascii="黑体" w:eastAsia="黑体"/>
        <w:b w:val="0"/>
        <w:i w:val="0"/>
        <w:sz w:val="24"/>
      </w:rPr>
    </w:lvl>
  </w:abstractNum>
  <w:abstractNum w:abstractNumId="1">
    <w:nsid w:val="3EA4427C"/>
    <w:multiLevelType w:val="singleLevel"/>
    <w:tmpl w:val="3EA4427C"/>
    <w:lvl w:ilvl="0" w:tentative="0">
      <w:start w:val="3"/>
      <w:numFmt w:val="chineseCounting"/>
      <w:suff w:val="nothing"/>
      <w:lvlText w:val="%1、"/>
      <w:lvlJc w:val="left"/>
      <w:rPr>
        <w:rFonts w:hint="eastAsia"/>
      </w:rPr>
    </w:lvl>
  </w:abstractNum>
  <w:abstractNum w:abstractNumId="2">
    <w:nsid w:val="62511E02"/>
    <w:multiLevelType w:val="singleLevel"/>
    <w:tmpl w:val="62511E0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ZDdhODNlMmM3NjQ3OGUyNjYwYTRmNmIzZTYzMjQifQ=="/>
  </w:docVars>
  <w:rsids>
    <w:rsidRoot w:val="00BB69E2"/>
    <w:rsid w:val="00022D2D"/>
    <w:rsid w:val="00040493"/>
    <w:rsid w:val="00045CFA"/>
    <w:rsid w:val="000A13FE"/>
    <w:rsid w:val="000A48A0"/>
    <w:rsid w:val="000A4C96"/>
    <w:rsid w:val="00141D14"/>
    <w:rsid w:val="0017162C"/>
    <w:rsid w:val="001A53D1"/>
    <w:rsid w:val="002141EE"/>
    <w:rsid w:val="0022736B"/>
    <w:rsid w:val="00260733"/>
    <w:rsid w:val="00264F86"/>
    <w:rsid w:val="002A5647"/>
    <w:rsid w:val="002E6645"/>
    <w:rsid w:val="00334CB6"/>
    <w:rsid w:val="003B4D9E"/>
    <w:rsid w:val="00416505"/>
    <w:rsid w:val="00440AF7"/>
    <w:rsid w:val="0046323E"/>
    <w:rsid w:val="00463B4E"/>
    <w:rsid w:val="005149DA"/>
    <w:rsid w:val="00515601"/>
    <w:rsid w:val="00530690"/>
    <w:rsid w:val="0057315C"/>
    <w:rsid w:val="0058682E"/>
    <w:rsid w:val="005A5B8D"/>
    <w:rsid w:val="005F46C9"/>
    <w:rsid w:val="00603BDA"/>
    <w:rsid w:val="0062110C"/>
    <w:rsid w:val="00653126"/>
    <w:rsid w:val="00686608"/>
    <w:rsid w:val="006D5023"/>
    <w:rsid w:val="006F617C"/>
    <w:rsid w:val="00761976"/>
    <w:rsid w:val="00771231"/>
    <w:rsid w:val="007C33F9"/>
    <w:rsid w:val="00813B3F"/>
    <w:rsid w:val="008257B4"/>
    <w:rsid w:val="00853B4A"/>
    <w:rsid w:val="00890F91"/>
    <w:rsid w:val="008B0009"/>
    <w:rsid w:val="008F18A5"/>
    <w:rsid w:val="008F2B61"/>
    <w:rsid w:val="008F32AB"/>
    <w:rsid w:val="0099706F"/>
    <w:rsid w:val="009D641A"/>
    <w:rsid w:val="00A11B19"/>
    <w:rsid w:val="00AB13B8"/>
    <w:rsid w:val="00B51356"/>
    <w:rsid w:val="00B66082"/>
    <w:rsid w:val="00B72193"/>
    <w:rsid w:val="00BA1E15"/>
    <w:rsid w:val="00BB69E2"/>
    <w:rsid w:val="00BC676B"/>
    <w:rsid w:val="00C23F8C"/>
    <w:rsid w:val="00CC5FC1"/>
    <w:rsid w:val="00D01A5F"/>
    <w:rsid w:val="00D12163"/>
    <w:rsid w:val="00D676E3"/>
    <w:rsid w:val="00E04720"/>
    <w:rsid w:val="00E06362"/>
    <w:rsid w:val="00E41423"/>
    <w:rsid w:val="00E803C0"/>
    <w:rsid w:val="00EE2BDF"/>
    <w:rsid w:val="00EF6DAA"/>
    <w:rsid w:val="00F20CCD"/>
    <w:rsid w:val="00F514D6"/>
    <w:rsid w:val="00F84F92"/>
    <w:rsid w:val="013907E0"/>
    <w:rsid w:val="07E3563F"/>
    <w:rsid w:val="0D71039C"/>
    <w:rsid w:val="0DD24AA3"/>
    <w:rsid w:val="0F096387"/>
    <w:rsid w:val="11525B35"/>
    <w:rsid w:val="12335CD9"/>
    <w:rsid w:val="184C6971"/>
    <w:rsid w:val="18DA283C"/>
    <w:rsid w:val="227B6C5A"/>
    <w:rsid w:val="259140F3"/>
    <w:rsid w:val="2DC26477"/>
    <w:rsid w:val="37FF4AE1"/>
    <w:rsid w:val="43444A74"/>
    <w:rsid w:val="518A6986"/>
    <w:rsid w:val="543D610A"/>
    <w:rsid w:val="613C71BD"/>
    <w:rsid w:val="67C832C8"/>
    <w:rsid w:val="6CDA1364"/>
    <w:rsid w:val="6D8F343E"/>
    <w:rsid w:val="6D950C21"/>
    <w:rsid w:val="6F120C61"/>
    <w:rsid w:val="77D130EE"/>
    <w:rsid w:val="7C887C78"/>
    <w:rsid w:val="7FB070C0"/>
    <w:rsid w:val="7FBE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qFormat/>
    <w:uiPriority w:val="9"/>
    <w:pPr>
      <w:keepNext/>
      <w:keepLines/>
      <w:numPr>
        <w:ilvl w:val="0"/>
        <w:numId w:val="1"/>
      </w:numPr>
      <w:spacing w:before="200" w:after="180" w:line="360" w:lineRule="auto"/>
      <w:outlineLvl w:val="0"/>
    </w:pPr>
    <w:rPr>
      <w:rFonts w:ascii="Arial" w:eastAsia="黑体"/>
      <w:kern w:val="44"/>
      <w:sz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6"/>
    <w:qFormat/>
    <w:uiPriority w:val="0"/>
    <w:pPr>
      <w:spacing w:line="240" w:lineRule="auto"/>
    </w:pPr>
    <w:rPr>
      <w:sz w:val="18"/>
      <w:szCs w:val="18"/>
    </w:rPr>
  </w:style>
  <w:style w:type="paragraph" w:styleId="5">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unhideWhenUsed/>
    <w:qFormat/>
    <w:uiPriority w:val="99"/>
    <w:rPr>
      <w:sz w:val="21"/>
      <w:szCs w:val="21"/>
    </w:rPr>
  </w:style>
  <w:style w:type="paragraph" w:styleId="11">
    <w:name w:val="List Paragraph"/>
    <w:basedOn w:val="1"/>
    <w:qFormat/>
    <w:uiPriority w:val="34"/>
    <w:pPr>
      <w:ind w:firstLine="420" w:firstLineChars="200"/>
    </w:pPr>
  </w:style>
  <w:style w:type="paragraph" w:customStyle="1" w:styleId="12">
    <w:name w:val="样式1"/>
    <w:basedOn w:val="1"/>
    <w:qFormat/>
    <w:uiPriority w:val="0"/>
    <w:pPr>
      <w:jc w:val="center"/>
    </w:pPr>
    <w:rPr>
      <w:rFonts w:ascii="仿宋" w:hAnsi="仿宋" w:eastAsia="仿宋" w:cs="Arial"/>
      <w:b/>
      <w:color w:val="000000"/>
      <w:kern w:val="36"/>
      <w:sz w:val="28"/>
      <w:szCs w:val="28"/>
    </w:rPr>
  </w:style>
  <w:style w:type="table" w:customStyle="1" w:styleId="13">
    <w:name w:val="网格型1"/>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页眉 Char"/>
    <w:basedOn w:val="9"/>
    <w:link w:val="6"/>
    <w:qFormat/>
    <w:uiPriority w:val="0"/>
    <w:rPr>
      <w:sz w:val="18"/>
      <w:szCs w:val="18"/>
    </w:rPr>
  </w:style>
  <w:style w:type="character" w:customStyle="1" w:styleId="15">
    <w:name w:val="页脚 Char"/>
    <w:basedOn w:val="9"/>
    <w:link w:val="5"/>
    <w:qFormat/>
    <w:uiPriority w:val="0"/>
    <w:rPr>
      <w:sz w:val="18"/>
      <w:szCs w:val="18"/>
    </w:rPr>
  </w:style>
  <w:style w:type="character" w:customStyle="1" w:styleId="16">
    <w:name w:val="批注框文本 Char"/>
    <w:basedOn w:val="9"/>
    <w:link w:val="4"/>
    <w:qFormat/>
    <w:uiPriority w:val="0"/>
    <w:rPr>
      <w:sz w:val="18"/>
      <w:szCs w:val="18"/>
    </w:rPr>
  </w:style>
  <w:style w:type="character" w:customStyle="1" w:styleId="17">
    <w:name w:val="fontstyle01"/>
    <w:basedOn w:val="9"/>
    <w:qFormat/>
    <w:uiPriority w:val="0"/>
    <w:rPr>
      <w:rFonts w:hint="eastAsia" w:ascii="宋体" w:hAnsi="宋体" w:eastAsia="宋体"/>
      <w:color w:val="000000"/>
      <w:sz w:val="36"/>
      <w:szCs w:val="36"/>
    </w:rPr>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fhcpec.com.cn</Company>
  <Pages>6</Pages>
  <Words>3148</Words>
  <Characters>3428</Characters>
  <Lines>26</Lines>
  <Paragraphs>7</Paragraphs>
  <TotalTime>0</TotalTime>
  <ScaleCrop>false</ScaleCrop>
  <LinksUpToDate>false</LinksUpToDate>
  <CharactersWithSpaces>3481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2022-12-12T03:09:00Z</dcterms:created>
  <dc:creator>panxy</dc:creator>
  <cp:lastModifiedBy>GM9</cp:lastModifiedBy>
  <dcterms:modified xsi:type="dcterms:W3CDTF">2023-02-15T07:19:23Z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0F6C0C822F0D4E079E263F5C7EDF0246</vt:lpwstr>
  </property>
</Properties>
</file>