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lang w:eastAsia="zh-CN"/>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120" w:beforeLines="50" w:after="120" w:afterLines="50" w:line="360" w:lineRule="auto"/>
        <w:jc w:val="center"/>
        <w:rPr>
          <w:rFonts w:ascii="微软雅黑" w:eastAsia="微软雅黑"/>
          <w:b/>
          <w:sz w:val="52"/>
          <w:lang w:eastAsia="zh-CN"/>
        </w:rPr>
      </w:pPr>
      <w:r>
        <w:rPr>
          <w:rFonts w:hint="eastAsia" w:ascii="微软雅黑" w:eastAsia="微软雅黑"/>
          <w:b/>
          <w:sz w:val="44"/>
          <w:szCs w:val="44"/>
          <w:lang w:eastAsia="zh-CN"/>
        </w:rPr>
        <w:t>废铅酸蓄电池、废润滑油等危废处置项目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adjustRightInd w:val="0"/>
        <w:jc w:val="center"/>
        <w:rPr>
          <w:sz w:val="28"/>
          <w:szCs w:val="28"/>
          <w:lang w:eastAsia="zh-CN"/>
        </w:rPr>
      </w:pPr>
      <w:r>
        <w:rPr>
          <w:rFonts w:hint="eastAsia"/>
          <w:sz w:val="28"/>
          <w:szCs w:val="28"/>
          <w:lang w:eastAsia="zh-CN"/>
        </w:rPr>
        <w:t>（文件编号：FHC-PTXS20221125114）</w:t>
      </w:r>
    </w:p>
    <w:p>
      <w:pPr>
        <w:pStyle w:val="8"/>
        <w:rPr>
          <w:rFonts w:ascii="微软雅黑"/>
          <w:b/>
          <w:sz w:val="94"/>
          <w:lang w:eastAsia="zh-CN"/>
        </w:rPr>
      </w:pPr>
    </w:p>
    <w:p>
      <w:pPr>
        <w:pStyle w:val="8"/>
        <w:rPr>
          <w:rFonts w:ascii="微软雅黑"/>
          <w:b/>
          <w:sz w:val="94"/>
          <w:lang w:eastAsia="zh-CN"/>
        </w:rPr>
      </w:pPr>
    </w:p>
    <w:p>
      <w:pPr>
        <w:pStyle w:val="8"/>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三</w:t>
      </w:r>
      <w:r>
        <w:rPr>
          <w:rFonts w:hint="eastAsia" w:ascii="微软雅黑" w:eastAsia="微软雅黑"/>
          <w:b/>
          <w:w w:val="95"/>
          <w:sz w:val="32"/>
          <w:lang w:eastAsia="zh-CN"/>
        </w:rPr>
        <w:t>年</w:t>
      </w:r>
      <w:r>
        <w:rPr>
          <w:rFonts w:hint="eastAsia" w:ascii="微软雅黑" w:eastAsia="微软雅黑"/>
          <w:b/>
          <w:w w:val="95"/>
          <w:sz w:val="32"/>
          <w:lang w:val="en-US" w:eastAsia="zh-CN"/>
        </w:rPr>
        <w:t>一</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8"/>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rPr>
          <w:sz w:val="28"/>
          <w:lang w:eastAsia="zh-CN"/>
        </w:rPr>
      </w:pPr>
    </w:p>
    <w:p>
      <w:pPr>
        <w:pStyle w:val="8"/>
        <w:rPr>
          <w:sz w:val="28"/>
          <w:lang w:eastAsia="zh-CN"/>
        </w:rPr>
      </w:pPr>
    </w:p>
    <w:p>
      <w:pPr>
        <w:pStyle w:val="8"/>
        <w:rPr>
          <w:sz w:val="28"/>
          <w:lang w:eastAsia="zh-CN"/>
        </w:rPr>
      </w:pPr>
    </w:p>
    <w:p>
      <w:pPr>
        <w:pStyle w:val="8"/>
        <w:rPr>
          <w:sz w:val="28"/>
          <w:lang w:eastAsia="zh-CN"/>
        </w:rPr>
      </w:pPr>
    </w:p>
    <w:p>
      <w:pPr>
        <w:pStyle w:val="8"/>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8"/>
        <w:rPr>
          <w:b/>
          <w:sz w:val="28"/>
          <w:lang w:eastAsia="zh-CN"/>
        </w:rPr>
      </w:pPr>
    </w:p>
    <w:p>
      <w:pPr>
        <w:pStyle w:val="8"/>
        <w:spacing w:before="12"/>
        <w:rPr>
          <w:b/>
          <w:bCs/>
          <w:sz w:val="36"/>
          <w:szCs w:val="22"/>
          <w:lang w:eastAsia="zh-CN"/>
        </w:rPr>
      </w:pPr>
    </w:p>
    <w:p>
      <w:pPr>
        <w:jc w:val="center"/>
        <w:rPr>
          <w:b/>
          <w:bCs/>
          <w:sz w:val="36"/>
          <w:lang w:eastAsia="zh-CN"/>
        </w:rPr>
      </w:pPr>
      <w:r>
        <w:rPr>
          <w:rFonts w:hint="eastAsia"/>
          <w:b/>
          <w:bCs/>
          <w:sz w:val="36"/>
          <w:lang w:eastAsia="zh-CN"/>
        </w:rPr>
        <w:t>福建福海创石油化工有限公司废铅酸蓄电池、废润滑油等危废处置公开比选公告</w:t>
      </w:r>
    </w:p>
    <w:p>
      <w:pPr>
        <w:spacing w:line="360" w:lineRule="auto"/>
        <w:ind w:right="315"/>
        <w:jc w:val="right"/>
        <w:rPr>
          <w:bCs/>
          <w:szCs w:val="21"/>
          <w:lang w:eastAsia="zh-CN"/>
        </w:rPr>
      </w:pPr>
      <w:r>
        <w:rPr>
          <w:rFonts w:hint="eastAsia"/>
          <w:bCs/>
          <w:szCs w:val="21"/>
          <w:lang w:eastAsia="zh-CN"/>
        </w:rPr>
        <w:t>比选编号：FHC-PTXS20221125114</w:t>
      </w:r>
    </w:p>
    <w:p>
      <w:pPr>
        <w:spacing w:line="360" w:lineRule="auto"/>
        <w:ind w:firstLine="440" w:firstLineChars="200"/>
        <w:rPr>
          <w:rFonts w:asciiTheme="minorEastAsia" w:hAnsiTheme="minorEastAsia" w:eastAsiaTheme="minorEastAsia"/>
          <w:bCs/>
          <w:lang w:eastAsia="zh-CN"/>
        </w:rPr>
      </w:pPr>
      <w:r>
        <w:rPr>
          <w:rFonts w:hint="eastAsia" w:asciiTheme="minorEastAsia" w:hAnsiTheme="minorEastAsia" w:eastAsiaTheme="minorEastAsia"/>
          <w:bCs/>
          <w:lang w:eastAsia="zh-CN"/>
        </w:rPr>
        <w:t>福建福海创石油化工有限公司权属公司就</w:t>
      </w:r>
      <w:r>
        <w:rPr>
          <w:rFonts w:asciiTheme="minorEastAsia" w:hAnsiTheme="minorEastAsia" w:eastAsiaTheme="minorEastAsia"/>
          <w:bCs/>
          <w:lang w:eastAsia="zh-CN"/>
        </w:rPr>
        <w:t xml:space="preserve"> </w:t>
      </w:r>
      <w:r>
        <w:rPr>
          <w:rFonts w:hint="eastAsia" w:asciiTheme="minorEastAsia" w:hAnsiTheme="minorEastAsia" w:eastAsiaTheme="minorEastAsia"/>
          <w:bCs/>
          <w:lang w:eastAsia="zh-CN"/>
        </w:rPr>
        <w:t>“废铅酸蓄电池、废润滑油</w:t>
      </w:r>
      <w:r>
        <w:rPr>
          <w:rFonts w:hint="eastAsia" w:asciiTheme="minorEastAsia" w:hAnsiTheme="minorEastAsia" w:eastAsiaTheme="minorEastAsia"/>
          <w:bCs/>
          <w:spacing w:val="-2"/>
          <w:lang w:eastAsia="zh-CN"/>
        </w:rPr>
        <w:t>（项目编号：FHC-PTXS20221125114）”</w:t>
      </w:r>
      <w:r>
        <w:rPr>
          <w:rFonts w:hint="eastAsia" w:asciiTheme="minorEastAsia" w:hAnsiTheme="minorEastAsia" w:eastAsiaTheme="minorEastAsia"/>
          <w:bCs/>
          <w:lang w:eastAsia="zh-CN"/>
        </w:rPr>
        <w:t>进行国内公开比选，</w:t>
      </w:r>
      <w:r>
        <w:rPr>
          <w:rFonts w:hint="eastAsia" w:asciiTheme="minorEastAsia" w:hAnsiTheme="minorEastAsia" w:eastAsiaTheme="minorEastAsia"/>
          <w:bCs/>
          <w:spacing w:val="-2"/>
          <w:lang w:eastAsia="zh-CN"/>
        </w:rPr>
        <w:t>欢迎国内符合条件的供应商积极参选。</w:t>
      </w:r>
    </w:p>
    <w:p>
      <w:pPr>
        <w:pStyle w:val="26"/>
        <w:numPr>
          <w:ilvl w:val="0"/>
          <w:numId w:val="1"/>
        </w:numPr>
        <w:autoSpaceDE/>
        <w:autoSpaceDN/>
        <w:spacing w:before="0"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26"/>
        <w:numPr>
          <w:ilvl w:val="0"/>
          <w:numId w:val="2"/>
        </w:numPr>
        <w:autoSpaceDE/>
        <w:autoSpaceDN/>
        <w:spacing w:before="0" w:line="360" w:lineRule="auto"/>
        <w:ind w:left="440" w:leftChars="200" w:firstLine="440" w:firstLineChars="200"/>
        <w:rPr>
          <w:rFonts w:asciiTheme="minorEastAsia" w:hAnsiTheme="minorEastAsia" w:eastAsiaTheme="minorEastAsia"/>
          <w:bCs/>
          <w:lang w:eastAsia="zh-CN"/>
        </w:rPr>
      </w:pPr>
      <w:r>
        <w:rPr>
          <w:rFonts w:hint="eastAsia" w:asciiTheme="minorEastAsia" w:hAnsiTheme="minorEastAsia" w:eastAsiaTheme="minorEastAsia"/>
          <w:bCs/>
          <w:lang w:eastAsia="zh-CN"/>
        </w:rPr>
        <w:t>项目名称：废铅酸蓄电池、废润滑油等危废处置；</w:t>
      </w:r>
    </w:p>
    <w:p>
      <w:pPr>
        <w:pStyle w:val="26"/>
        <w:numPr>
          <w:ilvl w:val="0"/>
          <w:numId w:val="2"/>
        </w:numPr>
        <w:autoSpaceDE/>
        <w:autoSpaceDN/>
        <w:spacing w:before="0" w:line="360" w:lineRule="auto"/>
        <w:ind w:left="440" w:leftChars="200" w:firstLine="440" w:firstLineChars="200"/>
        <w:rPr>
          <w:rFonts w:asciiTheme="minorEastAsia" w:hAnsiTheme="minorEastAsia" w:eastAsiaTheme="minorEastAsia"/>
          <w:bCs/>
          <w:lang w:eastAsia="zh-CN"/>
        </w:rPr>
      </w:pPr>
      <w:r>
        <w:rPr>
          <w:rFonts w:asciiTheme="minorEastAsia" w:hAnsiTheme="minorEastAsia" w:eastAsiaTheme="minorEastAsia"/>
          <w:bCs/>
          <w:lang w:eastAsia="zh-CN"/>
        </w:rPr>
        <w:t>比选内容</w:t>
      </w:r>
      <w:r>
        <w:rPr>
          <w:rFonts w:hint="eastAsia" w:asciiTheme="minorEastAsia" w:hAnsiTheme="minorEastAsia" w:eastAsiaTheme="minorEastAsia"/>
          <w:bCs/>
          <w:lang w:eastAsia="zh-CN"/>
        </w:rPr>
        <w:t>：</w:t>
      </w:r>
    </w:p>
    <w:tbl>
      <w:tblPr>
        <w:tblStyle w:val="22"/>
        <w:tblW w:w="9773" w:type="dxa"/>
        <w:tblInd w:w="0" w:type="dxa"/>
        <w:tblLayout w:type="fixed"/>
        <w:tblCellMar>
          <w:top w:w="0" w:type="dxa"/>
          <w:left w:w="108" w:type="dxa"/>
          <w:bottom w:w="0" w:type="dxa"/>
          <w:right w:w="108" w:type="dxa"/>
        </w:tblCellMar>
      </w:tblPr>
      <w:tblGrid>
        <w:gridCol w:w="820"/>
        <w:gridCol w:w="820"/>
        <w:gridCol w:w="1899"/>
        <w:gridCol w:w="2268"/>
        <w:gridCol w:w="1276"/>
        <w:gridCol w:w="1556"/>
        <w:gridCol w:w="1134"/>
      </w:tblGrid>
      <w:tr>
        <w:tblPrEx>
          <w:tblLayout w:type="fixed"/>
          <w:tblCellMar>
            <w:top w:w="0" w:type="dxa"/>
            <w:left w:w="108" w:type="dxa"/>
            <w:bottom w:w="0" w:type="dxa"/>
            <w:right w:w="108" w:type="dxa"/>
          </w:tblCellMar>
        </w:tblPrEx>
        <w:trPr>
          <w:trHeight w:val="69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序号</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合同包</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名称</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危废类别及代码</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有害成分</w:t>
            </w:r>
          </w:p>
        </w:tc>
        <w:tc>
          <w:tcPr>
            <w:tcW w:w="15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预估量（吨）</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包装方式</w:t>
            </w:r>
          </w:p>
        </w:tc>
      </w:tr>
      <w:tr>
        <w:tblPrEx>
          <w:tblLayout w:type="fixed"/>
          <w:tblCellMar>
            <w:top w:w="0" w:type="dxa"/>
            <w:left w:w="108" w:type="dxa"/>
            <w:bottom w:w="0" w:type="dxa"/>
            <w:right w:w="108" w:type="dxa"/>
          </w:tblCellMar>
        </w:tblPrEx>
        <w:trPr>
          <w:trHeight w:val="73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val="en-US" w:eastAsia="zh-CN"/>
              </w:rPr>
              <w:t>1</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包1</w:t>
            </w:r>
          </w:p>
        </w:tc>
        <w:tc>
          <w:tcPr>
            <w:tcW w:w="1899"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废铅蓄电池</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HW49、900-044-49</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铅</w:t>
            </w:r>
          </w:p>
        </w:tc>
        <w:tc>
          <w:tcPr>
            <w:tcW w:w="1556"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val="en-US" w:eastAsia="zh-CN"/>
              </w:rPr>
              <w:t>48</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原包装</w:t>
            </w:r>
          </w:p>
        </w:tc>
      </w:tr>
      <w:tr>
        <w:tblPrEx>
          <w:tblLayout w:type="fixed"/>
          <w:tblCellMar>
            <w:top w:w="0" w:type="dxa"/>
            <w:left w:w="108" w:type="dxa"/>
            <w:bottom w:w="0" w:type="dxa"/>
            <w:right w:w="108" w:type="dxa"/>
          </w:tblCellMar>
        </w:tblPrEx>
        <w:trPr>
          <w:trHeight w:val="8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val="en-US" w:eastAsia="zh-CN"/>
              </w:rPr>
              <w:t>2</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包2</w:t>
            </w:r>
          </w:p>
        </w:tc>
        <w:tc>
          <w:tcPr>
            <w:tcW w:w="1899"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废润滑油</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HW08、900-217-08</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矿物油</w:t>
            </w:r>
          </w:p>
        </w:tc>
        <w:tc>
          <w:tcPr>
            <w:tcW w:w="1556"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val="en-US" w:eastAsia="zh-CN"/>
              </w:rPr>
              <w:t>218</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桶装</w:t>
            </w:r>
          </w:p>
        </w:tc>
      </w:tr>
      <w:tr>
        <w:tblPrEx>
          <w:tblLayout w:type="fixed"/>
          <w:tblCellMar>
            <w:top w:w="0" w:type="dxa"/>
            <w:left w:w="108" w:type="dxa"/>
            <w:bottom w:w="0" w:type="dxa"/>
            <w:right w:w="108" w:type="dxa"/>
          </w:tblCellMar>
        </w:tblPrEx>
        <w:trPr>
          <w:trHeight w:val="43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合计</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899"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556"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val="en-US" w:eastAsia="zh-CN"/>
              </w:rPr>
              <w:t>266</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r>
    </w:tbl>
    <w:p>
      <w:pPr>
        <w:pStyle w:val="26"/>
        <w:autoSpaceDE/>
        <w:autoSpaceDN/>
        <w:spacing w:before="0" w:line="360" w:lineRule="auto"/>
        <w:ind w:left="880" w:firstLine="0"/>
        <w:rPr>
          <w:rFonts w:asciiTheme="minorEastAsia" w:hAnsiTheme="minorEastAsia" w:eastAsiaTheme="minorEastAsia"/>
          <w:bCs/>
          <w:lang w:eastAsia="zh-CN"/>
        </w:rPr>
      </w:pPr>
    </w:p>
    <w:p>
      <w:pPr>
        <w:pStyle w:val="24"/>
        <w:spacing w:line="360" w:lineRule="auto"/>
        <w:ind w:left="440" w:leftChars="200" w:firstLine="432" w:firstLineChars="200"/>
        <w:jc w:val="left"/>
        <w:rPr>
          <w:rFonts w:cs="宋体" w:asciiTheme="minorEastAsia" w:hAnsiTheme="minorEastAsia" w:eastAsiaTheme="minorEastAsia"/>
          <w:bCs/>
          <w:sz w:val="22"/>
        </w:rPr>
      </w:pPr>
      <w:r>
        <w:rPr>
          <w:rFonts w:hint="eastAsia" w:hAnsi="宋体" w:cs="宋体"/>
          <w:bCs/>
          <w:spacing w:val="-2"/>
          <w:sz w:val="22"/>
          <w:szCs w:val="21"/>
        </w:rPr>
        <w:t>备</w:t>
      </w:r>
      <w:r>
        <w:rPr>
          <w:rFonts w:hint="eastAsia" w:cs="宋体" w:asciiTheme="minorEastAsia" w:hAnsiTheme="minorEastAsia" w:eastAsiaTheme="minorEastAsia"/>
          <w:bCs/>
          <w:sz w:val="22"/>
        </w:rPr>
        <w:t>注：1</w:t>
      </w:r>
      <w:r>
        <w:rPr>
          <w:rFonts w:cs="宋体" w:asciiTheme="minorEastAsia" w:hAnsiTheme="minorEastAsia" w:eastAsiaTheme="minorEastAsia"/>
          <w:bCs/>
          <w:sz w:val="22"/>
        </w:rPr>
        <w:t>.</w:t>
      </w:r>
      <w:r>
        <w:rPr>
          <w:rFonts w:hint="eastAsia" w:cs="宋体" w:asciiTheme="minorEastAsia" w:hAnsiTheme="minorEastAsia" w:eastAsiaTheme="minorEastAsia"/>
          <w:bCs/>
          <w:sz w:val="22"/>
        </w:rPr>
        <w:t>交货/工程地点：福建福海创石油化工有限公司</w:t>
      </w:r>
    </w:p>
    <w:p>
      <w:pPr>
        <w:autoSpaceDE/>
        <w:autoSpaceDN/>
        <w:spacing w:line="360" w:lineRule="auto"/>
        <w:ind w:left="880" w:leftChars="400" w:firstLine="660" w:firstLineChars="300"/>
        <w:rPr>
          <w:rFonts w:asciiTheme="minorEastAsia" w:hAnsiTheme="minorEastAsia" w:eastAsiaTheme="minorEastAsia"/>
          <w:bCs/>
          <w:lang w:eastAsia="zh-CN"/>
        </w:rPr>
      </w:pPr>
      <w:r>
        <w:rPr>
          <w:rFonts w:asciiTheme="minorEastAsia" w:hAnsiTheme="minorEastAsia" w:eastAsiaTheme="minorEastAsia"/>
          <w:bCs/>
          <w:lang w:eastAsia="zh-CN"/>
        </w:rPr>
        <w:t>2</w:t>
      </w:r>
      <w:r>
        <w:rPr>
          <w:rFonts w:hint="eastAsia" w:asciiTheme="minorEastAsia" w:hAnsiTheme="minorEastAsia" w:eastAsiaTheme="minorEastAsia"/>
          <w:bCs/>
          <w:lang w:eastAsia="zh-CN"/>
        </w:rPr>
        <w:t>、</w:t>
      </w:r>
      <w:r>
        <w:rPr>
          <w:rFonts w:asciiTheme="minorEastAsia" w:hAnsiTheme="minorEastAsia" w:eastAsiaTheme="minorEastAsia"/>
          <w:bCs/>
          <w:lang w:eastAsia="zh-CN"/>
        </w:rPr>
        <w:t>共分为2</w:t>
      </w:r>
      <w:r>
        <w:rPr>
          <w:rFonts w:hint="eastAsia" w:asciiTheme="minorEastAsia" w:hAnsiTheme="minorEastAsia" w:eastAsiaTheme="minorEastAsia"/>
          <w:bCs/>
          <w:lang w:eastAsia="zh-CN"/>
        </w:rPr>
        <w:t>个合同包，参选人可参选不同合同包，但必须对同一个合同包中的全部物资与服务进行参选，不得仅对合同包中的部分物资或服务进行参选，否则其比选文件将被拒绝。</w:t>
      </w:r>
    </w:p>
    <w:p>
      <w:pPr>
        <w:pStyle w:val="26"/>
        <w:numPr>
          <w:ilvl w:val="0"/>
          <w:numId w:val="1"/>
        </w:numPr>
        <w:autoSpaceDE/>
        <w:autoSpaceDN/>
        <w:spacing w:before="0"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26"/>
        <w:numPr>
          <w:ilvl w:val="0"/>
          <w:numId w:val="3"/>
        </w:numPr>
        <w:autoSpaceDE/>
        <w:autoSpaceDN/>
        <w:spacing w:before="0" w:line="360" w:lineRule="auto"/>
        <w:ind w:left="440" w:leftChars="200" w:firstLine="480" w:firstLineChars="200"/>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参选人</w:t>
      </w:r>
      <w:r>
        <w:rPr>
          <w:rFonts w:hint="eastAsia" w:asciiTheme="minorEastAsia" w:hAnsiTheme="minorEastAsia" w:eastAsiaTheme="minorEastAsia"/>
          <w:bCs/>
          <w:sz w:val="24"/>
          <w:szCs w:val="24"/>
          <w:lang w:eastAsia="zh-CN"/>
        </w:rPr>
        <w:t>在中华人民共和国大陆境内合法注册的独立法人资格；</w:t>
      </w:r>
    </w:p>
    <w:p>
      <w:pPr>
        <w:pStyle w:val="6"/>
        <w:numPr>
          <w:ilvl w:val="0"/>
          <w:numId w:val="3"/>
        </w:numPr>
        <w:snapToGrid w:val="0"/>
        <w:spacing w:line="360" w:lineRule="auto"/>
        <w:ind w:left="440" w:leftChars="20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参选人须有</w:t>
      </w:r>
      <w:r>
        <w:rPr>
          <w:rFonts w:cs="宋体" w:asciiTheme="minorEastAsia" w:hAnsiTheme="minorEastAsia" w:eastAsiaTheme="minorEastAsia"/>
          <w:bCs/>
          <w:kern w:val="0"/>
          <w:sz w:val="24"/>
          <w:szCs w:val="24"/>
        </w:rPr>
        <w:t>提供所投标危险废物处理项目的所有</w:t>
      </w:r>
      <w:r>
        <w:rPr>
          <w:rFonts w:hint="eastAsia" w:cs="宋体" w:asciiTheme="minorEastAsia" w:hAnsiTheme="minorEastAsia" w:eastAsiaTheme="minorEastAsia"/>
          <w:bCs/>
          <w:kern w:val="0"/>
          <w:sz w:val="24"/>
          <w:szCs w:val="24"/>
        </w:rPr>
        <w:t>危废类别及代码</w:t>
      </w:r>
      <w:r>
        <w:rPr>
          <w:rFonts w:cs="宋体" w:asciiTheme="minorEastAsia" w:hAnsiTheme="minorEastAsia" w:eastAsiaTheme="minorEastAsia"/>
          <w:bCs/>
          <w:kern w:val="0"/>
          <w:sz w:val="24"/>
          <w:szCs w:val="24"/>
        </w:rPr>
        <w:t>资质，危险废物经营资质期限需符合国家相关要求</w:t>
      </w:r>
    </w:p>
    <w:p>
      <w:pPr>
        <w:pStyle w:val="16"/>
        <w:numPr>
          <w:ilvl w:val="0"/>
          <w:numId w:val="3"/>
        </w:numPr>
        <w:shd w:val="clear" w:color="auto" w:fill="FFFFFF"/>
        <w:spacing w:line="360" w:lineRule="auto"/>
        <w:ind w:left="440" w:leftChars="200" w:firstLine="480" w:firstLineChars="200"/>
        <w:rPr>
          <w:rFonts w:asciiTheme="minorEastAsia" w:hAnsiTheme="minorEastAsia" w:eastAsiaTheme="minorEastAsia"/>
          <w:bCs/>
        </w:rPr>
      </w:pPr>
      <w:r>
        <w:rPr>
          <w:rFonts w:asciiTheme="minorEastAsia" w:hAnsiTheme="minorEastAsia" w:eastAsiaTheme="minorEastAsia"/>
          <w:bCs/>
        </w:rPr>
        <w:t xml:space="preserve">危废运输：承包商或与其签订运输合同的运输单位需持有《道路运输经营许可证》，该证的经营范围必须包括拟承运的危险废物种类； </w:t>
      </w:r>
    </w:p>
    <w:p>
      <w:pPr>
        <w:pStyle w:val="26"/>
        <w:numPr>
          <w:ilvl w:val="0"/>
          <w:numId w:val="3"/>
        </w:numPr>
        <w:autoSpaceDE/>
        <w:autoSpaceDN/>
        <w:spacing w:before="0" w:line="360" w:lineRule="auto"/>
        <w:ind w:left="440" w:leftChars="200"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w:t>
      </w:r>
    </w:p>
    <w:p>
      <w:pPr>
        <w:pStyle w:val="26"/>
        <w:numPr>
          <w:ilvl w:val="0"/>
          <w:numId w:val="3"/>
        </w:numPr>
        <w:autoSpaceDE/>
        <w:autoSpaceDN/>
        <w:spacing w:before="0" w:line="360" w:lineRule="auto"/>
        <w:ind w:left="440" w:leftChars="200"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与比选人无诉讼纠纷。</w:t>
      </w:r>
    </w:p>
    <w:p>
      <w:pPr>
        <w:pStyle w:val="26"/>
        <w:numPr>
          <w:ilvl w:val="0"/>
          <w:numId w:val="1"/>
        </w:numPr>
        <w:autoSpaceDE/>
        <w:autoSpaceDN/>
        <w:spacing w:before="0"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获取比选文件</w:t>
      </w:r>
    </w:p>
    <w:p>
      <w:pPr>
        <w:spacing w:line="360" w:lineRule="auto"/>
        <w:ind w:left="440" w:leftChars="200" w:firstLine="480" w:firstLineChars="200"/>
        <w:rPr>
          <w:spacing w:val="8"/>
          <w:sz w:val="24"/>
          <w:szCs w:val="24"/>
          <w:lang w:eastAsia="zh-CN"/>
        </w:rPr>
      </w:pPr>
      <w:r>
        <w:rPr>
          <w:rFonts w:hint="eastAsia" w:asciiTheme="minorEastAsia" w:hAnsiTheme="minorEastAsia" w:eastAsiaTheme="minorEastAsia"/>
          <w:bCs/>
          <w:sz w:val="24"/>
          <w:szCs w:val="24"/>
          <w:lang w:eastAsia="zh-CN"/>
        </w:rPr>
        <w:t>1</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报名时间：202</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lang w:eastAsia="zh-CN"/>
        </w:rPr>
        <w:t>年</w:t>
      </w:r>
      <w:r>
        <w:rPr>
          <w:rFonts w:hint="eastAsia" w:asciiTheme="minorEastAsia" w:hAnsiTheme="minorEastAsia" w:eastAsiaTheme="minorEastAsia"/>
          <w:bCs/>
          <w:sz w:val="24"/>
          <w:szCs w:val="24"/>
          <w:lang w:val="en-US" w:eastAsia="zh-CN"/>
        </w:rPr>
        <w:t xml:space="preserve"> 2 </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 xml:space="preserve"> 2 </w:t>
      </w:r>
      <w:r>
        <w:rPr>
          <w:rFonts w:hint="eastAsia" w:asciiTheme="minorEastAsia" w:hAnsiTheme="minorEastAsia" w:eastAsiaTheme="minorEastAsia"/>
          <w:bCs/>
          <w:sz w:val="24"/>
          <w:szCs w:val="24"/>
          <w:lang w:eastAsia="zh-CN"/>
        </w:rPr>
        <w:t>日至202</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lang w:eastAsia="zh-CN"/>
        </w:rPr>
        <w:t>年</w:t>
      </w:r>
      <w:r>
        <w:rPr>
          <w:rFonts w:hint="eastAsia" w:asciiTheme="minorEastAsia" w:hAnsiTheme="minorEastAsia" w:eastAsiaTheme="minorEastAsia"/>
          <w:bCs/>
          <w:sz w:val="24"/>
          <w:szCs w:val="24"/>
          <w:lang w:val="en-US" w:eastAsia="zh-CN"/>
        </w:rPr>
        <w:t xml:space="preserve"> 2 </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 xml:space="preserve"> 11 </w:t>
      </w:r>
      <w:r>
        <w:rPr>
          <w:rFonts w:hint="eastAsia" w:asciiTheme="minorEastAsia" w:hAnsiTheme="minorEastAsia" w:eastAsiaTheme="minorEastAsia"/>
          <w:bCs/>
          <w:sz w:val="24"/>
          <w:szCs w:val="24"/>
          <w:lang w:eastAsia="zh-CN"/>
        </w:rPr>
        <w:t>日（共</w:t>
      </w:r>
      <w:r>
        <w:rPr>
          <w:rFonts w:asciiTheme="minorEastAsia" w:hAnsiTheme="minorEastAsia" w:eastAsiaTheme="minorEastAsia"/>
          <w:bCs/>
          <w:sz w:val="24"/>
          <w:szCs w:val="24"/>
          <w:lang w:eastAsia="zh-CN"/>
        </w:rPr>
        <w:t>10</w:t>
      </w:r>
      <w:r>
        <w:rPr>
          <w:rFonts w:hint="eastAsia" w:asciiTheme="minorEastAsia" w:hAnsiTheme="minorEastAsia" w:eastAsiaTheme="minorEastAsia"/>
          <w:bCs/>
          <w:sz w:val="24"/>
          <w:szCs w:val="24"/>
          <w:lang w:eastAsia="zh-CN"/>
        </w:rPr>
        <w:t>天）</w:t>
      </w:r>
      <w:r>
        <w:rPr>
          <w:rFonts w:hint="eastAsia"/>
          <w:spacing w:val="8"/>
          <w:sz w:val="24"/>
          <w:szCs w:val="24"/>
          <w:lang w:eastAsia="zh-CN"/>
        </w:rPr>
        <w:t>，福建福海创石油化工有限公司（办公地址：</w:t>
      </w:r>
      <w:r>
        <w:rPr>
          <w:rFonts w:hint="eastAsia" w:cs="宋体" w:asciiTheme="majorEastAsia" w:hAnsiTheme="majorEastAsia" w:eastAsiaTheme="majorEastAsia"/>
          <w:b w:val="0"/>
          <w:bCs/>
          <w:sz w:val="24"/>
          <w:szCs w:val="24"/>
          <w:lang w:val="en-US" w:eastAsia="zh-CN" w:bidi="ar-SA"/>
        </w:rPr>
        <w:t>福建省漳州市漳浦县杜浔镇杜昌路9号福建福海创石油化工有限公司办公楼三楼设备及服务团队，联系人：</w:t>
      </w:r>
      <w:r>
        <w:rPr>
          <w:rFonts w:hint="eastAsia" w:cs="宋体" w:asciiTheme="majorEastAsia" w:hAnsiTheme="majorEastAsia" w:eastAsiaTheme="majorEastAsia"/>
          <w:b w:val="0"/>
          <w:bCs/>
          <w:color w:val="auto"/>
          <w:sz w:val="24"/>
          <w:szCs w:val="24"/>
          <w:lang w:val="en-US" w:eastAsia="zh-CN" w:bidi="ar-SA"/>
        </w:rPr>
        <w:t>许坤宏  电话：13055516565</w:t>
      </w:r>
      <w:r>
        <w:rPr>
          <w:rFonts w:hint="eastAsia"/>
          <w:spacing w:val="8"/>
          <w:sz w:val="24"/>
          <w:szCs w:val="24"/>
          <w:lang w:eastAsia="zh-CN"/>
        </w:rPr>
        <w:t>）现场或邮件报名，报名邮箱为</w:t>
      </w:r>
      <w:r>
        <w:rPr>
          <w:rFonts w:hint="eastAsia" w:asciiTheme="minorEastAsia" w:hAnsiTheme="minorEastAsia" w:eastAsiaTheme="minorEastAsia"/>
          <w:bCs/>
          <w:sz w:val="24"/>
          <w:szCs w:val="24"/>
          <w:lang w:val="en-US" w:eastAsia="zh-CN"/>
        </w:rPr>
        <w:t>xukh</w:t>
      </w:r>
      <w:r>
        <w:rPr>
          <w:rFonts w:asciiTheme="minorEastAsia" w:hAnsiTheme="minorEastAsia" w:eastAsiaTheme="minorEastAsia"/>
          <w:bCs/>
          <w:sz w:val="24"/>
          <w:szCs w:val="24"/>
          <w:lang w:eastAsia="zh-CN"/>
        </w:rPr>
        <w:t>@f</w:t>
      </w:r>
      <w:r>
        <w:rPr>
          <w:rFonts w:hint="eastAsia" w:asciiTheme="minorEastAsia" w:hAnsiTheme="minorEastAsia" w:eastAsiaTheme="minorEastAsia"/>
          <w:bCs/>
          <w:sz w:val="24"/>
          <w:szCs w:val="24"/>
          <w:lang w:val="en-US" w:eastAsia="zh-CN"/>
        </w:rPr>
        <w:t>j</w:t>
      </w:r>
      <w:r>
        <w:rPr>
          <w:rFonts w:asciiTheme="minorEastAsia" w:hAnsiTheme="minorEastAsia" w:eastAsiaTheme="minorEastAsia"/>
          <w:bCs/>
          <w:sz w:val="24"/>
          <w:szCs w:val="24"/>
          <w:lang w:eastAsia="zh-CN"/>
        </w:rPr>
        <w:t>pec.com.cn</w:t>
      </w:r>
      <w:r>
        <w:rPr>
          <w:rFonts w:hint="eastAsia" w:asciiTheme="minorEastAsia" w:hAnsiTheme="minorEastAsia" w:eastAsiaTheme="minorEastAsia"/>
          <w:bCs/>
          <w:sz w:val="24"/>
          <w:szCs w:val="24"/>
          <w:lang w:eastAsia="zh-CN"/>
        </w:rPr>
        <w:t>，</w:t>
      </w:r>
      <w:r>
        <w:rPr>
          <w:rFonts w:hint="eastAsia"/>
          <w:spacing w:val="8"/>
          <w:sz w:val="24"/>
          <w:szCs w:val="24"/>
          <w:lang w:eastAsia="zh-CN"/>
        </w:rPr>
        <w:t>报名时需递交以下文件：</w:t>
      </w:r>
    </w:p>
    <w:p>
      <w:pPr>
        <w:pStyle w:val="26"/>
        <w:numPr>
          <w:ilvl w:val="0"/>
          <w:numId w:val="4"/>
        </w:numPr>
        <w:spacing w:before="0" w:line="360" w:lineRule="auto"/>
        <w:ind w:left="440" w:leftChars="200" w:firstLine="512" w:firstLineChars="200"/>
        <w:rPr>
          <w:spacing w:val="8"/>
          <w:sz w:val="24"/>
          <w:szCs w:val="24"/>
          <w:lang w:eastAsia="zh-CN"/>
        </w:rPr>
      </w:pPr>
      <w:r>
        <w:rPr>
          <w:rFonts w:hint="eastAsia"/>
          <w:spacing w:val="8"/>
          <w:sz w:val="24"/>
          <w:szCs w:val="24"/>
          <w:lang w:eastAsia="zh-CN"/>
        </w:rPr>
        <w:t>针对本项目的法人授权委托书（格式详见附件）；</w:t>
      </w:r>
    </w:p>
    <w:p>
      <w:pPr>
        <w:pStyle w:val="26"/>
        <w:numPr>
          <w:ilvl w:val="0"/>
          <w:numId w:val="4"/>
        </w:numPr>
        <w:autoSpaceDE/>
        <w:autoSpaceDN/>
        <w:spacing w:before="0" w:line="360" w:lineRule="auto"/>
        <w:ind w:left="440" w:leftChars="200" w:firstLine="512" w:firstLineChars="200"/>
        <w:rPr>
          <w:rFonts w:asciiTheme="minorEastAsia" w:hAnsiTheme="minorEastAsia" w:eastAsiaTheme="minorEastAsia"/>
          <w:bCs/>
          <w:sz w:val="24"/>
          <w:szCs w:val="24"/>
          <w:lang w:eastAsia="zh-CN"/>
        </w:rPr>
      </w:pPr>
      <w:r>
        <w:rPr>
          <w:rFonts w:hint="eastAsia"/>
          <w:spacing w:val="8"/>
          <w:sz w:val="24"/>
          <w:szCs w:val="24"/>
          <w:lang w:eastAsia="zh-CN"/>
        </w:rPr>
        <w:t>营业执照及危废处置资质及运输单位资质（加盖单位公章的复印件）；</w:t>
      </w:r>
    </w:p>
    <w:p>
      <w:pPr>
        <w:pStyle w:val="26"/>
        <w:autoSpaceDE/>
        <w:autoSpaceDN/>
        <w:spacing w:before="0" w:line="360" w:lineRule="auto"/>
        <w:ind w:left="936" w:firstLine="0"/>
        <w:rPr>
          <w:rFonts w:asciiTheme="minorEastAsia" w:hAnsiTheme="minorEastAsia" w:eastAsia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pPr>
        <w:pStyle w:val="26"/>
        <w:numPr>
          <w:ilvl w:val="0"/>
          <w:numId w:val="1"/>
        </w:numPr>
        <w:autoSpaceDE/>
        <w:autoSpaceDN/>
        <w:spacing w:before="0"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参选保证金</w:t>
      </w:r>
    </w:p>
    <w:p>
      <w:pPr>
        <w:pStyle w:val="26"/>
        <w:numPr>
          <w:ilvl w:val="1"/>
          <w:numId w:val="1"/>
        </w:numPr>
        <w:spacing w:before="0"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本项目参选保证金的金额为：人民币贰仟元（￥</w:t>
      </w:r>
      <w:r>
        <w:rPr>
          <w:rFonts w:asciiTheme="minorEastAsia" w:hAnsiTheme="minorEastAsia" w:eastAsiaTheme="minorEastAsia"/>
          <w:sz w:val="24"/>
          <w:szCs w:val="24"/>
          <w:lang w:eastAsia="zh-CN"/>
        </w:rPr>
        <w:t>2,000.00元</w:t>
      </w:r>
      <w:r>
        <w:rPr>
          <w:rFonts w:hint="eastAsia" w:asciiTheme="minorEastAsia" w:hAnsiTheme="minorEastAsia" w:eastAsiaTheme="minorEastAsia"/>
          <w:sz w:val="24"/>
          <w:szCs w:val="24"/>
          <w:lang w:eastAsia="zh-CN"/>
        </w:rPr>
        <w:t>）；</w:t>
      </w:r>
    </w:p>
    <w:p>
      <w:pPr>
        <w:pStyle w:val="26"/>
        <w:spacing w:before="0" w:line="360" w:lineRule="auto"/>
        <w:ind w:left="440" w:leftChars="20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提交参选文件</w:t>
      </w:r>
      <w:r>
        <w:rPr>
          <w:rFonts w:hint="eastAsia" w:asciiTheme="minorEastAsia" w:hAnsiTheme="minorEastAsia" w:eastAsiaTheme="minorEastAsia"/>
          <w:sz w:val="24"/>
          <w:szCs w:val="24"/>
          <w:lang w:eastAsia="zh-CN"/>
        </w:rPr>
        <w:t>之前汇达参选保证金指定账户；</w:t>
      </w:r>
    </w:p>
    <w:p>
      <w:pPr>
        <w:pStyle w:val="26"/>
        <w:spacing w:before="0" w:line="360" w:lineRule="auto"/>
        <w:ind w:left="440" w:leftChars="200" w:firstLine="480" w:firstLineChars="200"/>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、参选保证金提交的方式：应从参选人基本账户以电汇或银行转账方式提交，并应在电汇或银行转账单上注明为本项目的参选保证金；</w:t>
      </w:r>
    </w:p>
    <w:p>
      <w:pPr>
        <w:pStyle w:val="26"/>
        <w:spacing w:before="0" w:line="360" w:lineRule="auto"/>
        <w:ind w:left="440" w:leftChars="20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、参选保证金指定账户：</w:t>
      </w:r>
    </w:p>
    <w:p>
      <w:pPr>
        <w:pStyle w:val="26"/>
        <w:spacing w:before="0" w:line="360" w:lineRule="auto"/>
        <w:ind w:left="44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开户名称：</w:t>
      </w:r>
      <w:r>
        <w:rPr>
          <w:rFonts w:hint="eastAsia" w:asciiTheme="minorEastAsia" w:hAnsiTheme="minorEastAsia" w:eastAsiaTheme="minorEastAsia"/>
          <w:spacing w:val="8"/>
          <w:sz w:val="24"/>
          <w:szCs w:val="24"/>
          <w:lang w:eastAsia="zh-CN"/>
        </w:rPr>
        <w:t>福建福海创石油化工有限公司</w:t>
      </w:r>
      <w:r>
        <w:rPr>
          <w:rFonts w:asciiTheme="minorEastAsia" w:hAnsiTheme="minorEastAsia" w:eastAsiaTheme="minorEastAsia"/>
          <w:sz w:val="24"/>
          <w:szCs w:val="24"/>
          <w:lang w:eastAsia="zh-CN"/>
        </w:rPr>
        <w:t xml:space="preserve"> </w:t>
      </w:r>
    </w:p>
    <w:p>
      <w:pPr>
        <w:pStyle w:val="26"/>
        <w:spacing w:before="0" w:line="360" w:lineRule="auto"/>
        <w:ind w:left="44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开户银行：中国银行股份有限公司漳州古雷经济开发区支行</w:t>
      </w:r>
    </w:p>
    <w:p>
      <w:pPr>
        <w:pStyle w:val="26"/>
        <w:spacing w:before="0" w:line="360" w:lineRule="auto"/>
        <w:ind w:left="44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帐</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号：</w:t>
      </w:r>
      <w:r>
        <w:rPr>
          <w:rFonts w:asciiTheme="minorEastAsia" w:hAnsiTheme="minorEastAsia" w:eastAsiaTheme="minorEastAsia"/>
          <w:sz w:val="24"/>
          <w:szCs w:val="24"/>
          <w:lang w:eastAsia="zh-CN"/>
        </w:rPr>
        <w:t>406574816628</w:t>
      </w:r>
    </w:p>
    <w:p>
      <w:pPr>
        <w:spacing w:line="360" w:lineRule="auto"/>
        <w:ind w:left="440" w:leftChars="200" w:firstLine="480"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z w:val="24"/>
          <w:szCs w:val="24"/>
          <w:lang w:eastAsia="zh-CN"/>
        </w:rPr>
        <w:t>注明用途：</w:t>
      </w:r>
      <w:r>
        <w:rPr>
          <w:rFonts w:hint="eastAsia" w:asciiTheme="minorEastAsia" w:hAnsiTheme="minorEastAsia" w:eastAsiaTheme="minorEastAsia"/>
          <w:spacing w:val="8"/>
          <w:sz w:val="24"/>
          <w:szCs w:val="24"/>
          <w:lang w:eastAsia="zh-CN"/>
        </w:rPr>
        <w:t>废铅酸蓄电池、废润滑油等危废处置</w:t>
      </w:r>
    </w:p>
    <w:p>
      <w:pPr>
        <w:pStyle w:val="26"/>
        <w:spacing w:before="0" w:line="360" w:lineRule="auto"/>
        <w:ind w:left="44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w:t>
      </w:r>
      <w:r>
        <w:rPr>
          <w:rFonts w:asciiTheme="minorEastAsia" w:hAnsiTheme="minorEastAsia" w:eastAsiaTheme="minorEastAsia"/>
          <w:sz w:val="24"/>
          <w:szCs w:val="24"/>
          <w:lang w:eastAsia="zh-CN"/>
        </w:rPr>
        <w:t>90</w:t>
      </w:r>
      <w:r>
        <w:rPr>
          <w:rFonts w:hint="eastAsia" w:asciiTheme="minorEastAsia" w:hAnsiTheme="minorEastAsia" w:eastAsiaTheme="minorEastAsia"/>
          <w:sz w:val="24"/>
          <w:szCs w:val="24"/>
          <w:lang w:eastAsia="zh-CN"/>
        </w:rPr>
        <w:t>日历天。</w:t>
      </w:r>
    </w:p>
    <w:p>
      <w:pPr>
        <w:pStyle w:val="26"/>
        <w:spacing w:before="0" w:line="360" w:lineRule="auto"/>
        <w:ind w:left="440" w:leftChars="200" w:firstLine="480" w:firstLineChars="200"/>
        <w:rPr>
          <w:rFonts w:asciiTheme="minorEastAsia" w:hAnsiTheme="minorEastAsia" w:eastAsiaTheme="minorEastAsia"/>
          <w:bCs/>
          <w:sz w:val="24"/>
          <w:szCs w:val="24"/>
          <w:u w:val="double"/>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spacing w:line="360" w:lineRule="auto"/>
        <w:ind w:left="440" w:leftChars="200"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5、参选保证金的退回</w:t>
      </w:r>
    </w:p>
    <w:p>
      <w:pPr>
        <w:spacing w:line="360" w:lineRule="auto"/>
        <w:ind w:left="440" w:leftChars="200"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本项目比选结束后，未中选的参选人其所递交的参选保证金将于本项目合同签订后退回至参选人</w:t>
      </w:r>
      <w:r>
        <w:rPr>
          <w:rFonts w:hint="eastAsia" w:asciiTheme="minorEastAsia" w:hAnsiTheme="minorEastAsia" w:eastAsiaTheme="minorEastAsia"/>
          <w:sz w:val="24"/>
          <w:szCs w:val="24"/>
          <w:lang w:eastAsia="zh-CN"/>
        </w:rPr>
        <w:t>基本账户</w:t>
      </w:r>
      <w:r>
        <w:rPr>
          <w:rFonts w:hint="eastAsia" w:asciiTheme="minorEastAsia" w:hAnsiTheme="minorEastAsia" w:eastAsiaTheme="minorEastAsia"/>
          <w:spacing w:val="8"/>
          <w:sz w:val="24"/>
          <w:szCs w:val="24"/>
          <w:lang w:eastAsia="zh-CN"/>
        </w:rPr>
        <w:t>。</w:t>
      </w:r>
    </w:p>
    <w:p>
      <w:pPr>
        <w:spacing w:line="360" w:lineRule="auto"/>
        <w:ind w:left="440" w:leftChars="200"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6、履约保证金</w:t>
      </w:r>
    </w:p>
    <w:p>
      <w:pPr>
        <w:pStyle w:val="6"/>
        <w:snapToGrid w:val="0"/>
        <w:spacing w:line="360" w:lineRule="auto"/>
        <w:ind w:left="440" w:leftChars="200" w:firstLine="512" w:firstLineChars="200"/>
        <w:jc w:val="left"/>
        <w:rPr>
          <w:rFonts w:asciiTheme="minorEastAsia" w:hAnsiTheme="minorEastAsia" w:eastAsiaTheme="minorEastAsia"/>
          <w:b/>
          <w:bCs/>
          <w:sz w:val="24"/>
          <w:szCs w:val="24"/>
        </w:rPr>
      </w:pPr>
      <w:r>
        <w:rPr>
          <w:rFonts w:hint="eastAsia" w:asciiTheme="minorEastAsia" w:hAnsiTheme="minorEastAsia" w:eastAsiaTheme="minorEastAsia"/>
          <w:spacing w:val="8"/>
          <w:sz w:val="24"/>
          <w:szCs w:val="24"/>
        </w:rPr>
        <w:t>中选参选人的参选保证金将转为履约保证金。</w:t>
      </w:r>
    </w:p>
    <w:p>
      <w:pPr>
        <w:pStyle w:val="26"/>
        <w:numPr>
          <w:ilvl w:val="0"/>
          <w:numId w:val="1"/>
        </w:numPr>
        <w:autoSpaceDE/>
        <w:autoSpaceDN/>
        <w:spacing w:before="0"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参选文件递交要求</w:t>
      </w:r>
    </w:p>
    <w:p>
      <w:pPr>
        <w:pStyle w:val="26"/>
        <w:numPr>
          <w:ilvl w:val="0"/>
          <w:numId w:val="5"/>
        </w:numPr>
        <w:autoSpaceDE/>
        <w:autoSpaceDN/>
        <w:spacing w:before="0" w:line="360" w:lineRule="auto"/>
        <w:jc w:val="both"/>
        <w:rPr>
          <w:rFonts w:asciiTheme="minorEastAsia" w:hAnsiTheme="minorEastAsia" w:eastAsiaTheme="minorEastAsia"/>
          <w:bCs/>
          <w:color w:val="FF0000"/>
          <w:sz w:val="24"/>
          <w:szCs w:val="24"/>
          <w:lang w:eastAsia="zh-CN"/>
        </w:rPr>
      </w:pPr>
      <w:r>
        <w:rPr>
          <w:rFonts w:hint="eastAsia" w:asciiTheme="minorEastAsia" w:hAnsiTheme="minorEastAsia" w:eastAsiaTheme="minorEastAsia"/>
          <w:bCs/>
          <w:sz w:val="24"/>
          <w:szCs w:val="24"/>
          <w:lang w:eastAsia="zh-CN"/>
        </w:rPr>
        <w:t>参选文件递交地点：</w:t>
      </w:r>
      <w:r>
        <w:rPr>
          <w:rFonts w:hint="eastAsia" w:cs="宋体" w:asciiTheme="majorEastAsia" w:hAnsiTheme="majorEastAsia" w:eastAsiaTheme="majorEastAsia"/>
          <w:b w:val="0"/>
          <w:bCs/>
          <w:sz w:val="24"/>
          <w:szCs w:val="24"/>
          <w:lang w:val="en-US" w:eastAsia="zh-CN" w:bidi="ar-SA"/>
        </w:rPr>
        <w:t>福建省漳州市漳浦县杜浔镇杜昌路9号福建福海创石油化工有限公司办公楼三楼设备及服务团队</w:t>
      </w:r>
    </w:p>
    <w:p>
      <w:pPr>
        <w:pStyle w:val="26"/>
        <w:numPr>
          <w:ilvl w:val="0"/>
          <w:numId w:val="5"/>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递交截止时间（收到参选文件时间）： 202</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lang w:eastAsia="zh-CN"/>
        </w:rPr>
        <w:t>年</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 xml:space="preserve">13 </w:t>
      </w:r>
      <w:r>
        <w:rPr>
          <w:rFonts w:hint="eastAsia" w:asciiTheme="minorEastAsia" w:hAnsiTheme="minorEastAsia" w:eastAsiaTheme="minorEastAsia"/>
          <w:bCs/>
          <w:sz w:val="24"/>
          <w:szCs w:val="24"/>
          <w:lang w:eastAsia="zh-CN"/>
        </w:rPr>
        <w:t xml:space="preserve">日 </w:t>
      </w:r>
      <w:r>
        <w:rPr>
          <w:rFonts w:asciiTheme="minorEastAsia" w:hAnsiTheme="minorEastAsia" w:eastAsiaTheme="minorEastAsia"/>
          <w:bCs/>
          <w:sz w:val="24"/>
          <w:szCs w:val="24"/>
          <w:lang w:eastAsia="zh-CN"/>
        </w:rPr>
        <w:t>14</w:t>
      </w:r>
      <w:r>
        <w:rPr>
          <w:rFonts w:hint="eastAsia" w:asciiTheme="minorEastAsia" w:hAnsiTheme="minorEastAsia" w:eastAsiaTheme="minorEastAsia"/>
          <w:bCs/>
          <w:sz w:val="24"/>
          <w:szCs w:val="24"/>
          <w:lang w:eastAsia="zh-CN"/>
        </w:rPr>
        <w:t>:0</w:t>
      </w:r>
      <w:r>
        <w:rPr>
          <w:rFonts w:asciiTheme="minorEastAsia" w:hAnsiTheme="minorEastAsia" w:eastAsiaTheme="minorEastAsia"/>
          <w:bCs/>
          <w:sz w:val="24"/>
          <w:szCs w:val="24"/>
          <w:lang w:eastAsia="zh-CN"/>
        </w:rPr>
        <w:t>0</w:t>
      </w:r>
    </w:p>
    <w:p>
      <w:pPr>
        <w:pStyle w:val="26"/>
        <w:numPr>
          <w:ilvl w:val="0"/>
          <w:numId w:val="1"/>
        </w:numPr>
        <w:autoSpaceDE/>
        <w:autoSpaceDN/>
        <w:spacing w:before="0"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联系方式</w:t>
      </w:r>
    </w:p>
    <w:p>
      <w:pPr>
        <w:pStyle w:val="6"/>
        <w:snapToGrid w:val="0"/>
        <w:spacing w:line="360" w:lineRule="auto"/>
        <w:ind w:left="412"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Cs/>
          <w:sz w:val="24"/>
          <w:szCs w:val="24"/>
        </w:rPr>
        <w:t>商务联系人：</w:t>
      </w:r>
      <w:r>
        <w:rPr>
          <w:rFonts w:hint="eastAsia" w:cs="宋体" w:asciiTheme="minorEastAsia" w:hAnsiTheme="minorEastAsia" w:eastAsiaTheme="minorEastAsia"/>
          <w:bCs/>
          <w:kern w:val="0"/>
          <w:sz w:val="24"/>
          <w:szCs w:val="24"/>
          <w:lang w:val="en-US" w:eastAsia="zh-CN"/>
        </w:rPr>
        <w:t>许先生</w:t>
      </w:r>
      <w:r>
        <w:rPr>
          <w:rFonts w:hint="eastAsia" w:cs="宋体" w:asciiTheme="minorEastAsia" w:hAnsiTheme="minorEastAsia" w:eastAsiaTheme="minorEastAsia"/>
          <w:bCs/>
          <w:kern w:val="0"/>
          <w:sz w:val="24"/>
          <w:szCs w:val="24"/>
        </w:rPr>
        <w:t xml:space="preserve">  电话：</w:t>
      </w:r>
      <w:r>
        <w:rPr>
          <w:rFonts w:hint="eastAsia" w:cs="宋体" w:asciiTheme="minorEastAsia" w:hAnsiTheme="minorEastAsia" w:eastAsiaTheme="minorEastAsia"/>
          <w:bCs/>
          <w:kern w:val="0"/>
          <w:sz w:val="24"/>
          <w:szCs w:val="24"/>
          <w:lang w:val="en-US" w:eastAsia="zh-CN"/>
        </w:rPr>
        <w:t>13055516565</w:t>
      </w:r>
      <w:r>
        <w:rPr>
          <w:rFonts w:hint="eastAsia" w:cs="宋体" w:asciiTheme="minorEastAsia" w:hAnsiTheme="minorEastAsia" w:eastAsiaTheme="minorEastAsia"/>
          <w:bCs/>
          <w:kern w:val="0"/>
          <w:sz w:val="24"/>
          <w:szCs w:val="24"/>
        </w:rPr>
        <w:t xml:space="preserve">  邮箱：</w:t>
      </w:r>
      <w:r>
        <w:rPr>
          <w:rFonts w:hint="eastAsia" w:cs="宋体" w:asciiTheme="minorEastAsia" w:hAnsiTheme="minorEastAsia" w:eastAsiaTheme="minorEastAsia"/>
          <w:bCs/>
          <w:kern w:val="0"/>
          <w:sz w:val="24"/>
          <w:szCs w:val="24"/>
          <w:lang w:val="en-US" w:eastAsia="zh-CN"/>
        </w:rPr>
        <w:t>xukh</w:t>
      </w:r>
      <w:r>
        <w:rPr>
          <w:rFonts w:cs="宋体" w:asciiTheme="minorEastAsia" w:hAnsiTheme="minorEastAsia" w:eastAsiaTheme="minorEastAsia"/>
          <w:bCs/>
          <w:kern w:val="0"/>
          <w:sz w:val="24"/>
          <w:szCs w:val="24"/>
        </w:rPr>
        <w:t>@f</w:t>
      </w:r>
      <w:r>
        <w:rPr>
          <w:rFonts w:hint="eastAsia" w:cs="宋体" w:asciiTheme="minorEastAsia" w:hAnsiTheme="minorEastAsia" w:eastAsiaTheme="minorEastAsia"/>
          <w:bCs/>
          <w:kern w:val="0"/>
          <w:sz w:val="24"/>
          <w:szCs w:val="24"/>
          <w:lang w:val="en-US" w:eastAsia="zh-CN"/>
        </w:rPr>
        <w:t>j</w:t>
      </w:r>
      <w:r>
        <w:rPr>
          <w:rFonts w:cs="宋体" w:asciiTheme="minorEastAsia" w:hAnsiTheme="minorEastAsia" w:eastAsiaTheme="minorEastAsia"/>
          <w:bCs/>
          <w:kern w:val="0"/>
          <w:sz w:val="24"/>
          <w:szCs w:val="24"/>
        </w:rPr>
        <w:t>pec.com.cn</w:t>
      </w:r>
    </w:p>
    <w:p>
      <w:pPr>
        <w:pStyle w:val="6"/>
        <w:snapToGrid w:val="0"/>
        <w:spacing w:line="360" w:lineRule="auto"/>
        <w:ind w:left="412" w:firstLine="480" w:firstLineChars="200"/>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现场联系人：林伟民  电话：13599596159</w:t>
      </w:r>
      <w:bookmarkStart w:id="1" w:name="_GoBack"/>
      <w:bookmarkEnd w:id="1"/>
    </w:p>
    <w:p>
      <w:pPr>
        <w:pStyle w:val="6"/>
        <w:snapToGrid w:val="0"/>
        <w:spacing w:line="360" w:lineRule="auto"/>
        <w:ind w:left="412"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Cs/>
          <w:sz w:val="24"/>
          <w:szCs w:val="24"/>
        </w:rPr>
        <w:t xml:space="preserve">纪检监察室电话：0596-6311774  </w:t>
      </w:r>
    </w:p>
    <w:p>
      <w:pPr>
        <w:pStyle w:val="6"/>
        <w:snapToGrid w:val="0"/>
        <w:spacing w:line="360" w:lineRule="auto"/>
        <w:ind w:left="412"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Cs/>
          <w:sz w:val="24"/>
          <w:szCs w:val="24"/>
        </w:rPr>
        <w:t>联系地址：漳州市漳浦县杜浔镇杜昌路9号</w:t>
      </w:r>
    </w:p>
    <w:p>
      <w:pPr>
        <w:pStyle w:val="6"/>
        <w:snapToGrid w:val="0"/>
        <w:spacing w:line="360" w:lineRule="auto"/>
        <w:ind w:left="412"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邮    编：363216</w:t>
      </w:r>
    </w:p>
    <w:p>
      <w:pPr>
        <w:pStyle w:val="6"/>
        <w:snapToGrid w:val="0"/>
        <w:spacing w:line="360" w:lineRule="auto"/>
        <w:ind w:left="412" w:firstLine="480" w:firstLineChars="200"/>
        <w:jc w:val="right"/>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福建福海创石油化工有限公司</w:t>
      </w:r>
    </w:p>
    <w:p>
      <w:pPr>
        <w:pStyle w:val="6"/>
        <w:wordWrap w:val="0"/>
        <w:snapToGrid w:val="0"/>
        <w:spacing w:line="360" w:lineRule="auto"/>
        <w:ind w:left="412" w:firstLine="480" w:firstLineChars="200"/>
        <w:jc w:val="righ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r>
        <w:rPr>
          <w:rFonts w:cs="宋体" w:asciiTheme="minorEastAsia" w:hAnsiTheme="minorEastAsia" w:eastAsiaTheme="minorEastAsia"/>
          <w:bCs/>
          <w:sz w:val="24"/>
          <w:szCs w:val="24"/>
        </w:rPr>
        <w:t>022.</w:t>
      </w:r>
      <w:r>
        <w:rPr>
          <w:rFonts w:hint="eastAsia" w:cs="宋体" w:asciiTheme="minorEastAsia" w:hAnsiTheme="minorEastAsia" w:eastAsiaTheme="minorEastAsia"/>
          <w:bCs/>
          <w:sz w:val="24"/>
          <w:szCs w:val="24"/>
          <w:lang w:val="en-US" w:eastAsia="zh-CN"/>
        </w:rPr>
        <w:t xml:space="preserve">2 </w:t>
      </w:r>
      <w:r>
        <w:rPr>
          <w:rFonts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 xml:space="preserve">2  </w:t>
      </w:r>
    </w:p>
    <w:p>
      <w:pPr>
        <w:pStyle w:val="2"/>
        <w:tabs>
          <w:tab w:val="left" w:pos="1262"/>
        </w:tabs>
        <w:spacing w:line="360" w:lineRule="auto"/>
        <w:ind w:left="0" w:right="108"/>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br w:type="page"/>
      </w:r>
    </w:p>
    <w:p>
      <w:pPr>
        <w:pStyle w:val="2"/>
        <w:tabs>
          <w:tab w:val="left" w:pos="1262"/>
        </w:tabs>
        <w:spacing w:line="360" w:lineRule="auto"/>
        <w:ind w:left="0" w:firstLine="562" w:firstLineChars="200"/>
        <w:jc w:val="center"/>
        <w:rPr>
          <w:rFonts w:asciiTheme="minorEastAsia" w:hAnsiTheme="minorEastAsia" w:eastAsiaTheme="minorEastAsia"/>
          <w:b w:val="0"/>
          <w:lang w:eastAsia="zh-CN"/>
        </w:rPr>
      </w:pPr>
      <w:r>
        <w:rPr>
          <w:rFonts w:asciiTheme="minorEastAsia" w:hAnsiTheme="minorEastAsia" w:eastAsiaTheme="minorEastAsia"/>
          <w:lang w:eastAsia="zh-CN"/>
        </w:rPr>
        <w:t>第二章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比选须</w:t>
      </w:r>
      <w:r>
        <w:rPr>
          <w:rFonts w:asciiTheme="minorEastAsia" w:hAnsiTheme="minorEastAsia" w:eastAsiaTheme="minorEastAsia"/>
          <w:w w:val="95"/>
          <w:lang w:eastAsia="zh-CN"/>
        </w:rPr>
        <w:t>知</w:t>
      </w:r>
    </w:p>
    <w:p>
      <w:pPr>
        <w:spacing w:line="360" w:lineRule="auto"/>
        <w:ind w:firstLine="458" w:firstLineChars="200"/>
        <w:rPr>
          <w:rFonts w:asciiTheme="minorEastAsia" w:hAnsiTheme="minorEastAsia" w:eastAsiaTheme="minorEastAsia"/>
          <w:b/>
          <w:sz w:val="24"/>
          <w:szCs w:val="24"/>
          <w:lang w:eastAsia="zh-CN"/>
        </w:rPr>
      </w:pPr>
      <w:r>
        <w:rPr>
          <w:rFonts w:asciiTheme="minorEastAsia" w:hAnsiTheme="minorEastAsia" w:eastAsiaTheme="minorEastAsia"/>
          <w:b/>
          <w:w w:val="95"/>
          <w:sz w:val="24"/>
          <w:szCs w:val="24"/>
          <w:lang w:eastAsia="zh-CN"/>
        </w:rPr>
        <w:t>一、比选内容</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(一)名称：</w:t>
      </w:r>
      <w:r>
        <w:rPr>
          <w:rFonts w:hint="eastAsia" w:asciiTheme="minorEastAsia" w:hAnsiTheme="minorEastAsia" w:eastAsiaTheme="minorEastAsia"/>
          <w:lang w:eastAsia="zh-CN"/>
        </w:rPr>
        <w:t>废铅酸蓄电池、废润滑油等危废处置</w:t>
      </w:r>
      <w:r>
        <w:rPr>
          <w:rFonts w:asciiTheme="minorEastAsia" w:hAnsiTheme="minorEastAsia" w:eastAsiaTheme="minorEastAsia"/>
          <w:lang w:eastAsia="zh-CN"/>
        </w:rPr>
        <w:t>。</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(二)地点：</w:t>
      </w:r>
      <w:r>
        <w:rPr>
          <w:rFonts w:hint="eastAsia" w:asciiTheme="minorEastAsia" w:hAnsiTheme="minorEastAsia" w:eastAsiaTheme="minorEastAsia"/>
          <w:lang w:eastAsia="zh-CN"/>
        </w:rPr>
        <w:t>福建福海创石油化工有限公司指定地点及中标人厂区。</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w:t>
      </w:r>
      <w:r>
        <w:rPr>
          <w:rFonts w:hint="eastAsia" w:asciiTheme="minorEastAsia" w:hAnsiTheme="minorEastAsia" w:eastAsiaTheme="minorEastAsia"/>
          <w:lang w:eastAsia="zh-CN"/>
        </w:rPr>
        <w:t>三</w:t>
      </w:r>
      <w:r>
        <w:rPr>
          <w:rFonts w:asciiTheme="minorEastAsia" w:hAnsiTheme="minorEastAsia" w:eastAsiaTheme="minorEastAsia"/>
          <w:lang w:eastAsia="zh-CN"/>
        </w:rPr>
        <w:t>)比选范围：</w:t>
      </w:r>
      <w:r>
        <w:rPr>
          <w:rFonts w:hint="eastAsia" w:asciiTheme="minorEastAsia" w:hAnsiTheme="minorEastAsia" w:eastAsiaTheme="minorEastAsia"/>
          <w:u w:val="single"/>
          <w:lang w:eastAsia="zh-CN"/>
        </w:rPr>
        <w:t xml:space="preserve"> 见技术文件                       </w:t>
      </w:r>
      <w:r>
        <w:rPr>
          <w:rFonts w:hint="eastAsia" w:asciiTheme="minorEastAsia" w:hAnsiTheme="minorEastAsia" w:eastAsiaTheme="minorEastAsia"/>
          <w:lang w:eastAsia="zh-CN"/>
        </w:rPr>
        <w:t>。</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w:t>
      </w:r>
      <w:r>
        <w:rPr>
          <w:rFonts w:hint="eastAsia" w:asciiTheme="minorEastAsia" w:hAnsiTheme="minorEastAsia" w:eastAsiaTheme="minorEastAsia"/>
          <w:lang w:eastAsia="zh-CN"/>
        </w:rPr>
        <w:t>四</w:t>
      </w:r>
      <w:r>
        <w:rPr>
          <w:rFonts w:asciiTheme="minorEastAsia" w:hAnsiTheme="minorEastAsia" w:eastAsiaTheme="minorEastAsia"/>
          <w:lang w:eastAsia="zh-CN"/>
        </w:rPr>
        <w:t>)外包期限：</w:t>
      </w:r>
      <w:r>
        <w:rPr>
          <w:rFonts w:hint="eastAsia" w:asciiTheme="minorEastAsia" w:hAnsiTheme="minorEastAsia" w:eastAsiaTheme="minorEastAsia"/>
          <w:lang w:eastAsia="zh-CN"/>
        </w:rPr>
        <w:t>2</w:t>
      </w:r>
      <w:r>
        <w:rPr>
          <w:rFonts w:asciiTheme="minorEastAsia" w:hAnsiTheme="minorEastAsia" w:eastAsiaTheme="minorEastAsia"/>
          <w:lang w:eastAsia="zh-CN"/>
        </w:rPr>
        <w:t>023年</w:t>
      </w:r>
      <w:r>
        <w:rPr>
          <w:rFonts w:hint="eastAsia" w:asciiTheme="minorEastAsia" w:hAnsiTheme="minorEastAsia" w:eastAsiaTheme="minorEastAsia"/>
          <w:lang w:eastAsia="zh-CN"/>
        </w:rPr>
        <w:t>0</w:t>
      </w:r>
      <w:r>
        <w:rPr>
          <w:rFonts w:hint="eastAsia" w:asciiTheme="minorEastAsia" w:hAnsiTheme="minorEastAsia" w:eastAsiaTheme="minorEastAsia"/>
          <w:lang w:val="en-US" w:eastAsia="zh-CN"/>
        </w:rPr>
        <w:t>4</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1</w:t>
      </w:r>
      <w:r>
        <w:rPr>
          <w:rFonts w:asciiTheme="minorEastAsia" w:hAnsiTheme="minorEastAsia" w:eastAsiaTheme="minorEastAsia"/>
          <w:lang w:eastAsia="zh-CN"/>
        </w:rPr>
        <w:t>日</w:t>
      </w:r>
      <w:r>
        <w:rPr>
          <w:rFonts w:hint="eastAsia" w:asciiTheme="minorEastAsia" w:hAnsiTheme="minorEastAsia" w:eastAsiaTheme="minorEastAsia"/>
          <w:lang w:eastAsia="zh-CN"/>
        </w:rPr>
        <w:t>至2</w:t>
      </w:r>
      <w:r>
        <w:rPr>
          <w:rFonts w:asciiTheme="minorEastAsia" w:hAnsiTheme="minorEastAsia" w:eastAsiaTheme="minorEastAsia"/>
          <w:lang w:eastAsia="zh-CN"/>
        </w:rPr>
        <w:t>02</w:t>
      </w:r>
      <w:r>
        <w:rPr>
          <w:rFonts w:hint="eastAsia" w:asciiTheme="minorEastAsia" w:hAnsiTheme="minorEastAsia" w:eastAsiaTheme="minorEastAsia"/>
          <w:lang w:val="en-US" w:eastAsia="zh-CN"/>
        </w:rPr>
        <w:t>4</w:t>
      </w:r>
      <w:r>
        <w:rPr>
          <w:rFonts w:asciiTheme="minorEastAsia" w:hAnsiTheme="minorEastAsia" w:eastAsiaTheme="minorEastAsia"/>
          <w:lang w:eastAsia="zh-CN"/>
        </w:rPr>
        <w:t>年</w:t>
      </w:r>
      <w:r>
        <w:rPr>
          <w:rFonts w:hint="eastAsia" w:asciiTheme="minorEastAsia" w:hAnsiTheme="minorEastAsia" w:eastAsiaTheme="minorEastAsia"/>
          <w:lang w:eastAsia="zh-CN"/>
        </w:rPr>
        <w:t>0</w:t>
      </w:r>
      <w:r>
        <w:rPr>
          <w:rFonts w:asciiTheme="minorEastAsia" w:hAnsiTheme="minorEastAsia" w:eastAsiaTheme="minorEastAsia"/>
          <w:lang w:eastAsia="zh-CN"/>
        </w:rPr>
        <w:t>3月</w:t>
      </w:r>
      <w:r>
        <w:rPr>
          <w:rFonts w:hint="eastAsia" w:asciiTheme="minorEastAsia" w:hAnsiTheme="minorEastAsia" w:eastAsiaTheme="minorEastAsia"/>
          <w:lang w:eastAsia="zh-CN"/>
        </w:rPr>
        <w:t>3</w:t>
      </w:r>
      <w:r>
        <w:rPr>
          <w:rFonts w:asciiTheme="minorEastAsia" w:hAnsiTheme="minorEastAsia" w:eastAsiaTheme="minorEastAsia"/>
          <w:lang w:eastAsia="zh-CN"/>
        </w:rPr>
        <w:t>1日</w:t>
      </w:r>
      <w:r>
        <w:rPr>
          <w:rFonts w:hint="eastAsia" w:asciiTheme="minorEastAsia" w:hAnsiTheme="minorEastAsia" w:eastAsiaTheme="minorEastAsia"/>
          <w:lang w:eastAsia="zh-CN"/>
        </w:rPr>
        <w:t>；</w:t>
      </w:r>
      <w:r>
        <w:rPr>
          <w:rFonts w:asciiTheme="minorEastAsia" w:hAnsiTheme="minorEastAsia" w:eastAsiaTheme="minorEastAsia"/>
          <w:lang w:eastAsia="zh-CN"/>
        </w:rPr>
        <w:t xml:space="preserve">                      </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二、定义和解释</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1.“比选人”系</w:t>
      </w: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，即业主方。</w:t>
      </w:r>
    </w:p>
    <w:p>
      <w:pPr>
        <w:pStyle w:val="8"/>
        <w:spacing w:line="360" w:lineRule="auto"/>
        <w:ind w:firstLine="436" w:firstLineChars="200"/>
        <w:rPr>
          <w:rFonts w:asciiTheme="minorEastAsia" w:hAnsiTheme="minorEastAsia" w:eastAsiaTheme="minorEastAsia"/>
          <w:lang w:eastAsia="zh-CN"/>
        </w:rPr>
      </w:pPr>
      <w:r>
        <w:rPr>
          <w:rFonts w:asciiTheme="minorEastAsia" w:hAnsiTheme="minorEastAsia" w:eastAsiaTheme="minorEastAsia"/>
          <w:spacing w:val="-11"/>
          <w:lang w:eastAsia="zh-CN"/>
        </w:rPr>
        <w:t>2</w:t>
      </w:r>
      <w:r>
        <w:rPr>
          <w:rFonts w:asciiTheme="minorEastAsia" w:hAnsiTheme="minorEastAsia" w:eastAsiaTheme="minorEastAsia"/>
          <w:spacing w:val="-10"/>
          <w:lang w:eastAsia="zh-CN"/>
        </w:rPr>
        <w:t>.“参选人”系指向比选人报名并接受邀请，领取比选文件，且已经提交或准备提交本次参选文件的法人。</w:t>
      </w:r>
    </w:p>
    <w:p>
      <w:pPr>
        <w:pStyle w:val="8"/>
        <w:spacing w:line="360" w:lineRule="auto"/>
        <w:ind w:firstLine="424" w:firstLineChars="200"/>
        <w:rPr>
          <w:rFonts w:asciiTheme="minorEastAsia" w:hAnsiTheme="minorEastAsia" w:eastAsiaTheme="minorEastAsia"/>
          <w:lang w:eastAsia="zh-CN"/>
        </w:rPr>
      </w:pPr>
      <w:r>
        <w:rPr>
          <w:rFonts w:asciiTheme="minorEastAsia" w:hAnsiTheme="minorEastAsia" w:eastAsiaTheme="minorEastAsia"/>
          <w:spacing w:val="-14"/>
          <w:lang w:eastAsia="zh-CN"/>
        </w:rPr>
        <w:t>3</w:t>
      </w:r>
      <w:r>
        <w:rPr>
          <w:rFonts w:asciiTheme="minorEastAsia" w:hAnsiTheme="minorEastAsia" w:eastAsiaTheme="minorEastAsia"/>
          <w:spacing w:val="-10"/>
          <w:lang w:eastAsia="zh-CN"/>
        </w:rPr>
        <w:t>.“参选人代表”系指全权代表参选人参加本次比选活动并签署参选文件的人，如果参选人代表不是参选人的法定代表人，须持有《法定代表人授权委托书》详见附件。</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三、比选文件组成</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1.比选文件包括下列内容：</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比选公告、比选须知、项目内容、合同书格式、报价单、承诺函等。</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2.比选文件除 1 中内容外，比选人在比选期间发出的书面文件和其他修改或补充函件，均是比选文件不可分割的组成部分。</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12"/>
          <w:lang w:eastAsia="zh-CN"/>
        </w:rPr>
        <w:t>参选人应认真阅读、并充分理解比选文件的全部内容</w:t>
      </w:r>
      <w:r>
        <w:rPr>
          <w:rFonts w:asciiTheme="minorEastAsia" w:hAnsiTheme="minorEastAsia" w:eastAsiaTheme="minorEastAsia"/>
          <w:lang w:eastAsia="zh-CN"/>
        </w:rPr>
        <w:t>（</w:t>
      </w:r>
      <w:r>
        <w:rPr>
          <w:rFonts w:asciiTheme="minorEastAsia" w:hAnsiTheme="minorEastAsia" w:eastAsiaTheme="minorEastAsia"/>
          <w:spacing w:val="-9"/>
          <w:lang w:eastAsia="zh-CN"/>
        </w:rPr>
        <w:t>包括所有的补充、修改内容、</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重要事项、格式、条款和技术规范、参数及要求等）。参选人没有按照比选文件要求提交</w:t>
      </w:r>
      <w:r>
        <w:rPr>
          <w:rFonts w:asciiTheme="minorEastAsia" w:hAnsiTheme="minorEastAsia" w:eastAsiaTheme="minorEastAsia"/>
          <w:spacing w:val="-10"/>
          <w:lang w:eastAsia="zh-CN"/>
        </w:rPr>
        <w:t>全部资料，或者没有对比选文件在各方面都做出实质性响应是参选人的风险，有可能导致其参选被拒绝，或被认定为无效参选或被确定为参选无效。</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四、比选文件的澄清</w:t>
      </w:r>
    </w:p>
    <w:p>
      <w:pPr>
        <w:pStyle w:val="8"/>
        <w:spacing w:line="360" w:lineRule="auto"/>
        <w:ind w:firstLine="444" w:firstLineChars="200"/>
        <w:rPr>
          <w:rFonts w:asciiTheme="minorEastAsia" w:hAnsiTheme="minorEastAsia" w:eastAsiaTheme="minorEastAsia"/>
          <w:lang w:eastAsia="zh-CN"/>
        </w:rPr>
      </w:pPr>
      <w:r>
        <w:rPr>
          <w:rFonts w:asciiTheme="minorEastAsia" w:hAnsiTheme="minorEastAsia" w:eastAsiaTheme="minorEastAsia"/>
          <w:spacing w:val="-9"/>
          <w:lang w:eastAsia="zh-CN"/>
        </w:rPr>
        <w:t>参选人获取比选文件后，应仔细检查比选文件的所有内容，如有残缺等问题应在获得</w:t>
      </w:r>
      <w:r>
        <w:rPr>
          <w:rFonts w:asciiTheme="minorEastAsia" w:hAnsiTheme="minorEastAsia" w:eastAsiaTheme="minorEastAsia"/>
          <w:spacing w:val="-20"/>
          <w:lang w:eastAsia="zh-CN"/>
        </w:rPr>
        <w:t xml:space="preserve">比选文件 </w:t>
      </w:r>
      <w:r>
        <w:rPr>
          <w:rFonts w:asciiTheme="minorEastAsia" w:hAnsiTheme="minorEastAsia" w:eastAsiaTheme="minorEastAsia"/>
          <w:lang w:eastAsia="zh-CN"/>
        </w:rPr>
        <w:t>3</w:t>
      </w:r>
      <w:r>
        <w:rPr>
          <w:rFonts w:asciiTheme="minorEastAsia" w:hAnsiTheme="minorEastAsia" w:eastAsiaTheme="minorEastAsia"/>
          <w:spacing w:val="-13"/>
          <w:lang w:eastAsia="zh-CN"/>
        </w:rPr>
        <w:t xml:space="preserve"> 日内向比选人提出。参选人若对比选文件有任何疑问，应在参选截止时间前 </w:t>
      </w:r>
      <w:r>
        <w:rPr>
          <w:rFonts w:asciiTheme="minorEastAsia" w:hAnsiTheme="minorEastAsia" w:eastAsiaTheme="minorEastAsia"/>
          <w:lang w:eastAsia="zh-CN"/>
        </w:rPr>
        <w:t xml:space="preserve">5 </w:t>
      </w:r>
      <w:r>
        <w:rPr>
          <w:rFonts w:asciiTheme="minorEastAsia" w:hAnsiTheme="minorEastAsia" w:eastAsiaTheme="minorEastAsia"/>
          <w:spacing w:val="-10"/>
          <w:lang w:eastAsia="zh-CN"/>
        </w:rPr>
        <w:t>日，按参选须知载明的地址以书面形式</w:t>
      </w:r>
      <w:r>
        <w:rPr>
          <w:rFonts w:asciiTheme="minorEastAsia" w:hAnsiTheme="minorEastAsia" w:eastAsiaTheme="minorEastAsia"/>
          <w:spacing w:val="-3"/>
          <w:lang w:eastAsia="zh-CN"/>
        </w:rPr>
        <w:t>（</w:t>
      </w:r>
      <w:r>
        <w:rPr>
          <w:rFonts w:asciiTheme="minorEastAsia" w:hAnsiTheme="minorEastAsia" w:eastAsiaTheme="minorEastAsia"/>
          <w:spacing w:val="-10"/>
          <w:lang w:eastAsia="zh-CN"/>
        </w:rPr>
        <w:t>包括书面、传真、电子邮件下同</w:t>
      </w:r>
      <w:r>
        <w:rPr>
          <w:rFonts w:asciiTheme="minorEastAsia" w:hAnsiTheme="minorEastAsia" w:eastAsiaTheme="minorEastAsia"/>
          <w:spacing w:val="-49"/>
          <w:lang w:eastAsia="zh-CN"/>
        </w:rPr>
        <w:t>）</w:t>
      </w:r>
      <w:r>
        <w:rPr>
          <w:rFonts w:asciiTheme="minorEastAsia" w:hAnsiTheme="minorEastAsia" w:eastAsiaTheme="minorEastAsia"/>
          <w:lang w:eastAsia="zh-CN"/>
        </w:rPr>
        <w:t>通知到比选人。</w:t>
      </w:r>
      <w:r>
        <w:rPr>
          <w:rFonts w:asciiTheme="minorEastAsia" w:hAnsiTheme="minorEastAsia" w:eastAsiaTheme="minorEastAsia"/>
          <w:spacing w:val="-4"/>
          <w:lang w:eastAsia="zh-CN"/>
        </w:rPr>
        <w:t>比选人将视情况确定采用适当方式予以澄清或以书面形式予以答复，澄清文件作为比选文件的组成部分，具有约束作用。</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五、比选文件的修改、补充</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1.在参选截止日期前，比选人可主动地或依据参选人要求澄清的问题而修改比选文</w:t>
      </w:r>
      <w:r>
        <w:rPr>
          <w:rFonts w:asciiTheme="minorEastAsia" w:hAnsiTheme="minorEastAsia" w:eastAsiaTheme="minorEastAsia"/>
          <w:spacing w:val="-10"/>
          <w:lang w:eastAsia="zh-CN"/>
        </w:rPr>
        <w:t>件，并以书面形式通知所有报名参加比选项目的每一参选人，对方在收到该通知后应立即</w:t>
      </w:r>
      <w:r>
        <w:rPr>
          <w:rFonts w:asciiTheme="minorEastAsia" w:hAnsiTheme="minorEastAsia" w:eastAsiaTheme="minorEastAsia"/>
          <w:spacing w:val="-2"/>
          <w:lang w:eastAsia="zh-CN"/>
        </w:rPr>
        <w:t>以书面形式予以确认；参选人未按规定时间予以确认或未按规定时间地点领取书面文件的，视比选通知已收到。</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asciiTheme="minorEastAsia" w:hAnsiTheme="minorEastAsia" w:eastAsiaTheme="min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3.比选文件的修改书将构成比选文件的一部分，对参选人具有约束作用。</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六、参选人资格</w:t>
      </w:r>
    </w:p>
    <w:p>
      <w:pPr>
        <w:pStyle w:val="26"/>
        <w:numPr>
          <w:ilvl w:val="0"/>
          <w:numId w:val="6"/>
        </w:numPr>
        <w:autoSpaceDE/>
        <w:autoSpaceDN/>
        <w:spacing w:before="0" w:line="360" w:lineRule="auto"/>
        <w:ind w:left="0" w:firstLine="480" w:firstLineChars="200"/>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参选人</w:t>
      </w:r>
      <w:r>
        <w:rPr>
          <w:rFonts w:hint="eastAsia" w:asciiTheme="minorEastAsia" w:hAnsiTheme="minorEastAsia" w:eastAsiaTheme="minorEastAsia"/>
          <w:bCs/>
          <w:sz w:val="24"/>
          <w:szCs w:val="24"/>
          <w:lang w:eastAsia="zh-CN"/>
        </w:rPr>
        <w:t>在中华人民共和国大陆境内合法注册的独立法人资格；</w:t>
      </w:r>
    </w:p>
    <w:p>
      <w:pPr>
        <w:pStyle w:val="6"/>
        <w:numPr>
          <w:ilvl w:val="0"/>
          <w:numId w:val="6"/>
        </w:numPr>
        <w:snapToGrid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参选人须有</w:t>
      </w:r>
      <w:r>
        <w:rPr>
          <w:rFonts w:cs="宋体" w:asciiTheme="minorEastAsia" w:hAnsiTheme="minorEastAsia" w:eastAsiaTheme="minorEastAsia"/>
          <w:bCs/>
          <w:kern w:val="0"/>
          <w:sz w:val="24"/>
          <w:szCs w:val="24"/>
        </w:rPr>
        <w:t>提供所投标危险废物处理项目的所有</w:t>
      </w:r>
      <w:r>
        <w:rPr>
          <w:rFonts w:hint="eastAsia" w:cs="宋体" w:asciiTheme="minorEastAsia" w:hAnsiTheme="minorEastAsia" w:eastAsiaTheme="minorEastAsia"/>
          <w:bCs/>
          <w:kern w:val="0"/>
          <w:sz w:val="24"/>
          <w:szCs w:val="24"/>
        </w:rPr>
        <w:t>危废类别及代码</w:t>
      </w:r>
      <w:r>
        <w:rPr>
          <w:rFonts w:cs="宋体" w:asciiTheme="minorEastAsia" w:hAnsiTheme="minorEastAsia" w:eastAsiaTheme="minorEastAsia"/>
          <w:bCs/>
          <w:kern w:val="0"/>
          <w:sz w:val="24"/>
          <w:szCs w:val="24"/>
        </w:rPr>
        <w:t>资质，危险废物经营资质期限需符合国家相关要求</w:t>
      </w:r>
    </w:p>
    <w:p>
      <w:pPr>
        <w:pStyle w:val="16"/>
        <w:numPr>
          <w:ilvl w:val="0"/>
          <w:numId w:val="6"/>
        </w:numPr>
        <w:shd w:val="clear" w:color="auto" w:fill="FFFFFF"/>
        <w:spacing w:line="360" w:lineRule="auto"/>
        <w:ind w:left="0" w:firstLine="480" w:firstLineChars="200"/>
        <w:rPr>
          <w:rFonts w:asciiTheme="minorEastAsia" w:hAnsiTheme="minorEastAsia" w:eastAsiaTheme="minorEastAsia"/>
          <w:bCs/>
        </w:rPr>
      </w:pPr>
      <w:r>
        <w:rPr>
          <w:rFonts w:asciiTheme="minorEastAsia" w:hAnsiTheme="minorEastAsia" w:eastAsiaTheme="minorEastAsia"/>
          <w:bCs/>
        </w:rPr>
        <w:t>危废运输：承包商或与其签订运输合同的运输单位需持有《道路运输经营许可证》，该证的经营范围必须包括拟承运的危险废物种类，驾驶员及押运员需持证上岗</w:t>
      </w:r>
    </w:p>
    <w:p>
      <w:pPr>
        <w:pStyle w:val="26"/>
        <w:numPr>
          <w:ilvl w:val="0"/>
          <w:numId w:val="6"/>
        </w:numPr>
        <w:autoSpaceDE/>
        <w:autoSpaceDN/>
        <w:spacing w:before="0" w:line="360" w:lineRule="auto"/>
        <w:ind w:left="0"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w:t>
      </w:r>
    </w:p>
    <w:p>
      <w:pPr>
        <w:pStyle w:val="26"/>
        <w:numPr>
          <w:ilvl w:val="0"/>
          <w:numId w:val="6"/>
        </w:numPr>
        <w:autoSpaceDE/>
        <w:autoSpaceDN/>
        <w:spacing w:before="0" w:line="360" w:lineRule="auto"/>
        <w:ind w:left="0"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与比选人无诉讼纠纷。</w:t>
      </w:r>
    </w:p>
    <w:p>
      <w:pPr>
        <w:spacing w:line="360" w:lineRule="auto"/>
        <w:ind w:firstLine="482" w:firstLine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七、保证金</w:t>
      </w:r>
    </w:p>
    <w:p>
      <w:pPr>
        <w:pStyle w:val="26"/>
        <w:numPr>
          <w:ilvl w:val="1"/>
          <w:numId w:val="1"/>
        </w:numPr>
        <w:spacing w:before="0" w:line="360" w:lineRule="auto"/>
        <w:ind w:left="440" w:leftChars="200" w:firstLine="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本项目参选保证金的金额为：人民币贰仟元（￥</w:t>
      </w:r>
      <w:r>
        <w:rPr>
          <w:rFonts w:asciiTheme="minorEastAsia" w:hAnsiTheme="minorEastAsia" w:eastAsiaTheme="minorEastAsia"/>
          <w:sz w:val="24"/>
          <w:szCs w:val="24"/>
          <w:lang w:eastAsia="zh-CN"/>
        </w:rPr>
        <w:t>2,000.00元</w:t>
      </w:r>
      <w:r>
        <w:rPr>
          <w:rFonts w:hint="eastAsia" w:asciiTheme="minorEastAsia" w:hAnsiTheme="minorEastAsia" w:eastAsiaTheme="minorEastAsia"/>
          <w:sz w:val="24"/>
          <w:szCs w:val="24"/>
          <w:lang w:eastAsia="zh-CN"/>
        </w:rPr>
        <w:t>）；</w:t>
      </w:r>
    </w:p>
    <w:p>
      <w:pPr>
        <w:pStyle w:val="26"/>
        <w:spacing w:before="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提交参选文件</w:t>
      </w:r>
      <w:r>
        <w:rPr>
          <w:rFonts w:hint="eastAsia" w:asciiTheme="minorEastAsia" w:hAnsiTheme="minorEastAsia" w:eastAsiaTheme="minorEastAsia"/>
          <w:sz w:val="24"/>
          <w:szCs w:val="24"/>
          <w:lang w:eastAsia="zh-CN"/>
        </w:rPr>
        <w:t>之前汇达参选保证金指定账户；</w:t>
      </w:r>
    </w:p>
    <w:p>
      <w:pPr>
        <w:pStyle w:val="26"/>
        <w:spacing w:before="0" w:line="360" w:lineRule="auto"/>
        <w:ind w:left="0" w:firstLine="480" w:firstLineChars="200"/>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、参选保证金提交的方式：应从参选人基本账户以电汇或银行转账方式提交，并应在电汇或银行转账单上注明为本项目的参选保证金；</w:t>
      </w:r>
    </w:p>
    <w:p>
      <w:pPr>
        <w:pStyle w:val="26"/>
        <w:spacing w:before="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、参选保证金指定账户：</w:t>
      </w:r>
    </w:p>
    <w:p>
      <w:pPr>
        <w:pStyle w:val="26"/>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开户名称：</w:t>
      </w:r>
      <w:r>
        <w:rPr>
          <w:rFonts w:hint="eastAsia" w:asciiTheme="minorEastAsia" w:hAnsiTheme="minorEastAsia" w:eastAsiaTheme="minorEastAsia"/>
          <w:spacing w:val="8"/>
          <w:sz w:val="24"/>
          <w:szCs w:val="24"/>
          <w:lang w:eastAsia="zh-CN"/>
        </w:rPr>
        <w:t>福建福海创石油化工有限公司</w:t>
      </w:r>
      <w:r>
        <w:rPr>
          <w:rFonts w:asciiTheme="minorEastAsia" w:hAnsiTheme="minorEastAsia" w:eastAsiaTheme="minorEastAsia"/>
          <w:sz w:val="24"/>
          <w:szCs w:val="24"/>
          <w:lang w:eastAsia="zh-CN"/>
        </w:rPr>
        <w:t xml:space="preserve"> </w:t>
      </w:r>
    </w:p>
    <w:p>
      <w:pPr>
        <w:pStyle w:val="26"/>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开户银行：中国银行股份有限公司漳州古雷经济开发区支行</w:t>
      </w:r>
    </w:p>
    <w:p>
      <w:pPr>
        <w:pStyle w:val="26"/>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帐</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号：</w:t>
      </w:r>
      <w:r>
        <w:rPr>
          <w:rFonts w:asciiTheme="minorEastAsia" w:hAnsiTheme="minorEastAsia" w:eastAsiaTheme="minorEastAsia"/>
          <w:sz w:val="24"/>
          <w:szCs w:val="24"/>
          <w:lang w:eastAsia="zh-CN"/>
        </w:rPr>
        <w:t>406574816628</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w:t>
      </w:r>
      <w:r>
        <w:rPr>
          <w:rFonts w:hint="eastAsia" w:asciiTheme="minorEastAsia" w:hAnsiTheme="minorEastAsia" w:eastAsiaTheme="minorEastAsia"/>
          <w:spacing w:val="8"/>
          <w:sz w:val="24"/>
          <w:szCs w:val="24"/>
          <w:lang w:eastAsia="zh-CN"/>
        </w:rPr>
        <w:t>废铅酸蓄电池、废润滑油等危废处置</w:t>
      </w:r>
    </w:p>
    <w:p>
      <w:pPr>
        <w:pStyle w:val="26"/>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w:t>
      </w:r>
      <w:r>
        <w:rPr>
          <w:rFonts w:asciiTheme="minorEastAsia" w:hAnsiTheme="minorEastAsia" w:eastAsiaTheme="minorEastAsia"/>
          <w:sz w:val="24"/>
          <w:szCs w:val="24"/>
          <w:lang w:eastAsia="zh-CN"/>
        </w:rPr>
        <w:t>90</w:t>
      </w:r>
      <w:r>
        <w:rPr>
          <w:rFonts w:hint="eastAsia" w:asciiTheme="minorEastAsia" w:hAnsiTheme="minorEastAsia" w:eastAsiaTheme="minorEastAsia"/>
          <w:sz w:val="24"/>
          <w:szCs w:val="24"/>
          <w:lang w:eastAsia="zh-CN"/>
        </w:rPr>
        <w:t>日历天。</w:t>
      </w:r>
    </w:p>
    <w:p>
      <w:pPr>
        <w:pStyle w:val="26"/>
        <w:spacing w:before="0" w:line="360" w:lineRule="auto"/>
        <w:ind w:left="0" w:firstLine="480" w:firstLineChars="200"/>
        <w:rPr>
          <w:rFonts w:asciiTheme="minorEastAsia" w:hAnsiTheme="minorEastAsia" w:eastAsiaTheme="minorEastAsia"/>
          <w:bCs/>
          <w:sz w:val="24"/>
          <w:szCs w:val="24"/>
          <w:u w:val="double"/>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spacing w:line="360"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5、参选保证金的退回</w:t>
      </w:r>
    </w:p>
    <w:p>
      <w:pPr>
        <w:spacing w:line="360"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本项目比选结束后，未中选的参选人其所递交的参选保证金将于本项目合同签订后退回至参选人</w:t>
      </w:r>
      <w:r>
        <w:rPr>
          <w:rFonts w:hint="eastAsia" w:asciiTheme="minorEastAsia" w:hAnsiTheme="minorEastAsia" w:eastAsiaTheme="minorEastAsia"/>
          <w:sz w:val="24"/>
          <w:szCs w:val="24"/>
          <w:lang w:eastAsia="zh-CN"/>
        </w:rPr>
        <w:t>基本账户</w:t>
      </w:r>
      <w:r>
        <w:rPr>
          <w:rFonts w:hint="eastAsia" w:asciiTheme="minorEastAsia" w:hAnsiTheme="minorEastAsia" w:eastAsiaTheme="minorEastAsia"/>
          <w:spacing w:val="8"/>
          <w:sz w:val="24"/>
          <w:szCs w:val="24"/>
          <w:lang w:eastAsia="zh-CN"/>
        </w:rPr>
        <w:t>。</w:t>
      </w:r>
    </w:p>
    <w:p>
      <w:pPr>
        <w:spacing w:line="360"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6、履约保证金</w:t>
      </w:r>
    </w:p>
    <w:p>
      <w:pPr>
        <w:pStyle w:val="6"/>
        <w:snapToGrid w:val="0"/>
        <w:spacing w:line="360" w:lineRule="auto"/>
        <w:ind w:firstLine="512" w:firstLineChars="200"/>
        <w:jc w:val="left"/>
        <w:rPr>
          <w:rFonts w:asciiTheme="minorEastAsia" w:hAnsiTheme="minorEastAsia" w:eastAsiaTheme="minorEastAsia"/>
          <w:b/>
          <w:bCs/>
          <w:sz w:val="24"/>
          <w:szCs w:val="24"/>
        </w:rPr>
      </w:pPr>
      <w:r>
        <w:rPr>
          <w:rFonts w:hint="eastAsia" w:asciiTheme="minorEastAsia" w:hAnsiTheme="minorEastAsia" w:eastAsiaTheme="minorEastAsia"/>
          <w:spacing w:val="8"/>
          <w:sz w:val="24"/>
          <w:szCs w:val="24"/>
        </w:rPr>
        <w:t>中选参选人的参选保证金将转为履约保证金。</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八、参选文件的递交</w:t>
      </w:r>
    </w:p>
    <w:p>
      <w:pPr>
        <w:pStyle w:val="3"/>
        <w:tabs>
          <w:tab w:val="left" w:pos="6879"/>
        </w:tabs>
        <w:spacing w:line="360" w:lineRule="auto"/>
        <w:ind w:left="0" w:firstLine="482" w:firstLineChars="200"/>
        <w:rPr>
          <w:rFonts w:asciiTheme="minorEastAsia" w:hAnsiTheme="minorEastAsia" w:eastAsiaTheme="minorEastAsia"/>
          <w:lang w:eastAsia="zh-CN"/>
        </w:rPr>
      </w:pPr>
      <w:r>
        <w:rPr>
          <w:rFonts w:asciiTheme="minorEastAsia" w:hAnsiTheme="minorEastAsia" w:eastAsiaTheme="minorEastAsia"/>
          <w:lang w:eastAsia="zh-CN"/>
        </w:rPr>
        <w:t>1.参选文件递交的截止时间：</w:t>
      </w:r>
      <w:r>
        <w:rPr>
          <w:rFonts w:hint="eastAsia" w:asciiTheme="minorEastAsia" w:hAnsiTheme="minorEastAsia" w:eastAsiaTheme="minorEastAsia"/>
          <w:lang w:eastAsia="zh-CN"/>
        </w:rPr>
        <w:t>202</w:t>
      </w: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年</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月</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日</w:t>
      </w:r>
      <w:r>
        <w:rPr>
          <w:rFonts w:hint="eastAsia"/>
          <w:lang w:eastAsia="zh-CN"/>
        </w:rPr>
        <w:t>下午14时00分</w:t>
      </w:r>
      <w:r>
        <w:rPr>
          <w:rFonts w:hint="eastAsia" w:asciiTheme="minorEastAsia" w:hAnsiTheme="minorEastAsia" w:eastAsiaTheme="minorEastAsia"/>
          <w:lang w:eastAsia="zh-CN"/>
        </w:rPr>
        <w:t>（收到参选文件时间）。</w:t>
      </w:r>
    </w:p>
    <w:p>
      <w:pPr>
        <w:pStyle w:val="3"/>
        <w:tabs>
          <w:tab w:val="left" w:pos="6879"/>
        </w:tabs>
        <w:spacing w:line="360" w:lineRule="auto"/>
        <w:ind w:left="0" w:firstLine="482" w:firstLineChars="200"/>
        <w:rPr>
          <w:rFonts w:asciiTheme="minorEastAsia" w:hAnsiTheme="minorEastAsia" w:eastAsiaTheme="minorEastAsia"/>
          <w:spacing w:val="-4"/>
          <w:lang w:eastAsia="zh-CN"/>
        </w:rPr>
      </w:pPr>
      <w:r>
        <w:rPr>
          <w:rFonts w:asciiTheme="minorEastAsia" w:hAnsiTheme="minorEastAsia" w:eastAsiaTheme="minorEastAsia"/>
          <w:lang w:eastAsia="zh-CN"/>
        </w:rPr>
        <w:t>2.</w:t>
      </w:r>
      <w:r>
        <w:rPr>
          <w:rFonts w:asciiTheme="minorEastAsia" w:hAnsiTheme="minorEastAsia" w:eastAsiaTheme="minorEastAsia"/>
          <w:spacing w:val="4"/>
          <w:lang w:eastAsia="zh-CN"/>
        </w:rPr>
        <w:t>递交</w:t>
      </w:r>
      <w:r>
        <w:rPr>
          <w:rFonts w:asciiTheme="minorEastAsia" w:hAnsiTheme="minorEastAsia" w:eastAsiaTheme="minorEastAsia"/>
          <w:lang w:eastAsia="zh-CN"/>
        </w:rPr>
        <w:t>参</w:t>
      </w:r>
      <w:r>
        <w:rPr>
          <w:rFonts w:asciiTheme="minorEastAsia" w:hAnsiTheme="minorEastAsia" w:eastAsiaTheme="minorEastAsia"/>
          <w:spacing w:val="4"/>
          <w:lang w:eastAsia="zh-CN"/>
        </w:rPr>
        <w:t>选文件的地</w:t>
      </w:r>
      <w:r>
        <w:rPr>
          <w:rFonts w:asciiTheme="minorEastAsia" w:hAnsiTheme="minorEastAsia" w:eastAsiaTheme="minorEastAsia"/>
          <w:lang w:eastAsia="zh-CN"/>
        </w:rPr>
        <w:t>点</w:t>
      </w:r>
      <w:r>
        <w:rPr>
          <w:rFonts w:asciiTheme="minorEastAsia" w:hAnsiTheme="minorEastAsia" w:eastAsiaTheme="minorEastAsia"/>
          <w:spacing w:val="4"/>
          <w:lang w:eastAsia="zh-CN"/>
        </w:rPr>
        <w:t>为：</w:t>
      </w:r>
      <w:r>
        <w:rPr>
          <w:rFonts w:hint="eastAsia" w:asciiTheme="minorEastAsia" w:hAnsiTheme="minorEastAsia" w:eastAsiaTheme="minorEastAsia"/>
          <w:spacing w:val="4"/>
          <w:lang w:val="en-US" w:eastAsia="zh-CN"/>
        </w:rPr>
        <w:t>福建省漳州市漳浦县杜浔镇杜昌路9号福建福海创石油化工有限公司办公楼三楼设备及服务团队</w:t>
      </w:r>
      <w:r>
        <w:rPr>
          <w:rFonts w:asciiTheme="minorEastAsia" w:hAnsiTheme="minorEastAsia" w:eastAsiaTheme="minorEastAsia"/>
          <w:spacing w:val="-57"/>
          <w:lang w:eastAsia="zh-CN"/>
        </w:rPr>
        <w:t>，</w:t>
      </w:r>
      <w:r>
        <w:rPr>
          <w:rFonts w:asciiTheme="minorEastAsia" w:hAnsiTheme="minorEastAsia" w:eastAsiaTheme="minorEastAsia"/>
          <w:lang w:eastAsia="zh-CN"/>
        </w:rPr>
        <w:t>联系人</w:t>
      </w:r>
      <w:r>
        <w:rPr>
          <w:rFonts w:asciiTheme="minorEastAsia" w:hAnsiTheme="minorEastAsia" w:eastAsiaTheme="minorEastAsia"/>
          <w:spacing w:val="-56"/>
          <w:lang w:eastAsia="zh-CN"/>
        </w:rPr>
        <w:t>：</w:t>
      </w:r>
      <w:r>
        <w:rPr>
          <w:rFonts w:hint="eastAsia" w:asciiTheme="minorEastAsia" w:hAnsiTheme="minorEastAsia" w:eastAsiaTheme="minorEastAsia"/>
          <w:spacing w:val="-56"/>
          <w:lang w:val="en-US" w:eastAsia="zh-CN"/>
        </w:rPr>
        <w:t>许</w:t>
      </w:r>
      <w:r>
        <w:rPr>
          <w:rFonts w:hint="eastAsia" w:asciiTheme="minorEastAsia" w:hAnsiTheme="minorEastAsia" w:eastAsiaTheme="minorEastAsia"/>
          <w:spacing w:val="-56"/>
          <w:lang w:eastAsia="zh-CN"/>
        </w:rPr>
        <w:t>先生</w:t>
      </w:r>
      <w:r>
        <w:rPr>
          <w:rFonts w:hint="eastAsia" w:asciiTheme="minorEastAsia" w:hAnsiTheme="minorEastAsia" w:eastAsiaTheme="minorEastAsia"/>
          <w:lang w:eastAsia="zh-CN"/>
        </w:rPr>
        <w:t xml:space="preserve">   </w:t>
      </w:r>
      <w:r>
        <w:rPr>
          <w:rFonts w:asciiTheme="minorEastAsia" w:hAnsiTheme="minorEastAsia" w:eastAsiaTheme="minorEastAsia"/>
          <w:spacing w:val="-6"/>
          <w:lang w:eastAsia="zh-CN"/>
        </w:rPr>
        <w:t xml:space="preserve"> </w:t>
      </w:r>
      <w:r>
        <w:rPr>
          <w:rFonts w:asciiTheme="minorEastAsia" w:hAnsiTheme="minorEastAsia" w:eastAsiaTheme="minorEastAsia"/>
          <w:lang w:eastAsia="zh-CN"/>
        </w:rPr>
        <w:t>联系电话</w:t>
      </w:r>
      <w:r>
        <w:rPr>
          <w:rFonts w:asciiTheme="minorEastAsia" w:hAnsiTheme="minorEastAsia" w:eastAsiaTheme="minorEastAsia"/>
          <w:spacing w:val="-4"/>
          <w:lang w:eastAsia="zh-CN"/>
        </w:rPr>
        <w:t>：</w:t>
      </w:r>
      <w:r>
        <w:rPr>
          <w:rFonts w:hint="eastAsia" w:asciiTheme="minorEastAsia" w:hAnsiTheme="minorEastAsia" w:eastAsiaTheme="minorEastAsia"/>
          <w:spacing w:val="-4"/>
          <w:lang w:val="en-US" w:eastAsia="zh-CN"/>
        </w:rPr>
        <w:t>13055516565</w:t>
      </w:r>
      <w:r>
        <w:rPr>
          <w:rFonts w:hint="eastAsia" w:asciiTheme="minorEastAsia" w:hAnsiTheme="minorEastAsia" w:eastAsiaTheme="minorEastAsia"/>
          <w:spacing w:val="-4"/>
          <w:lang w:eastAsia="zh-CN"/>
        </w:rPr>
        <w:t xml:space="preserve">     </w:t>
      </w:r>
    </w:p>
    <w:p>
      <w:pPr>
        <w:pStyle w:val="3"/>
        <w:tabs>
          <w:tab w:val="left" w:pos="6879"/>
        </w:tabs>
        <w:spacing w:line="360" w:lineRule="auto"/>
        <w:ind w:left="0" w:firstLine="480" w:firstLineChars="200"/>
        <w:rPr>
          <w:rFonts w:asciiTheme="minorEastAsia" w:hAnsiTheme="minorEastAsia" w:eastAsiaTheme="minorEastAsia"/>
          <w:b w:val="0"/>
          <w:lang w:eastAsia="zh-CN"/>
        </w:rPr>
      </w:pPr>
      <w:r>
        <w:rPr>
          <w:rFonts w:asciiTheme="minorEastAsia" w:hAnsiTheme="minorEastAsia" w:eastAsiaTheme="minorEastAsia"/>
          <w:b w:val="0"/>
          <w:lang w:eastAsia="zh-CN"/>
        </w:rPr>
        <w:t>注：请使用顺丰快递或中国邮政 EMS 快递，其他快递不能保证送达目的地。</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3.只允许参选人有一个参选方案，否则将被视为无效参选。</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4.</w:t>
      </w:r>
      <w:r>
        <w:rPr>
          <w:rFonts w:asciiTheme="minorEastAsia" w:hAnsiTheme="minorEastAsia" w:eastAsiaTheme="minorEastAsia"/>
          <w:spacing w:val="-4"/>
          <w:lang w:eastAsia="zh-CN"/>
        </w:rPr>
        <w:t>逾期送达的或未送达指定地点或参选文件密封不符合规定要求的参选文件，比选人不予受理。参选人所提交的比选文件在评选结束后，无论中选与否都不退还。</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5.</w:t>
      </w:r>
      <w:r>
        <w:rPr>
          <w:rFonts w:asciiTheme="minorEastAsia" w:hAnsiTheme="minorEastAsia" w:eastAsiaTheme="minorEastAsia"/>
          <w:spacing w:val="-9"/>
          <w:lang w:eastAsia="zh-CN"/>
        </w:rPr>
        <w:t>参选人收到比选文件后，如有疑问需要澄清，请以书面形式在规定时间内报比选人汇总。</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6.</w:t>
      </w:r>
      <w:r>
        <w:rPr>
          <w:rFonts w:asciiTheme="minorEastAsia" w:hAnsiTheme="minorEastAsia" w:eastAsiaTheme="minorEastAsia"/>
          <w:spacing w:val="-6"/>
          <w:lang w:eastAsia="zh-CN"/>
        </w:rPr>
        <w:t>参选人对比选人提供的比选文件所做出的推论、解释和结论，比选人概不负责。参</w:t>
      </w:r>
      <w:r>
        <w:rPr>
          <w:rFonts w:asciiTheme="minorEastAsia" w:hAnsiTheme="minorEastAsia" w:eastAsiaTheme="minorEastAsia"/>
          <w:spacing w:val="-9"/>
          <w:lang w:eastAsia="zh-CN"/>
        </w:rPr>
        <w:t>选人由于对比选文件的任何推论和误解以及比选对有关问题的口头解释所造成的后果，均由参选人负责。</w:t>
      </w:r>
    </w:p>
    <w:p>
      <w:pPr>
        <w:spacing w:line="360" w:lineRule="auto"/>
        <w:ind w:firstLine="480" w:firstLineChars="200"/>
        <w:rPr>
          <w:sz w:val="24"/>
          <w:szCs w:val="24"/>
          <w:lang w:eastAsia="zh-CN"/>
        </w:rPr>
        <w:sectPr>
          <w:pgSz w:w="11910" w:h="16840"/>
          <w:pgMar w:top="1420" w:right="1140" w:bottom="740" w:left="1300" w:header="0" w:footer="551" w:gutter="0"/>
          <w:cols w:space="720" w:num="1"/>
        </w:sectPr>
      </w:pPr>
    </w:p>
    <w:p>
      <w:pPr>
        <w:pStyle w:val="2"/>
        <w:tabs>
          <w:tab w:val="left" w:pos="4627"/>
        </w:tabs>
        <w:spacing w:line="360" w:lineRule="auto"/>
        <w:ind w:left="0" w:firstLine="562" w:firstLineChars="200"/>
        <w:jc w:val="center"/>
        <w:rPr>
          <w:rFonts w:asciiTheme="minorEastAsia" w:hAnsiTheme="minorEastAsia" w:eastAsiaTheme="minorEastAsia"/>
          <w:b w:val="0"/>
          <w:lang w:eastAsia="zh-CN"/>
        </w:rPr>
      </w:pPr>
      <w:r>
        <w:rPr>
          <w:rFonts w:asciiTheme="minorEastAsia" w:hAnsiTheme="minorEastAsia" w:eastAsiaTheme="minorEastAsia"/>
          <w:lang w:eastAsia="zh-CN"/>
        </w:rPr>
        <w:t>第三章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参选文</w:t>
      </w:r>
      <w:r>
        <w:rPr>
          <w:rFonts w:asciiTheme="minorEastAsia" w:hAnsiTheme="minorEastAsia" w:eastAsiaTheme="minorEastAsia"/>
          <w:w w:val="95"/>
          <w:lang w:eastAsia="zh-CN"/>
        </w:rPr>
        <w:t>件的编制</w:t>
      </w:r>
    </w:p>
    <w:p>
      <w:pPr>
        <w:pStyle w:val="26"/>
        <w:numPr>
          <w:ilvl w:val="0"/>
          <w:numId w:val="7"/>
        </w:numPr>
        <w:spacing w:before="0" w:line="360" w:lineRule="auto"/>
        <w:ind w:left="0" w:firstLine="458" w:firstLineChars="200"/>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参选文件的组成</w:t>
      </w:r>
      <w:r>
        <w:rPr>
          <w:rFonts w:hint="eastAsia" w:asciiTheme="minorEastAsia" w:hAnsiTheme="minorEastAsia" w:eastAsiaTheme="minorEastAsia"/>
          <w:b/>
          <w:w w:val="95"/>
          <w:sz w:val="24"/>
          <w:szCs w:val="24"/>
          <w:lang w:eastAsia="zh-CN"/>
        </w:rPr>
        <w:t>、装订</w:t>
      </w:r>
      <w:r>
        <w:rPr>
          <w:rFonts w:asciiTheme="minorEastAsia" w:hAnsiTheme="minorEastAsia" w:eastAsiaTheme="minorEastAsia"/>
          <w:b/>
          <w:w w:val="95"/>
          <w:sz w:val="24"/>
          <w:szCs w:val="24"/>
          <w:lang w:eastAsia="zh-CN"/>
        </w:rPr>
        <w:t>：</w:t>
      </w:r>
    </w:p>
    <w:p>
      <w:pPr>
        <w:spacing w:line="360" w:lineRule="auto"/>
        <w:ind w:firstLine="480" w:firstLineChars="200"/>
        <w:rPr>
          <w:rFonts w:asciiTheme="minorEastAsia" w:hAnsiTheme="minorEastAsia" w:eastAsiaTheme="minorEastAsia"/>
          <w:sz w:val="24"/>
          <w:szCs w:val="24"/>
          <w:lang w:eastAsia="zh-CN"/>
        </w:rPr>
      </w:pPr>
      <w:r>
        <w:rPr>
          <w:rFonts w:hint="eastAsia"/>
          <w:sz w:val="24"/>
          <w:szCs w:val="24"/>
          <w:lang w:eastAsia="zh-CN"/>
        </w:rPr>
        <w:t>参选文件</w:t>
      </w:r>
      <w:r>
        <w:rPr>
          <w:rFonts w:hint="eastAsia" w:asciiTheme="minorEastAsia" w:hAnsiTheme="minorEastAsia" w:eastAsiaTheme="minorEastAsia"/>
          <w:sz w:val="24"/>
          <w:szCs w:val="24"/>
          <w:lang w:eastAsia="zh-CN"/>
        </w:rPr>
        <w:t>单独密封，如用快递送达，需密封完后再装入快递袋中，未按规定密封，造成误拆投标文件不承担责任。</w:t>
      </w:r>
    </w:p>
    <w:p>
      <w:pPr>
        <w:pStyle w:val="24"/>
        <w:spacing w:line="360" w:lineRule="auto"/>
        <w:ind w:firstLine="480" w:firstLineChars="200"/>
        <w:jc w:val="left"/>
        <w:rPr>
          <w:sz w:val="24"/>
          <w:szCs w:val="24"/>
        </w:rPr>
      </w:pPr>
      <w:r>
        <w:rPr>
          <w:rFonts w:hint="eastAsia" w:cs="宋体" w:asciiTheme="minorEastAsia" w:hAnsiTheme="minorEastAsia" w:eastAsiaTheme="minorEastAsia"/>
          <w:sz w:val="24"/>
          <w:szCs w:val="24"/>
        </w:rPr>
        <w:t>1.参选文件（需加盖公章）</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①</w:t>
      </w:r>
      <w:r>
        <w:rPr>
          <w:rFonts w:hint="eastAsia" w:asciiTheme="minorEastAsia" w:hAnsiTheme="minorEastAsia" w:eastAsiaTheme="minorEastAsia"/>
          <w:lang w:eastAsia="zh-CN"/>
        </w:rPr>
        <w:t>法定代表人授权委托书；</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②投标保证金回执单</w:t>
      </w:r>
      <w:r>
        <w:rPr>
          <w:rFonts w:hint="eastAsia" w:asciiTheme="minorEastAsia" w:hAnsiTheme="minorEastAsia" w:eastAsiaTheme="minorEastAsia"/>
          <w:lang w:eastAsia="zh-CN"/>
        </w:rPr>
        <w:t>；</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③资质证明书</w:t>
      </w:r>
      <w:r>
        <w:rPr>
          <w:rFonts w:hint="eastAsia" w:asciiTheme="minorEastAsia" w:hAnsiTheme="minorEastAsia" w:eastAsiaTheme="minorEastAsia"/>
          <w:lang w:eastAsia="zh-CN"/>
        </w:rPr>
        <w:t>，其他需说明问题</w:t>
      </w:r>
      <w:r>
        <w:rPr>
          <w:rFonts w:asciiTheme="minorEastAsia" w:hAnsiTheme="minorEastAsia" w:eastAsiaTheme="minorEastAsia"/>
          <w:lang w:eastAsia="zh-CN"/>
        </w:rPr>
        <w:t>。</w:t>
      </w:r>
    </w:p>
    <w:p>
      <w:pPr>
        <w:pStyle w:val="8"/>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④参选报价单。</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⑤</w:t>
      </w:r>
      <w:r>
        <w:rPr>
          <w:rFonts w:hint="eastAsia" w:asciiTheme="minorEastAsia" w:hAnsiTheme="minorEastAsia" w:eastAsiaTheme="minorEastAsia"/>
          <w:lang w:eastAsia="zh-CN"/>
        </w:rPr>
        <w:t>承诺函。</w:t>
      </w:r>
    </w:p>
    <w:p>
      <w:pPr>
        <w:pStyle w:val="8"/>
        <w:spacing w:line="360" w:lineRule="auto"/>
        <w:ind w:firstLine="480" w:firstLineChars="200"/>
        <w:rPr>
          <w:rFonts w:asciiTheme="minorEastAsia" w:hAnsiTheme="minorEastAsia" w:eastAsiaTheme="minorEastAsia"/>
          <w:spacing w:val="-6"/>
          <w:lang w:eastAsia="zh-CN"/>
        </w:rPr>
      </w:pPr>
      <w:r>
        <w:rPr>
          <w:rFonts w:asciiTheme="minorEastAsia" w:hAnsiTheme="minorEastAsia" w:eastAsiaTheme="minorEastAsia"/>
          <w:lang w:eastAsia="zh-CN"/>
        </w:rPr>
        <w:t>⑤以上①至⑤项内容</w:t>
      </w:r>
      <w:r>
        <w:rPr>
          <w:rFonts w:hint="eastAsia" w:asciiTheme="minorEastAsia" w:hAnsiTheme="minorEastAsia" w:eastAsiaTheme="minorEastAsia"/>
          <w:lang w:eastAsia="zh-CN"/>
        </w:rPr>
        <w:t>装订或</w:t>
      </w:r>
      <w:r>
        <w:rPr>
          <w:rFonts w:asciiTheme="minorEastAsia" w:hAnsiTheme="minorEastAsia" w:eastAsiaTheme="minorEastAsia"/>
          <w:lang w:eastAsia="zh-CN"/>
        </w:rPr>
        <w:t>密封并加盖公章。</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二、参选书格式内容</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参选人应按附件二格式内容要求进行参选书的编制。</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三、参选报价</w:t>
      </w:r>
    </w:p>
    <w:p>
      <w:pPr>
        <w:pStyle w:val="8"/>
        <w:spacing w:line="360" w:lineRule="auto"/>
        <w:ind w:firstLine="468" w:firstLineChars="200"/>
        <w:rPr>
          <w:rFonts w:asciiTheme="minorEastAsia" w:hAnsiTheme="minorEastAsia" w:eastAsiaTheme="minorEastAsia"/>
          <w:lang w:eastAsia="zh-CN"/>
        </w:rPr>
      </w:pPr>
      <w:r>
        <w:rPr>
          <w:rFonts w:asciiTheme="minorEastAsia" w:hAnsiTheme="minorEastAsia" w:eastAsiaTheme="minorEastAsia"/>
          <w:spacing w:val="-3"/>
          <w:lang w:eastAsia="zh-CN"/>
        </w:rPr>
        <w:t>参选人须按要求进行报价</w:t>
      </w:r>
      <w:r>
        <w:rPr>
          <w:rFonts w:asciiTheme="minorEastAsia" w:hAnsiTheme="minorEastAsia" w:eastAsiaTheme="minorEastAsia"/>
          <w:spacing w:val="-29"/>
          <w:lang w:eastAsia="zh-CN"/>
        </w:rPr>
        <w:t>，</w:t>
      </w:r>
      <w:r>
        <w:rPr>
          <w:rFonts w:asciiTheme="minorEastAsia" w:hAnsiTheme="minorEastAsia" w:eastAsiaTheme="minorEastAsia"/>
          <w:spacing w:val="-4"/>
          <w:lang w:eastAsia="zh-CN"/>
        </w:rPr>
        <w:t>对参选报价负责。参选报价应加盖参选人印章，字迹清晰，否则视为无效。</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四、特别说明</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5"/>
          <w:lang w:eastAsia="zh-CN"/>
        </w:rPr>
        <w:t>参选人应承担所有与准备和参加比选有关的费用。不论比选的结果如何，比选机构和比选人均无义务和责任承担这些费用。</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asciiTheme="minorEastAsia" w:hAnsiTheme="minorEastAsia" w:eastAsiaTheme="minorEastAsia"/>
          <w:spacing w:val="-9"/>
          <w:lang w:eastAsia="zh-CN"/>
        </w:rPr>
        <w:t>参选收到比选文件后，如有疑问需要澄清，请以书面形式在规定时间内报比选人汇总。</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6"/>
          <w:lang w:eastAsia="zh-CN"/>
        </w:rPr>
        <w:t>参选人对比选人提供的比选文件所做出的推论、解释和结论，比选人概不负责。参</w:t>
      </w:r>
      <w:r>
        <w:rPr>
          <w:rFonts w:asciiTheme="minorEastAsia" w:hAnsiTheme="minorEastAsia" w:eastAsiaTheme="minorEastAsia"/>
          <w:spacing w:val="-9"/>
          <w:lang w:eastAsia="zh-CN"/>
        </w:rPr>
        <w:t>选人由于对比选文件的任何推论和误解以及比选对有关问题的口头解释所造成的后果，均由参选人负责。</w:t>
      </w:r>
    </w:p>
    <w:p>
      <w:pPr>
        <w:spacing w:line="360" w:lineRule="auto"/>
        <w:ind w:firstLine="480" w:firstLineChars="200"/>
        <w:rPr>
          <w:sz w:val="24"/>
          <w:szCs w:val="24"/>
          <w:lang w:eastAsia="zh-CN"/>
        </w:rPr>
        <w:sectPr>
          <w:pgSz w:w="11910" w:h="16840"/>
          <w:pgMar w:top="1500" w:right="1020" w:bottom="740" w:left="1300" w:header="0" w:footer="551" w:gutter="0"/>
          <w:cols w:space="720" w:num="1"/>
        </w:sectPr>
      </w:pPr>
    </w:p>
    <w:p>
      <w:pPr>
        <w:pStyle w:val="2"/>
        <w:tabs>
          <w:tab w:val="left" w:pos="1488"/>
        </w:tabs>
        <w:spacing w:line="360" w:lineRule="auto"/>
        <w:ind w:left="0" w:firstLine="562" w:firstLineChars="200"/>
        <w:jc w:val="center"/>
        <w:rPr>
          <w:rFonts w:asciiTheme="minorEastAsia" w:hAnsiTheme="minorEastAsia" w:eastAsiaTheme="minorEastAsia"/>
          <w:w w:val="95"/>
          <w:lang w:eastAsia="zh-CN"/>
        </w:rPr>
      </w:pPr>
      <w:r>
        <w:rPr>
          <w:rFonts w:asciiTheme="minorEastAsia" w:hAnsiTheme="minorEastAsia" w:eastAsiaTheme="minorEastAsia"/>
          <w:lang w:eastAsia="zh-CN"/>
        </w:rPr>
        <w:t>第四章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评比规</w:t>
      </w:r>
      <w:r>
        <w:rPr>
          <w:rFonts w:asciiTheme="minorEastAsia" w:hAnsiTheme="minorEastAsia" w:eastAsiaTheme="minorEastAsia"/>
          <w:w w:val="95"/>
          <w:lang w:eastAsia="zh-CN"/>
        </w:rPr>
        <w:t>则</w:t>
      </w:r>
    </w:p>
    <w:p>
      <w:pPr>
        <w:rPr>
          <w:lang w:eastAsia="zh-CN"/>
        </w:rPr>
      </w:pPr>
    </w:p>
    <w:p>
      <w:pPr>
        <w:spacing w:line="360" w:lineRule="auto"/>
        <w:ind w:firstLine="458" w:firstLineChars="200"/>
        <w:rPr>
          <w:rFonts w:asciiTheme="minorEastAsia" w:hAnsiTheme="minorEastAsia" w:eastAsiaTheme="minorEastAsia"/>
          <w:b/>
          <w:sz w:val="24"/>
          <w:szCs w:val="24"/>
          <w:lang w:eastAsia="zh-CN"/>
        </w:rPr>
      </w:pPr>
      <w:r>
        <w:rPr>
          <w:rFonts w:asciiTheme="minorEastAsia" w:hAnsiTheme="minorEastAsia" w:eastAsiaTheme="minorEastAsia"/>
          <w:b/>
          <w:w w:val="95"/>
          <w:sz w:val="24"/>
          <w:szCs w:val="24"/>
          <w:lang w:eastAsia="zh-CN"/>
        </w:rPr>
        <w:t>一、规则：</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11"/>
          <w:lang w:eastAsia="zh-CN"/>
        </w:rPr>
        <w:t>比选人在评选时，中选单位的报价仅为比选要件之一。比选人将根据评审细则对参选人进行技术标评分，作为综合比选评选的依据之一。</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2.参选人串选、相互勾结故意压低标价以排挤竞争对手的公平竞争的，其参选无效。</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8"/>
          <w:lang w:eastAsia="zh-CN"/>
        </w:rPr>
        <w:t>替补候选人的设定与使用：在合同签订前，比选单位发现参选人的参选报价或供货</w:t>
      </w:r>
      <w:r>
        <w:rPr>
          <w:rFonts w:asciiTheme="minorEastAsia" w:hAnsiTheme="minorEastAsia" w:eastAsiaTheme="minorEastAsia"/>
          <w:spacing w:val="-12"/>
          <w:lang w:eastAsia="zh-CN"/>
        </w:rPr>
        <w:t>范围有缺漏、实际应标产品或服务存在重大偏差、或参选材料存在欺诈行为时、或参选人</w:t>
      </w:r>
      <w:r>
        <w:rPr>
          <w:rFonts w:asciiTheme="minorEastAsia" w:hAnsiTheme="minorEastAsia" w:eastAsiaTheme="minorEastAsia"/>
          <w:spacing w:val="-22"/>
          <w:lang w:eastAsia="zh-CN"/>
        </w:rPr>
        <w:t>因不可抗力或自身原因不能履行合同的，将有理由取消中选人资格，保留依法追究的权利； 并将依法确定</w:t>
      </w:r>
      <w:r>
        <w:rPr>
          <w:rFonts w:hint="eastAsia" w:asciiTheme="minorEastAsia" w:hAnsiTheme="minorEastAsia" w:eastAsiaTheme="minorEastAsia"/>
          <w:spacing w:val="-22"/>
          <w:lang w:eastAsia="zh-CN"/>
        </w:rPr>
        <w:t>后续</w:t>
      </w:r>
      <w:r>
        <w:rPr>
          <w:rFonts w:asciiTheme="minorEastAsia" w:hAnsiTheme="minorEastAsia" w:eastAsiaTheme="minorEastAsia"/>
          <w:spacing w:val="-22"/>
          <w:lang w:eastAsia="zh-CN"/>
        </w:rPr>
        <w:t>排名的中选候选人为本项目的中选人或重新比选。</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二、资格审查：</w:t>
      </w:r>
    </w:p>
    <w:p>
      <w:pPr>
        <w:pStyle w:val="8"/>
        <w:spacing w:line="360" w:lineRule="auto"/>
        <w:ind w:firstLine="460" w:firstLineChars="200"/>
        <w:rPr>
          <w:rFonts w:asciiTheme="minorEastAsia" w:hAnsiTheme="minorEastAsia" w:eastAsiaTheme="minorEastAsia"/>
          <w:lang w:eastAsia="zh-CN"/>
        </w:rPr>
      </w:pPr>
      <w:r>
        <w:rPr>
          <w:rFonts w:asciiTheme="minorEastAsia" w:hAnsiTheme="minorEastAsia" w:eastAsiaTheme="minorEastAsia"/>
          <w:spacing w:val="-5"/>
          <w:lang w:eastAsia="zh-CN"/>
        </w:rPr>
        <w:t>由比选人依法组建的评选委员会将按照第二章比选须知第六点“参选人资格”的要求</w:t>
      </w:r>
      <w:r>
        <w:rPr>
          <w:rFonts w:asciiTheme="minorEastAsia" w:hAnsiTheme="minorEastAsia" w:eastAsiaTheme="minorEastAsia"/>
          <w:spacing w:val="-11"/>
          <w:lang w:eastAsia="zh-CN"/>
        </w:rPr>
        <w:t>对参选人进行资格审查，以确定是否为符合比选文件规定要求的合格参选人，同时，评选</w:t>
      </w:r>
      <w:r>
        <w:rPr>
          <w:rFonts w:asciiTheme="minorEastAsia" w:hAnsiTheme="minorEastAsia" w:eastAsiaTheme="minorEastAsia"/>
          <w:spacing w:val="-14"/>
          <w:lang w:eastAsia="zh-CN"/>
        </w:rPr>
        <w:t>委员会将依据参选人提供的资格证明文件审查参选人的法人资格、营业范围、财务，以确</w:t>
      </w:r>
      <w:r>
        <w:rPr>
          <w:rFonts w:asciiTheme="minorEastAsia" w:hAnsiTheme="minorEastAsia" w:eastAsiaTheme="minorEastAsia"/>
          <w:spacing w:val="-18"/>
          <w:lang w:eastAsia="zh-CN"/>
        </w:rPr>
        <w:t>定参选人是否有资格履行合同。经上述资格审查合格的参选人进入下一程序的评审，经上述资格审查不合格的参选文件，其参选资格将被评选委员会予以否决。</w:t>
      </w:r>
    </w:p>
    <w:p>
      <w:pPr>
        <w:spacing w:line="360" w:lineRule="auto"/>
        <w:ind w:firstLine="456" w:firstLineChars="200"/>
        <w:rPr>
          <w:rFonts w:asciiTheme="minorEastAsia" w:hAnsiTheme="minorEastAsia" w:eastAsiaTheme="minorEastAsia"/>
          <w:b/>
          <w:sz w:val="24"/>
          <w:szCs w:val="24"/>
          <w:lang w:eastAsia="zh-CN"/>
        </w:rPr>
      </w:pPr>
      <w:r>
        <w:rPr>
          <w:rFonts w:asciiTheme="minorEastAsia" w:hAnsiTheme="minorEastAsia" w:eastAsiaTheme="minorEastAsia"/>
          <w:w w:val="95"/>
          <w:sz w:val="24"/>
          <w:szCs w:val="24"/>
          <w:lang w:eastAsia="zh-CN"/>
        </w:rPr>
        <w:t>三、</w:t>
      </w:r>
      <w:r>
        <w:rPr>
          <w:rFonts w:asciiTheme="minorEastAsia" w:hAnsiTheme="minorEastAsia" w:eastAsiaTheme="minorEastAsia"/>
          <w:b/>
          <w:w w:val="95"/>
          <w:sz w:val="24"/>
          <w:szCs w:val="24"/>
          <w:lang w:eastAsia="zh-CN"/>
        </w:rPr>
        <w:t>评选办法：</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评选委员会将对通过资格及实质响应性审查的各合格参选人，根据以下标准和方法进行评分。</w:t>
      </w:r>
    </w:p>
    <w:p>
      <w:pPr>
        <w:spacing w:line="360" w:lineRule="auto"/>
        <w:ind w:firstLine="482" w:firstLineChars="20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 xml:space="preserve"> </w:t>
      </w:r>
      <w:r>
        <w:rPr>
          <w:rFonts w:hint="eastAsia" w:asciiTheme="minorEastAsia" w:hAnsiTheme="minorEastAsia" w:eastAsiaTheme="minorEastAsia"/>
          <w:sz w:val="24"/>
          <w:szCs w:val="24"/>
          <w:lang w:eastAsia="zh-CN"/>
        </w:rPr>
        <w:t>本项目评审采用价格评标法。评标委员会分别对不同合同包进行比选，对通过资格及符合性检查和响应性确定的各合格参选人进行综合分析、比较，在全部满足比选文件实质性要求前提下，经评审的有效参选人未税总价由高至低排列，排名第一的</w:t>
      </w:r>
      <w:r>
        <w:rPr>
          <w:rFonts w:hint="eastAsia" w:asciiTheme="minorEastAsia" w:hAnsiTheme="minorEastAsia" w:eastAsiaTheme="minorEastAsia"/>
          <w:sz w:val="24"/>
          <w:szCs w:val="24"/>
          <w:lang w:val="en-US" w:eastAsia="zh-CN"/>
        </w:rPr>
        <w:t>为</w:t>
      </w:r>
      <w:r>
        <w:rPr>
          <w:rFonts w:hint="eastAsia" w:asciiTheme="minorEastAsia" w:hAnsiTheme="minorEastAsia" w:eastAsiaTheme="minorEastAsia"/>
          <w:sz w:val="24"/>
          <w:szCs w:val="24"/>
          <w:lang w:eastAsia="zh-CN"/>
        </w:rPr>
        <w:t>中选候选人。</w:t>
      </w:r>
    </w:p>
    <w:p>
      <w:pPr>
        <w:pStyle w:val="8"/>
        <w:spacing w:line="360" w:lineRule="auto"/>
        <w:ind w:firstLine="480" w:firstLineChars="200"/>
        <w:rPr>
          <w:rFonts w:asciiTheme="minorEastAsia" w:hAnsiTheme="minorEastAsia" w:eastAsiaTheme="minorEastAsia"/>
          <w:b/>
          <w:lang w:eastAsia="zh-CN"/>
        </w:rPr>
      </w:pPr>
      <w:r>
        <w:rPr>
          <w:rFonts w:hint="eastAsia" w:asciiTheme="minorEastAsia" w:hAnsiTheme="minorEastAsia" w:eastAsiaTheme="minorEastAsia"/>
          <w:lang w:eastAsia="zh-CN"/>
        </w:rPr>
        <w:t>若有相同的评标价格，则由评标委员会全体成员记名投票表决，得票</w:t>
      </w:r>
      <w:r>
        <w:rPr>
          <w:rFonts w:hint="eastAsia" w:asciiTheme="minorEastAsia" w:hAnsiTheme="minorEastAsia" w:eastAsiaTheme="minorEastAsia"/>
          <w:color w:val="000000"/>
          <w:lang w:eastAsia="zh-CN"/>
        </w:rPr>
        <w:t>超过半数的</w:t>
      </w:r>
      <w:r>
        <w:rPr>
          <w:rFonts w:hint="eastAsia" w:asciiTheme="minorEastAsia" w:hAnsiTheme="minorEastAsia" w:eastAsiaTheme="minorEastAsia"/>
          <w:lang w:eastAsia="zh-CN"/>
        </w:rPr>
        <w:t>将被排序在前</w:t>
      </w:r>
    </w:p>
    <w:p>
      <w:pPr>
        <w:spacing w:line="360" w:lineRule="auto"/>
        <w:ind w:firstLine="458" w:firstLineChars="200"/>
        <w:rPr>
          <w:rFonts w:asciiTheme="minorEastAsia" w:hAnsiTheme="minorEastAsia" w:eastAsiaTheme="minorEastAsia"/>
          <w:b/>
          <w:sz w:val="24"/>
          <w:szCs w:val="24"/>
          <w:lang w:eastAsia="zh-CN"/>
        </w:rPr>
      </w:pPr>
      <w:r>
        <w:rPr>
          <w:rFonts w:asciiTheme="minorEastAsia" w:hAnsiTheme="minorEastAsia" w:eastAsiaTheme="minorEastAsia"/>
          <w:b/>
          <w:w w:val="95"/>
          <w:sz w:val="24"/>
          <w:szCs w:val="24"/>
          <w:lang w:eastAsia="zh-CN"/>
        </w:rPr>
        <w:t>四、以下情况作废选处理：</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1.对比选文件提出的实质性要求和条件，参选文件未能在实质上响应的。</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2.参选文件存在重大偏差的。</w:t>
      </w:r>
    </w:p>
    <w:p>
      <w:pPr>
        <w:pStyle w:val="8"/>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asciiTheme="minorEastAsia" w:hAnsiTheme="minorEastAsia" w:eastAsiaTheme="minorEastAsia"/>
          <w:lang w:eastAsia="zh-CN"/>
        </w:rPr>
        <w:t>.违反规定影响开选评选工作或采取其他方式对比选人施加影响的。</w:t>
      </w:r>
    </w:p>
    <w:p>
      <w:pPr>
        <w:pStyle w:val="8"/>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.参选人串标、相互勾结故意压低标价以排挤竞争对手的公平竞争的，其参选无效。</w:t>
      </w:r>
    </w:p>
    <w:p>
      <w:pPr>
        <w:spacing w:line="360" w:lineRule="auto"/>
        <w:ind w:firstLine="480" w:firstLineChars="200"/>
        <w:rPr>
          <w:rFonts w:asciiTheme="minorEastAsia" w:hAnsiTheme="minorEastAsia" w:eastAsiaTheme="minorEastAsia"/>
          <w:sz w:val="24"/>
          <w:szCs w:val="24"/>
          <w:lang w:eastAsia="zh-CN"/>
        </w:rPr>
        <w:sectPr>
          <w:pgSz w:w="11910" w:h="16840"/>
          <w:pgMar w:top="1440" w:right="900" w:bottom="740" w:left="1200" w:header="0" w:footer="551" w:gutter="0"/>
          <w:cols w:space="720" w:num="1"/>
        </w:sectPr>
      </w:pP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五、评选</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5"/>
          <w:lang w:eastAsia="zh-CN"/>
        </w:rPr>
        <w:t>比选人将在参选文件截止日期后另行择日组织比选会，参选人选定工作在比选人有关部门监督下，由比选人依法组建的评选委员会负责。</w:t>
      </w:r>
    </w:p>
    <w:p>
      <w:pPr>
        <w:pStyle w:val="8"/>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2.在开选时没有启封和读出的参选文件，在评选时将不予考虑。</w:t>
      </w:r>
    </w:p>
    <w:p>
      <w:pPr>
        <w:pStyle w:val="8"/>
        <w:spacing w:line="360" w:lineRule="auto"/>
        <w:ind w:firstLine="480" w:firstLineChars="200"/>
        <w:rPr>
          <w:lang w:eastAsia="zh-CN"/>
        </w:rPr>
      </w:pPr>
      <w:r>
        <w:rPr>
          <w:rFonts w:asciiTheme="minorEastAsia" w:hAnsiTheme="minorEastAsia" w:eastAsiaTheme="minorEastAsia"/>
          <w:lang w:eastAsia="zh-CN"/>
        </w:rPr>
        <w:t>3.比选人将做开选记录。</w:t>
      </w:r>
    </w:p>
    <w:p>
      <w:pPr>
        <w:pStyle w:val="8"/>
        <w:spacing w:line="360" w:lineRule="auto"/>
        <w:ind w:firstLine="458" w:firstLineChars="200"/>
        <w:rPr>
          <w:b/>
          <w:bCs/>
          <w:color w:val="000000" w:themeColor="text1"/>
          <w:w w:val="95"/>
          <w:lang w:eastAsia="zh-CN"/>
          <w14:textFill>
            <w14:solidFill>
              <w14:schemeClr w14:val="tx1"/>
            </w14:solidFill>
          </w14:textFill>
        </w:rPr>
      </w:pPr>
    </w:p>
    <w:p>
      <w:pPr>
        <w:spacing w:line="360" w:lineRule="auto"/>
        <w:ind w:firstLine="480" w:firstLineChars="200"/>
        <w:rPr>
          <w:sz w:val="24"/>
          <w:szCs w:val="24"/>
          <w:lang w:eastAsia="zh-CN"/>
        </w:rPr>
      </w:pPr>
    </w:p>
    <w:p>
      <w:pPr>
        <w:pStyle w:val="8"/>
        <w:spacing w:line="360" w:lineRule="auto"/>
        <w:ind w:firstLine="480" w:firstLineChars="200"/>
        <w:rPr>
          <w:lang w:eastAsia="zh-CN"/>
        </w:rPr>
        <w:sectPr>
          <w:pgSz w:w="11910" w:h="16840"/>
          <w:pgMar w:top="1500" w:right="1140" w:bottom="740" w:left="1300" w:header="0" w:footer="551" w:gutter="0"/>
          <w:cols w:space="720" w:num="1"/>
        </w:sectPr>
      </w:pPr>
    </w:p>
    <w:p>
      <w:pPr>
        <w:pStyle w:val="2"/>
        <w:tabs>
          <w:tab w:val="left" w:pos="1632"/>
        </w:tabs>
        <w:spacing w:line="360" w:lineRule="auto"/>
        <w:ind w:left="0" w:firstLine="482" w:firstLineChars="200"/>
        <w:jc w:val="center"/>
        <w:rPr>
          <w:sz w:val="24"/>
          <w:szCs w:val="24"/>
          <w:lang w:eastAsia="zh-CN"/>
        </w:rPr>
      </w:pPr>
      <w:r>
        <w:rPr>
          <w:sz w:val="24"/>
          <w:szCs w:val="24"/>
          <w:lang w:eastAsia="zh-CN"/>
        </w:rPr>
        <w:t>第五章</w:t>
      </w:r>
      <w:r>
        <w:rPr>
          <w:sz w:val="24"/>
          <w:szCs w:val="24"/>
          <w:lang w:eastAsia="zh-CN"/>
        </w:rPr>
        <w:tab/>
      </w:r>
      <w:r>
        <w:rPr>
          <w:spacing w:val="-1"/>
          <w:w w:val="95"/>
          <w:sz w:val="24"/>
          <w:szCs w:val="24"/>
          <w:lang w:eastAsia="zh-CN"/>
        </w:rPr>
        <w:t>合同授</w:t>
      </w:r>
      <w:r>
        <w:rPr>
          <w:w w:val="95"/>
          <w:sz w:val="24"/>
          <w:szCs w:val="24"/>
          <w:lang w:eastAsia="zh-CN"/>
        </w:rPr>
        <w:t>予</w:t>
      </w:r>
    </w:p>
    <w:p>
      <w:pPr>
        <w:pStyle w:val="8"/>
        <w:spacing w:line="360" w:lineRule="auto"/>
        <w:ind w:firstLine="482" w:firstLineChars="200"/>
        <w:rPr>
          <w:b/>
          <w:lang w:eastAsia="zh-CN"/>
        </w:rPr>
      </w:pPr>
    </w:p>
    <w:p>
      <w:pPr>
        <w:pStyle w:val="8"/>
        <w:spacing w:line="360" w:lineRule="auto"/>
        <w:ind w:firstLine="482" w:firstLineChars="200"/>
        <w:rPr>
          <w:b/>
          <w:lang w:eastAsia="zh-CN"/>
        </w:rPr>
      </w:pPr>
    </w:p>
    <w:p>
      <w:pPr>
        <w:pStyle w:val="8"/>
        <w:spacing w:line="360" w:lineRule="auto"/>
        <w:ind w:firstLine="480" w:firstLineChars="200"/>
        <w:rPr>
          <w:lang w:eastAsia="zh-CN"/>
        </w:rPr>
      </w:pPr>
      <w:r>
        <w:rPr>
          <w:lang w:eastAsia="zh-CN"/>
        </w:rPr>
        <w:t>1.比选人将把合同授予中选人；在授予前，仍需进行资格审查。</w:t>
      </w:r>
    </w:p>
    <w:p>
      <w:pPr>
        <w:pStyle w:val="8"/>
        <w:spacing w:line="360" w:lineRule="auto"/>
        <w:ind w:firstLine="480" w:firstLineChars="200"/>
        <w:rPr>
          <w:lang w:eastAsia="zh-CN"/>
        </w:rPr>
      </w:pPr>
      <w:r>
        <w:rPr>
          <w:lang w:eastAsia="zh-CN"/>
        </w:rPr>
        <w:t>2.中选人确定后，比选将通知中选人，并将中选结果公示在比选人集团官网。</w:t>
      </w:r>
    </w:p>
    <w:p>
      <w:pPr>
        <w:pStyle w:val="8"/>
        <w:spacing w:line="360" w:lineRule="auto"/>
        <w:ind w:firstLine="480" w:firstLineChars="200"/>
        <w:rPr>
          <w:lang w:eastAsia="zh-CN"/>
        </w:rPr>
      </w:pPr>
      <w:r>
        <w:rPr>
          <w:lang w:eastAsia="zh-CN"/>
        </w:rPr>
        <w:t>3.</w:t>
      </w:r>
      <w:r>
        <w:rPr>
          <w:spacing w:val="-2"/>
          <w:lang w:eastAsia="zh-CN"/>
        </w:rPr>
        <w:t>中选通知对比选人和参选人具有法律效力。</w:t>
      </w:r>
      <w:r>
        <w:rPr>
          <w:rFonts w:hint="eastAsia"/>
          <w:spacing w:val="-4"/>
          <w:lang w:eastAsia="zh-CN"/>
        </w:rPr>
        <w:t>福建福海创石油化工有限公司的权属子公司“</w:t>
      </w:r>
      <w:r>
        <w:rPr>
          <w:spacing w:val="-4"/>
          <w:lang w:eastAsia="zh-CN"/>
        </w:rPr>
        <w:t>翔鹭石化</w:t>
      </w:r>
      <w:r>
        <w:rPr>
          <w:rFonts w:hint="eastAsia"/>
          <w:spacing w:val="-4"/>
          <w:lang w:eastAsia="zh-CN"/>
        </w:rPr>
        <w:t>（漳州）有限公司，腾龙芳烃（漳州）有限公司”作为合同执行主体，</w:t>
      </w:r>
      <w:r>
        <w:rPr>
          <w:spacing w:val="-4"/>
          <w:lang w:eastAsia="zh-CN"/>
        </w:rPr>
        <w:t>中选单位需在比选人通知中选后</w:t>
      </w:r>
      <w:r>
        <w:rPr>
          <w:rFonts w:hint="eastAsia"/>
          <w:spacing w:val="-4"/>
          <w:lang w:eastAsia="zh-CN"/>
        </w:rPr>
        <w:t>30日内</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spacing w:line="360" w:lineRule="auto"/>
        <w:ind w:firstLine="480" w:firstLineChars="200"/>
        <w:rPr>
          <w:lang w:eastAsia="zh-CN"/>
        </w:rPr>
      </w:pPr>
      <w:r>
        <w:rPr>
          <w:lang w:eastAsia="zh-CN"/>
        </w:rPr>
        <w:t>4.</w:t>
      </w:r>
      <w:r>
        <w:rPr>
          <w:spacing w:val="-8"/>
          <w:lang w:eastAsia="zh-CN"/>
        </w:rPr>
        <w:t>中选人签署合同后必须履行合同要求。若因中选单位原因未在规定的时间内完成</w:t>
      </w:r>
      <w:r>
        <w:rPr>
          <w:rFonts w:hint="eastAsia"/>
          <w:spacing w:val="-8"/>
          <w:lang w:eastAsia="zh-CN"/>
        </w:rPr>
        <w:t>此次比选内容的</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8"/>
        <w:spacing w:line="360" w:lineRule="auto"/>
        <w:ind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line="360" w:lineRule="auto"/>
        <w:ind w:firstLine="480" w:firstLineChars="200"/>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60" w:lineRule="auto"/>
        <w:ind w:firstLine="480" w:firstLineChars="200"/>
        <w:rPr>
          <w:sz w:val="24"/>
          <w:szCs w:val="24"/>
          <w:lang w:eastAsia="zh-CN"/>
        </w:rPr>
        <w:sectPr>
          <w:footerReference r:id="rId4" w:type="default"/>
          <w:pgSz w:w="11910" w:h="16840"/>
          <w:pgMar w:top="1500" w:right="1020" w:bottom="740" w:left="1300" w:header="0" w:footer="551" w:gutter="0"/>
          <w:pgNumType w:start="10"/>
          <w:cols w:space="720" w:num="1"/>
        </w:sectPr>
      </w:pPr>
    </w:p>
    <w:p>
      <w:pPr>
        <w:pStyle w:val="2"/>
        <w:tabs>
          <w:tab w:val="left" w:pos="4344"/>
        </w:tabs>
        <w:spacing w:line="360" w:lineRule="auto"/>
        <w:ind w:left="0" w:firstLine="482" w:firstLineChars="200"/>
        <w:jc w:val="center"/>
        <w:rPr>
          <w:b w:val="0"/>
          <w:lang w:eastAsia="zh-CN"/>
        </w:rPr>
      </w:pPr>
      <w:r>
        <w:rPr>
          <w:sz w:val="24"/>
          <w:szCs w:val="24"/>
          <w:lang w:eastAsia="zh-CN"/>
        </w:rPr>
        <w:t>第六章</w:t>
      </w:r>
      <w:r>
        <w:rPr>
          <w:rFonts w:hint="eastAsia"/>
          <w:sz w:val="24"/>
          <w:szCs w:val="24"/>
          <w:lang w:eastAsia="zh-CN"/>
        </w:rPr>
        <w:t xml:space="preserve"> </w:t>
      </w:r>
      <w:r>
        <w:rPr>
          <w:spacing w:val="-1"/>
          <w:w w:val="95"/>
          <w:sz w:val="24"/>
          <w:szCs w:val="24"/>
          <w:lang w:eastAsia="zh-CN"/>
        </w:rPr>
        <w:t>中选后相关</w:t>
      </w:r>
      <w:r>
        <w:rPr>
          <w:w w:val="95"/>
          <w:sz w:val="24"/>
          <w:szCs w:val="24"/>
          <w:lang w:eastAsia="zh-CN"/>
        </w:rPr>
        <w:t>履约要求</w:t>
      </w:r>
    </w:p>
    <w:p>
      <w:pPr>
        <w:pStyle w:val="8"/>
        <w:spacing w:line="360" w:lineRule="auto"/>
        <w:ind w:firstLine="480" w:firstLineChars="200"/>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8"/>
        <w:spacing w:line="360" w:lineRule="auto"/>
        <w:ind w:firstLine="480" w:firstLineChars="200"/>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spacing w:line="360" w:lineRule="auto"/>
        <w:ind w:firstLine="480" w:firstLineChars="200"/>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福建福海创石油化工有限公司</w:t>
      </w:r>
      <w:r>
        <w:rPr>
          <w:spacing w:val="-6"/>
          <w:lang w:eastAsia="zh-CN"/>
        </w:rPr>
        <w:t>相应条款进行处罚。</w:t>
      </w:r>
    </w:p>
    <w:p>
      <w:pPr>
        <w:spacing w:line="360" w:lineRule="auto"/>
        <w:ind w:firstLine="480" w:firstLineChars="200"/>
        <w:rPr>
          <w:sz w:val="24"/>
          <w:szCs w:val="24"/>
          <w:lang w:eastAsia="zh-CN"/>
        </w:rPr>
        <w:sectPr>
          <w:pgSz w:w="11910" w:h="16840"/>
          <w:pgMar w:top="1500" w:right="1140" w:bottom="740" w:left="1300" w:header="0" w:footer="551" w:gutter="0"/>
          <w:cols w:space="720" w:num="1"/>
        </w:sectPr>
      </w:pPr>
    </w:p>
    <w:p>
      <w:pPr>
        <w:pStyle w:val="2"/>
        <w:tabs>
          <w:tab w:val="left" w:pos="1912"/>
        </w:tabs>
        <w:spacing w:line="360" w:lineRule="auto"/>
        <w:ind w:left="0" w:firstLine="482" w:firstLineChars="200"/>
        <w:jc w:val="center"/>
        <w:rPr>
          <w:b w:val="0"/>
          <w:lang w:eastAsia="zh-CN"/>
        </w:rPr>
      </w:pPr>
      <w:r>
        <w:rPr>
          <w:sz w:val="24"/>
          <w:szCs w:val="24"/>
          <w:lang w:eastAsia="zh-CN"/>
        </w:rPr>
        <w:t>第七章</w:t>
      </w:r>
      <w:r>
        <w:rPr>
          <w:sz w:val="24"/>
          <w:szCs w:val="24"/>
          <w:lang w:eastAsia="zh-CN"/>
        </w:rPr>
        <w:tab/>
      </w:r>
      <w:r>
        <w:rPr>
          <w:spacing w:val="-1"/>
          <w:w w:val="95"/>
          <w:sz w:val="24"/>
          <w:szCs w:val="24"/>
          <w:lang w:eastAsia="zh-CN"/>
        </w:rPr>
        <w:t>其</w:t>
      </w:r>
      <w:r>
        <w:rPr>
          <w:w w:val="95"/>
          <w:sz w:val="24"/>
          <w:szCs w:val="24"/>
          <w:lang w:eastAsia="zh-CN"/>
        </w:rPr>
        <w:t>它</w:t>
      </w:r>
    </w:p>
    <w:p>
      <w:pPr>
        <w:pStyle w:val="8"/>
        <w:spacing w:line="360" w:lineRule="auto"/>
        <w:ind w:firstLine="480" w:firstLineChars="200"/>
        <w:rPr>
          <w:lang w:eastAsia="zh-CN"/>
        </w:rPr>
      </w:pPr>
      <w:r>
        <w:rPr>
          <w:lang w:eastAsia="zh-CN"/>
        </w:rPr>
        <w:t>1.参选人的参选文件无论其是否中选，均不退回。</w:t>
      </w:r>
    </w:p>
    <w:p>
      <w:pPr>
        <w:pStyle w:val="8"/>
        <w:spacing w:line="360" w:lineRule="auto"/>
        <w:ind w:firstLine="480" w:firstLineChars="200"/>
        <w:rPr>
          <w:lang w:eastAsia="zh-CN"/>
        </w:rPr>
      </w:pPr>
      <w:r>
        <w:rPr>
          <w:lang w:eastAsia="zh-CN"/>
        </w:rPr>
        <w:t>2.比选人郑重承诺：参选人所提交的参选文件及相关资料不向第三方泄露。</w:t>
      </w:r>
    </w:p>
    <w:p>
      <w:pPr>
        <w:pStyle w:val="8"/>
        <w:spacing w:line="360" w:lineRule="auto"/>
        <w:ind w:firstLine="480" w:firstLineChars="200"/>
        <w:rPr>
          <w:lang w:eastAsia="zh-CN"/>
        </w:rPr>
      </w:pPr>
      <w:r>
        <w:rPr>
          <w:lang w:eastAsia="zh-CN"/>
        </w:rPr>
        <w:t>3.本比选文件的解释权归福建福海创石油化工有限公司。</w:t>
      </w:r>
    </w:p>
    <w:p>
      <w:pPr>
        <w:pStyle w:val="8"/>
        <w:spacing w:before="106"/>
        <w:ind w:left="218"/>
        <w:rPr>
          <w:lang w:eastAsia="zh-CN"/>
        </w:rPr>
      </w:pPr>
      <w:r>
        <w:rPr>
          <w:lang w:eastAsia="zh-CN"/>
        </w:rPr>
        <w:br w:type="page"/>
      </w:r>
    </w:p>
    <w:p>
      <w:pPr>
        <w:spacing w:line="480" w:lineRule="exact"/>
        <w:jc w:val="center"/>
        <w:rPr>
          <w:szCs w:val="21"/>
          <w:lang w:eastAsia="zh-CN"/>
        </w:rPr>
      </w:pPr>
      <w:r>
        <w:rPr>
          <w:rFonts w:hint="eastAsia" w:ascii="Times New Roman"/>
          <w:b/>
          <w:bCs/>
          <w:lang w:eastAsia="zh-CN"/>
        </w:rPr>
        <w:t>附件一：</w:t>
      </w:r>
      <w:r>
        <w:rPr>
          <w:rFonts w:hint="eastAsia" w:ascii="Times New Roman"/>
          <w:b/>
          <w:bCs/>
          <w:lang w:val="en-US" w:eastAsia="zh-CN"/>
        </w:rPr>
        <w:t>合同模板</w:t>
      </w:r>
      <w:r>
        <w:rPr>
          <w:rFonts w:hint="eastAsia" w:ascii="Times New Roman"/>
          <w:b/>
          <w:bCs/>
          <w:lang w:eastAsia="zh-CN"/>
        </w:rPr>
        <w:t xml:space="preserve"> </w:t>
      </w:r>
      <w:r>
        <w:rPr>
          <w:rFonts w:ascii="Times New Roman"/>
          <w:b/>
          <w:bCs/>
          <w:lang w:eastAsia="zh-CN"/>
        </w:rPr>
        <w:t xml:space="preserve">  废润滑油、废电池</w:t>
      </w:r>
      <w:r>
        <w:rPr>
          <w:rFonts w:hint="eastAsia" w:asciiTheme="minorEastAsia" w:hAnsiTheme="minorEastAsia" w:eastAsiaTheme="minorEastAsia"/>
          <w:bCs/>
          <w:spacing w:val="-2"/>
          <w:lang w:eastAsia="zh-CN"/>
        </w:rPr>
        <w:t>处置</w:t>
      </w:r>
      <w:r>
        <w:rPr>
          <w:rFonts w:hint="eastAsia"/>
          <w:szCs w:val="21"/>
          <w:lang w:eastAsia="zh-CN"/>
        </w:rPr>
        <w:t>合同</w:t>
      </w:r>
    </w:p>
    <w:p>
      <w:pPr>
        <w:spacing w:line="480" w:lineRule="exact"/>
        <w:ind w:firstLine="4840" w:firstLineChars="2200"/>
        <w:rPr>
          <w:szCs w:val="21"/>
          <w:lang w:eastAsia="zh-CN"/>
        </w:rPr>
      </w:pPr>
      <w:r>
        <w:rPr>
          <w:rFonts w:hint="eastAsia"/>
          <w:szCs w:val="21"/>
          <w:lang w:eastAsia="zh-CN"/>
        </w:rPr>
        <w:t>合同编号：</w:t>
      </w:r>
    </w:p>
    <w:p>
      <w:pPr>
        <w:spacing w:line="480" w:lineRule="exact"/>
        <w:ind w:firstLine="4840" w:firstLineChars="2200"/>
        <w:rPr>
          <w:szCs w:val="21"/>
          <w:lang w:eastAsia="zh-CN"/>
        </w:rPr>
      </w:pPr>
      <w:r>
        <w:rPr>
          <w:rFonts w:hint="eastAsia"/>
          <w:szCs w:val="21"/>
          <w:lang w:eastAsia="zh-CN"/>
        </w:rPr>
        <w:t>签订日期：20</w:t>
      </w:r>
      <w:r>
        <w:rPr>
          <w:szCs w:val="21"/>
          <w:lang w:eastAsia="zh-CN"/>
        </w:rPr>
        <w:t>22</w:t>
      </w:r>
      <w:r>
        <w:rPr>
          <w:rFonts w:hint="eastAsia"/>
          <w:szCs w:val="21"/>
          <w:lang w:eastAsia="zh-CN"/>
        </w:rPr>
        <w:t>年</w:t>
      </w:r>
      <w:r>
        <w:rPr>
          <w:szCs w:val="21"/>
          <w:lang w:eastAsia="zh-CN"/>
        </w:rPr>
        <w:t>03</w:t>
      </w:r>
      <w:r>
        <w:rPr>
          <w:rFonts w:hint="eastAsia"/>
          <w:szCs w:val="21"/>
          <w:lang w:eastAsia="zh-CN"/>
        </w:rPr>
        <w:t>月  日</w:t>
      </w:r>
    </w:p>
    <w:p>
      <w:pPr>
        <w:spacing w:line="480" w:lineRule="exact"/>
        <w:rPr>
          <w:szCs w:val="21"/>
          <w:lang w:eastAsia="zh-CN"/>
        </w:rPr>
      </w:pPr>
      <w:r>
        <w:rPr>
          <w:rFonts w:hint="eastAsia"/>
          <w:szCs w:val="21"/>
          <w:lang w:eastAsia="zh-CN"/>
        </w:rPr>
        <w:t>甲方：</w:t>
      </w:r>
      <w:r>
        <w:rPr>
          <w:szCs w:val="21"/>
          <w:lang w:eastAsia="zh-CN"/>
        </w:rPr>
        <w:t xml:space="preserve"> </w:t>
      </w:r>
      <w:r>
        <w:rPr>
          <w:rFonts w:hint="eastAsia"/>
          <w:szCs w:val="21"/>
          <w:lang w:eastAsia="zh-CN"/>
        </w:rPr>
        <w:t>腾龙</w:t>
      </w:r>
      <w:r>
        <w:rPr>
          <w:szCs w:val="21"/>
          <w:lang w:eastAsia="zh-CN"/>
        </w:rPr>
        <w:t>芳烃</w:t>
      </w:r>
      <w:r>
        <w:rPr>
          <w:rFonts w:hint="eastAsia"/>
          <w:szCs w:val="21"/>
          <w:lang w:eastAsia="zh-CN"/>
        </w:rPr>
        <w:t>（漳州）有限公司</w:t>
      </w:r>
    </w:p>
    <w:p>
      <w:pPr>
        <w:spacing w:line="480" w:lineRule="exact"/>
        <w:rPr>
          <w:szCs w:val="21"/>
          <w:lang w:eastAsia="zh-CN"/>
        </w:rPr>
      </w:pPr>
      <w:r>
        <w:rPr>
          <w:rFonts w:hint="eastAsia"/>
          <w:szCs w:val="21"/>
          <w:lang w:eastAsia="zh-CN"/>
        </w:rPr>
        <w:t xml:space="preserve">乙方： </w:t>
      </w:r>
    </w:p>
    <w:p>
      <w:pPr>
        <w:spacing w:line="360" w:lineRule="auto"/>
        <w:ind w:firstLine="440" w:firstLineChars="200"/>
        <w:rPr>
          <w:szCs w:val="21"/>
          <w:lang w:eastAsia="zh-CN"/>
        </w:rPr>
      </w:pPr>
      <w:r>
        <w:rPr>
          <w:rFonts w:hint="eastAsia"/>
          <w:szCs w:val="21"/>
          <w:lang w:eastAsia="zh-CN"/>
        </w:rPr>
        <w:t>依照《中华人民共和国 民法典》及其他有关法律、行政法规，遵循平等、自愿、公平和诚实信用的原则，双方就危险废弃物处置事项，经协商一致，订立本合同。</w:t>
      </w:r>
    </w:p>
    <w:p>
      <w:pPr>
        <w:pStyle w:val="26"/>
        <w:numPr>
          <w:ilvl w:val="0"/>
          <w:numId w:val="8"/>
        </w:numPr>
        <w:autoSpaceDE/>
        <w:autoSpaceDN/>
        <w:snapToGrid w:val="0"/>
        <w:spacing w:before="156" w:beforeLines="50" w:after="156" w:afterLines="50" w:line="360" w:lineRule="auto"/>
        <w:rPr>
          <w:rFonts w:ascii="Arial" w:hAnsi="Arial" w:cs="Arial"/>
          <w:b/>
          <w:color w:val="000000" w:themeColor="text1"/>
          <w:szCs w:val="21"/>
          <w:lang w:eastAsia="zh-CN"/>
          <w14:textFill>
            <w14:solidFill>
              <w14:schemeClr w14:val="tx1"/>
            </w14:solidFill>
          </w14:textFill>
        </w:rPr>
      </w:pPr>
      <w:r>
        <w:rPr>
          <w:rFonts w:hint="eastAsia" w:ascii="Arial" w:hAnsi="Arial" w:cs="Arial"/>
          <w:b/>
          <w:color w:val="000000" w:themeColor="text1"/>
          <w:szCs w:val="21"/>
          <w:lang w:eastAsia="zh-CN"/>
          <w14:textFill>
            <w14:solidFill>
              <w14:schemeClr w14:val="tx1"/>
            </w14:solidFill>
          </w14:textFill>
        </w:rPr>
        <w:t>危废类别、价格、数量及计价方式</w:t>
      </w:r>
    </w:p>
    <w:p>
      <w:pPr>
        <w:pStyle w:val="26"/>
        <w:numPr>
          <w:ilvl w:val="0"/>
          <w:numId w:val="9"/>
        </w:numPr>
        <w:autoSpaceDE/>
        <w:autoSpaceDN/>
        <w:snapToGrid w:val="0"/>
        <w:spacing w:before="156" w:beforeLines="50" w:after="156" w:afterLines="50"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危废类别及价格</w:t>
      </w:r>
    </w:p>
    <w:tbl>
      <w:tblPr>
        <w:tblStyle w:val="22"/>
        <w:tblW w:w="10592" w:type="dxa"/>
        <w:tblInd w:w="-90" w:type="dxa"/>
        <w:tblLayout w:type="fixed"/>
        <w:tblCellMar>
          <w:top w:w="0" w:type="dxa"/>
          <w:left w:w="108" w:type="dxa"/>
          <w:bottom w:w="0" w:type="dxa"/>
          <w:right w:w="108" w:type="dxa"/>
        </w:tblCellMar>
      </w:tblPr>
      <w:tblGrid>
        <w:gridCol w:w="794"/>
        <w:gridCol w:w="1559"/>
        <w:gridCol w:w="2268"/>
        <w:gridCol w:w="1276"/>
        <w:gridCol w:w="1131"/>
        <w:gridCol w:w="1134"/>
        <w:gridCol w:w="1134"/>
        <w:gridCol w:w="1296"/>
      </w:tblGrid>
      <w:tr>
        <w:tblPrEx>
          <w:tblLayout w:type="fixed"/>
          <w:tblCellMar>
            <w:top w:w="0" w:type="dxa"/>
            <w:left w:w="108" w:type="dxa"/>
            <w:bottom w:w="0" w:type="dxa"/>
            <w:right w:w="108" w:type="dxa"/>
          </w:tblCellMar>
        </w:tblPrEx>
        <w:trPr>
          <w:trHeight w:val="540"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序号</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名称</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危废类别及代码</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有害成分</w:t>
            </w:r>
          </w:p>
        </w:tc>
        <w:tc>
          <w:tcPr>
            <w:tcW w:w="113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预估量（吨）</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未税单价（元）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总价（元）</w:t>
            </w:r>
          </w:p>
        </w:tc>
        <w:tc>
          <w:tcPr>
            <w:tcW w:w="129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包装方式</w:t>
            </w:r>
          </w:p>
        </w:tc>
      </w:tr>
      <w:tr>
        <w:tblPrEx>
          <w:tblLayout w:type="fixed"/>
          <w:tblCellMar>
            <w:top w:w="0" w:type="dxa"/>
            <w:left w:w="108" w:type="dxa"/>
            <w:bottom w:w="0" w:type="dxa"/>
            <w:right w:w="108" w:type="dxa"/>
          </w:tblCellMar>
        </w:tblPrEx>
        <w:trPr>
          <w:trHeight w:val="499"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color w:val="000000"/>
                <w:lang w:eastAsia="zh-CN"/>
              </w:rPr>
              <w:t>1</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xml:space="preserve">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shd w:val="clear" w:color="auto" w:fill="FFFFFF"/>
              </w:rPr>
              <w:t>HW31（900-052-31)</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铅</w:t>
            </w:r>
          </w:p>
        </w:tc>
        <w:tc>
          <w:tcPr>
            <w:tcW w:w="113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p>
        </w:tc>
        <w:tc>
          <w:tcPr>
            <w:tcW w:w="1296"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p>
        </w:tc>
      </w:tr>
    </w:tbl>
    <w:p>
      <w:pPr>
        <w:pStyle w:val="24"/>
        <w:spacing w:line="360" w:lineRule="auto"/>
        <w:ind w:firstLine="440" w:firstLineChars="200"/>
        <w:jc w:val="left"/>
        <w:rPr>
          <w:rFonts w:ascii="Arial" w:hAnsi="Arial" w:cs="Arial"/>
          <w:b/>
          <w:bCs/>
          <w:color w:val="000000" w:themeColor="text1"/>
          <w:szCs w:val="21"/>
          <w14:textFill>
            <w14:solidFill>
              <w14:schemeClr w14:val="tx1"/>
            </w14:solidFill>
          </w14:textFill>
        </w:rPr>
      </w:pPr>
      <w:r>
        <w:rPr>
          <w:rFonts w:ascii="Arial" w:hAnsi="Arial" w:cs="Arial"/>
          <w:color w:val="000000" w:themeColor="text1"/>
          <w:sz w:val="22"/>
          <w:szCs w:val="21"/>
          <w14:textFill>
            <w14:solidFill>
              <w14:schemeClr w14:val="tx1"/>
            </w14:solidFill>
          </w14:textFill>
        </w:rPr>
        <w:t>本案实行浮动单价</w:t>
      </w:r>
      <w:r>
        <w:rPr>
          <w:rFonts w:hint="eastAsia" w:ascii="Arial" w:hAnsi="Arial" w:cs="Arial"/>
          <w:color w:val="000000" w:themeColor="text1"/>
          <w:sz w:val="22"/>
          <w:szCs w:val="21"/>
          <w14:textFill>
            <w14:solidFill>
              <w14:schemeClr w14:val="tx1"/>
            </w14:solidFill>
          </w14:textFill>
        </w:rPr>
        <w:t>，</w:t>
      </w:r>
      <w:r>
        <w:rPr>
          <w:rFonts w:ascii="Arial" w:hAnsi="Arial" w:cs="Arial"/>
          <w:b/>
          <w:bCs/>
          <w:color w:val="000000" w:themeColor="text1"/>
          <w:szCs w:val="21"/>
          <w14:textFill>
            <w14:solidFill>
              <w14:schemeClr w14:val="tx1"/>
            </w14:solidFill>
          </w14:textFill>
        </w:rPr>
        <w:t xml:space="preserve"> </w:t>
      </w:r>
      <w:r>
        <w:rPr>
          <w:rFonts w:ascii="Arial" w:hAnsi="Arial" w:cs="Arial"/>
          <w:color w:val="000000" w:themeColor="text1"/>
          <w:sz w:val="22"/>
          <w:szCs w:val="21"/>
          <w14:textFill>
            <w14:solidFill>
              <w14:schemeClr w14:val="tx1"/>
            </w14:solidFill>
          </w14:textFill>
        </w:rPr>
        <w:t>卓创资讯废铅全国主流市场均价 (网址：https://www.sci99.com/monitor-181-0.html)，截标当日的价格</w:t>
      </w:r>
      <w:r>
        <w:rPr>
          <w:rFonts w:hint="eastAsia" w:ascii="Arial" w:hAnsi="Arial" w:cs="Arial"/>
          <w:color w:val="000000" w:themeColor="text1"/>
          <w:sz w:val="22"/>
          <w:szCs w:val="21"/>
          <w14:textFill>
            <w14:solidFill>
              <w14:schemeClr w14:val="tx1"/>
            </w14:solidFill>
          </w14:textFill>
        </w:rPr>
        <w:t>为￥</w:t>
      </w:r>
      <w:r>
        <w:rPr>
          <w:rFonts w:hint="eastAsia" w:ascii="Arial" w:hAnsi="Arial" w:cs="Arial"/>
          <w:color w:val="000000" w:themeColor="text1"/>
          <w:sz w:val="22"/>
          <w:szCs w:val="21"/>
          <w:lang w:val="en-US" w:eastAsia="zh-CN"/>
          <w14:textFill>
            <w14:solidFill>
              <w14:schemeClr w14:val="tx1"/>
            </w14:solidFill>
          </w14:textFill>
        </w:rPr>
        <w:t xml:space="preserve"> </w:t>
      </w:r>
      <w:r>
        <w:rPr>
          <w:rFonts w:ascii="Arial" w:hAnsi="Arial" w:cs="Arial"/>
          <w:color w:val="000000" w:themeColor="text1"/>
          <w:sz w:val="22"/>
          <w:szCs w:val="21"/>
          <w14:textFill>
            <w14:solidFill>
              <w14:schemeClr w14:val="tx1"/>
            </w14:solidFill>
          </w14:textFill>
        </w:rPr>
        <w:t>元，如提货</w:t>
      </w:r>
      <w:r>
        <w:rPr>
          <w:rFonts w:hint="eastAsia" w:ascii="Arial" w:hAnsi="Arial" w:cs="Arial"/>
          <w:color w:val="000000" w:themeColor="text1"/>
          <w:sz w:val="22"/>
          <w:szCs w:val="21"/>
          <w14:textFill>
            <w14:solidFill>
              <w14:schemeClr w14:val="tx1"/>
            </w14:solidFill>
          </w14:textFill>
        </w:rPr>
        <w:t>前</w:t>
      </w:r>
      <w:r>
        <w:rPr>
          <w:rFonts w:ascii="Arial" w:hAnsi="Arial" w:cs="Arial"/>
          <w:color w:val="000000" w:themeColor="text1"/>
          <w:sz w:val="22"/>
          <w:szCs w:val="21"/>
          <w14:textFill>
            <w14:solidFill>
              <w14:schemeClr w14:val="tx1"/>
            </w14:solidFill>
          </w14:textFill>
        </w:rPr>
        <w:t>一天与基准价</w:t>
      </w:r>
      <w:r>
        <w:rPr>
          <w:rFonts w:hint="eastAsia" w:ascii="Arial" w:hAnsi="Arial" w:cs="Arial"/>
          <w:color w:val="000000" w:themeColor="text1"/>
          <w:sz w:val="22"/>
          <w:szCs w:val="21"/>
          <w14:textFill>
            <w14:solidFill>
              <w14:schemeClr w14:val="tx1"/>
            </w14:solidFill>
          </w14:textFill>
        </w:rPr>
        <w:t>涨跌</w:t>
      </w:r>
      <w:r>
        <w:rPr>
          <w:rFonts w:ascii="Arial" w:hAnsi="Arial" w:cs="Arial"/>
          <w:color w:val="000000" w:themeColor="text1"/>
          <w:sz w:val="22"/>
          <w:szCs w:val="21"/>
          <w14:textFill>
            <w14:solidFill>
              <w14:schemeClr w14:val="tx1"/>
            </w14:solidFill>
          </w14:textFill>
        </w:rPr>
        <w:t>相差10%以内，不调整，如提货前一天超出10%，随变化幅度调整结算价格。</w:t>
      </w:r>
      <w:r>
        <w:rPr>
          <w:rFonts w:hint="eastAsia" w:ascii="Arial" w:hAnsi="Arial" w:cs="Arial"/>
          <w:color w:val="000000" w:themeColor="text1"/>
          <w:sz w:val="22"/>
          <w:szCs w:val="21"/>
          <w14:textFill>
            <w14:solidFill>
              <w14:schemeClr w14:val="tx1"/>
            </w14:solidFill>
          </w14:textFill>
        </w:rPr>
        <w:t>公式</w:t>
      </w:r>
      <w:r>
        <w:rPr>
          <w:rFonts w:ascii="Arial" w:hAnsi="Arial" w:cs="Arial"/>
          <w:color w:val="000000" w:themeColor="text1"/>
          <w:sz w:val="22"/>
          <w:szCs w:val="21"/>
          <w14:textFill>
            <w14:solidFill>
              <w14:schemeClr w14:val="tx1"/>
            </w14:solidFill>
          </w14:textFill>
        </w:rPr>
        <w:t>如下</w:t>
      </w:r>
      <w:r>
        <w:rPr>
          <w:rFonts w:hint="eastAsia" w:ascii="Arial" w:hAnsi="Arial" w:cs="Arial"/>
          <w:color w:val="000000" w:themeColor="text1"/>
          <w:sz w:val="22"/>
          <w:szCs w:val="21"/>
          <w14:textFill>
            <w14:solidFill>
              <w14:schemeClr w14:val="tx1"/>
            </w14:solidFill>
          </w14:textFill>
        </w:rPr>
        <w:t>：实际结算价格=</w:t>
      </w:r>
      <w:r>
        <w:rPr>
          <w:rFonts w:ascii="Arial" w:hAnsi="Arial" w:cs="Arial"/>
          <w:color w:val="000000" w:themeColor="text1"/>
          <w:sz w:val="22"/>
          <w:szCs w:val="21"/>
          <w14:textFill>
            <w14:solidFill>
              <w14:schemeClr w14:val="tx1"/>
            </w14:solidFill>
          </w14:textFill>
        </w:rPr>
        <w:t xml:space="preserve"> </w:t>
      </w:r>
      <w:r>
        <w:rPr>
          <w:rFonts w:hint="eastAsia" w:ascii="Arial" w:hAnsi="Arial" w:cs="Arial"/>
          <w:color w:val="000000" w:themeColor="text1"/>
          <w:sz w:val="22"/>
          <w:szCs w:val="21"/>
          <w:lang w:val="en-US" w:eastAsia="zh-CN"/>
          <w14:textFill>
            <w14:solidFill>
              <w14:schemeClr w14:val="tx1"/>
            </w14:solidFill>
          </w14:textFill>
        </w:rPr>
        <w:t>中选价格</w:t>
      </w:r>
      <w:r>
        <w:rPr>
          <w:rFonts w:hint="eastAsia" w:ascii="Arial" w:hAnsi="Arial" w:cs="Arial"/>
          <w:color w:val="000000" w:themeColor="text1"/>
          <w:sz w:val="22"/>
          <w:szCs w:val="21"/>
          <w14:textFill>
            <w14:solidFill>
              <w14:schemeClr w14:val="tx1"/>
            </w14:solidFill>
          </w14:textFill>
        </w:rPr>
        <w:t>×（1</w:t>
      </w:r>
      <w:r>
        <w:rPr>
          <w:rFonts w:ascii="Arial" w:hAnsi="Arial" w:cs="Arial"/>
          <w:color w:val="000000" w:themeColor="text1"/>
          <w:sz w:val="22"/>
          <w:szCs w:val="21"/>
          <w14:textFill>
            <w14:solidFill>
              <w14:schemeClr w14:val="tx1"/>
            </w14:solidFill>
          </w14:textFill>
        </w:rPr>
        <w:t>-</w:t>
      </w:r>
      <w:r>
        <w:rPr>
          <w:rFonts w:hint="eastAsia" w:ascii="Arial" w:hAnsi="Arial" w:cs="Arial"/>
          <w:color w:val="000000" w:themeColor="text1"/>
          <w:sz w:val="22"/>
          <w:szCs w:val="21"/>
          <w14:textFill>
            <w14:solidFill>
              <w14:schemeClr w14:val="tx1"/>
            </w14:solidFill>
          </w14:textFill>
        </w:rPr>
        <w:t>（</w:t>
      </w:r>
      <w:r>
        <w:rPr>
          <w:rFonts w:ascii="Arial" w:hAnsi="Arial" w:cs="Arial"/>
          <w:color w:val="000000" w:themeColor="text1"/>
          <w:sz w:val="22"/>
          <w:szCs w:val="21"/>
          <w14:textFill>
            <w14:solidFill>
              <w14:schemeClr w14:val="tx1"/>
            </w14:solidFill>
          </w14:textFill>
        </w:rPr>
        <w:t xml:space="preserve">截标当日的价格 </w:t>
      </w:r>
      <w:r>
        <w:rPr>
          <w:rFonts w:hint="eastAsia" w:ascii="Arial" w:hAnsi="Arial" w:cs="Arial"/>
          <w:color w:val="000000" w:themeColor="text1"/>
          <w:sz w:val="22"/>
          <w:szCs w:val="21"/>
          <w14:textFill>
            <w14:solidFill>
              <w14:schemeClr w14:val="tx1"/>
            </w14:solidFill>
          </w14:textFill>
        </w:rPr>
        <w:t>-提货前一天的价格）÷</w:t>
      </w:r>
      <w:r>
        <w:rPr>
          <w:rFonts w:ascii="Arial" w:hAnsi="Arial" w:cs="Arial"/>
          <w:color w:val="000000" w:themeColor="text1"/>
          <w:sz w:val="22"/>
          <w:szCs w:val="21"/>
          <w14:textFill>
            <w14:solidFill>
              <w14:schemeClr w14:val="tx1"/>
            </w14:solidFill>
          </w14:textFill>
        </w:rPr>
        <w:t>截标当日的价格</w:t>
      </w:r>
      <w:r>
        <w:rPr>
          <w:rFonts w:hint="eastAsia" w:ascii="Arial" w:hAnsi="Arial" w:cs="Arial"/>
          <w:color w:val="000000" w:themeColor="text1"/>
          <w:sz w:val="22"/>
          <w:szCs w:val="21"/>
          <w14:textFill>
            <w14:solidFill>
              <w14:schemeClr w14:val="tx1"/>
            </w14:solidFill>
          </w14:textFill>
        </w:rPr>
        <w:t>）。</w:t>
      </w:r>
    </w:p>
    <w:p>
      <w:pPr>
        <w:snapToGrid w:val="0"/>
        <w:spacing w:line="360" w:lineRule="auto"/>
        <w:ind w:firstLine="440" w:firstLineChars="200"/>
        <w:rPr>
          <w:rFonts w:ascii="Arial" w:hAnsi="Arial" w:cs="Arial"/>
          <w:color w:val="000000" w:themeColor="text1"/>
          <w:szCs w:val="21"/>
          <w:lang w:eastAsia="zh-CN"/>
          <w14:textFill>
            <w14:solidFill>
              <w14:schemeClr w14:val="tx1"/>
            </w14:solidFill>
          </w14:textFill>
        </w:rPr>
      </w:pPr>
      <w:r>
        <w:rPr>
          <w:rFonts w:hint="eastAsia" w:ascii="Arial" w:hAnsi="Arial" w:cs="Arial"/>
          <w:color w:val="000000" w:themeColor="text1"/>
          <w:szCs w:val="21"/>
          <w:lang w:eastAsia="zh-CN"/>
          <w14:textFill>
            <w14:solidFill>
              <w14:schemeClr w14:val="tx1"/>
            </w14:solidFill>
          </w14:textFill>
        </w:rPr>
        <w:t>上述数量为预估量，不视为销售数量承诺，实际数量以甲方实际向乙方出售的</w:t>
      </w:r>
      <w:r>
        <w:rPr>
          <w:rFonts w:hint="eastAsia"/>
          <w:color w:val="000000"/>
          <w:lang w:eastAsia="zh-CN"/>
        </w:rPr>
        <w:t xml:space="preserve"> </w:t>
      </w:r>
      <w:r>
        <w:rPr>
          <w:color w:val="000000"/>
          <w:lang w:eastAsia="zh-CN"/>
        </w:rPr>
        <w:t xml:space="preserve">  </w:t>
      </w:r>
      <w:r>
        <w:rPr>
          <w:rFonts w:hint="eastAsia" w:ascii="Arial" w:hAnsi="Arial" w:cs="Arial"/>
          <w:color w:val="000000" w:themeColor="text1"/>
          <w:szCs w:val="21"/>
          <w:lang w:eastAsia="zh-CN"/>
          <w14:textFill>
            <w14:solidFill>
              <w14:schemeClr w14:val="tx1"/>
            </w14:solidFill>
          </w14:textFill>
        </w:rPr>
        <w:t>过磅数量为准。</w:t>
      </w:r>
    </w:p>
    <w:p>
      <w:pPr>
        <w:widowControl/>
        <w:autoSpaceDE/>
        <w:autoSpaceDN/>
        <w:spacing w:line="360" w:lineRule="auto"/>
        <w:ind w:firstLine="440" w:firstLineChars="200"/>
        <w:rPr>
          <w:rFonts w:ascii="Arial" w:cs="Arial"/>
          <w:szCs w:val="21"/>
          <w:lang w:eastAsia="zh-CN"/>
        </w:rPr>
      </w:pPr>
      <w:r>
        <w:rPr>
          <w:rFonts w:hint="eastAsia" w:ascii="Arial" w:hAnsi="Arial" w:cs="Arial"/>
          <w:color w:val="000000" w:themeColor="text1"/>
          <w:szCs w:val="21"/>
          <w:lang w:eastAsia="zh-CN"/>
          <w14:textFill>
            <w14:solidFill>
              <w14:schemeClr w14:val="tx1"/>
            </w14:solidFill>
          </w14:textFill>
        </w:rPr>
        <w:t>2、 计</w:t>
      </w:r>
      <w:r>
        <w:rPr>
          <w:rFonts w:hint="eastAsia" w:ascii="Arial" w:cs="Arial"/>
          <w:szCs w:val="21"/>
          <w:lang w:eastAsia="zh-CN"/>
        </w:rPr>
        <w:t>价方式：预估合同未税总价￥</w:t>
      </w:r>
      <w:r>
        <w:rPr>
          <w:rFonts w:ascii="Arial" w:cs="Arial"/>
          <w:szCs w:val="21"/>
          <w:lang w:eastAsia="zh-CN"/>
        </w:rPr>
        <w:t xml:space="preserve"> 元</w:t>
      </w:r>
      <w:r>
        <w:rPr>
          <w:rFonts w:hint="eastAsia" w:ascii="Arial" w:cs="Arial"/>
          <w:szCs w:val="21"/>
          <w:lang w:eastAsia="zh-CN"/>
        </w:rPr>
        <w:t xml:space="preserve">（人民币 </w:t>
      </w:r>
      <w:r>
        <w:rPr>
          <w:rFonts w:ascii="Arial" w:cs="Arial"/>
          <w:szCs w:val="21"/>
          <w:lang w:eastAsia="zh-CN"/>
        </w:rPr>
        <w:t xml:space="preserve"> </w:t>
      </w:r>
      <w:r>
        <w:rPr>
          <w:rFonts w:hint="eastAsia" w:ascii="Arial" w:cs="Arial"/>
          <w:szCs w:val="21"/>
          <w:lang w:eastAsia="zh-CN"/>
        </w:rPr>
        <w:t>整），</w:t>
      </w:r>
      <w:r>
        <w:rPr>
          <w:rFonts w:hint="eastAsia" w:ascii="Arial" w:hAnsi="Arial" w:cs="Arial"/>
          <w:color w:val="000000" w:themeColor="text1"/>
          <w:szCs w:val="21"/>
          <w:lang w:eastAsia="zh-CN"/>
          <w14:textFill>
            <w14:solidFill>
              <w14:schemeClr w14:val="tx1"/>
            </w14:solidFill>
          </w14:textFill>
        </w:rPr>
        <w:t>每批次依据未税单价×(</w:t>
      </w:r>
      <w:r>
        <w:rPr>
          <w:rFonts w:ascii="Arial" w:hAnsi="Arial" w:cs="Arial"/>
          <w:color w:val="000000" w:themeColor="text1"/>
          <w:szCs w:val="21"/>
          <w:lang w:eastAsia="zh-CN"/>
          <w14:textFill>
            <w14:solidFill>
              <w14:schemeClr w14:val="tx1"/>
            </w14:solidFill>
          </w14:textFill>
        </w:rPr>
        <w:t>1+13%增值税税率</w:t>
      </w:r>
      <w:r>
        <w:rPr>
          <w:rFonts w:hint="eastAsia" w:ascii="Arial" w:hAnsi="Arial" w:cs="Arial"/>
          <w:color w:val="000000" w:themeColor="text1"/>
          <w:szCs w:val="21"/>
          <w:lang w:eastAsia="zh-CN"/>
          <w14:textFill>
            <w14:solidFill>
              <w14:schemeClr w14:val="tx1"/>
            </w14:solidFill>
          </w14:textFill>
        </w:rPr>
        <w:t>) ×拟提货重量存入甲方，</w:t>
      </w:r>
      <w:r>
        <w:rPr>
          <w:rFonts w:hint="eastAsia"/>
          <w:color w:val="000000"/>
          <w:szCs w:val="21"/>
          <w:lang w:eastAsia="zh-CN"/>
        </w:rPr>
        <w:t>乙方每批次提货前需把合同价款支付至甲方账户后提货，付款后</w:t>
      </w:r>
      <w:r>
        <w:rPr>
          <w:rFonts w:hint="eastAsia" w:ascii="Arial" w:hAnsi="Arial" w:cs="Arial"/>
          <w:color w:val="000000" w:themeColor="text1"/>
          <w:szCs w:val="21"/>
          <w:lang w:eastAsia="zh-CN"/>
          <w14:textFill>
            <w14:solidFill>
              <w14:schemeClr w14:val="tx1"/>
            </w14:solidFill>
          </w14:textFill>
        </w:rPr>
        <w:t>甲方开具1</w:t>
      </w:r>
      <w:r>
        <w:rPr>
          <w:rFonts w:ascii="Arial" w:hAnsi="Arial" w:cs="Arial"/>
          <w:color w:val="000000" w:themeColor="text1"/>
          <w:szCs w:val="21"/>
          <w:lang w:eastAsia="zh-CN"/>
          <w14:textFill>
            <w14:solidFill>
              <w14:schemeClr w14:val="tx1"/>
            </w14:solidFill>
          </w14:textFill>
        </w:rPr>
        <w:t>3</w:t>
      </w:r>
      <w:r>
        <w:rPr>
          <w:rFonts w:hint="eastAsia" w:ascii="Arial" w:hAnsi="Arial" w:cs="Arial"/>
          <w:color w:val="000000" w:themeColor="text1"/>
          <w:szCs w:val="21"/>
          <w:lang w:eastAsia="zh-CN"/>
          <w14:textFill>
            <w14:solidFill>
              <w14:schemeClr w14:val="tx1"/>
            </w14:solidFill>
          </w14:textFill>
        </w:rPr>
        <w:t>%增值税专用发票至乙方。</w:t>
      </w:r>
      <w:r>
        <w:rPr>
          <w:rFonts w:hint="eastAsia" w:ascii="Arial" w:cs="Arial"/>
          <w:szCs w:val="21"/>
          <w:lang w:eastAsia="zh-CN"/>
        </w:rPr>
        <w:t>。</w:t>
      </w:r>
    </w:p>
    <w:p>
      <w:pPr>
        <w:snapToGrid w:val="0"/>
        <w:spacing w:line="360" w:lineRule="auto"/>
        <w:rPr>
          <w:szCs w:val="21"/>
          <w:lang w:eastAsia="zh-CN"/>
        </w:rPr>
      </w:pPr>
      <w:r>
        <w:rPr>
          <w:rFonts w:hint="eastAsia"/>
          <w:szCs w:val="21"/>
          <w:lang w:eastAsia="zh-CN"/>
        </w:rPr>
        <w:t>二、合同期限：</w:t>
      </w:r>
    </w:p>
    <w:p>
      <w:pPr>
        <w:spacing w:line="360" w:lineRule="auto"/>
        <w:ind w:firstLine="440" w:firstLineChars="200"/>
        <w:rPr>
          <w:szCs w:val="21"/>
          <w:lang w:eastAsia="zh-CN"/>
        </w:rPr>
      </w:pPr>
      <w:r>
        <w:rPr>
          <w:rFonts w:hint="eastAsia"/>
          <w:szCs w:val="21"/>
          <w:lang w:eastAsia="zh-CN"/>
        </w:rPr>
        <w:t>合同期限内分批次处置：2</w:t>
      </w:r>
      <w:r>
        <w:rPr>
          <w:szCs w:val="21"/>
          <w:lang w:eastAsia="zh-CN"/>
        </w:rPr>
        <w:t>02</w:t>
      </w:r>
      <w:r>
        <w:rPr>
          <w:rFonts w:hint="eastAsia"/>
          <w:szCs w:val="21"/>
          <w:lang w:val="en-US" w:eastAsia="zh-CN"/>
        </w:rPr>
        <w:t>3</w:t>
      </w:r>
      <w:r>
        <w:rPr>
          <w:szCs w:val="21"/>
          <w:lang w:eastAsia="zh-CN"/>
        </w:rPr>
        <w:t>年</w:t>
      </w:r>
      <w:r>
        <w:rPr>
          <w:rFonts w:hint="eastAsia"/>
          <w:szCs w:val="21"/>
          <w:lang w:eastAsia="zh-CN"/>
        </w:rPr>
        <w:t>0</w:t>
      </w:r>
      <w:r>
        <w:rPr>
          <w:rFonts w:hint="eastAsia"/>
          <w:szCs w:val="21"/>
          <w:lang w:val="en-US" w:eastAsia="zh-CN"/>
        </w:rPr>
        <w:t>4</w:t>
      </w:r>
      <w:r>
        <w:rPr>
          <w:szCs w:val="21"/>
          <w:lang w:eastAsia="zh-CN"/>
        </w:rPr>
        <w:t>月1日至</w:t>
      </w:r>
      <w:r>
        <w:rPr>
          <w:rFonts w:hint="eastAsia"/>
          <w:szCs w:val="21"/>
          <w:lang w:eastAsia="zh-CN"/>
        </w:rPr>
        <w:t>2</w:t>
      </w:r>
      <w:r>
        <w:rPr>
          <w:szCs w:val="21"/>
          <w:lang w:eastAsia="zh-CN"/>
        </w:rPr>
        <w:t>02</w:t>
      </w:r>
      <w:r>
        <w:rPr>
          <w:rFonts w:hint="eastAsia"/>
          <w:szCs w:val="21"/>
          <w:lang w:val="en-US" w:eastAsia="zh-CN"/>
        </w:rPr>
        <w:t>4</w:t>
      </w:r>
      <w:r>
        <w:rPr>
          <w:szCs w:val="21"/>
          <w:lang w:eastAsia="zh-CN"/>
        </w:rPr>
        <w:t>年</w:t>
      </w:r>
      <w:r>
        <w:rPr>
          <w:rFonts w:hint="eastAsia"/>
          <w:szCs w:val="21"/>
          <w:lang w:eastAsia="zh-CN"/>
        </w:rPr>
        <w:t>0</w:t>
      </w:r>
      <w:r>
        <w:rPr>
          <w:szCs w:val="21"/>
          <w:lang w:eastAsia="zh-CN"/>
        </w:rPr>
        <w:t>3月</w:t>
      </w:r>
      <w:r>
        <w:rPr>
          <w:rFonts w:hint="eastAsia"/>
          <w:szCs w:val="21"/>
          <w:lang w:eastAsia="zh-CN"/>
        </w:rPr>
        <w:t>3</w:t>
      </w:r>
      <w:r>
        <w:rPr>
          <w:szCs w:val="21"/>
          <w:lang w:eastAsia="zh-CN"/>
        </w:rPr>
        <w:t>1日</w:t>
      </w:r>
      <w:r>
        <w:rPr>
          <w:rFonts w:hint="eastAsia"/>
          <w:szCs w:val="21"/>
          <w:lang w:eastAsia="zh-CN"/>
        </w:rPr>
        <w:t>。危废处置采用计划方式，乙方接甲方通知后</w:t>
      </w:r>
      <w:r>
        <w:rPr>
          <w:szCs w:val="21"/>
          <w:lang w:eastAsia="zh-CN"/>
        </w:rPr>
        <w:t xml:space="preserve">  </w:t>
      </w:r>
      <w:r>
        <w:rPr>
          <w:rFonts w:hint="eastAsia"/>
          <w:szCs w:val="21"/>
          <w:lang w:eastAsia="zh-CN"/>
        </w:rPr>
        <w:t>天入场。</w:t>
      </w:r>
    </w:p>
    <w:p>
      <w:pPr>
        <w:spacing w:line="360" w:lineRule="auto"/>
        <w:rPr>
          <w:szCs w:val="21"/>
          <w:lang w:eastAsia="zh-CN"/>
        </w:rPr>
      </w:pPr>
      <w:r>
        <w:rPr>
          <w:rFonts w:hint="eastAsia"/>
          <w:szCs w:val="21"/>
          <w:lang w:eastAsia="zh-CN"/>
        </w:rPr>
        <w:t>三、提货方式</w:t>
      </w:r>
    </w:p>
    <w:p>
      <w:pPr>
        <w:spacing w:line="360" w:lineRule="auto"/>
        <w:ind w:firstLine="440" w:firstLineChars="200"/>
        <w:rPr>
          <w:szCs w:val="21"/>
          <w:lang w:eastAsia="zh-CN"/>
        </w:rPr>
      </w:pPr>
      <w:r>
        <w:rPr>
          <w:rFonts w:hint="eastAsia"/>
          <w:szCs w:val="21"/>
          <w:lang w:eastAsia="zh-CN"/>
        </w:rPr>
        <w:t>1、货物由乙方自备运输工具或由乙方委托有资质公司至甲方工厂提货，并由乙方负责装车。</w:t>
      </w:r>
    </w:p>
    <w:p>
      <w:pPr>
        <w:spacing w:line="360" w:lineRule="auto"/>
        <w:rPr>
          <w:szCs w:val="21"/>
          <w:lang w:eastAsia="zh-CN"/>
        </w:rPr>
      </w:pPr>
      <w:r>
        <w:rPr>
          <w:rFonts w:hint="eastAsia"/>
          <w:szCs w:val="21"/>
          <w:lang w:eastAsia="zh-CN"/>
        </w:rPr>
        <w:t>四、计量方式：货物装车后，应在甲方厂区内的地磅上过磅，实际交付数量以过磅单为准。过磅单由乙方司机签收，乙方认可该签收行为视同乙方对货物的接收以及对交货数量的认可。</w:t>
      </w:r>
    </w:p>
    <w:p>
      <w:pPr>
        <w:autoSpaceDE/>
        <w:autoSpaceDN/>
        <w:snapToGrid w:val="0"/>
        <w:spacing w:before="156" w:beforeLines="50" w:after="156" w:afterLines="50" w:line="360" w:lineRule="auto"/>
        <w:jc w:val="both"/>
        <w:rPr>
          <w:szCs w:val="21"/>
          <w:lang w:eastAsia="zh-CN"/>
        </w:rPr>
      </w:pPr>
      <w:r>
        <w:rPr>
          <w:rFonts w:hint="eastAsia"/>
          <w:szCs w:val="21"/>
          <w:lang w:eastAsia="zh-CN"/>
        </w:rPr>
        <w:t>五、履约保证</w:t>
      </w:r>
    </w:p>
    <w:p>
      <w:pPr>
        <w:numPr>
          <w:ilvl w:val="0"/>
          <w:numId w:val="10"/>
        </w:numPr>
        <w:autoSpaceDE/>
        <w:autoSpaceDN/>
        <w:snapToGrid w:val="0"/>
        <w:spacing w:line="360" w:lineRule="auto"/>
        <w:ind w:left="0" w:firstLine="440" w:firstLineChars="200"/>
        <w:rPr>
          <w:szCs w:val="21"/>
          <w:lang w:eastAsia="zh-CN"/>
        </w:rPr>
      </w:pPr>
      <w:r>
        <w:rPr>
          <w:rFonts w:hint="eastAsia"/>
          <w:szCs w:val="21"/>
          <w:lang w:eastAsia="zh-CN"/>
        </w:rPr>
        <w:t>履约保证金为￥</w:t>
      </w:r>
      <w:r>
        <w:rPr>
          <w:szCs w:val="21"/>
          <w:lang w:eastAsia="zh-CN"/>
        </w:rPr>
        <w:t xml:space="preserve">   </w:t>
      </w:r>
      <w:r>
        <w:rPr>
          <w:rFonts w:hint="eastAsia"/>
          <w:szCs w:val="21"/>
          <w:lang w:eastAsia="zh-CN"/>
        </w:rPr>
        <w:t>，</w:t>
      </w:r>
      <w:r>
        <w:rPr>
          <w:rFonts w:hint="eastAsia"/>
          <w:lang w:eastAsia="zh-CN"/>
        </w:rPr>
        <w:t>由福建福海创石油化工有限公司代收，若乙方违反合同约定，甲方可从代收的保证金中扣除</w:t>
      </w:r>
      <w:r>
        <w:rPr>
          <w:rFonts w:hint="eastAsia"/>
          <w:szCs w:val="21"/>
          <w:lang w:eastAsia="zh-CN"/>
        </w:rPr>
        <w:t>。</w:t>
      </w:r>
    </w:p>
    <w:p>
      <w:pPr>
        <w:numPr>
          <w:ilvl w:val="0"/>
          <w:numId w:val="10"/>
        </w:numPr>
        <w:autoSpaceDE/>
        <w:autoSpaceDN/>
        <w:snapToGrid w:val="0"/>
        <w:spacing w:line="360" w:lineRule="auto"/>
        <w:ind w:left="0" w:firstLine="440" w:firstLineChars="200"/>
        <w:rPr>
          <w:szCs w:val="21"/>
          <w:lang w:eastAsia="zh-CN"/>
        </w:rPr>
      </w:pPr>
      <w:r>
        <w:rPr>
          <w:rFonts w:hint="eastAsia"/>
          <w:szCs w:val="21"/>
          <w:lang w:eastAsia="zh-CN"/>
        </w:rPr>
        <w:t>乙方应自本协议签订之日起45天内以现金转账方式缴纳履约保证金。</w:t>
      </w:r>
    </w:p>
    <w:p>
      <w:pPr>
        <w:numPr>
          <w:ilvl w:val="0"/>
          <w:numId w:val="10"/>
        </w:numPr>
        <w:autoSpaceDE/>
        <w:autoSpaceDN/>
        <w:snapToGrid w:val="0"/>
        <w:spacing w:line="360" w:lineRule="auto"/>
        <w:ind w:left="0" w:firstLine="440" w:firstLineChars="200"/>
        <w:rPr>
          <w:szCs w:val="21"/>
          <w:lang w:eastAsia="zh-CN"/>
        </w:rPr>
      </w:pPr>
      <w:r>
        <w:rPr>
          <w:rFonts w:hint="eastAsia"/>
          <w:szCs w:val="21"/>
          <w:lang w:eastAsia="zh-CN"/>
        </w:rPr>
        <w:t>合同到期日后30天内，甲方将履约保证金无息返还给乙方。</w:t>
      </w:r>
    </w:p>
    <w:p>
      <w:pPr>
        <w:numPr>
          <w:ilvl w:val="0"/>
          <w:numId w:val="10"/>
        </w:numPr>
        <w:autoSpaceDE/>
        <w:autoSpaceDN/>
        <w:snapToGrid w:val="0"/>
        <w:spacing w:line="360" w:lineRule="auto"/>
        <w:ind w:left="0" w:firstLine="440" w:firstLineChars="200"/>
        <w:rPr>
          <w:szCs w:val="21"/>
          <w:lang w:eastAsia="zh-CN"/>
        </w:rPr>
      </w:pPr>
      <w:r>
        <w:rPr>
          <w:rFonts w:hint="eastAsia"/>
          <w:szCs w:val="21"/>
          <w:lang w:eastAsia="zh-CN"/>
        </w:rPr>
        <w:t>乙方不履行合同或不完全履行合同，或无法满足合同约定的工作质量、标准、工期、安全等内容，甲方有权从履约保证金中扣除乙方的相应违约赔偿金，如因此导致履约保证金不足的，乙方应在5日内补足。</w:t>
      </w:r>
    </w:p>
    <w:p>
      <w:pPr>
        <w:numPr>
          <w:ilvl w:val="0"/>
          <w:numId w:val="10"/>
        </w:numPr>
        <w:autoSpaceDE/>
        <w:autoSpaceDN/>
        <w:snapToGrid w:val="0"/>
        <w:spacing w:line="360" w:lineRule="auto"/>
        <w:ind w:left="0" w:firstLine="440" w:firstLineChars="200"/>
        <w:rPr>
          <w:szCs w:val="21"/>
          <w:lang w:eastAsia="zh-CN"/>
        </w:rPr>
      </w:pPr>
      <w:r>
        <w:rPr>
          <w:rFonts w:hint="eastAsia"/>
          <w:szCs w:val="21"/>
          <w:lang w:eastAsia="zh-CN"/>
        </w:rPr>
        <w:t>乙方未能在约定的时间内提供或补足符合要求的履约保证金的，视为乙方不履行合同，甲方有权解除本合同，乙方应向甲方支付合同中年度估算总价款10%的金额作为赔偿金。</w:t>
      </w:r>
    </w:p>
    <w:p>
      <w:pPr>
        <w:spacing w:line="360" w:lineRule="auto"/>
        <w:rPr>
          <w:szCs w:val="21"/>
          <w:lang w:eastAsia="zh-CN"/>
        </w:rPr>
      </w:pPr>
      <w:r>
        <w:rPr>
          <w:rFonts w:hint="eastAsia"/>
          <w:szCs w:val="21"/>
          <w:lang w:eastAsia="zh-CN"/>
        </w:rPr>
        <w:t>六、双方责任：</w:t>
      </w:r>
    </w:p>
    <w:p>
      <w:pPr>
        <w:spacing w:line="360" w:lineRule="auto"/>
        <w:ind w:firstLine="440" w:firstLineChars="200"/>
        <w:rPr>
          <w:szCs w:val="21"/>
          <w:lang w:eastAsia="zh-CN"/>
        </w:rPr>
      </w:pPr>
      <w:r>
        <w:rPr>
          <w:rFonts w:hint="eastAsia"/>
          <w:szCs w:val="21"/>
          <w:lang w:eastAsia="zh-CN"/>
        </w:rPr>
        <w:t>（一）甲方责任：</w:t>
      </w:r>
    </w:p>
    <w:p>
      <w:pPr>
        <w:spacing w:line="360" w:lineRule="auto"/>
        <w:ind w:firstLine="440" w:firstLineChars="200"/>
        <w:rPr>
          <w:szCs w:val="21"/>
          <w:lang w:eastAsia="zh-CN"/>
        </w:rPr>
      </w:pPr>
      <w:r>
        <w:rPr>
          <w:rFonts w:hint="eastAsia"/>
          <w:szCs w:val="21"/>
          <w:lang w:eastAsia="zh-CN"/>
        </w:rPr>
        <w:t>1、甲方负责在乙方提货时给予指挥协调，协助乙方及时装运货物。</w:t>
      </w:r>
    </w:p>
    <w:p>
      <w:pPr>
        <w:spacing w:line="360" w:lineRule="auto"/>
        <w:ind w:firstLine="440" w:firstLineChars="200"/>
        <w:rPr>
          <w:szCs w:val="21"/>
          <w:lang w:eastAsia="zh-CN"/>
        </w:rPr>
      </w:pPr>
      <w:r>
        <w:rPr>
          <w:rFonts w:hint="eastAsia"/>
          <w:szCs w:val="21"/>
          <w:lang w:eastAsia="zh-CN"/>
        </w:rPr>
        <w:t>2、甲方负责根据自身生产情况，合理调度，提前</w:t>
      </w:r>
      <w:r>
        <w:rPr>
          <w:szCs w:val="21"/>
          <w:u w:val="single"/>
          <w:lang w:eastAsia="zh-CN"/>
        </w:rPr>
        <w:t xml:space="preserve"> 3</w:t>
      </w:r>
      <w:r>
        <w:rPr>
          <w:rFonts w:hint="eastAsia"/>
          <w:szCs w:val="21"/>
          <w:lang w:eastAsia="zh-CN"/>
        </w:rPr>
        <w:t>日通知乙方提货。</w:t>
      </w:r>
    </w:p>
    <w:p>
      <w:pPr>
        <w:spacing w:line="360" w:lineRule="auto"/>
        <w:ind w:firstLine="440" w:firstLineChars="200"/>
        <w:rPr>
          <w:szCs w:val="21"/>
          <w:lang w:eastAsia="zh-CN"/>
        </w:rPr>
      </w:pPr>
      <w:r>
        <w:rPr>
          <w:rFonts w:hint="eastAsia"/>
          <w:szCs w:val="21"/>
          <w:lang w:eastAsia="zh-CN"/>
        </w:rPr>
        <w:t>（二）乙方责任：</w:t>
      </w:r>
    </w:p>
    <w:p>
      <w:pPr>
        <w:spacing w:line="360" w:lineRule="auto"/>
        <w:ind w:firstLine="440" w:firstLineChars="200"/>
        <w:rPr>
          <w:szCs w:val="21"/>
          <w:lang w:eastAsia="zh-CN"/>
        </w:rPr>
      </w:pPr>
      <w:r>
        <w:rPr>
          <w:rFonts w:hint="eastAsia"/>
          <w:szCs w:val="21"/>
          <w:lang w:eastAsia="zh-CN"/>
        </w:rPr>
        <w:t>1、乙方应根据甲方现场条件决定所派运输车的数量、吨位和车号，如有更改必须提前通知甲方，经甲方同意后方可进厂提货。</w:t>
      </w:r>
    </w:p>
    <w:p>
      <w:pPr>
        <w:spacing w:line="360" w:lineRule="auto"/>
        <w:ind w:firstLine="440" w:firstLineChars="200"/>
        <w:rPr>
          <w:szCs w:val="21"/>
          <w:lang w:eastAsia="zh-CN"/>
        </w:rPr>
      </w:pPr>
      <w:r>
        <w:rPr>
          <w:rFonts w:hint="eastAsia"/>
          <w:szCs w:val="21"/>
          <w:lang w:eastAsia="zh-CN"/>
        </w:rPr>
        <w:t>2、乙方提货时应使用能满足环保要求的运输车。如拉灰状物体时使用密闭罐装车，拉渣状物体时使用车厢严密不漏渣的汽车等，并负责将运输车拨洒的物品及时清扫干净，做到车走场地清。</w:t>
      </w:r>
    </w:p>
    <w:p>
      <w:pPr>
        <w:spacing w:line="360" w:lineRule="auto"/>
        <w:ind w:firstLine="440" w:firstLineChars="200"/>
        <w:rPr>
          <w:szCs w:val="21"/>
          <w:lang w:eastAsia="zh-CN"/>
        </w:rPr>
      </w:pPr>
      <w:r>
        <w:rPr>
          <w:rFonts w:hint="eastAsia"/>
          <w:szCs w:val="21"/>
          <w:lang w:eastAsia="zh-CN"/>
        </w:rPr>
        <w:t>3、乙方应听从甲方调度指令前来提货，如因特殊情况不能及时提货应说明情况，在不影响甲方正常生产的情况下经甲方同意可适当顺延提货，具体顺延时间双方另定。</w:t>
      </w:r>
    </w:p>
    <w:p>
      <w:pPr>
        <w:spacing w:line="360" w:lineRule="auto"/>
        <w:ind w:firstLine="440" w:firstLineChars="200"/>
        <w:rPr>
          <w:szCs w:val="21"/>
          <w:lang w:eastAsia="zh-CN"/>
        </w:rPr>
      </w:pPr>
      <w:r>
        <w:rPr>
          <w:rFonts w:hint="eastAsia"/>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pPr>
        <w:spacing w:line="360" w:lineRule="auto"/>
        <w:ind w:firstLine="440" w:firstLineChars="200"/>
        <w:rPr>
          <w:rFonts w:ascii="Arial" w:hAnsi="Arial" w:cs="Arial"/>
          <w:color w:val="000000" w:themeColor="text1"/>
          <w:szCs w:val="21"/>
          <w:lang w:eastAsia="zh-CN"/>
          <w14:textFill>
            <w14:solidFill>
              <w14:schemeClr w14:val="tx1"/>
            </w14:solidFill>
          </w14:textFill>
        </w:rPr>
      </w:pPr>
      <w:r>
        <w:rPr>
          <w:rFonts w:hint="eastAsia"/>
          <w:szCs w:val="21"/>
          <w:lang w:eastAsia="zh-CN"/>
        </w:rPr>
        <w:t>5、乙方</w:t>
      </w:r>
      <w:r>
        <w:rPr>
          <w:rFonts w:hint="eastAsia" w:ascii="Arial" w:hAnsi="Arial" w:cs="Arial"/>
          <w:color w:val="000000" w:themeColor="text1"/>
          <w:szCs w:val="21"/>
          <w:lang w:eastAsia="zh-CN"/>
          <w14:textFill>
            <w14:solidFill>
              <w14:schemeClr w14:val="tx1"/>
            </w14:solidFill>
          </w14:textFill>
        </w:rPr>
        <w:t>具有国家相关部门颁发的危险废物收集、贮存、处置资质。在合同的存续期间内，必须保证所提供的危险废物经营许可证、营业执照等相关证件合法有效，并提交处置单位工商营业执照副本、处置单位有效的危险废物经营许可证、处置单位的法人代表身份证、处置单位的代理人身份证、处置方案（包括废物处置工艺简介和流程图）等相关证件和材料复印件一式八份提交给甲方。</w:t>
      </w:r>
    </w:p>
    <w:p>
      <w:pPr>
        <w:spacing w:line="360" w:lineRule="auto"/>
        <w:ind w:firstLine="440" w:firstLineChars="200"/>
        <w:rPr>
          <w:rFonts w:ascii="Arial" w:hAnsi="Arial" w:cs="Arial"/>
          <w:color w:val="000000" w:themeColor="text1"/>
          <w:szCs w:val="21"/>
          <w:lang w:eastAsia="zh-CN"/>
          <w14:textFill>
            <w14:solidFill>
              <w14:schemeClr w14:val="tx1"/>
            </w14:solidFill>
          </w14:textFill>
        </w:rPr>
      </w:pPr>
      <w:r>
        <w:rPr>
          <w:rFonts w:hint="eastAsia" w:ascii="Arial" w:hAnsi="Arial" w:cs="Arial"/>
          <w:color w:val="000000" w:themeColor="text1"/>
          <w:szCs w:val="21"/>
          <w:lang w:eastAsia="zh-CN"/>
          <w14:textFill>
            <w14:solidFill>
              <w14:schemeClr w14:val="tx1"/>
            </w14:solidFill>
          </w14:textFill>
        </w:rPr>
        <w:t>6、乙方负责做好对危险废物储存仓库的管理，不得随意堆放或外运，并严格按国家技术规范处置，安全负责地处置甲方产生的危废，在暂存和处理处置过程中，如给甲方及第三方造成人身伤害、财产损失及对周边环境造成二次污染或发生安全、卫生等意外事故，承担由此产生的一切后果和责任，并承担赔偿责任。</w:t>
      </w:r>
    </w:p>
    <w:p>
      <w:pPr>
        <w:spacing w:line="360" w:lineRule="auto"/>
        <w:ind w:firstLine="440" w:firstLineChars="200"/>
        <w:rPr>
          <w:rFonts w:ascii="Arial" w:hAnsi="Arial" w:cs="Arial"/>
          <w:color w:val="000000" w:themeColor="text1"/>
          <w:szCs w:val="21"/>
          <w:lang w:eastAsia="zh-CN"/>
          <w14:textFill>
            <w14:solidFill>
              <w14:schemeClr w14:val="tx1"/>
            </w14:solidFill>
          </w14:textFill>
        </w:rPr>
      </w:pPr>
      <w:r>
        <w:rPr>
          <w:rFonts w:hint="eastAsia" w:ascii="Arial" w:hAnsi="Arial" w:cs="Arial"/>
          <w:color w:val="000000" w:themeColor="text1"/>
          <w:szCs w:val="21"/>
          <w:lang w:eastAsia="zh-CN"/>
          <w14:textFill>
            <w14:solidFill>
              <w14:schemeClr w14:val="tx1"/>
            </w14:solidFill>
          </w14:textFill>
        </w:rPr>
        <w:t>7、乙方在接到甲方的危险废物后应及时根据环保主管部门的要求办理相关手续；乙方对危险废物协同处置应全过程进行管理，做好相关台账以备检查。</w:t>
      </w:r>
    </w:p>
    <w:p>
      <w:pPr>
        <w:spacing w:line="360" w:lineRule="auto"/>
        <w:ind w:firstLine="440" w:firstLineChars="200"/>
        <w:rPr>
          <w:rFonts w:ascii="Arial" w:hAnsi="Arial" w:cs="Arial"/>
          <w:color w:val="000000" w:themeColor="text1"/>
          <w:szCs w:val="21"/>
          <w:lang w:eastAsia="zh-CN"/>
          <w14:textFill>
            <w14:solidFill>
              <w14:schemeClr w14:val="tx1"/>
            </w14:solidFill>
          </w14:textFill>
        </w:rPr>
      </w:pPr>
      <w:r>
        <w:rPr>
          <w:rFonts w:hint="eastAsia" w:ascii="Arial" w:hAnsi="Arial" w:cs="Arial"/>
          <w:color w:val="000000" w:themeColor="text1"/>
          <w:szCs w:val="21"/>
          <w:lang w:eastAsia="zh-CN"/>
          <w14:textFill>
            <w14:solidFill>
              <w14:schemeClr w14:val="tx1"/>
            </w14:solidFill>
          </w14:textFill>
        </w:rPr>
        <w:t>8、乙方负责办理环保相关的转移报批手续，甲方不负责办理，乙方应在办妥报批手续后及时通知甲方。</w:t>
      </w:r>
    </w:p>
    <w:p>
      <w:pPr>
        <w:spacing w:line="360" w:lineRule="auto"/>
        <w:ind w:firstLine="440" w:firstLineChars="200"/>
        <w:rPr>
          <w:szCs w:val="21"/>
          <w:lang w:eastAsia="zh-CN"/>
        </w:rPr>
      </w:pPr>
      <w:r>
        <w:rPr>
          <w:rFonts w:hint="eastAsia" w:ascii="Arial" w:hAnsi="Arial" w:cs="Arial"/>
          <w:color w:val="000000" w:themeColor="text1"/>
          <w:szCs w:val="21"/>
          <w:lang w:eastAsia="zh-CN"/>
          <w14:textFill>
            <w14:solidFill>
              <w14:schemeClr w14:val="tx1"/>
            </w14:solidFill>
          </w14:textFill>
        </w:rPr>
        <w:t>9、甲方的危险废物交付给乙方指定的运输单位</w:t>
      </w:r>
      <w:r>
        <w:rPr>
          <w:rFonts w:hint="eastAsia"/>
          <w:szCs w:val="21"/>
          <w:lang w:eastAsia="zh-CN"/>
        </w:rPr>
        <w:t xml:space="preserve"> 即视为转移给乙方，所产生的一切风险均与甲方无关。</w:t>
      </w:r>
    </w:p>
    <w:p>
      <w:pPr>
        <w:adjustRightInd w:val="0"/>
        <w:spacing w:line="360" w:lineRule="auto"/>
        <w:ind w:left="-4" w:leftChars="-2" w:firstLine="6" w:firstLineChars="3"/>
        <w:textAlignment w:val="baseline"/>
        <w:rPr>
          <w:rFonts w:ascii="Arial" w:hAnsi="Arial" w:cs="Arial"/>
          <w:color w:val="000000" w:themeColor="text1"/>
          <w:szCs w:val="21"/>
          <w:lang w:eastAsia="zh-CN"/>
          <w14:textFill>
            <w14:solidFill>
              <w14:schemeClr w14:val="tx1"/>
            </w14:solidFill>
          </w14:textFill>
        </w:rPr>
      </w:pPr>
      <w:r>
        <w:rPr>
          <w:rFonts w:hint="eastAsia"/>
          <w:szCs w:val="21"/>
          <w:lang w:eastAsia="zh-CN"/>
        </w:rPr>
        <w:t>七、</w:t>
      </w:r>
      <w:r>
        <w:rPr>
          <w:rFonts w:hint="eastAsia" w:ascii="Arial" w:hAnsi="Arial" w:cs="Arial"/>
          <w:b/>
          <w:color w:val="000000" w:themeColor="text1"/>
          <w:szCs w:val="21"/>
          <w:lang w:eastAsia="zh-CN"/>
          <w14:textFill>
            <w14:solidFill>
              <w14:schemeClr w14:val="tx1"/>
            </w14:solidFill>
          </w14:textFill>
        </w:rPr>
        <w:t xml:space="preserve">  </w:t>
      </w:r>
      <w:r>
        <w:rPr>
          <w:rFonts w:hint="eastAsia" w:ascii="Arial" w:hAnsi="Arial" w:cs="Arial"/>
          <w:color w:val="000000" w:themeColor="text1"/>
          <w:szCs w:val="21"/>
          <w:lang w:eastAsia="zh-CN"/>
          <w14:textFill>
            <w14:solidFill>
              <w14:schemeClr w14:val="tx1"/>
            </w14:solidFill>
          </w14:textFill>
        </w:rPr>
        <w:t>危险废物转移约定</w:t>
      </w:r>
    </w:p>
    <w:p>
      <w:pPr>
        <w:adjustRightInd w:val="0"/>
        <w:spacing w:line="360" w:lineRule="auto"/>
        <w:ind w:left="-4" w:leftChars="-2" w:firstLine="398" w:firstLineChars="181"/>
        <w:textAlignment w:val="baseline"/>
        <w:rPr>
          <w:szCs w:val="21"/>
          <w:lang w:eastAsia="zh-CN"/>
        </w:rPr>
      </w:pPr>
      <w:r>
        <w:rPr>
          <w:rFonts w:hint="eastAsia" w:ascii="Arial" w:hAnsi="Arial" w:cs="Arial"/>
          <w:color w:val="000000" w:themeColor="text1"/>
          <w:szCs w:val="21"/>
          <w:lang w:eastAsia="zh-CN"/>
          <w14:textFill>
            <w14:solidFill>
              <w14:schemeClr w14:val="tx1"/>
            </w14:solidFill>
          </w14:textFill>
        </w:rPr>
        <w:t>根据福建省固体废物环境监管平台的要求，甲方双方办理转移联单手续。</w:t>
      </w:r>
    </w:p>
    <w:p>
      <w:pPr>
        <w:spacing w:line="360" w:lineRule="auto"/>
        <w:rPr>
          <w:szCs w:val="21"/>
          <w:lang w:eastAsia="zh-CN"/>
        </w:rPr>
      </w:pPr>
      <w:r>
        <w:rPr>
          <w:rFonts w:hint="eastAsia"/>
          <w:szCs w:val="21"/>
          <w:lang w:eastAsia="zh-CN"/>
        </w:rPr>
        <w:t>八、违约责任：</w:t>
      </w:r>
    </w:p>
    <w:p>
      <w:pPr>
        <w:spacing w:line="360" w:lineRule="auto"/>
        <w:ind w:firstLine="440" w:firstLineChars="200"/>
        <w:rPr>
          <w:szCs w:val="21"/>
          <w:lang w:eastAsia="zh-CN"/>
        </w:rPr>
      </w:pPr>
      <w:r>
        <w:rPr>
          <w:rFonts w:hint="eastAsia"/>
          <w:szCs w:val="21"/>
          <w:lang w:eastAsia="zh-CN"/>
        </w:rPr>
        <w:t>（一）乙方如不能根据甲方通知及时提货，或不听从甲方调度指挥、危害甲方安全生产或甲方利益的，给甲方造成的一切损失由乙方负责赔偿，甲方并有权每次收取乙方违约金壹万元（￥</w:t>
      </w:r>
      <w:r>
        <w:rPr>
          <w:szCs w:val="21"/>
          <w:lang w:eastAsia="zh-CN"/>
        </w:rPr>
        <w:t xml:space="preserve"> </w:t>
      </w:r>
      <w:r>
        <w:rPr>
          <w:rFonts w:hint="eastAsia"/>
          <w:szCs w:val="21"/>
          <w:lang w:eastAsia="zh-CN"/>
        </w:rPr>
        <w:t>10,000.00</w:t>
      </w:r>
      <w:r>
        <w:rPr>
          <w:szCs w:val="21"/>
          <w:lang w:eastAsia="zh-CN"/>
        </w:rPr>
        <w:t xml:space="preserve"> </w:t>
      </w:r>
      <w:r>
        <w:rPr>
          <w:rFonts w:hint="eastAsia"/>
          <w:szCs w:val="21"/>
          <w:lang w:eastAsia="zh-CN"/>
        </w:rPr>
        <w:t>元）；情节特别严重的，如提货不及时造成甲方仓库满溢或乙方多次违约拒不改正等，甲方有权视情况提前解除合同，并要求乙方一次性支付合同暂定总额10%的违约金，乙方还需赔偿甲方损失。</w:t>
      </w:r>
    </w:p>
    <w:p>
      <w:pPr>
        <w:spacing w:line="360" w:lineRule="auto"/>
        <w:ind w:firstLine="440" w:firstLineChars="200"/>
        <w:rPr>
          <w:szCs w:val="21"/>
          <w:lang w:eastAsia="zh-CN"/>
        </w:rPr>
      </w:pPr>
      <w:r>
        <w:rPr>
          <w:rFonts w:hint="eastAsia"/>
          <w:szCs w:val="21"/>
          <w:lang w:eastAsia="zh-CN"/>
        </w:rPr>
        <w:t>（二）从安全的原则出发，为保障运输安全，乙方必须加强安全运输管理，维护双方利益。乙方在进入甲方厂区内提货时如损坏甲方设备及有关设施，如路灯、路牙、围墙等，应按价赔偿。因乙方原因造成甲方或任何第三方人身、财产损失的，由乙方承担全部责任。</w:t>
      </w:r>
    </w:p>
    <w:p>
      <w:pPr>
        <w:spacing w:line="360" w:lineRule="auto"/>
        <w:ind w:firstLine="440" w:firstLineChars="200"/>
        <w:rPr>
          <w:szCs w:val="21"/>
          <w:lang w:eastAsia="zh-CN"/>
        </w:rPr>
      </w:pPr>
      <w:r>
        <w:rPr>
          <w:rFonts w:hint="eastAsia"/>
          <w:szCs w:val="21"/>
          <w:lang w:eastAsia="zh-CN"/>
        </w:rPr>
        <w:t>（三）影响甲方文明生产的每次罚款壹万元（￥</w:t>
      </w:r>
      <w:r>
        <w:rPr>
          <w:szCs w:val="21"/>
          <w:u w:val="single"/>
          <w:lang w:eastAsia="zh-CN"/>
        </w:rPr>
        <w:t xml:space="preserve"> </w:t>
      </w:r>
      <w:r>
        <w:rPr>
          <w:rFonts w:hint="eastAsia"/>
          <w:szCs w:val="21"/>
          <w:u w:val="single"/>
          <w:lang w:eastAsia="zh-CN"/>
        </w:rPr>
        <w:t>10,000.00</w:t>
      </w:r>
      <w:r>
        <w:rPr>
          <w:rFonts w:hint="eastAsia"/>
          <w:szCs w:val="21"/>
          <w:lang w:eastAsia="zh-CN"/>
        </w:rPr>
        <w:t>元），并及时清扫干净。如屡犯不改，甲方有权解除合同，并要求乙方一次性支付合同暂定总额10%的违约金，乙方还需赔偿甲方损失。</w:t>
      </w:r>
    </w:p>
    <w:p>
      <w:pPr>
        <w:spacing w:line="360" w:lineRule="auto"/>
        <w:ind w:firstLine="440" w:firstLineChars="200"/>
        <w:rPr>
          <w:szCs w:val="21"/>
          <w:lang w:eastAsia="zh-CN"/>
        </w:rPr>
      </w:pPr>
      <w:r>
        <w:rPr>
          <w:rFonts w:hint="eastAsia"/>
          <w:szCs w:val="21"/>
          <w:lang w:eastAsia="zh-CN"/>
        </w:rPr>
        <w:t>（四）乙方无故未按约定提货，甲方连续两次联系乙方无结果，甲方有权提前解除本合同，并要求乙方一次性支付合同暂定总额10%的违约金，乙方还需赔偿甲方损失。</w:t>
      </w:r>
    </w:p>
    <w:p>
      <w:pPr>
        <w:spacing w:line="360" w:lineRule="auto"/>
        <w:ind w:firstLine="440" w:firstLineChars="200"/>
        <w:rPr>
          <w:rFonts w:ascii="Arial" w:hAnsi="Arial" w:cs="Arial"/>
          <w:color w:val="000000" w:themeColor="text1"/>
          <w:szCs w:val="21"/>
          <w:lang w:eastAsia="zh-CN"/>
          <w14:textFill>
            <w14:solidFill>
              <w14:schemeClr w14:val="tx1"/>
            </w14:solidFill>
          </w14:textFill>
        </w:rPr>
      </w:pPr>
      <w:r>
        <w:rPr>
          <w:rFonts w:hint="eastAsia"/>
          <w:szCs w:val="21"/>
          <w:lang w:eastAsia="zh-CN"/>
        </w:rPr>
        <w:t xml:space="preserve">（五） </w:t>
      </w:r>
      <w:r>
        <w:rPr>
          <w:rFonts w:hint="eastAsia" w:ascii="Arial" w:hAnsi="Arial" w:cs="Arial"/>
          <w:color w:val="000000" w:themeColor="text1"/>
          <w:szCs w:val="21"/>
          <w:lang w:eastAsia="zh-CN"/>
          <w14:textFill>
            <w14:solidFill>
              <w14:schemeClr w14:val="tx1"/>
            </w14:solidFill>
          </w14:textFill>
        </w:rPr>
        <w:t>乙方未如实按规范要求进行危险废物处置，致使合同目的无法实现的，甲方有权终止合同，拒绝结算，乙方应向甲方支付合同预估总价20%的违约金，并赔偿甲方损失。</w:t>
      </w:r>
    </w:p>
    <w:p>
      <w:pPr>
        <w:pStyle w:val="24"/>
        <w:spacing w:line="360" w:lineRule="auto"/>
        <w:ind w:firstLine="200"/>
        <w:jc w:val="left"/>
      </w:pPr>
      <w:r>
        <w:rPr>
          <w:rFonts w:hint="eastAsia"/>
        </w:rPr>
        <w:t xml:space="preserve"> </w:t>
      </w:r>
      <w:r>
        <w:t xml:space="preserve"> </w:t>
      </w:r>
      <w:r>
        <w:rPr>
          <w:rFonts w:hint="eastAsia" w:ascii="Arial" w:hAnsi="Arial" w:cs="Arial"/>
          <w:color w:val="000000" w:themeColor="text1"/>
          <w:sz w:val="22"/>
          <w:szCs w:val="21"/>
          <w14:textFill>
            <w14:solidFill>
              <w14:schemeClr w14:val="tx1"/>
            </w14:solidFill>
          </w14:textFill>
        </w:rPr>
        <w:t>（六）乙方</w:t>
      </w:r>
      <w:r>
        <w:rPr>
          <w:rFonts w:ascii="Arial" w:hAnsi="Arial" w:cs="Arial"/>
          <w:color w:val="000000" w:themeColor="text1"/>
          <w:sz w:val="22"/>
          <w:szCs w:val="21"/>
          <w14:textFill>
            <w14:solidFill>
              <w14:schemeClr w14:val="tx1"/>
            </w14:solidFill>
          </w14:textFill>
        </w:rPr>
        <w:t>负责办理的危废转移报批手续必须在三个月内完成，危废转移报批手续办理完成后一个月内必须完成危废转运，否则视同危废承包商违约，并</w:t>
      </w:r>
      <w:r>
        <w:rPr>
          <w:rFonts w:hint="eastAsia" w:ascii="Arial" w:hAnsi="Arial" w:cs="Arial"/>
          <w:color w:val="000000" w:themeColor="text1"/>
          <w:sz w:val="22"/>
          <w:szCs w:val="21"/>
          <w14:textFill>
            <w14:solidFill>
              <w14:schemeClr w14:val="tx1"/>
            </w14:solidFill>
          </w14:textFill>
        </w:rPr>
        <w:t>向甲方支付合同预估总价20%的违约金</w:t>
      </w:r>
      <w:r>
        <w:rPr>
          <w:rFonts w:ascii="Arial" w:hAnsi="Arial" w:cs="Arial"/>
          <w:color w:val="000000" w:themeColor="text1"/>
          <w:sz w:val="22"/>
          <w:szCs w:val="21"/>
          <w14:textFill>
            <w14:solidFill>
              <w14:schemeClr w14:val="tx1"/>
            </w14:solidFill>
          </w14:textFill>
        </w:rPr>
        <w:t>，同时</w:t>
      </w:r>
      <w:r>
        <w:rPr>
          <w:rFonts w:hint="eastAsia" w:ascii="Arial" w:hAnsi="Arial" w:cs="Arial"/>
          <w:color w:val="000000" w:themeColor="text1"/>
          <w:sz w:val="22"/>
          <w:szCs w:val="21"/>
          <w14:textFill>
            <w14:solidFill>
              <w14:schemeClr w14:val="tx1"/>
            </w14:solidFill>
          </w14:textFill>
        </w:rPr>
        <w:t>甲方</w:t>
      </w:r>
      <w:r>
        <w:rPr>
          <w:rFonts w:ascii="Arial" w:hAnsi="Arial" w:cs="Arial"/>
          <w:color w:val="000000" w:themeColor="text1"/>
          <w:sz w:val="22"/>
          <w:szCs w:val="21"/>
          <w14:textFill>
            <w14:solidFill>
              <w14:schemeClr w14:val="tx1"/>
            </w14:solidFill>
          </w14:textFill>
        </w:rPr>
        <w:t>有权</w:t>
      </w:r>
      <w:r>
        <w:rPr>
          <w:rFonts w:hint="eastAsia" w:ascii="Arial" w:hAnsi="Arial" w:cs="Arial"/>
          <w:color w:val="000000" w:themeColor="text1"/>
          <w:sz w:val="22"/>
          <w:szCs w:val="21"/>
          <w14:textFill>
            <w14:solidFill>
              <w14:schemeClr w14:val="tx1"/>
            </w14:solidFill>
          </w14:textFill>
        </w:rPr>
        <w:t>解除</w:t>
      </w:r>
      <w:r>
        <w:rPr>
          <w:rFonts w:ascii="Arial" w:hAnsi="Arial" w:cs="Arial"/>
          <w:color w:val="000000" w:themeColor="text1"/>
          <w:sz w:val="22"/>
          <w:szCs w:val="21"/>
          <w14:textFill>
            <w14:solidFill>
              <w14:schemeClr w14:val="tx1"/>
            </w14:solidFill>
          </w14:textFill>
        </w:rPr>
        <w:t>合同</w:t>
      </w:r>
    </w:p>
    <w:p>
      <w:pPr>
        <w:spacing w:line="360" w:lineRule="auto"/>
        <w:ind w:firstLine="440" w:firstLineChars="200"/>
        <w:rPr>
          <w:szCs w:val="21"/>
          <w:lang w:eastAsia="zh-CN"/>
        </w:rPr>
      </w:pPr>
      <w:r>
        <w:rPr>
          <w:rFonts w:hint="eastAsia"/>
          <w:szCs w:val="21"/>
          <w:lang w:eastAsia="zh-CN"/>
        </w:rPr>
        <w:t>九、本合同期满，如甲方通过公开招标方式选择合作方，乙方可参与投标。</w:t>
      </w:r>
    </w:p>
    <w:p>
      <w:pPr>
        <w:spacing w:line="360" w:lineRule="auto"/>
        <w:ind w:firstLine="440" w:firstLineChars="200"/>
        <w:rPr>
          <w:szCs w:val="21"/>
          <w:lang w:eastAsia="zh-CN"/>
        </w:rPr>
      </w:pPr>
      <w:r>
        <w:rPr>
          <w:rFonts w:hint="eastAsia"/>
          <w:szCs w:val="21"/>
          <w:lang w:eastAsia="zh-CN"/>
        </w:rPr>
        <w:t>十、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40" w:firstLineChars="200"/>
        <w:rPr>
          <w:szCs w:val="21"/>
          <w:lang w:eastAsia="zh-CN"/>
        </w:rPr>
      </w:pPr>
      <w:r>
        <w:rPr>
          <w:rFonts w:hint="eastAsia"/>
          <w:szCs w:val="21"/>
          <w:lang w:eastAsia="zh-CN"/>
        </w:rPr>
        <w:t>十一、本合同经双方盖章后生效。本合同一式陆份，甲方肆份，乙方贰份。履行中如有争议，双方协商解决。如协商不成可诉诸法律，提请甲方所在地法院诉讼解决。</w:t>
      </w:r>
    </w:p>
    <w:p>
      <w:pPr>
        <w:widowControl/>
        <w:rPr>
          <w:szCs w:val="21"/>
          <w:lang w:eastAsia="zh-CN"/>
        </w:rPr>
      </w:pPr>
    </w:p>
    <w:p>
      <w:pPr>
        <w:widowControl/>
        <w:rPr>
          <w:szCs w:val="21"/>
          <w:lang w:eastAsia="zh-CN"/>
        </w:rPr>
      </w:pPr>
    </w:p>
    <w:p>
      <w:pPr>
        <w:widowControl/>
        <w:rPr>
          <w:szCs w:val="21"/>
          <w:lang w:eastAsia="zh-CN"/>
        </w:rPr>
      </w:pPr>
      <w:r>
        <w:rPr>
          <w:rFonts w:hint="eastAsia"/>
          <w:szCs w:val="21"/>
          <w:lang w:eastAsia="zh-CN"/>
        </w:rPr>
        <w:t>附件一《202</w:t>
      </w:r>
      <w:r>
        <w:rPr>
          <w:rFonts w:hint="eastAsia"/>
          <w:szCs w:val="21"/>
          <w:lang w:val="en-US" w:eastAsia="zh-CN"/>
        </w:rPr>
        <w:t>3</w:t>
      </w:r>
      <w:r>
        <w:rPr>
          <w:rFonts w:hint="eastAsia"/>
          <w:szCs w:val="21"/>
          <w:lang w:eastAsia="zh-CN"/>
        </w:rPr>
        <w:t>年福海创危废委外处置发包要求》</w:t>
      </w:r>
    </w:p>
    <w:p>
      <w:pPr>
        <w:widowControl/>
        <w:rPr>
          <w:szCs w:val="21"/>
          <w:lang w:eastAsia="zh-CN"/>
        </w:rPr>
      </w:pPr>
      <w:r>
        <w:rPr>
          <w:rFonts w:hint="eastAsia"/>
          <w:szCs w:val="21"/>
          <w:lang w:eastAsia="zh-CN"/>
        </w:rPr>
        <w:t>附件二《安全环保协议书》</w:t>
      </w:r>
    </w:p>
    <w:p>
      <w:pPr>
        <w:widowControl/>
        <w:rPr>
          <w:szCs w:val="21"/>
          <w:lang w:eastAsia="zh-CN"/>
        </w:rPr>
      </w:pPr>
    </w:p>
    <w:p>
      <w:pPr>
        <w:widowControl/>
        <w:rPr>
          <w:sz w:val="21"/>
          <w:szCs w:val="21"/>
        </w:rPr>
      </w:pPr>
      <w:r>
        <w:rPr>
          <w:rFonts w:hint="eastAsia"/>
          <w:sz w:val="21"/>
          <w:szCs w:val="21"/>
        </w:rPr>
        <w:t>以下无正文：</w:t>
      </w:r>
    </w:p>
    <w:p>
      <w:pPr>
        <w:spacing w:line="480" w:lineRule="exact"/>
        <w:rPr>
          <w:sz w:val="21"/>
          <w:szCs w:val="21"/>
        </w:rPr>
      </w:pPr>
    </w:p>
    <w:tbl>
      <w:tblPr>
        <w:tblStyle w:val="22"/>
        <w:tblW w:w="9120" w:type="dxa"/>
        <w:tblInd w:w="94" w:type="dxa"/>
        <w:tblLayout w:type="fixed"/>
        <w:tblCellMar>
          <w:top w:w="0" w:type="dxa"/>
          <w:left w:w="108" w:type="dxa"/>
          <w:bottom w:w="0" w:type="dxa"/>
          <w:right w:w="108" w:type="dxa"/>
        </w:tblCellMar>
      </w:tblPr>
      <w:tblGrid>
        <w:gridCol w:w="4280"/>
        <w:gridCol w:w="4840"/>
      </w:tblGrid>
      <w:tr>
        <w:tblPrEx>
          <w:tblLayout w:type="fixed"/>
          <w:tblCellMar>
            <w:top w:w="0" w:type="dxa"/>
            <w:left w:w="108" w:type="dxa"/>
            <w:bottom w:w="0" w:type="dxa"/>
            <w:right w:w="108" w:type="dxa"/>
          </w:tblCellMar>
        </w:tblPrEx>
        <w:trPr>
          <w:trHeight w:val="615" w:hRule="atLeast"/>
        </w:trPr>
        <w:tc>
          <w:tcPr>
            <w:tcW w:w="4280" w:type="dxa"/>
            <w:tcBorders>
              <w:top w:val="nil"/>
              <w:left w:val="nil"/>
              <w:bottom w:val="nil"/>
              <w:right w:val="nil"/>
            </w:tcBorders>
            <w:shd w:val="clear" w:color="auto" w:fill="auto"/>
            <w:vAlign w:val="center"/>
          </w:tcPr>
          <w:p>
            <w:pPr>
              <w:widowControl/>
              <w:rPr>
                <w:rFonts w:asciiTheme="minorEastAsia" w:hAnsiTheme="minorEastAsia" w:eastAsiaTheme="minorEastAsia"/>
                <w:color w:val="000000"/>
                <w:sz w:val="21"/>
                <w:szCs w:val="21"/>
                <w:lang w:eastAsia="zh-CN"/>
              </w:rPr>
            </w:pPr>
            <w:r>
              <w:rPr>
                <w:rFonts w:hint="eastAsia"/>
                <w:color w:val="000000"/>
                <w:sz w:val="21"/>
                <w:szCs w:val="21"/>
                <w:lang w:eastAsia="zh-CN"/>
              </w:rPr>
              <w:t>甲方（盖章）:</w:t>
            </w:r>
            <w:r>
              <w:rPr>
                <w:rFonts w:asciiTheme="minorEastAsia" w:hAnsiTheme="minorEastAsia" w:eastAsiaTheme="minorEastAsia"/>
                <w:color w:val="000000"/>
                <w:sz w:val="21"/>
                <w:szCs w:val="21"/>
                <w:lang w:eastAsia="zh-CN"/>
              </w:rPr>
              <w:t xml:space="preserve"> 腾龙芳烃</w:t>
            </w:r>
            <w:r>
              <w:rPr>
                <w:rFonts w:hint="eastAsia" w:asciiTheme="minorEastAsia" w:hAnsiTheme="minorEastAsia" w:eastAsiaTheme="minorEastAsia"/>
                <w:color w:val="000000"/>
                <w:sz w:val="21"/>
                <w:szCs w:val="21"/>
                <w:lang w:eastAsia="zh-CN"/>
              </w:rPr>
              <w:t>（漳州）有限公司</w:t>
            </w:r>
          </w:p>
          <w:p>
            <w:pPr>
              <w:widowControl/>
              <w:rPr>
                <w:color w:val="000000"/>
                <w:sz w:val="21"/>
                <w:szCs w:val="21"/>
                <w:lang w:eastAsia="zh-CN"/>
              </w:rPr>
            </w:pPr>
            <w:r>
              <w:rPr>
                <w:rFonts w:hint="eastAsia"/>
                <w:color w:val="000000"/>
                <w:sz w:val="21"/>
                <w:szCs w:val="21"/>
                <w:lang w:eastAsia="zh-CN"/>
              </w:rPr>
              <w:t xml:space="preserve">                      </w:t>
            </w:r>
          </w:p>
        </w:tc>
        <w:tc>
          <w:tcPr>
            <w:tcW w:w="4840" w:type="dxa"/>
            <w:tcBorders>
              <w:top w:val="nil"/>
              <w:left w:val="nil"/>
              <w:bottom w:val="nil"/>
              <w:right w:val="nil"/>
            </w:tcBorders>
            <w:shd w:val="clear" w:color="auto" w:fill="auto"/>
          </w:tcPr>
          <w:p>
            <w:pPr>
              <w:widowControl/>
              <w:ind w:left="1470" w:right="-218" w:rightChars="-99" w:hanging="1470" w:hangingChars="700"/>
              <w:rPr>
                <w:color w:val="000000"/>
                <w:sz w:val="21"/>
                <w:szCs w:val="21"/>
                <w:lang w:eastAsia="zh-CN"/>
              </w:rPr>
            </w:pPr>
            <w:r>
              <w:rPr>
                <w:rFonts w:hint="eastAsia" w:asciiTheme="minorEastAsia" w:hAnsiTheme="minorEastAsia" w:eastAsiaTheme="minorEastAsia"/>
                <w:color w:val="000000"/>
                <w:sz w:val="21"/>
                <w:szCs w:val="21"/>
                <w:lang w:eastAsia="zh-CN"/>
              </w:rPr>
              <w:t xml:space="preserve">乙方（盖章）: </w:t>
            </w:r>
            <w:r>
              <w:rPr>
                <w:rFonts w:hint="eastAsia"/>
                <w:szCs w:val="21"/>
                <w:lang w:eastAsia="zh-CN"/>
              </w:rPr>
              <w:t xml:space="preserve"> </w:t>
            </w:r>
          </w:p>
        </w:tc>
      </w:tr>
      <w:tr>
        <w:tblPrEx>
          <w:tblLayout w:type="fixed"/>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w:t>
            </w:r>
            <w:r>
              <w:rPr>
                <w:rFonts w:ascii="Times New Roman" w:hAnsi="Times New Roman"/>
                <w:color w:val="000000"/>
                <w:sz w:val="21"/>
                <w:szCs w:val="21"/>
                <w:lang w:eastAsia="zh-CN"/>
              </w:rPr>
              <w:t xml:space="preserve">  </w:t>
            </w:r>
            <w:r>
              <w:rPr>
                <w:rFonts w:hint="eastAsia"/>
                <w:color w:val="000000"/>
                <w:sz w:val="21"/>
                <w:szCs w:val="21"/>
                <w:lang w:eastAsia="zh-CN"/>
              </w:rPr>
              <w:t>址：福建省漳州市漳州古雷经济开发区腾龙路8</w:t>
            </w:r>
            <w:r>
              <w:rPr>
                <w:color w:val="000000"/>
                <w:sz w:val="21"/>
                <w:szCs w:val="21"/>
                <w:lang w:eastAsia="zh-CN"/>
              </w:rPr>
              <w:t>4</w:t>
            </w:r>
            <w:r>
              <w:rPr>
                <w:rFonts w:hint="eastAsia"/>
                <w:color w:val="000000"/>
                <w:sz w:val="21"/>
                <w:szCs w:val="21"/>
                <w:lang w:eastAsia="zh-CN"/>
              </w:rPr>
              <w:t xml:space="preserve">号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 址：</w:t>
            </w:r>
            <w:r>
              <w:rPr>
                <w:color w:val="000000"/>
                <w:sz w:val="21"/>
                <w:szCs w:val="21"/>
                <w:lang w:eastAsia="zh-CN"/>
              </w:rPr>
              <w:t xml:space="preserve">  </w:t>
            </w:r>
            <w:r>
              <w:rPr>
                <w:rFonts w:hint="eastAsia"/>
                <w:color w:val="000000"/>
                <w:sz w:val="21"/>
                <w:szCs w:val="21"/>
                <w:lang w:eastAsia="zh-CN"/>
              </w:rPr>
              <w:t xml:space="preserve"> </w:t>
            </w:r>
          </w:p>
        </w:tc>
      </w:tr>
      <w:tr>
        <w:tblPrEx>
          <w:tblLayout w:type="fixed"/>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现场联络人：</w:t>
            </w:r>
            <w:r>
              <w:rPr>
                <w:rFonts w:ascii="Times New Roman" w:hAnsi="Times New Roman"/>
                <w:color w:val="000000"/>
                <w:sz w:val="21"/>
                <w:szCs w:val="21"/>
                <w:lang w:eastAsia="zh-CN"/>
              </w:rPr>
              <w:t>林伟民</w:t>
            </w:r>
            <w:r>
              <w:rPr>
                <w:rFonts w:ascii="Times New Roman" w:hAnsi="Times New Roman"/>
                <w:color w:val="000000"/>
                <w:sz w:val="21"/>
                <w:szCs w:val="21"/>
              </w:rPr>
              <w:t xml:space="preserve">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rPr>
              <w:t>联 络 人：</w:t>
            </w:r>
            <w:r>
              <w:rPr>
                <w:rFonts w:hint="eastAsia"/>
                <w:color w:val="000000"/>
                <w:sz w:val="21"/>
                <w:szCs w:val="21"/>
                <w:lang w:eastAsia="zh-CN"/>
              </w:rPr>
              <w:t xml:space="preserve"> </w:t>
            </w:r>
          </w:p>
        </w:tc>
      </w:tr>
      <w:tr>
        <w:tblPrEx>
          <w:tblLayout w:type="fixed"/>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rPr>
              <w:t>电  话：</w:t>
            </w:r>
            <w:r>
              <w:rPr>
                <w:sz w:val="21"/>
                <w:szCs w:val="21"/>
              </w:rPr>
              <w:t xml:space="preserve"> </w:t>
            </w:r>
            <w:r>
              <w:rPr>
                <w:color w:val="000000"/>
                <w:sz w:val="21"/>
                <w:szCs w:val="21"/>
              </w:rPr>
              <w:t>0596-6311112</w:t>
            </w:r>
          </w:p>
        </w:tc>
        <w:tc>
          <w:tcPr>
            <w:tcW w:w="4840" w:type="dxa"/>
            <w:tcBorders>
              <w:top w:val="nil"/>
              <w:left w:val="nil"/>
              <w:bottom w:val="nil"/>
              <w:right w:val="nil"/>
            </w:tcBorders>
            <w:shd w:val="clear" w:color="auto" w:fill="auto"/>
            <w:vAlign w:val="center"/>
          </w:tcPr>
          <w:p>
            <w:pPr>
              <w:widowControl/>
              <w:ind w:right="-141" w:rightChars="-64"/>
              <w:rPr>
                <w:color w:val="000000"/>
                <w:sz w:val="21"/>
                <w:szCs w:val="21"/>
                <w:lang w:eastAsia="zh-CN"/>
              </w:rPr>
            </w:pPr>
            <w:r>
              <w:rPr>
                <w:rFonts w:hint="eastAsia"/>
                <w:color w:val="000000"/>
                <w:sz w:val="21"/>
                <w:szCs w:val="21"/>
              </w:rPr>
              <w:t>电    话：</w:t>
            </w:r>
            <w:r>
              <w:rPr>
                <w:color w:val="000000"/>
                <w:sz w:val="21"/>
                <w:szCs w:val="21"/>
                <w:lang w:eastAsia="zh-CN"/>
              </w:rPr>
              <w:t xml:space="preserve"> </w:t>
            </w:r>
          </w:p>
        </w:tc>
      </w:tr>
      <w:tr>
        <w:tblPrEx>
          <w:tblLayout w:type="fixed"/>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 xml:space="preserve">纳税人识别号: 91350600717866709A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纳税人识别号:</w:t>
            </w:r>
            <w:r>
              <w:rPr>
                <w:sz w:val="21"/>
                <w:szCs w:val="21"/>
                <w:lang w:eastAsia="zh-CN"/>
              </w:rPr>
              <w:t xml:space="preserve">  </w:t>
            </w:r>
          </w:p>
        </w:tc>
      </w:tr>
      <w:tr>
        <w:tblPrEx>
          <w:tblLayout w:type="fixed"/>
          <w:tblCellMar>
            <w:top w:w="0" w:type="dxa"/>
            <w:left w:w="108" w:type="dxa"/>
            <w:bottom w:w="0" w:type="dxa"/>
            <w:right w:w="108" w:type="dxa"/>
          </w:tblCellMar>
        </w:tblPrEx>
        <w:trPr>
          <w:trHeight w:val="855"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开户行及账号：中国农业银行股份有限公司漳浦古雷石化支行</w:t>
            </w:r>
            <w:r>
              <w:rPr>
                <w:rFonts w:hint="eastAsia"/>
                <w:color w:val="000000"/>
                <w:sz w:val="21"/>
                <w:szCs w:val="21"/>
                <w:lang w:eastAsia="zh-CN"/>
              </w:rPr>
              <w:br w:type="textWrapping"/>
            </w:r>
            <w:r>
              <w:rPr>
                <w:color w:val="000000"/>
                <w:sz w:val="21"/>
                <w:szCs w:val="21"/>
                <w:lang w:eastAsia="zh-CN"/>
              </w:rPr>
              <w:t xml:space="preserve">                        </w:t>
            </w:r>
          </w:p>
        </w:tc>
        <w:tc>
          <w:tcPr>
            <w:tcW w:w="4840" w:type="dxa"/>
            <w:tcBorders>
              <w:top w:val="nil"/>
              <w:left w:val="nil"/>
              <w:bottom w:val="nil"/>
              <w:right w:val="nil"/>
            </w:tcBorders>
            <w:shd w:val="clear" w:color="auto" w:fill="auto"/>
          </w:tcPr>
          <w:p>
            <w:pPr>
              <w:widowControl/>
              <w:rPr>
                <w:color w:val="000000"/>
                <w:sz w:val="21"/>
                <w:szCs w:val="21"/>
                <w:lang w:eastAsia="zh-CN"/>
              </w:rPr>
            </w:pPr>
            <w:r>
              <w:rPr>
                <w:rFonts w:hint="eastAsia"/>
                <w:color w:val="000000"/>
                <w:sz w:val="21"/>
                <w:szCs w:val="21"/>
                <w:lang w:eastAsia="zh-CN"/>
              </w:rPr>
              <w:t>开户行及账号：</w:t>
            </w:r>
            <w:r>
              <w:rPr>
                <w:color w:val="000000"/>
                <w:sz w:val="21"/>
                <w:szCs w:val="21"/>
                <w:lang w:eastAsia="zh-CN"/>
              </w:rPr>
              <w:t xml:space="preserve"> </w:t>
            </w:r>
            <w:r>
              <w:rPr>
                <w:rFonts w:hint="eastAsia"/>
                <w:color w:val="000000"/>
                <w:sz w:val="21"/>
                <w:szCs w:val="21"/>
                <w:lang w:eastAsia="zh-CN"/>
              </w:rPr>
              <w:t xml:space="preserve"> </w:t>
            </w:r>
          </w:p>
        </w:tc>
      </w:tr>
    </w:tbl>
    <w:p>
      <w:pPr>
        <w:widowControl/>
        <w:rPr>
          <w:szCs w:val="21"/>
          <w:lang w:eastAsia="zh-CN"/>
        </w:rPr>
      </w:pPr>
      <w:r>
        <w:rPr>
          <w:rFonts w:hint="eastAsia"/>
          <w:sz w:val="24"/>
          <w:szCs w:val="24"/>
          <w:lang w:eastAsia="zh-CN"/>
        </w:rPr>
        <w:t xml:space="preserve"> </w:t>
      </w:r>
    </w:p>
    <w:p>
      <w:pPr>
        <w:spacing w:line="480" w:lineRule="exact"/>
        <w:rPr>
          <w:sz w:val="24"/>
          <w:szCs w:val="24"/>
          <w:lang w:eastAsia="zh-CN"/>
        </w:rPr>
      </w:pPr>
    </w:p>
    <w:p>
      <w:pPr>
        <w:widowControl/>
        <w:autoSpaceDE/>
        <w:autoSpaceDN/>
        <w:rPr>
          <w:lang w:eastAsia="zh-CN"/>
        </w:rPr>
      </w:pPr>
      <w:r>
        <w:rPr>
          <w:lang w:eastAsia="zh-CN"/>
        </w:rPr>
        <w:br w:type="page"/>
      </w:r>
    </w:p>
    <w:p>
      <w:pPr>
        <w:jc w:val="center"/>
        <w:rPr>
          <w:rFonts w:hint="eastAsia"/>
          <w:b/>
          <w:sz w:val="30"/>
          <w:szCs w:val="30"/>
        </w:rPr>
      </w:pPr>
      <w:r>
        <w:rPr>
          <w:rFonts w:hint="eastAsia"/>
          <w:b/>
          <w:sz w:val="30"/>
          <w:szCs w:val="30"/>
        </w:rPr>
        <w:t>2023年福海创危废委外处置发包要求</w:t>
      </w:r>
    </w:p>
    <w:p>
      <w:pPr>
        <w:spacing w:line="400" w:lineRule="exact"/>
        <w:rPr>
          <w:rFonts w:hint="eastAsia"/>
          <w:sz w:val="24"/>
          <w:szCs w:val="24"/>
        </w:rPr>
      </w:pPr>
      <w:r>
        <w:rPr>
          <w:rFonts w:hint="eastAsia"/>
          <w:b/>
          <w:sz w:val="24"/>
          <w:szCs w:val="24"/>
        </w:rPr>
        <w:t>一、项目名称：</w:t>
      </w:r>
      <w:r>
        <w:rPr>
          <w:rFonts w:hint="eastAsia"/>
          <w:sz w:val="24"/>
          <w:szCs w:val="24"/>
        </w:rPr>
        <w:t>2023年福海创危废委外处置</w:t>
      </w:r>
    </w:p>
    <w:p>
      <w:pPr>
        <w:spacing w:line="400" w:lineRule="exact"/>
        <w:rPr>
          <w:rFonts w:hint="eastAsia"/>
          <w:b/>
          <w:sz w:val="24"/>
          <w:szCs w:val="24"/>
        </w:rPr>
      </w:pPr>
      <w:r>
        <w:rPr>
          <w:rFonts w:hint="eastAsia"/>
          <w:b/>
          <w:sz w:val="24"/>
          <w:szCs w:val="24"/>
        </w:rPr>
        <w:t>二、项目内容</w:t>
      </w:r>
    </w:p>
    <w:p>
      <w:pPr>
        <w:spacing w:line="400" w:lineRule="exact"/>
        <w:ind w:left="585" w:hanging="585" w:hangingChars="243"/>
        <w:rPr>
          <w:rFonts w:hint="eastAsia"/>
          <w:sz w:val="24"/>
          <w:szCs w:val="24"/>
        </w:rPr>
      </w:pPr>
      <w:r>
        <w:rPr>
          <w:rFonts w:hint="eastAsia"/>
          <w:b/>
          <w:sz w:val="24"/>
          <w:szCs w:val="24"/>
        </w:rPr>
        <w:t xml:space="preserve">  </w:t>
      </w:r>
      <w:r>
        <w:rPr>
          <w:rFonts w:hint="eastAsia"/>
          <w:sz w:val="24"/>
          <w:szCs w:val="24"/>
        </w:rPr>
        <w:t>1、福海创2023年危废的产生公司、名称、类别、代码、有害成分及含量、预估量及包装方式详见附件的内容。</w:t>
      </w:r>
    </w:p>
    <w:p>
      <w:pPr>
        <w:spacing w:line="400" w:lineRule="exact"/>
        <w:ind w:firstLine="240" w:firstLineChars="100"/>
        <w:rPr>
          <w:rFonts w:hint="eastAsia"/>
          <w:sz w:val="24"/>
          <w:szCs w:val="24"/>
        </w:rPr>
      </w:pPr>
      <w:r>
        <w:rPr>
          <w:rFonts w:hint="eastAsia"/>
          <w:sz w:val="24"/>
          <w:szCs w:val="24"/>
        </w:rPr>
        <w:t>2、上述危废产生量是危废产生预估量，具体重量以福海创各公司地磅计重为准。</w:t>
      </w:r>
    </w:p>
    <w:p>
      <w:pPr>
        <w:pStyle w:val="48"/>
        <w:spacing w:line="400" w:lineRule="exact"/>
        <w:ind w:firstLine="240" w:firstLineChars="100"/>
        <w:rPr>
          <w:rFonts w:hint="eastAsia"/>
          <w:sz w:val="24"/>
          <w:szCs w:val="24"/>
        </w:rPr>
      </w:pPr>
      <w:r>
        <w:rPr>
          <w:rFonts w:hint="eastAsia"/>
          <w:sz w:val="24"/>
          <w:szCs w:val="24"/>
        </w:rPr>
        <w:t>3、发包范围包括上述危废的装车、加固、现场卫生清理、从我司到处置点间的运输、卸车。</w:t>
      </w:r>
    </w:p>
    <w:p>
      <w:pPr>
        <w:spacing w:line="400" w:lineRule="exact"/>
        <w:ind w:firstLine="240" w:firstLineChars="100"/>
        <w:rPr>
          <w:rFonts w:hint="eastAsia"/>
          <w:sz w:val="24"/>
          <w:szCs w:val="24"/>
        </w:rPr>
      </w:pPr>
      <w:r>
        <w:rPr>
          <w:rFonts w:hint="eastAsia"/>
          <w:sz w:val="24"/>
          <w:szCs w:val="24"/>
        </w:rPr>
        <w:t>4、福海创各公司厂内提货，处置厂商负责自行装车。</w:t>
      </w:r>
    </w:p>
    <w:p>
      <w:pPr>
        <w:spacing w:line="400" w:lineRule="exact"/>
        <w:ind w:left="611" w:leftChars="114" w:hanging="360" w:hangingChars="150"/>
        <w:rPr>
          <w:rFonts w:hint="eastAsia"/>
          <w:sz w:val="24"/>
          <w:szCs w:val="24"/>
        </w:rPr>
      </w:pPr>
      <w:r>
        <w:rPr>
          <w:rFonts w:hint="eastAsia"/>
          <w:sz w:val="24"/>
          <w:szCs w:val="24"/>
        </w:rPr>
        <w:t>5、废加氢催化剂、废重整催化剂、废石脑油脱硫剂、废铅蓄电池、废润滑油（需带桶包干处置）有较高价值，需外售。</w:t>
      </w:r>
    </w:p>
    <w:p>
      <w:pPr>
        <w:spacing w:line="400" w:lineRule="exact"/>
        <w:rPr>
          <w:rFonts w:hint="eastAsia"/>
          <w:b/>
          <w:sz w:val="24"/>
          <w:szCs w:val="24"/>
        </w:rPr>
      </w:pPr>
      <w:r>
        <w:rPr>
          <w:rFonts w:hint="eastAsia"/>
          <w:b/>
          <w:sz w:val="24"/>
          <w:szCs w:val="24"/>
        </w:rPr>
        <w:t>三、承包商资质要求及提供的资料</w:t>
      </w:r>
    </w:p>
    <w:p>
      <w:pPr>
        <w:spacing w:line="400" w:lineRule="exact"/>
        <w:ind w:left="585" w:leftChars="157" w:hanging="240" w:hangingChars="100"/>
        <w:rPr>
          <w:rFonts w:hint="eastAsia"/>
          <w:sz w:val="24"/>
          <w:szCs w:val="24"/>
        </w:rPr>
      </w:pPr>
      <w:r>
        <w:rPr>
          <w:rFonts w:hint="eastAsia"/>
          <w:sz w:val="24"/>
          <w:szCs w:val="24"/>
        </w:rPr>
        <w:t>1、危废处置：具有处理附件各类危废的危废经营许可证。</w:t>
      </w:r>
    </w:p>
    <w:p>
      <w:pPr>
        <w:spacing w:line="400" w:lineRule="exact"/>
        <w:ind w:left="705" w:leftChars="157" w:hanging="360" w:hangingChars="150"/>
        <w:rPr>
          <w:rFonts w:hint="eastAsia"/>
          <w:sz w:val="24"/>
          <w:szCs w:val="24"/>
        </w:rPr>
      </w:pPr>
      <w:r>
        <w:rPr>
          <w:rFonts w:hint="eastAsia"/>
          <w:sz w:val="24"/>
          <w:szCs w:val="24"/>
        </w:rPr>
        <w:t>2、危废运输：承包商或与其签订运输合同的运输单位需持有含危废的《道路运输经营许可证》，该证的经营范围必须包括拟承运的危废种类，驾驶员及押运员需持证上岗。</w:t>
      </w:r>
    </w:p>
    <w:p>
      <w:pPr>
        <w:spacing w:line="400" w:lineRule="exact"/>
        <w:ind w:left="705" w:leftChars="157" w:hanging="360" w:hangingChars="150"/>
        <w:rPr>
          <w:rFonts w:hint="eastAsia"/>
          <w:sz w:val="24"/>
          <w:szCs w:val="24"/>
        </w:rPr>
      </w:pPr>
      <w:r>
        <w:rPr>
          <w:rFonts w:hint="eastAsia"/>
          <w:sz w:val="24"/>
          <w:szCs w:val="24"/>
        </w:rPr>
        <w:t>3、承包商需提供处置单位营业执照、处置单位危废经营许可证、处置方案（含废物处置工艺简介和流程图）、委托运输协议、运输单位危险货物准运证、运输单位营业执照等相关证件，并加盖公章。</w:t>
      </w:r>
    </w:p>
    <w:p>
      <w:pPr>
        <w:spacing w:line="400" w:lineRule="exact"/>
        <w:ind w:left="705" w:leftChars="157" w:hanging="360" w:hangingChars="150"/>
        <w:rPr>
          <w:rFonts w:hint="eastAsia"/>
          <w:sz w:val="24"/>
          <w:szCs w:val="24"/>
        </w:rPr>
      </w:pPr>
      <w:r>
        <w:rPr>
          <w:rFonts w:hint="eastAsia"/>
          <w:sz w:val="24"/>
          <w:szCs w:val="24"/>
        </w:rPr>
        <w:t>4、如需办理危废跨省转移报批手续，则能够负责办理。</w:t>
      </w:r>
    </w:p>
    <w:p>
      <w:pPr>
        <w:spacing w:line="400" w:lineRule="exact"/>
        <w:rPr>
          <w:rFonts w:hint="eastAsia"/>
          <w:b/>
          <w:sz w:val="24"/>
          <w:szCs w:val="24"/>
        </w:rPr>
      </w:pPr>
      <w:r>
        <w:rPr>
          <w:rFonts w:hint="eastAsia"/>
          <w:b/>
          <w:sz w:val="24"/>
          <w:szCs w:val="24"/>
        </w:rPr>
        <w:t>四、承包商应遵守相关法律、法规、标准要求</w:t>
      </w:r>
    </w:p>
    <w:p>
      <w:pPr>
        <w:spacing w:line="400" w:lineRule="exact"/>
        <w:ind w:left="378" w:leftChars="172"/>
        <w:jc w:val="left"/>
        <w:rPr>
          <w:rFonts w:hint="eastAsia"/>
          <w:sz w:val="24"/>
          <w:szCs w:val="24"/>
        </w:rPr>
      </w:pPr>
      <w:r>
        <w:rPr>
          <w:rFonts w:hint="eastAsia"/>
          <w:sz w:val="24"/>
          <w:szCs w:val="24"/>
        </w:rPr>
        <w:t>承包商的经营活动须遵守《中华人民共和国固体废物污染环境防治法》,固废贮存、处理场所及处理工艺须符合《危险废物贮存污染控制标准》（GB18597）、《危险废物填埋污染控制标准》（GB18598）、《危险废物焚烧污染控制标准》（GB18484）、国家危废转移联单管理制度等要求。</w:t>
      </w:r>
    </w:p>
    <w:p>
      <w:pPr>
        <w:spacing w:line="400" w:lineRule="exact"/>
        <w:rPr>
          <w:rFonts w:hint="eastAsia"/>
          <w:b/>
          <w:sz w:val="24"/>
          <w:szCs w:val="24"/>
        </w:rPr>
      </w:pPr>
      <w:r>
        <w:rPr>
          <w:rFonts w:hint="eastAsia"/>
          <w:b/>
          <w:sz w:val="24"/>
          <w:szCs w:val="24"/>
        </w:rPr>
        <w:t xml:space="preserve">五、其他要求 </w:t>
      </w:r>
    </w:p>
    <w:p>
      <w:pPr>
        <w:spacing w:line="400" w:lineRule="exact"/>
        <w:ind w:left="736" w:leftChars="171" w:hanging="360" w:hangingChars="150"/>
        <w:rPr>
          <w:rFonts w:hint="eastAsia"/>
          <w:sz w:val="24"/>
          <w:szCs w:val="24"/>
        </w:rPr>
      </w:pPr>
      <w:r>
        <w:rPr>
          <w:rFonts w:hint="eastAsia"/>
          <w:sz w:val="24"/>
          <w:szCs w:val="24"/>
        </w:rPr>
        <w:t>1、承包商需确保在合同有效期内危废处置资质和危废运输资质有效，合同有效期为1年。</w:t>
      </w:r>
    </w:p>
    <w:p>
      <w:pPr>
        <w:spacing w:line="400" w:lineRule="exact"/>
        <w:ind w:left="736" w:leftChars="171" w:hanging="360" w:hangingChars="150"/>
        <w:rPr>
          <w:rFonts w:hint="eastAsia"/>
          <w:sz w:val="24"/>
          <w:szCs w:val="24"/>
        </w:rPr>
      </w:pPr>
      <w:r>
        <w:rPr>
          <w:rFonts w:hint="eastAsia"/>
          <w:sz w:val="24"/>
          <w:szCs w:val="24"/>
        </w:rPr>
        <w:t>2、需分别按附件的内容，分别与腾龙芳烃（漳州）有限公司、翔鹭石化（漳州）有限公司、翔鹭码头投资管理（漳州）有限公司签订合同。</w:t>
      </w:r>
    </w:p>
    <w:p>
      <w:pPr>
        <w:spacing w:line="400" w:lineRule="exact"/>
        <w:ind w:left="736" w:leftChars="171" w:hanging="360" w:hangingChars="150"/>
        <w:rPr>
          <w:rFonts w:hint="eastAsia"/>
          <w:sz w:val="24"/>
          <w:szCs w:val="24"/>
        </w:rPr>
      </w:pPr>
      <w:r>
        <w:rPr>
          <w:rFonts w:hint="eastAsia"/>
          <w:sz w:val="24"/>
          <w:szCs w:val="24"/>
        </w:rPr>
        <w:t>3、承包商负责办理的危废转移报批手续必须在三个月内完成，危废转移报批手续办理完成后一个月内必须完成危废转运，否则视同承包商违约，并予以适当处罚，同时我司有权终止合同。</w:t>
      </w:r>
    </w:p>
    <w:p>
      <w:pPr>
        <w:spacing w:line="400" w:lineRule="exact"/>
        <w:ind w:left="736" w:leftChars="171" w:hanging="360" w:hangingChars="150"/>
        <w:rPr>
          <w:rFonts w:hint="eastAsia"/>
          <w:sz w:val="24"/>
          <w:szCs w:val="24"/>
        </w:rPr>
      </w:pPr>
      <w:r>
        <w:rPr>
          <w:rFonts w:hint="eastAsia"/>
          <w:sz w:val="24"/>
          <w:szCs w:val="24"/>
        </w:rPr>
        <w:t>4、承包商需缴纳履约保证金，若承包商无法履约合同或不按我司的要求及时清运转移危废的，则扣除相应的履约保证金。</w:t>
      </w:r>
    </w:p>
    <w:p>
      <w:pPr>
        <w:spacing w:line="400" w:lineRule="exact"/>
        <w:ind w:left="736" w:leftChars="171" w:hanging="360" w:hangingChars="150"/>
        <w:rPr>
          <w:rFonts w:hint="eastAsia"/>
          <w:sz w:val="24"/>
          <w:szCs w:val="24"/>
        </w:rPr>
      </w:pPr>
      <w:r>
        <w:rPr>
          <w:rFonts w:hint="eastAsia"/>
          <w:sz w:val="24"/>
          <w:szCs w:val="24"/>
        </w:rPr>
        <w:t>5、危废处置总价控制在400万以内。</w:t>
      </w:r>
    </w:p>
    <w:p>
      <w:pPr>
        <w:spacing w:line="400" w:lineRule="exact"/>
        <w:rPr>
          <w:rFonts w:hint="eastAsia"/>
          <w:sz w:val="24"/>
          <w:szCs w:val="24"/>
        </w:rPr>
      </w:pPr>
      <w:r>
        <w:rPr>
          <w:rFonts w:hint="eastAsia"/>
          <w:sz w:val="24"/>
          <w:szCs w:val="24"/>
        </w:rPr>
        <w:t>附件：腾龙芳烃危废产生预估表（2023年）</w:t>
      </w:r>
    </w:p>
    <w:p>
      <w:pPr>
        <w:spacing w:line="400" w:lineRule="exact"/>
        <w:rPr>
          <w:rFonts w:hint="eastAsia"/>
          <w:sz w:val="24"/>
          <w:szCs w:val="24"/>
        </w:rPr>
      </w:pPr>
      <w:r>
        <w:rPr>
          <w:rFonts w:hint="eastAsia"/>
          <w:sz w:val="24"/>
          <w:szCs w:val="24"/>
        </w:rPr>
        <w:t xml:space="preserve">      翔鹭石化危废产生预估表（2023年）</w:t>
      </w:r>
    </w:p>
    <w:p>
      <w:pPr>
        <w:spacing w:line="400" w:lineRule="exact"/>
        <w:rPr>
          <w:rFonts w:hint="eastAsia"/>
          <w:sz w:val="24"/>
          <w:szCs w:val="24"/>
        </w:rPr>
      </w:pPr>
      <w:r>
        <w:rPr>
          <w:rFonts w:hint="eastAsia"/>
          <w:sz w:val="24"/>
          <w:szCs w:val="24"/>
        </w:rPr>
        <w:t xml:space="preserve">      翔鹭码头危废产生预估表（2023年）</w:t>
      </w:r>
    </w:p>
    <w:p>
      <w:pPr>
        <w:spacing w:line="400" w:lineRule="exact"/>
        <w:ind w:left="736" w:leftChars="171" w:hanging="360" w:hangingChars="150"/>
        <w:rPr>
          <w:sz w:val="24"/>
          <w:szCs w:val="24"/>
          <w:lang w:eastAsia="zh-CN"/>
        </w:rPr>
      </w:pPr>
      <w:r>
        <w:rPr>
          <w:rFonts w:hint="eastAsia"/>
          <w:sz w:val="24"/>
          <w:szCs w:val="24"/>
        </w:rPr>
        <w:t xml:space="preserve">                                                        2022年11月16日</w:t>
      </w:r>
    </w:p>
    <w:p>
      <w:pPr>
        <w:widowControl/>
        <w:autoSpaceDE/>
        <w:autoSpaceDN/>
        <w:rPr>
          <w:sz w:val="24"/>
          <w:szCs w:val="24"/>
          <w:lang w:eastAsia="zh-CN"/>
        </w:rPr>
      </w:pPr>
      <w:r>
        <w:rPr>
          <w:sz w:val="24"/>
          <w:szCs w:val="24"/>
          <w:lang w:eastAsia="zh-CN"/>
        </w:rPr>
        <w:br w:type="page"/>
      </w:r>
    </w:p>
    <w:p>
      <w:pPr>
        <w:pStyle w:val="10"/>
        <w:spacing w:after="468" w:afterLines="150" w:line="276" w:lineRule="auto"/>
        <w:ind w:left="-317" w:leftChars="-339" w:hanging="429" w:hangingChars="89"/>
        <w:jc w:val="center"/>
        <w:rPr>
          <w:rFonts w:ascii="黑体" w:hAnsi="宋体" w:eastAsia="黑体"/>
          <w:b/>
          <w:sz w:val="48"/>
          <w:szCs w:val="48"/>
        </w:rPr>
      </w:pPr>
      <w:bookmarkStart w:id="0" w:name="_Toc251742852"/>
      <w:r>
        <w:rPr>
          <w:rFonts w:hint="eastAsia" w:ascii="黑体" w:hAnsi="宋体" w:eastAsia="黑体"/>
          <w:b/>
          <w:sz w:val="48"/>
          <w:szCs w:val="48"/>
        </w:rPr>
        <w:t>安全环保协议书</w:t>
      </w:r>
    </w:p>
    <w:p>
      <w:pPr>
        <w:spacing w:line="360" w:lineRule="auto"/>
        <w:ind w:left="-147" w:leftChars="-67"/>
        <w:rPr>
          <w:rFonts w:asciiTheme="minorEastAsia" w:hAnsiTheme="minorEastAsia" w:eastAsiaTheme="minorEastAsia"/>
          <w:szCs w:val="21"/>
        </w:rPr>
      </w:pPr>
      <w:r>
        <w:rPr>
          <w:rFonts w:hint="eastAsia" w:asciiTheme="minorEastAsia" w:hAnsiTheme="minorEastAsia" w:eastAsiaTheme="minorEastAsia"/>
          <w:szCs w:val="21"/>
        </w:rPr>
        <w:t>发包单位（以下简称甲方）：</w:t>
      </w:r>
      <w:r>
        <w:rPr>
          <w:rFonts w:hint="eastAsia" w:ascii="宋体" w:hAnsi="宋体"/>
          <w:szCs w:val="21"/>
          <w:u w:val="single"/>
        </w:rPr>
        <w:t xml:space="preserve">                                         </w:t>
      </w:r>
      <w:r>
        <w:rPr>
          <w:rFonts w:hint="eastAsia" w:ascii="宋体" w:hAnsi="宋体"/>
          <w:szCs w:val="21"/>
        </w:rPr>
        <w:t xml:space="preserve">   </w:t>
      </w:r>
    </w:p>
    <w:p>
      <w:pPr>
        <w:spacing w:line="360" w:lineRule="auto"/>
        <w:ind w:left="-636" w:leftChars="-289" w:firstLine="440" w:firstLineChars="200"/>
        <w:rPr>
          <w:rFonts w:asciiTheme="minorEastAsia" w:hAnsiTheme="minorEastAsia" w:eastAsiaTheme="minorEastAsia"/>
          <w:szCs w:val="21"/>
        </w:rPr>
      </w:pPr>
      <w:r>
        <w:rPr>
          <w:rFonts w:hint="eastAsia" w:asciiTheme="minorEastAsia" w:hAnsiTheme="minorEastAsia" w:eastAsiaTheme="minorEastAsia"/>
          <w:szCs w:val="21"/>
        </w:rPr>
        <w:t>承包单位（以下简称乙方）：</w:t>
      </w:r>
      <w:r>
        <w:rPr>
          <w:rFonts w:hint="eastAsia" w:ascii="宋体" w:hAnsi="宋体"/>
          <w:szCs w:val="21"/>
          <w:u w:val="single"/>
        </w:rPr>
        <w:t xml:space="preserve">                                          </w:t>
      </w:r>
      <w:r>
        <w:rPr>
          <w:rFonts w:hint="eastAsia" w:ascii="宋体" w:hAnsi="宋体"/>
          <w:szCs w:val="21"/>
        </w:rPr>
        <w:t xml:space="preserve">   </w:t>
      </w:r>
      <w:r>
        <w:rPr>
          <w:rFonts w:hint="eastAsia" w:asciiTheme="minorEastAsia" w:hAnsiTheme="minorEastAsia" w:eastAsiaTheme="minorEastAsia"/>
          <w:szCs w:val="21"/>
        </w:rPr>
        <w:t xml:space="preserve">                   </w:t>
      </w:r>
    </w:p>
    <w:p>
      <w:pPr>
        <w:spacing w:line="360" w:lineRule="auto"/>
        <w:ind w:left="-551" w:leftChars="-339" w:hanging="195" w:hangingChars="89"/>
        <w:rPr>
          <w:rFonts w:asciiTheme="minorEastAsia" w:hAnsiTheme="minorEastAsia" w:eastAsiaTheme="minorEastAsia"/>
          <w:szCs w:val="21"/>
        </w:rPr>
      </w:pPr>
      <w:r>
        <w:rPr>
          <w:rFonts w:hint="eastAsia" w:asciiTheme="minorEastAsia" w:hAnsiTheme="minorEastAsia" w:eastAsiaTheme="minorEastAsia"/>
          <w:szCs w:val="21"/>
        </w:rPr>
        <w:t xml:space="preserve">     双方就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工程/项目签订了</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合同，</w:t>
      </w:r>
      <w:r>
        <w:rPr>
          <w:rFonts w:hint="eastAsia" w:ascii="宋体" w:hAnsi="宋体"/>
          <w:szCs w:val="21"/>
        </w:rPr>
        <w:t>为进一步明确甲乙双方在工程承包合同履行过程中的权利和义务及责任，保障人身安全和企业财产安全，</w:t>
      </w:r>
      <w:r>
        <w:rPr>
          <w:rFonts w:hint="eastAsia" w:asciiTheme="minorEastAsia" w:hAnsiTheme="minorEastAsia" w:eastAsiaTheme="minorEastAsia"/>
          <w:szCs w:val="21"/>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rPr>
      </w:pPr>
      <w:r>
        <w:rPr>
          <w:rFonts w:hint="eastAsia" w:asciiTheme="minorEastAsia" w:hAnsiTheme="minorEastAsia" w:eastAsiaTheme="minorEastAsia"/>
          <w:b/>
          <w:szCs w:val="21"/>
        </w:rPr>
        <w:t>一、甲方的权利和义务：</w:t>
      </w:r>
    </w:p>
    <w:p>
      <w:pPr>
        <w:pStyle w:val="26"/>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1、 甲方有权对乙方的资质进行审查，确认其符合且具备进厂条件，方可进厂施工。</w:t>
      </w:r>
    </w:p>
    <w:p>
      <w:pPr>
        <w:pStyle w:val="26"/>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rPr>
      </w:pPr>
      <w:r>
        <w:rPr>
          <w:rFonts w:hint="eastAsia" w:asciiTheme="minorEastAsia" w:hAnsiTheme="minorEastAsia" w:eastAsiaTheme="minorEastAsia"/>
          <w:szCs w:val="21"/>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rPr>
      </w:pPr>
      <w:r>
        <w:rPr>
          <w:rFonts w:hint="eastAsia" w:asciiTheme="minorEastAsia" w:hAnsiTheme="minorEastAsia" w:eastAsiaTheme="minorEastAsia"/>
          <w:szCs w:val="21"/>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rPr>
      </w:pPr>
      <w:r>
        <w:rPr>
          <w:rFonts w:hint="eastAsia" w:asciiTheme="minorEastAsia" w:hAnsiTheme="minorEastAsia" w:eastAsiaTheme="minorEastAsia"/>
          <w:szCs w:val="21"/>
        </w:rPr>
        <w:t>5、 甲方有权对乙方不服从管理和严重违章者，驱除施工现场。</w:t>
      </w:r>
    </w:p>
    <w:p>
      <w:pPr>
        <w:pStyle w:val="26"/>
        <w:spacing w:line="360" w:lineRule="auto"/>
        <w:ind w:left="-636" w:leftChars="-289" w:firstLine="110" w:firstLineChars="50"/>
        <w:rPr>
          <w:rFonts w:asciiTheme="minorEastAsia" w:hAnsiTheme="minorEastAsia" w:eastAsiaTheme="minorEastAsia"/>
          <w:b/>
          <w:szCs w:val="21"/>
        </w:rPr>
      </w:pPr>
      <w:r>
        <w:rPr>
          <w:rFonts w:hint="eastAsia" w:asciiTheme="minorEastAsia" w:hAnsiTheme="minorEastAsia" w:eastAsiaTheme="minorEastAsia"/>
          <w:szCs w:val="21"/>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8、 甲方</w:t>
      </w:r>
      <w:r>
        <w:rPr>
          <w:rFonts w:hint="eastAsia" w:ascii="宋体" w:hAnsi="宋体"/>
          <w:szCs w:val="21"/>
        </w:rPr>
        <w:t>应乙方要求，向乙方提供与乙方作业相关的甲方有毒有害、易燃易爆物品的数据</w:t>
      </w:r>
      <w:r>
        <w:rPr>
          <w:rFonts w:hint="eastAsia" w:ascii="宋体" w:hAnsi="宋体"/>
          <w:sz w:val="32"/>
          <w:szCs w:val="32"/>
        </w:rPr>
        <w:t>。</w:t>
      </w:r>
    </w:p>
    <w:p>
      <w:pPr>
        <w:tabs>
          <w:tab w:val="left" w:pos="360"/>
          <w:tab w:val="left" w:pos="840"/>
        </w:tabs>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二、乙方的权利和义务：</w:t>
      </w:r>
    </w:p>
    <w:p>
      <w:pPr>
        <w:spacing w:line="360" w:lineRule="auto"/>
        <w:ind w:left="-526" w:leftChars="-239"/>
        <w:rPr>
          <w:rFonts w:asciiTheme="minorEastAsia" w:hAnsiTheme="minorEastAsia" w:eastAsiaTheme="minorEastAsia"/>
          <w:szCs w:val="21"/>
        </w:rPr>
      </w:pPr>
      <w:r>
        <w:rPr>
          <w:rFonts w:hint="eastAsia" w:asciiTheme="minorEastAsia" w:hAnsiTheme="minorEastAsia" w:eastAsiaTheme="minorEastAsia"/>
          <w:szCs w:val="21"/>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2、  乙方有权对甲方安全管理工作提出合理化建议或改进措施。</w:t>
      </w:r>
    </w:p>
    <w:p>
      <w:pPr>
        <w:spacing w:line="360" w:lineRule="auto"/>
        <w:ind w:left="-526" w:leftChars="-239"/>
        <w:rPr>
          <w:rFonts w:asciiTheme="minorEastAsia" w:hAnsiTheme="minorEastAsia" w:eastAsiaTheme="minorEastAsia"/>
          <w:szCs w:val="21"/>
        </w:rPr>
      </w:pPr>
      <w:r>
        <w:rPr>
          <w:rFonts w:hint="eastAsia" w:asciiTheme="minorEastAsia" w:hAnsiTheme="minorEastAsia" w:eastAsiaTheme="minorEastAsia"/>
          <w:szCs w:val="21"/>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rPr>
      </w:pPr>
      <w:r>
        <w:rPr>
          <w:rFonts w:hint="eastAsia" w:asciiTheme="minorEastAsia" w:hAnsiTheme="minorEastAsia" w:eastAsiaTheme="minorEastAsia"/>
          <w:szCs w:val="21"/>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rFonts w:ascii="宋体" w:hAnsi="宋体"/>
          <w:szCs w:val="21"/>
        </w:rPr>
      </w:pPr>
      <w:r>
        <w:rPr>
          <w:rFonts w:hint="eastAsia" w:asciiTheme="minorEastAsia" w:hAnsiTheme="minorEastAsia" w:eastAsiaTheme="minorEastAsia"/>
          <w:szCs w:val="21"/>
        </w:rPr>
        <w:t>6、 乙方</w:t>
      </w:r>
      <w:r>
        <w:rPr>
          <w:rFonts w:hint="eastAsia" w:ascii="宋体" w:hAnsi="宋体"/>
          <w:szCs w:val="21"/>
        </w:rPr>
        <w:t>有权要求甲方提供相关的安全资料。</w:t>
      </w:r>
    </w:p>
    <w:p>
      <w:pPr>
        <w:spacing w:line="360" w:lineRule="auto"/>
        <w:ind w:left="-636" w:leftChars="-289" w:firstLine="110" w:firstLineChars="50"/>
        <w:rPr>
          <w:rFonts w:ascii="宋体" w:hAnsi="宋体"/>
          <w:b/>
          <w:szCs w:val="21"/>
        </w:rPr>
      </w:pPr>
      <w:r>
        <w:rPr>
          <w:rFonts w:hint="eastAsia" w:asciiTheme="minorEastAsia" w:hAnsiTheme="minorEastAsia" w:eastAsiaTheme="minorEastAsia"/>
          <w:szCs w:val="21"/>
        </w:rPr>
        <w:t xml:space="preserve">7、 </w:t>
      </w:r>
      <w:r>
        <w:rPr>
          <w:rFonts w:hint="eastAsia" w:hAnsi="宋体" w:cs="Arial"/>
        </w:rPr>
        <w:t>乙方必须建立健全HSE管理网络、HSE保证体系和HSE责任制，成立专职HSE管理机构</w:t>
      </w:r>
      <w:r>
        <w:rPr>
          <w:rFonts w:hint="eastAsia" w:ascii="宋体" w:hAnsi="宋体"/>
          <w:szCs w:val="21"/>
        </w:rPr>
        <w:t>，依照《安全生产法》的要求配备专职或兼职安全生产管理人员；施工队伍超过50人的应按比例配足专职安全员，</w:t>
      </w:r>
      <w:r>
        <w:rPr>
          <w:rFonts w:hint="eastAsia" w:hAnsi="宋体" w:cs="Arial"/>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rPr>
      </w:pPr>
      <w:r>
        <w:rPr>
          <w:rFonts w:hint="eastAsia" w:asciiTheme="minorEastAsia" w:hAnsiTheme="minorEastAsia" w:eastAsiaTheme="minorEastAsia"/>
          <w:szCs w:val="21"/>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9、 在工程开工前，乙方必须对全体人员分工种进行安全教育、技能考试，合格后方可进行施工作业。施工作业前，必须向作业人员进行安全环保技术交底，掌握工程特点及施工安全环保措施。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11、乙方应按《中华人民共和国劳动法》等法律、法规、规定用工，严禁使用未成年工和有职业禁忌的人员进行施工作业。</w:t>
      </w:r>
      <w:r>
        <w:rPr>
          <w:rFonts w:asciiTheme="minorEastAsia" w:hAnsiTheme="minorEastAsia" w:eastAsiaTheme="minorEastAsia"/>
          <w:szCs w:val="21"/>
        </w:rPr>
        <w:t xml:space="preserve"> </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12、 乙方必须按国家有关规定，</w:t>
      </w:r>
      <w:r>
        <w:rPr>
          <w:rFonts w:hint="eastAsia" w:ascii="宋体" w:hAnsi="宋体"/>
          <w:szCs w:val="21"/>
        </w:rPr>
        <w:t>为施工人员办理工伤保险、意外伤害保险（施工人员较多的承包商建议购买建筑工程团体意外险），</w:t>
      </w:r>
      <w:r>
        <w:rPr>
          <w:rFonts w:hint="eastAsia" w:asciiTheme="minorEastAsia" w:hAnsiTheme="minorEastAsia" w:eastAsiaTheme="minorEastAsia"/>
          <w:szCs w:val="21"/>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13、 乙方需</w:t>
      </w:r>
      <w:r>
        <w:rPr>
          <w:rFonts w:hint="eastAsia" w:ascii="宋体" w:hAnsi="宋体"/>
          <w:szCs w:val="21"/>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 xml:space="preserve">14、 </w:t>
      </w:r>
      <w:r>
        <w:rPr>
          <w:rFonts w:hint="eastAsia" w:ascii="宋体" w:hAnsi="宋体"/>
          <w:szCs w:val="21"/>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15、 乙方</w:t>
      </w:r>
      <w:r>
        <w:rPr>
          <w:rFonts w:hint="eastAsia" w:ascii="宋体" w:hAnsi="宋体"/>
          <w:szCs w:val="21"/>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16、 乙方</w:t>
      </w:r>
      <w:r>
        <w:rPr>
          <w:rFonts w:hint="eastAsia" w:ascii="宋体" w:hAnsi="宋体"/>
          <w:szCs w:val="21"/>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 xml:space="preserve">17、 </w:t>
      </w:r>
      <w:r>
        <w:rPr>
          <w:rFonts w:hint="eastAsia" w:asciiTheme="minorEastAsia" w:hAnsiTheme="minorEastAsia" w:eastAsiaTheme="minorEastAsia"/>
          <w:bCs/>
        </w:rPr>
        <w:t>乙方</w:t>
      </w:r>
      <w:r>
        <w:rPr>
          <w:rFonts w:hint="eastAsia" w:ascii="宋体" w:hAnsi="宋体"/>
          <w:bCs/>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rPr>
      </w:pPr>
      <w:r>
        <w:rPr>
          <w:rFonts w:hint="eastAsia" w:asciiTheme="minorEastAsia" w:hAnsiTheme="minorEastAsia" w:eastAsiaTheme="minorEastAsia"/>
          <w:bCs/>
        </w:rPr>
        <w:t xml:space="preserve">18、 </w:t>
      </w:r>
      <w:r>
        <w:rPr>
          <w:rFonts w:hint="eastAsia" w:asciiTheme="minorEastAsia" w:hAnsiTheme="minorEastAsia" w:eastAsiaTheme="minorEastAsia"/>
          <w:szCs w:val="21"/>
        </w:rPr>
        <w:t>乙方</w:t>
      </w:r>
      <w:r>
        <w:rPr>
          <w:rFonts w:hint="eastAsia" w:ascii="宋体" w:hAnsi="宋体"/>
          <w:bCs/>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宋体" w:hAnsi="宋体"/>
        </w:rPr>
        <w:t>GB 2894-2008）</w:t>
      </w:r>
      <w:r>
        <w:rPr>
          <w:rFonts w:hint="eastAsia" w:ascii="宋体" w:hAnsi="宋体"/>
          <w:bCs/>
        </w:rPr>
        <w:t>的规定。</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bCs/>
        </w:rPr>
        <w:t>19、</w:t>
      </w:r>
      <w:r>
        <w:rPr>
          <w:rFonts w:hint="eastAsia" w:asciiTheme="minorEastAsia" w:hAnsiTheme="minorEastAsia" w:eastAsiaTheme="minorEastAsia"/>
          <w:szCs w:val="21"/>
        </w:rPr>
        <w:t>乙方</w:t>
      </w:r>
      <w:r>
        <w:rPr>
          <w:rFonts w:hint="eastAsia" w:ascii="宋体" w:hAnsi="宋体"/>
          <w:bCs/>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20、 乙方施工产生的</w:t>
      </w:r>
      <w:r>
        <w:rPr>
          <w:rFonts w:hint="eastAsia" w:ascii="宋体" w:hAnsi="宋体"/>
          <w:bCs/>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rPr>
        <w:t>产生的废物应进行鉴别，一般固废和危险废物应妥善包装、分类堆放，并及时清理</w:t>
      </w:r>
      <w:r>
        <w:rPr>
          <w:rFonts w:hint="eastAsia" w:asciiTheme="minorEastAsia" w:hAnsiTheme="minorEastAsia" w:eastAsiaTheme="minorEastAsia"/>
          <w:sz w:val="24"/>
        </w:rPr>
        <w:t>。</w:t>
      </w:r>
      <w:r>
        <w:rPr>
          <w:rFonts w:hint="eastAsia" w:asciiTheme="minorEastAsia" w:hAnsiTheme="minorEastAsia" w:eastAsiaTheme="minorEastAsia"/>
          <w:szCs w:val="21"/>
        </w:rPr>
        <w:t>不能任意排放和丢弃。</w:t>
      </w:r>
    </w:p>
    <w:p>
      <w:pPr>
        <w:spacing w:line="360" w:lineRule="auto"/>
        <w:ind w:left="-551" w:leftChars="-289" w:hanging="85" w:hangingChars="39"/>
        <w:rPr>
          <w:rFonts w:asciiTheme="minorEastAsia" w:hAnsiTheme="minorEastAsia" w:eastAsiaTheme="minorEastAsia"/>
          <w:sz w:val="24"/>
        </w:rPr>
      </w:pPr>
      <w:r>
        <w:rPr>
          <w:rFonts w:hint="eastAsia" w:asciiTheme="minorEastAsia" w:hAnsiTheme="minorEastAsia" w:eastAsiaTheme="minorEastAsia"/>
          <w:szCs w:val="21"/>
        </w:rPr>
        <w:t xml:space="preserve">21、 </w:t>
      </w:r>
      <w:r>
        <w:rPr>
          <w:rFonts w:hint="eastAsia" w:ascii="宋体" w:hAnsi="宋体"/>
          <w:szCs w:val="21"/>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 xml:space="preserve">22、 </w:t>
      </w:r>
      <w:r>
        <w:rPr>
          <w:rFonts w:hint="eastAsia" w:ascii="宋体" w:hAnsi="宋体"/>
          <w:bCs/>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26"/>
        <w:numPr>
          <w:ilvl w:val="0"/>
          <w:numId w:val="11"/>
        </w:numPr>
        <w:spacing w:line="550" w:lineRule="exact"/>
        <w:ind w:firstLineChars="0"/>
        <w:rPr>
          <w:rFonts w:asciiTheme="minorEastAsia" w:hAnsiTheme="minorEastAsia" w:eastAsiaTheme="minorEastAsia"/>
          <w:b/>
          <w:szCs w:val="21"/>
        </w:rPr>
      </w:pPr>
      <w:r>
        <w:rPr>
          <w:rFonts w:hint="eastAsia" w:ascii="宋体" w:hAnsi="宋体"/>
          <w:szCs w:val="21"/>
        </w:rPr>
        <w:t>乙方不得将工程违法转包、分包。</w:t>
      </w:r>
    </w:p>
    <w:p>
      <w:pPr>
        <w:spacing w:line="550" w:lineRule="exact"/>
        <w:ind w:left="-397"/>
        <w:rPr>
          <w:rFonts w:asciiTheme="minorEastAsia" w:hAnsiTheme="minorEastAsia" w:eastAsiaTheme="minorEastAsia"/>
          <w:szCs w:val="21"/>
        </w:rPr>
      </w:pPr>
      <w:r>
        <w:rPr>
          <w:rFonts w:hint="eastAsia" w:asciiTheme="minorEastAsia" w:hAnsiTheme="minorEastAsia" w:eastAsiaTheme="minorEastAsia"/>
          <w:szCs w:val="21"/>
        </w:rPr>
        <w:t>2、发生安全事故时，甲乙双方均有抢险、救灾的义务，所发生的费用由责任方承担。</w:t>
      </w:r>
    </w:p>
    <w:p>
      <w:pPr>
        <w:spacing w:line="550" w:lineRule="exact"/>
        <w:ind w:left="-397"/>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rPr>
      </w:pPr>
      <w:r>
        <w:rPr>
          <w:rFonts w:hint="eastAsia" w:asciiTheme="minorEastAsia" w:hAnsiTheme="minorEastAsia" w:eastAsiaTheme="minorEastAsia"/>
          <w:szCs w:val="21"/>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rPr>
      </w:pPr>
      <w:r>
        <w:rPr>
          <w:rFonts w:hint="eastAsia" w:asciiTheme="minorEastAsia" w:hAnsiTheme="minorEastAsia" w:eastAsiaTheme="minorEastAsia"/>
          <w:szCs w:val="21"/>
        </w:rPr>
        <w:t>5、 乙方在施工过程中如果有违法、违规和违章行为，甲方将按照按国家法律、法规和甲方的HSE管理制度进行处罚。</w:t>
      </w:r>
      <w:r>
        <w:rPr>
          <w:rFonts w:hint="eastAsia" w:ascii="宋体" w:hAnsi="宋体"/>
          <w:szCs w:val="21"/>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rPr>
      </w:pPr>
      <w:r>
        <w:rPr>
          <w:rFonts w:hint="eastAsia" w:asciiTheme="minorEastAsia" w:hAnsiTheme="minorEastAsia" w:eastAsiaTheme="minorEastAsia"/>
          <w:szCs w:val="21"/>
        </w:rPr>
        <w:t>6、 乙方违约造成的事故，乙方承担全部责任，</w:t>
      </w:r>
      <w:r>
        <w:rPr>
          <w:rFonts w:hint="eastAsia"/>
          <w:szCs w:val="21"/>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rPr>
      </w:pPr>
      <w:r>
        <w:rPr>
          <w:rFonts w:hint="eastAsia" w:asciiTheme="minorEastAsia" w:hAnsiTheme="minorEastAsia" w:eastAsiaTheme="minorEastAsia"/>
          <w:szCs w:val="21"/>
        </w:rPr>
        <w:t>7、 对乙方发生事故后弄虚作假、隐瞒不报、迟报或谎报，一经查出，按有关规定处罚，并</w:t>
      </w:r>
      <w:r>
        <w:rPr>
          <w:rFonts w:hint="eastAsia"/>
          <w:szCs w:val="21"/>
        </w:rPr>
        <w:t>向所有在甲方范围内施工的其它承包商进行通报，并将通报送达承包商。</w:t>
      </w:r>
      <w:r>
        <w:rPr>
          <w:rFonts w:hint="eastAsia" w:asciiTheme="minorEastAsia" w:hAnsiTheme="minorEastAsia" w:eastAsiaTheme="minorEastAsia"/>
          <w:szCs w:val="21"/>
        </w:rPr>
        <w:t>情节严重的，取消其进入甲方的市场资格。</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四、 不可抗力：</w:t>
      </w:r>
    </w:p>
    <w:p>
      <w:pPr>
        <w:spacing w:line="550" w:lineRule="exact"/>
        <w:ind w:left="-551" w:leftChars="-339" w:hanging="195" w:hangingChars="89"/>
        <w:rPr>
          <w:rFonts w:asciiTheme="minorEastAsia" w:hAnsiTheme="minorEastAsia" w:eastAsiaTheme="minorEastAsia"/>
          <w:szCs w:val="21"/>
        </w:rPr>
      </w:pPr>
      <w:r>
        <w:rPr>
          <w:rFonts w:hint="eastAsia" w:asciiTheme="minorEastAsia" w:hAnsiTheme="minorEastAsia" w:eastAsiaTheme="minorEastAsia"/>
          <w:szCs w:val="21"/>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rPr>
      </w:pPr>
      <w:r>
        <w:rPr>
          <w:rFonts w:hint="eastAsia" w:asciiTheme="minorEastAsia" w:hAnsiTheme="minorEastAsia" w:eastAsiaTheme="minorEastAsia"/>
          <w:b/>
          <w:szCs w:val="21"/>
        </w:rPr>
        <w:t>五、</w:t>
      </w:r>
      <w:r>
        <w:rPr>
          <w:rFonts w:hint="eastAsia" w:asciiTheme="minorEastAsia" w:hAnsiTheme="minorEastAsia" w:eastAsiaTheme="minorEastAsia"/>
          <w:szCs w:val="21"/>
        </w:rPr>
        <w:t>本协议书一式两份，甲乙双方各执一份。</w:t>
      </w:r>
    </w:p>
    <w:p>
      <w:pPr>
        <w:spacing w:line="360" w:lineRule="auto"/>
        <w:ind w:left="-549" w:leftChars="-339" w:hanging="197" w:hangingChars="89"/>
        <w:rPr>
          <w:rFonts w:asciiTheme="minorEastAsia" w:hAnsiTheme="minorEastAsia" w:eastAsiaTheme="minorEastAsia"/>
          <w:szCs w:val="21"/>
        </w:rPr>
      </w:pPr>
      <w:r>
        <w:rPr>
          <w:rFonts w:hint="eastAsia" w:asciiTheme="minorEastAsia" w:hAnsiTheme="minorEastAsia" w:eastAsiaTheme="minorEastAsia"/>
          <w:b/>
          <w:szCs w:val="21"/>
        </w:rPr>
        <w:t>六、</w:t>
      </w:r>
      <w:r>
        <w:rPr>
          <w:rFonts w:hint="eastAsia" w:asciiTheme="minorEastAsia" w:hAnsiTheme="minorEastAsia" w:eastAsiaTheme="minorEastAsia"/>
          <w:szCs w:val="21"/>
        </w:rPr>
        <w:t>本协议书经双方盖章后生效。</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七、协议期限：</w:t>
      </w:r>
    </w:p>
    <w:p>
      <w:pPr>
        <w:spacing w:line="550" w:lineRule="exact"/>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本协议期限应与主合同期限一致。如果主合同因故需要变更期限，本合同应与主同变更至相同期限。</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（以下无正文）</w:t>
      </w:r>
    </w:p>
    <w:p>
      <w:pPr>
        <w:spacing w:line="276" w:lineRule="auto"/>
        <w:ind w:left="-551" w:leftChars="-339" w:hanging="195" w:hangingChars="89"/>
        <w:rPr>
          <w:rFonts w:ascii="宋体" w:hAnsi="宋体"/>
          <w:szCs w:val="21"/>
        </w:rPr>
      </w:pPr>
    </w:p>
    <w:p>
      <w:pPr>
        <w:spacing w:line="276" w:lineRule="auto"/>
        <w:ind w:left="-551" w:leftChars="-339" w:hanging="195" w:hangingChars="89"/>
        <w:rPr>
          <w:rFonts w:ascii="宋体" w:hAnsi="宋体"/>
          <w:szCs w:val="21"/>
        </w:rPr>
      </w:pPr>
    </w:p>
    <w:p>
      <w:pPr>
        <w:spacing w:line="276" w:lineRule="auto"/>
        <w:ind w:left="-551" w:leftChars="-339" w:hanging="195" w:hangingChars="89"/>
        <w:rPr>
          <w:rFonts w:ascii="宋体" w:hAnsi="宋体"/>
          <w:szCs w:val="21"/>
        </w:rPr>
      </w:pPr>
      <w:r>
        <w:rPr>
          <w:rFonts w:hint="eastAsia" w:ascii="宋体" w:hAnsi="宋体"/>
          <w:szCs w:val="21"/>
        </w:rPr>
        <w:t>甲方 (章)：                                  乙方(章)：</w:t>
      </w:r>
    </w:p>
    <w:p>
      <w:pPr>
        <w:spacing w:line="276" w:lineRule="auto"/>
        <w:rPr>
          <w:rFonts w:ascii="宋体" w:hAnsi="宋体"/>
          <w:szCs w:val="21"/>
        </w:rPr>
      </w:pPr>
    </w:p>
    <w:p>
      <w:pPr>
        <w:spacing w:line="276" w:lineRule="auto"/>
        <w:rPr>
          <w:rFonts w:ascii="宋体" w:hAnsi="宋体"/>
          <w:szCs w:val="21"/>
        </w:rPr>
      </w:pPr>
    </w:p>
    <w:p>
      <w:pPr>
        <w:spacing w:line="276" w:lineRule="auto"/>
        <w:ind w:left="-551" w:leftChars="-339" w:hanging="195" w:hangingChars="89"/>
        <w:rPr>
          <w:rFonts w:ascii="宋体" w:hAnsi="宋体"/>
          <w:szCs w:val="21"/>
        </w:rPr>
      </w:pPr>
      <w:r>
        <w:rPr>
          <w:rFonts w:hint="eastAsia" w:ascii="宋体" w:hAnsi="宋体"/>
          <w:szCs w:val="21"/>
        </w:rPr>
        <w:t>法人代表:                                     法人代表:</w:t>
      </w:r>
    </w:p>
    <w:p>
      <w:pPr>
        <w:spacing w:line="276" w:lineRule="auto"/>
        <w:rPr>
          <w:rFonts w:ascii="宋体" w:hAnsi="宋体"/>
          <w:szCs w:val="21"/>
        </w:rPr>
      </w:pPr>
    </w:p>
    <w:p>
      <w:pPr>
        <w:spacing w:line="276" w:lineRule="auto"/>
        <w:rPr>
          <w:rFonts w:ascii="宋体" w:hAnsi="宋体"/>
          <w:szCs w:val="21"/>
        </w:rPr>
      </w:pPr>
    </w:p>
    <w:p>
      <w:pPr>
        <w:spacing w:line="276" w:lineRule="auto"/>
        <w:ind w:left="-551" w:leftChars="-339" w:hanging="195" w:hangingChars="89"/>
        <w:rPr>
          <w:rFonts w:ascii="宋体" w:hAnsi="宋体"/>
          <w:szCs w:val="21"/>
        </w:rPr>
      </w:pPr>
      <w:r>
        <w:rPr>
          <w:rFonts w:hint="eastAsia" w:ascii="宋体" w:hAnsi="宋体"/>
          <w:szCs w:val="21"/>
        </w:rPr>
        <w:t>法人委托代理人 :                              法人委托代理人:</w:t>
      </w:r>
    </w:p>
    <w:p>
      <w:pPr>
        <w:spacing w:line="276" w:lineRule="auto"/>
        <w:rPr>
          <w:rFonts w:ascii="宋体" w:hAnsi="宋体"/>
          <w:szCs w:val="21"/>
        </w:rPr>
      </w:pPr>
    </w:p>
    <w:p>
      <w:pPr>
        <w:spacing w:line="276" w:lineRule="auto"/>
        <w:ind w:left="-551" w:leftChars="-339" w:hanging="195" w:hangingChars="89"/>
        <w:rPr>
          <w:rFonts w:ascii="宋体" w:hAnsi="宋体"/>
          <w:szCs w:val="21"/>
        </w:rPr>
      </w:pPr>
    </w:p>
    <w:p>
      <w:pPr>
        <w:spacing w:line="276" w:lineRule="auto"/>
        <w:ind w:left="-551" w:leftChars="-339" w:hanging="195" w:hangingChars="89"/>
        <w:rPr>
          <w:rFonts w:ascii="宋体" w:hAnsi="宋体"/>
          <w:szCs w:val="21"/>
        </w:rPr>
      </w:pPr>
    </w:p>
    <w:p>
      <w:pPr>
        <w:spacing w:line="276" w:lineRule="auto"/>
        <w:ind w:left="-551" w:leftChars="-339" w:hanging="195" w:hangingChars="89"/>
        <w:rPr>
          <w:rFonts w:ascii="宋体" w:hAnsi="宋体"/>
          <w:szCs w:val="21"/>
        </w:rPr>
      </w:pPr>
      <w:r>
        <w:rPr>
          <w:rFonts w:hint="eastAsia" w:ascii="宋体" w:hAnsi="宋体"/>
          <w:szCs w:val="21"/>
        </w:rPr>
        <w:t>签定日期：    年    月    日                   年    月    日</w:t>
      </w:r>
    </w:p>
    <w:p>
      <w:pPr>
        <w:pStyle w:val="24"/>
        <w:rPr>
          <w:rFonts w:hint="eastAsia"/>
          <w:b/>
          <w:bCs/>
          <w:sz w:val="24"/>
          <w:szCs w:val="24"/>
        </w:rPr>
      </w:pPr>
    </w:p>
    <w:p>
      <w:pPr>
        <w:pStyle w:val="24"/>
        <w:rPr>
          <w:rFonts w:hint="eastAsia"/>
          <w:b/>
          <w:bCs/>
          <w:sz w:val="24"/>
          <w:szCs w:val="24"/>
        </w:rPr>
      </w:pPr>
    </w:p>
    <w:p>
      <w:pPr>
        <w:pStyle w:val="24"/>
        <w:rPr>
          <w:rFonts w:hint="eastAsia"/>
          <w:b/>
          <w:bCs/>
          <w:sz w:val="24"/>
          <w:szCs w:val="24"/>
        </w:rPr>
      </w:pPr>
    </w:p>
    <w:p>
      <w:pPr>
        <w:pStyle w:val="24"/>
        <w:rPr>
          <w:b/>
          <w:bCs/>
          <w:sz w:val="24"/>
          <w:szCs w:val="24"/>
        </w:rPr>
      </w:pPr>
      <w:r>
        <w:rPr>
          <w:rFonts w:hint="eastAsia"/>
          <w:b/>
          <w:bCs/>
          <w:sz w:val="24"/>
          <w:szCs w:val="24"/>
        </w:rPr>
        <w:t>附件二参选文件范本</w:t>
      </w:r>
    </w:p>
    <w:p>
      <w:pPr>
        <w:pStyle w:val="10"/>
        <w:jc w:val="center"/>
        <w:rPr>
          <w:rFonts w:ascii="Times New Roman" w:hAnsi="Times New Roman"/>
          <w:b/>
          <w:sz w:val="52"/>
          <w:szCs w:val="52"/>
          <w:lang w:eastAsia="zh-CN"/>
        </w:rPr>
      </w:pPr>
    </w:p>
    <w:p>
      <w:pPr>
        <w:pStyle w:val="10"/>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spacing w:line="1000"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sz w:val="32"/>
          <w:szCs w:val="32"/>
          <w:u w:val="single"/>
          <w:lang w:eastAsia="zh-CN"/>
        </w:rPr>
        <w:t>废铅酸蓄电池、废润滑油等危废处置</w:t>
      </w:r>
      <w:r>
        <w:rPr>
          <w:rFonts w:hint="eastAsia" w:ascii="方正小标宋简体" w:hAnsi="方正小标宋简体" w:eastAsia="方正小标宋简体" w:cs="方正小标宋简体"/>
          <w:b/>
          <w:sz w:val="44"/>
          <w:szCs w:val="44"/>
          <w:lang w:eastAsia="zh-CN"/>
        </w:rPr>
        <w:t>项目</w:t>
      </w: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4"/>
      </w:pPr>
    </w:p>
    <w:p>
      <w:pPr>
        <w:pStyle w:val="10"/>
        <w:rPr>
          <w:rFonts w:ascii="Times New Roman" w:hAnsi="Times New Roman"/>
          <w:lang w:eastAsia="zh-CN"/>
        </w:rPr>
      </w:pPr>
    </w:p>
    <w:p>
      <w:pPr>
        <w:pStyle w:val="10"/>
        <w:rPr>
          <w:rFonts w:ascii="Times New Roman" w:hAnsi="Times New Roman"/>
          <w:lang w:eastAsia="zh-CN"/>
        </w:rPr>
      </w:pPr>
    </w:p>
    <w:p>
      <w:pPr>
        <w:pStyle w:val="10"/>
        <w:rPr>
          <w:rFonts w:ascii="Times New Roman" w:hAnsi="Times New Roman"/>
          <w:lang w:eastAsia="zh-CN"/>
        </w:rPr>
      </w:pPr>
    </w:p>
    <w:p>
      <w:pPr>
        <w:pStyle w:val="10"/>
        <w:rPr>
          <w:rFonts w:ascii="Times New Roman" w:hAnsi="Times New Roman"/>
          <w:lang w:eastAsia="zh-CN"/>
        </w:rPr>
      </w:pPr>
    </w:p>
    <w:p>
      <w:pPr>
        <w:pStyle w:val="10"/>
        <w:rPr>
          <w:rFonts w:ascii="Times New Roman" w:hAnsi="Times New Roman"/>
          <w:lang w:eastAsia="zh-CN"/>
        </w:rPr>
      </w:pPr>
    </w:p>
    <w:p>
      <w:pPr>
        <w:pStyle w:val="10"/>
        <w:rPr>
          <w:rFonts w:ascii="Times New Roman" w:hAnsi="Times New Roman"/>
          <w:b/>
          <w:bCs/>
          <w:sz w:val="32"/>
          <w:szCs w:val="32"/>
          <w:lang w:eastAsia="zh-CN"/>
        </w:rPr>
      </w:pPr>
    </w:p>
    <w:p>
      <w:pPr>
        <w:pStyle w:val="10"/>
        <w:rPr>
          <w:rFonts w:ascii="Times New Roman" w:hAnsi="Times New Roman"/>
          <w:b/>
          <w:bCs/>
          <w:sz w:val="32"/>
          <w:szCs w:val="32"/>
          <w:lang w:eastAsia="zh-CN"/>
        </w:rPr>
      </w:pPr>
    </w:p>
    <w:p>
      <w:pPr>
        <w:pStyle w:val="10"/>
        <w:rPr>
          <w:rFonts w:ascii="Times New Roman" w:hAnsi="Times New Roman"/>
          <w:b/>
          <w:bCs/>
          <w:sz w:val="32"/>
          <w:szCs w:val="32"/>
          <w:lang w:eastAsia="zh-CN"/>
        </w:rPr>
      </w:pPr>
    </w:p>
    <w:p>
      <w:pPr>
        <w:pStyle w:val="10"/>
        <w:rPr>
          <w:rFonts w:ascii="Times New Roman" w:hAnsi="Times New Roman"/>
          <w:b/>
          <w:bCs/>
          <w:sz w:val="32"/>
          <w:szCs w:val="36"/>
          <w:lang w:eastAsia="zh-CN"/>
        </w:rPr>
      </w:pPr>
    </w:p>
    <w:p>
      <w:pPr>
        <w:pStyle w:val="10"/>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0"/>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hint="eastAsia" w:ascii="Times New Roman" w:hAnsi="Times New Roman"/>
          <w:b/>
          <w:bCs/>
          <w:w w:val="95"/>
          <w:sz w:val="32"/>
          <w:lang w:val="en-US" w:eastAsia="zh-CN"/>
        </w:rPr>
        <w:t>23</w:t>
      </w:r>
      <w:r>
        <w:rPr>
          <w:rFonts w:ascii="Times New Roman" w:hAnsi="Times New Roman"/>
          <w:b/>
          <w:bCs/>
          <w:w w:val="95"/>
          <w:sz w:val="32"/>
          <w:lang w:eastAsia="zh-CN"/>
        </w:rPr>
        <w:t>年</w:t>
      </w:r>
      <w:r>
        <w:rPr>
          <w:rFonts w:hint="eastAsia" w:ascii="Times New Roman" w:hAnsi="Times New Roman"/>
          <w:b/>
          <w:bCs/>
          <w:w w:val="95"/>
          <w:sz w:val="32"/>
          <w:lang w:eastAsia="zh-CN"/>
        </w:rPr>
        <w:t xml:space="preserve">  </w:t>
      </w:r>
      <w:r>
        <w:rPr>
          <w:rFonts w:ascii="Times New Roman" w:hAnsi="Times New Roman"/>
          <w:b/>
          <w:bCs/>
          <w:w w:val="95"/>
          <w:sz w:val="32"/>
          <w:lang w:eastAsia="zh-CN"/>
        </w:rPr>
        <w:t>月</w:t>
      </w:r>
    </w:p>
    <w:p>
      <w:pPr>
        <w:rPr>
          <w:lang w:eastAsia="zh-CN"/>
        </w:rPr>
      </w:pPr>
    </w:p>
    <w:p>
      <w:pPr>
        <w:pStyle w:val="24"/>
      </w:pPr>
    </w:p>
    <w:p>
      <w:pPr>
        <w:spacing w:line="500" w:lineRule="exact"/>
        <w:rPr>
          <w:b/>
          <w:bCs/>
          <w:sz w:val="36"/>
          <w:szCs w:val="36"/>
          <w:lang w:eastAsia="zh-CN"/>
        </w:rPr>
      </w:pPr>
    </w:p>
    <w:p>
      <w:pPr>
        <w:spacing w:line="1000" w:lineRule="exact"/>
        <w:jc w:val="center"/>
        <w:rPr>
          <w:b/>
          <w:color w:val="984806"/>
          <w:sz w:val="44"/>
          <w:szCs w:val="44"/>
          <w:lang w:eastAsia="zh-CN"/>
        </w:rPr>
      </w:pPr>
    </w:p>
    <w:p>
      <w:pPr>
        <w:spacing w:line="1000" w:lineRule="exact"/>
        <w:jc w:val="center"/>
        <w:rPr>
          <w:b/>
          <w:iCs/>
          <w:color w:val="C00000"/>
          <w:sz w:val="44"/>
          <w:szCs w:val="44"/>
          <w:lang w:eastAsia="zh-CN"/>
        </w:rPr>
      </w:pPr>
      <w:r>
        <w:rPr>
          <w:rFonts w:hint="eastAsia"/>
          <w:b/>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Cs/>
          <w:color w:val="C00000"/>
          <w:sz w:val="44"/>
          <w:szCs w:val="44"/>
          <w:u w:val="double"/>
          <w:lang w:eastAsia="zh-CN"/>
        </w:rPr>
        <w:t>（本页无须打印）</w:t>
      </w:r>
    </w:p>
    <w:p>
      <w:pPr>
        <w:pStyle w:val="24"/>
        <w:rPr>
          <w:color w:val="4E6127"/>
        </w:rPr>
      </w:pPr>
    </w:p>
    <w:p>
      <w:pPr>
        <w:pStyle w:val="28"/>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p>
    <w:p>
      <w:pPr>
        <w:pStyle w:val="28"/>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28"/>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参选文件正本必须逐页或骑缝加盖参选人公章或由法人代表或法人代表授权人逐页签字方视为有效。</w:t>
      </w:r>
    </w:p>
    <w:p>
      <w:pPr>
        <w:pStyle w:val="28"/>
        <w:spacing w:beforeLines="0" w:afterLines="0" w:line="240" w:lineRule="auto"/>
        <w:rPr>
          <w:rFonts w:cs="Times New Roman"/>
          <w:b/>
          <w:color w:val="C00000"/>
          <w:lang w:eastAsia="zh-CN"/>
        </w:rPr>
      </w:pPr>
      <w:r>
        <w:rPr>
          <w:rFonts w:hint="eastAsia" w:cs="Times New Roman"/>
          <w:bCs w:val="0"/>
          <w:color w:val="C00000"/>
          <w:lang w:eastAsia="zh-CN"/>
        </w:rPr>
        <w:t>4、每包参选文件的应分别装订成册，不得采用活页夹，</w:t>
      </w:r>
      <w:r>
        <w:rPr>
          <w:rFonts w:hint="eastAsia" w:cs="Times New Roman"/>
          <w:b/>
          <w:color w:val="C00000"/>
          <w:lang w:eastAsia="zh-CN"/>
        </w:rPr>
        <w:t>需装订或胶装，否则为无效参选文件。参选文件应编制目录，并且逐页标注连续页码。</w:t>
      </w:r>
    </w:p>
    <w:p>
      <w:pPr>
        <w:pStyle w:val="28"/>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28"/>
        <w:spacing w:beforeLines="0" w:afterLines="0" w:line="240" w:lineRule="auto"/>
        <w:ind w:firstLine="559" w:firstLineChars="199"/>
        <w:rPr>
          <w:rFonts w:cs="Times New Roman"/>
          <w:b/>
          <w:color w:val="C00000"/>
          <w:lang w:eastAsia="zh-CN"/>
        </w:rPr>
      </w:pPr>
      <w:r>
        <w:rPr>
          <w:rFonts w:hint="eastAsia" w:cs="Times New Roman"/>
          <w:b/>
          <w:color w:val="C00000"/>
          <w:lang w:eastAsia="zh-CN"/>
        </w:rPr>
        <w:t>6、以下文件中红色字体部分，打印时请删除。</w:t>
      </w:r>
    </w:p>
    <w:p>
      <w:pPr>
        <w:pStyle w:val="28"/>
        <w:spacing w:beforeLines="0" w:afterLines="0" w:line="240" w:lineRule="auto"/>
        <w:ind w:firstLine="621" w:firstLineChars="221"/>
        <w:rPr>
          <w:b/>
          <w:sz w:val="44"/>
          <w:szCs w:val="44"/>
          <w:lang w:eastAsia="zh-CN"/>
        </w:rPr>
      </w:pPr>
      <w:r>
        <w:rPr>
          <w:rFonts w:hint="eastAsia" w:cs="Times New Roman"/>
          <w:b/>
          <w:color w:val="C00000"/>
          <w:lang w:eastAsia="zh-CN"/>
        </w:rPr>
        <w:t>※参选文件单独密封，封口处需盖章，如用快递送达，需密封完后再装入快递袋中，未按规定密封，造成误拆投标文件不承担责任。在外层包封上应写明参选项目名称与地址、联络人与电话。</w:t>
      </w:r>
      <w:r>
        <w:rPr>
          <w:b/>
          <w:sz w:val="44"/>
          <w:szCs w:val="44"/>
          <w:lang w:eastAsia="zh-CN"/>
        </w:rPr>
        <w:br w:type="page"/>
      </w:r>
    </w:p>
    <w:p>
      <w:pPr>
        <w:spacing w:line="1000" w:lineRule="exact"/>
        <w:jc w:val="center"/>
        <w:rPr>
          <w:b/>
          <w:sz w:val="44"/>
          <w:szCs w:val="44"/>
          <w:lang w:eastAsia="zh-CN"/>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22"/>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sz w:val="24"/>
              </w:rPr>
              <w:t>2</w:t>
            </w:r>
          </w:p>
        </w:tc>
        <w:tc>
          <w:tcPr>
            <w:tcW w:w="6027" w:type="dxa"/>
          </w:tcPr>
          <w:p>
            <w:pPr>
              <w:spacing w:line="500" w:lineRule="exact"/>
              <w:rPr>
                <w:sz w:val="24"/>
              </w:rPr>
            </w:pPr>
            <w:r>
              <w:rPr>
                <w:rFonts w:hint="eastAsia"/>
                <w:sz w:val="24"/>
                <w:szCs w:val="28"/>
              </w:rPr>
              <w:t>营业执照</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3</w:t>
            </w:r>
          </w:p>
        </w:tc>
        <w:tc>
          <w:tcPr>
            <w:tcW w:w="6027" w:type="dxa"/>
          </w:tcPr>
          <w:p>
            <w:pPr>
              <w:spacing w:line="500" w:lineRule="exact"/>
              <w:rPr>
                <w:sz w:val="24"/>
              </w:rPr>
            </w:pPr>
            <w:r>
              <w:rPr>
                <w:rFonts w:hint="eastAsia"/>
                <w:sz w:val="24"/>
                <w:szCs w:val="28"/>
                <w:lang w:eastAsia="zh-CN"/>
              </w:rPr>
              <w:t>资质</w:t>
            </w:r>
            <w:r>
              <w:rPr>
                <w:rFonts w:hint="eastAsia"/>
                <w:sz w:val="24"/>
                <w:szCs w:val="28"/>
              </w:rPr>
              <w:t>证明</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4</w:t>
            </w:r>
          </w:p>
        </w:tc>
        <w:tc>
          <w:tcPr>
            <w:tcW w:w="6027" w:type="dxa"/>
          </w:tcPr>
          <w:p>
            <w:pPr>
              <w:spacing w:line="500" w:lineRule="exact"/>
              <w:rPr>
                <w:sz w:val="24"/>
                <w:lang w:eastAsia="zh-CN"/>
              </w:rPr>
            </w:pPr>
            <w:r>
              <w:rPr>
                <w:rFonts w:hint="eastAsia"/>
                <w:sz w:val="24"/>
                <w:szCs w:val="28"/>
                <w:lang w:eastAsia="zh-CN"/>
              </w:rPr>
              <w:t>企业概况、业绩证明等</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7</w:t>
            </w:r>
          </w:p>
        </w:tc>
        <w:tc>
          <w:tcPr>
            <w:tcW w:w="6027" w:type="dxa"/>
          </w:tcPr>
          <w:p>
            <w:pPr>
              <w:spacing w:line="500" w:lineRule="exact"/>
              <w:rPr>
                <w:sz w:val="24"/>
                <w:lang w:eastAsia="zh-CN"/>
              </w:rPr>
            </w:pPr>
            <w:r>
              <w:rPr>
                <w:rFonts w:hint="eastAsia"/>
                <w:sz w:val="24"/>
              </w:rPr>
              <w:t>偏离表（如有）</w:t>
            </w:r>
          </w:p>
        </w:tc>
        <w:tc>
          <w:tcPr>
            <w:tcW w:w="1363" w:type="dxa"/>
          </w:tcPr>
          <w:p>
            <w:pPr>
              <w:spacing w:line="500" w:lineRule="exact"/>
              <w:jc w:val="center"/>
              <w:rPr>
                <w:sz w:val="24"/>
              </w:rPr>
            </w:pPr>
          </w:p>
        </w:tc>
      </w:tr>
    </w:tbl>
    <w:p>
      <w:pPr>
        <w:spacing w:line="500" w:lineRule="exact"/>
        <w:jc w:val="center"/>
        <w:rPr>
          <w:b/>
          <w:bCs/>
          <w:sz w:val="24"/>
        </w:rPr>
      </w:pPr>
    </w:p>
    <w:p>
      <w:pPr>
        <w:pStyle w:val="24"/>
        <w:rPr>
          <w:b/>
          <w:bCs/>
          <w:sz w:val="36"/>
          <w:szCs w:val="36"/>
        </w:rPr>
      </w:pPr>
    </w:p>
    <w:p>
      <w:pPr>
        <w:pStyle w:val="24"/>
        <w:rPr>
          <w:b/>
          <w:bCs/>
          <w:sz w:val="36"/>
          <w:szCs w:val="36"/>
        </w:rPr>
      </w:pPr>
    </w:p>
    <w:p>
      <w:pPr>
        <w:spacing w:line="500" w:lineRule="exact"/>
        <w:rPr>
          <w:b/>
          <w:bCs/>
          <w:sz w:val="36"/>
          <w:szCs w:val="36"/>
        </w:rPr>
      </w:pPr>
    </w:p>
    <w:p>
      <w:pPr>
        <w:pStyle w:val="24"/>
        <w:rPr>
          <w:b/>
          <w:bCs/>
          <w:sz w:val="36"/>
          <w:szCs w:val="36"/>
        </w:rPr>
      </w:pPr>
    </w:p>
    <w:p>
      <w:pPr>
        <w:pStyle w:val="24"/>
        <w:rPr>
          <w:b/>
          <w:bCs/>
          <w:sz w:val="36"/>
          <w:szCs w:val="36"/>
        </w:rPr>
      </w:pPr>
    </w:p>
    <w:p>
      <w:pPr>
        <w:pStyle w:val="24"/>
      </w:pPr>
    </w:p>
    <w:p>
      <w:pPr>
        <w:spacing w:line="500" w:lineRule="exact"/>
        <w:jc w:val="center"/>
        <w:rPr>
          <w:b/>
          <w:bCs/>
          <w:sz w:val="36"/>
          <w:szCs w:val="36"/>
        </w:rPr>
      </w:pPr>
    </w:p>
    <w:p>
      <w:pPr>
        <w:widowControl/>
        <w:autoSpaceDE/>
        <w:autoSpaceDN/>
        <w:rPr>
          <w:b/>
          <w:bCs/>
          <w:sz w:val="36"/>
          <w:szCs w:val="36"/>
        </w:rPr>
      </w:pPr>
      <w:r>
        <w:rPr>
          <w:b/>
          <w:bCs/>
          <w:sz w:val="36"/>
          <w:szCs w:val="36"/>
        </w:rPr>
        <w:br w:type="page"/>
      </w:r>
    </w:p>
    <w:p>
      <w:pPr>
        <w:pStyle w:val="24"/>
        <w:jc w:val="center"/>
      </w:pPr>
    </w:p>
    <w:p>
      <w:pPr>
        <w:snapToGrid w:val="0"/>
        <w:spacing w:line="360" w:lineRule="auto"/>
        <w:jc w:val="center"/>
        <w:rPr>
          <w:b/>
          <w:bCs/>
          <w:sz w:val="24"/>
          <w:szCs w:val="32"/>
          <w:lang w:eastAsia="zh-CN"/>
        </w:rPr>
      </w:pPr>
      <w:r>
        <w:rPr>
          <w:rFonts w:hint="eastAsia"/>
          <w:b/>
          <w:bCs/>
          <w:sz w:val="24"/>
          <w:szCs w:val="32"/>
          <w:lang w:eastAsia="zh-CN"/>
        </w:rPr>
        <w:t>法定代表人授权委托书</w:t>
      </w:r>
    </w:p>
    <w:p>
      <w:pPr>
        <w:snapToGrid w:val="0"/>
        <w:spacing w:line="276" w:lineRule="auto"/>
        <w:jc w:val="center"/>
        <w:rPr>
          <w:szCs w:val="28"/>
          <w:lang w:eastAsia="zh-CN"/>
        </w:rPr>
      </w:pPr>
    </w:p>
    <w:p>
      <w:pPr>
        <w:snapToGrid w:val="0"/>
        <w:spacing w:line="276" w:lineRule="auto"/>
        <w:rPr>
          <w:szCs w:val="21"/>
          <w:lang w:eastAsia="zh-CN"/>
        </w:rPr>
      </w:pPr>
      <w:r>
        <w:rPr>
          <w:rFonts w:hint="eastAsia"/>
          <w:szCs w:val="21"/>
          <w:lang w:eastAsia="zh-CN"/>
        </w:rPr>
        <w:t>致：福建福海创石油化工有限公司</w:t>
      </w:r>
    </w:p>
    <w:p>
      <w:pPr>
        <w:spacing w:line="276" w:lineRule="auto"/>
        <w:ind w:firstLine="440" w:firstLineChars="200"/>
        <w:rPr>
          <w:szCs w:val="21"/>
          <w:lang w:eastAsia="zh-CN"/>
        </w:rPr>
      </w:pPr>
      <w:r>
        <w:rPr>
          <w:rFonts w:hint="eastAsia"/>
          <w:szCs w:val="21"/>
          <w:lang w:eastAsia="zh-CN"/>
        </w:rPr>
        <w:t>本授权书声明</w:t>
      </w:r>
      <w:r>
        <w:rPr>
          <w:szCs w:val="21"/>
          <w:lang w:eastAsia="zh-CN"/>
        </w:rPr>
        <w:t>:</w:t>
      </w:r>
      <w:r>
        <w:rPr>
          <w:rFonts w:hint="eastAsia"/>
          <w:szCs w:val="21"/>
          <w:lang w:eastAsia="zh-CN"/>
        </w:rPr>
        <w:t>注册于</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公司住所</w:t>
      </w:r>
      <w:r>
        <w:rPr>
          <w:szCs w:val="21"/>
          <w:u w:val="single"/>
          <w:lang w:eastAsia="zh-CN"/>
        </w:rPr>
        <w:t>)</w:t>
      </w:r>
      <w:r>
        <w:rPr>
          <w:rFonts w:hint="eastAsia"/>
          <w:szCs w:val="21"/>
          <w:lang w:eastAsia="zh-CN"/>
        </w:rPr>
        <w:t>的</w:t>
      </w:r>
      <w:r>
        <w:rPr>
          <w:szCs w:val="21"/>
          <w:u w:val="single"/>
          <w:lang w:eastAsia="zh-CN"/>
        </w:rPr>
        <w:t xml:space="preserve">          </w:t>
      </w:r>
      <w:r>
        <w:rPr>
          <w:rFonts w:hint="eastAsia"/>
          <w:szCs w:val="21"/>
          <w:u w:val="single"/>
          <w:lang w:eastAsia="zh-CN"/>
        </w:rPr>
        <w:t>（公司名称</w:t>
      </w:r>
      <w:r>
        <w:rPr>
          <w:szCs w:val="21"/>
          <w:u w:val="single"/>
          <w:lang w:eastAsia="zh-CN"/>
        </w:rPr>
        <w:t>)</w:t>
      </w:r>
      <w:r>
        <w:rPr>
          <w:rFonts w:hint="eastAsia"/>
          <w:szCs w:val="21"/>
          <w:lang w:eastAsia="zh-CN"/>
        </w:rPr>
        <w:t>的法定代表人</w:t>
      </w:r>
      <w:r>
        <w:rPr>
          <w:szCs w:val="21"/>
          <w:u w:val="single"/>
          <w:lang w:eastAsia="zh-CN"/>
        </w:rPr>
        <w:t xml:space="preserve">        (</w:t>
      </w:r>
      <w:r>
        <w:rPr>
          <w:rFonts w:hint="eastAsia"/>
          <w:szCs w:val="21"/>
          <w:u w:val="single"/>
          <w:lang w:eastAsia="zh-CN"/>
        </w:rPr>
        <w:t>法定代表人姓名</w:t>
      </w:r>
      <w:r>
        <w:rPr>
          <w:szCs w:val="21"/>
          <w:u w:val="single"/>
          <w:lang w:eastAsia="zh-CN"/>
        </w:rPr>
        <w:t>)</w:t>
      </w:r>
      <w:r>
        <w:rPr>
          <w:rFonts w:hint="eastAsia"/>
          <w:szCs w:val="21"/>
          <w:lang w:eastAsia="zh-CN"/>
        </w:rPr>
        <w:t>代表本公司授权</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（代理人的姓名）</w:t>
      </w:r>
      <w:r>
        <w:rPr>
          <w:rFonts w:hint="eastAsia"/>
          <w:szCs w:val="21"/>
          <w:lang w:eastAsia="zh-CN"/>
        </w:rPr>
        <w:t>为公司的合法代理人，参加</w:t>
      </w:r>
      <w:r>
        <w:rPr>
          <w:rFonts w:hint="eastAsia"/>
          <w:szCs w:val="21"/>
          <w:u w:val="single"/>
          <w:lang w:eastAsia="zh-CN"/>
        </w:rPr>
        <w:t>福建福海创石油化工有限公司</w:t>
      </w:r>
      <w:r>
        <w:rPr>
          <w:rFonts w:hint="eastAsia" w:asciiTheme="minorEastAsia" w:hAnsiTheme="minorEastAsia" w:eastAsiaTheme="minorEastAsia"/>
          <w:sz w:val="24"/>
          <w:u w:val="single"/>
          <w:lang w:eastAsia="zh-CN"/>
        </w:rPr>
        <w:t>废铅酸蓄电池、废润滑油等危废</w:t>
      </w:r>
      <w:r>
        <w:rPr>
          <w:rFonts w:hint="eastAsia" w:asciiTheme="minorEastAsia" w:hAnsiTheme="minorEastAsia" w:eastAsiaTheme="minorEastAsia"/>
          <w:sz w:val="24"/>
          <w:lang w:eastAsia="zh-CN"/>
        </w:rPr>
        <w:t>处置</w:t>
      </w:r>
      <w:r>
        <w:rPr>
          <w:rFonts w:hint="eastAsia" w:asciiTheme="minorEastAsia" w:hAnsiTheme="minorEastAsia" w:eastAsiaTheme="minorEastAsia"/>
          <w:bCs/>
          <w:spacing w:val="-2"/>
          <w:u w:val="single"/>
          <w:lang w:eastAsia="zh-CN"/>
        </w:rPr>
        <w:t>处置</w:t>
      </w:r>
      <w:r>
        <w:rPr>
          <w:rFonts w:hint="eastAsia"/>
          <w:color w:val="FF0000"/>
          <w:sz w:val="21"/>
          <w:szCs w:val="21"/>
          <w:u w:val="single"/>
          <w:lang w:eastAsia="zh-CN"/>
        </w:rPr>
        <w:t>（□包1、□包2）</w:t>
      </w:r>
      <w:r>
        <w:rPr>
          <w:rFonts w:hint="eastAsia"/>
          <w:bCs/>
          <w:szCs w:val="21"/>
          <w:u w:val="single"/>
          <w:lang w:eastAsia="zh-CN"/>
        </w:rPr>
        <w:t>（项目编号：FHC-PTXS20221125114</w:t>
      </w:r>
      <w:r>
        <w:rPr>
          <w:rFonts w:hint="eastAsia" w:asciiTheme="minorEastAsia" w:hAnsiTheme="minorEastAsia" w:eastAsiaTheme="minorEastAsia"/>
          <w:bCs/>
          <w:u w:val="single"/>
          <w:lang w:eastAsia="zh-CN"/>
        </w:rPr>
        <w:t>））</w:t>
      </w:r>
      <w:r>
        <w:rPr>
          <w:rFonts w:hint="eastAsia"/>
          <w:szCs w:val="21"/>
          <w:lang w:eastAsia="zh-CN"/>
        </w:rPr>
        <w:t>项目的意向比选方申请登记、比选竞价，我方承认代理人全权代表我方所签署的本项目的参选文件、签订合同和处理有关事宜，其法律后果由我方承担。</w:t>
      </w:r>
    </w:p>
    <w:p>
      <w:pPr>
        <w:spacing w:line="276" w:lineRule="auto"/>
        <w:ind w:firstLine="440" w:firstLineChars="200"/>
        <w:rPr>
          <w:szCs w:val="21"/>
          <w:lang w:eastAsia="zh-CN"/>
        </w:rPr>
      </w:pPr>
      <w:r>
        <w:rPr>
          <w:rFonts w:hint="eastAsia"/>
          <w:szCs w:val="21"/>
          <w:lang w:eastAsia="zh-CN"/>
        </w:rPr>
        <w:t>代理人无转委托权，特此委托。</w:t>
      </w:r>
    </w:p>
    <w:p>
      <w:pPr>
        <w:spacing w:line="276" w:lineRule="auto"/>
        <w:ind w:firstLine="440" w:firstLineChars="200"/>
        <w:rPr>
          <w:color w:val="000000"/>
          <w:szCs w:val="21"/>
          <w:lang w:eastAsia="zh-CN"/>
        </w:rPr>
      </w:pPr>
      <w:r>
        <w:rPr>
          <w:rFonts w:hint="eastAsia"/>
          <w:color w:val="000000"/>
          <w:szCs w:val="21"/>
          <w:lang w:eastAsia="zh-CN"/>
        </w:rPr>
        <w:t>附：法定代表人身份证明</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360" w:lineRule="auto"/>
              <w:rPr>
                <w:rFonts w:eastAsiaTheme="minorEastAsia"/>
                <w:color w:val="000000"/>
                <w:kern w:val="2"/>
                <w:szCs w:val="21"/>
                <w:lang w:eastAsia="zh-CN"/>
              </w:rPr>
            </w:pPr>
          </w:p>
          <w:p>
            <w:pPr>
              <w:spacing w:line="360" w:lineRule="auto"/>
              <w:rPr>
                <w:rFonts w:eastAsiaTheme="minorEastAsia"/>
                <w:color w:val="000000"/>
                <w:kern w:val="2"/>
                <w:szCs w:val="21"/>
                <w:lang w:eastAsia="zh-CN"/>
              </w:rPr>
            </w:pPr>
          </w:p>
          <w:p>
            <w:pPr>
              <w:spacing w:line="360" w:lineRule="auto"/>
              <w:jc w:val="center"/>
              <w:rPr>
                <w:rFonts w:eastAsiaTheme="minorEastAsia"/>
                <w:color w:val="000000"/>
                <w:kern w:val="2"/>
                <w:szCs w:val="21"/>
              </w:rPr>
            </w:pPr>
            <w:r>
              <w:rPr>
                <w:rFonts w:hint="eastAsia" w:eastAsiaTheme="minorEastAsia"/>
                <w:color w:val="000000"/>
                <w:kern w:val="2"/>
                <w:szCs w:val="21"/>
              </w:rPr>
              <w:t>（正面）</w:t>
            </w:r>
          </w:p>
          <w:p>
            <w:pPr>
              <w:spacing w:line="360" w:lineRule="auto"/>
              <w:rPr>
                <w:rFonts w:eastAsiaTheme="minorEastAsia"/>
                <w:color w:val="000000"/>
                <w:kern w:val="2"/>
                <w:szCs w:val="21"/>
              </w:rPr>
            </w:pPr>
          </w:p>
          <w:p>
            <w:pPr>
              <w:spacing w:line="360" w:lineRule="auto"/>
              <w:rPr>
                <w:rFonts w:eastAsiaTheme="minorEastAsia"/>
                <w:color w:val="000000"/>
                <w:kern w:val="2"/>
                <w:szCs w:val="21"/>
              </w:rPr>
            </w:pPr>
          </w:p>
          <w:p>
            <w:pPr>
              <w:spacing w:line="360" w:lineRule="auto"/>
              <w:rPr>
                <w:rFonts w:eastAsiaTheme="minorEastAsia"/>
                <w:color w:val="000000"/>
                <w:kern w:val="2"/>
                <w:szCs w:val="21"/>
              </w:rPr>
            </w:pPr>
          </w:p>
        </w:tc>
        <w:tc>
          <w:tcPr>
            <w:tcW w:w="4643" w:type="dxa"/>
          </w:tcPr>
          <w:p>
            <w:pPr>
              <w:spacing w:line="360" w:lineRule="auto"/>
              <w:rPr>
                <w:rFonts w:eastAsiaTheme="minorEastAsia"/>
                <w:color w:val="000000"/>
                <w:kern w:val="2"/>
                <w:szCs w:val="21"/>
              </w:rPr>
            </w:pPr>
          </w:p>
          <w:p>
            <w:pPr>
              <w:spacing w:line="360" w:lineRule="auto"/>
              <w:rPr>
                <w:rFonts w:eastAsiaTheme="minorEastAsia"/>
                <w:color w:val="000000"/>
                <w:kern w:val="2"/>
                <w:szCs w:val="21"/>
              </w:rPr>
            </w:pPr>
          </w:p>
          <w:p>
            <w:pPr>
              <w:spacing w:line="360" w:lineRule="auto"/>
              <w:jc w:val="center"/>
              <w:rPr>
                <w:rFonts w:eastAsiaTheme="minorEastAsia"/>
                <w:color w:val="000000"/>
                <w:kern w:val="2"/>
                <w:szCs w:val="21"/>
              </w:rPr>
            </w:pPr>
            <w:r>
              <w:rPr>
                <w:rFonts w:hint="eastAsia" w:eastAsiaTheme="minorEastAsia"/>
                <w:color w:val="000000"/>
                <w:kern w:val="2"/>
                <w:szCs w:val="21"/>
              </w:rPr>
              <w:t>（反面）</w:t>
            </w:r>
          </w:p>
        </w:tc>
      </w:tr>
    </w:tbl>
    <w:p>
      <w:pPr>
        <w:spacing w:line="276" w:lineRule="auto"/>
        <w:ind w:firstLine="440" w:firstLineChars="200"/>
        <w:rPr>
          <w:color w:val="000000"/>
          <w:szCs w:val="21"/>
        </w:rPr>
      </w:pPr>
    </w:p>
    <w:p>
      <w:pPr>
        <w:spacing w:line="276" w:lineRule="auto"/>
        <w:ind w:firstLine="440" w:firstLineChars="200"/>
        <w:rPr>
          <w:color w:val="000000"/>
          <w:szCs w:val="21"/>
          <w:lang w:eastAsia="zh-CN"/>
        </w:rPr>
      </w:pPr>
      <w:r>
        <w:rPr>
          <w:rFonts w:hint="eastAsia"/>
          <w:color w:val="000000"/>
          <w:szCs w:val="21"/>
          <w:lang w:eastAsia="zh-CN"/>
        </w:rPr>
        <w:t>代  理  人：</w:t>
      </w:r>
      <w:r>
        <w:rPr>
          <w:color w:val="000000"/>
          <w:szCs w:val="21"/>
          <w:u w:val="single"/>
          <w:lang w:eastAsia="zh-CN"/>
        </w:rPr>
        <w:t xml:space="preserve">  </w:t>
      </w:r>
      <w:r>
        <w:rPr>
          <w:rFonts w:hint="eastAsia"/>
          <w:color w:val="000000"/>
          <w:szCs w:val="21"/>
          <w:u w:val="single"/>
          <w:lang w:eastAsia="zh-CN"/>
        </w:rPr>
        <w:t xml:space="preserve">            </w:t>
      </w:r>
      <w:r>
        <w:rPr>
          <w:rFonts w:hint="eastAsia"/>
          <w:color w:val="FF0000"/>
          <w:szCs w:val="21"/>
          <w:u w:val="single"/>
          <w:lang w:eastAsia="zh-CN"/>
        </w:rPr>
        <w:t>（签字）</w:t>
      </w:r>
      <w:r>
        <w:rPr>
          <w:rFonts w:hint="eastAsia"/>
          <w:color w:val="000000"/>
          <w:szCs w:val="21"/>
          <w:lang w:eastAsia="zh-CN"/>
        </w:rPr>
        <w:t>性别：</w:t>
      </w:r>
      <w:r>
        <w:rPr>
          <w:color w:val="000000"/>
          <w:szCs w:val="21"/>
          <w:u w:val="single"/>
          <w:lang w:eastAsia="zh-CN"/>
        </w:rPr>
        <w:t xml:space="preserve">      </w:t>
      </w:r>
      <w:r>
        <w:rPr>
          <w:rFonts w:hint="eastAsia"/>
          <w:color w:val="000000"/>
          <w:szCs w:val="21"/>
          <w:lang w:eastAsia="zh-CN"/>
        </w:rPr>
        <w:t>年龄：</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身份证号码：</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color w:val="000000"/>
          <w:szCs w:val="21"/>
          <w:lang w:eastAsia="zh-CN"/>
        </w:rPr>
        <w:t xml:space="preserve"> </w:t>
      </w:r>
      <w:r>
        <w:rPr>
          <w:rFonts w:hint="eastAsia"/>
          <w:color w:val="000000"/>
          <w:szCs w:val="21"/>
          <w:lang w:eastAsia="zh-CN"/>
        </w:rPr>
        <w:t>职务：</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委托期限：</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日至</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代理人电话：</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 xml:space="preserve">  邮箱：</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法定代表人：</w:t>
      </w:r>
      <w:r>
        <w:rPr>
          <w:color w:val="000000"/>
          <w:szCs w:val="21"/>
          <w:u w:val="single"/>
          <w:lang w:eastAsia="zh-CN"/>
        </w:rPr>
        <w:t xml:space="preserve">                </w:t>
      </w:r>
      <w:r>
        <w:rPr>
          <w:rFonts w:hint="eastAsia"/>
          <w:color w:val="FF0000"/>
          <w:szCs w:val="21"/>
          <w:u w:val="single"/>
          <w:lang w:eastAsia="zh-CN"/>
        </w:rPr>
        <w:t>签字）</w:t>
      </w:r>
      <w:r>
        <w:rPr>
          <w:color w:val="000000"/>
          <w:szCs w:val="21"/>
          <w:u w:val="single"/>
          <w:lang w:eastAsia="zh-CN"/>
        </w:rPr>
        <w:t xml:space="preserve">  </w:t>
      </w:r>
    </w:p>
    <w:p>
      <w:pPr>
        <w:spacing w:line="276" w:lineRule="auto"/>
        <w:ind w:firstLine="440" w:firstLineChars="200"/>
        <w:rPr>
          <w:color w:val="000000"/>
          <w:szCs w:val="21"/>
          <w:lang w:eastAsia="zh-CN"/>
        </w:rPr>
      </w:pPr>
    </w:p>
    <w:p>
      <w:pPr>
        <w:spacing w:line="276" w:lineRule="auto"/>
        <w:ind w:firstLine="440" w:firstLineChars="200"/>
        <w:rPr>
          <w:color w:val="000000"/>
          <w:szCs w:val="21"/>
          <w:lang w:eastAsia="zh-CN"/>
        </w:rPr>
      </w:pPr>
      <w:r>
        <w:rPr>
          <w:rFonts w:hint="eastAsia"/>
          <w:color w:val="000000"/>
          <w:szCs w:val="21"/>
          <w:lang w:eastAsia="zh-CN"/>
        </w:rPr>
        <w:t>参</w:t>
      </w:r>
      <w:r>
        <w:rPr>
          <w:color w:val="000000"/>
          <w:szCs w:val="21"/>
          <w:lang w:eastAsia="zh-CN"/>
        </w:rPr>
        <w:t xml:space="preserve">  </w:t>
      </w:r>
      <w:r>
        <w:rPr>
          <w:rFonts w:hint="eastAsia"/>
          <w:color w:val="000000"/>
          <w:szCs w:val="21"/>
          <w:lang w:eastAsia="zh-CN"/>
        </w:rPr>
        <w:t>选</w:t>
      </w:r>
      <w:r>
        <w:rPr>
          <w:color w:val="000000"/>
          <w:szCs w:val="21"/>
          <w:lang w:eastAsia="zh-CN"/>
        </w:rPr>
        <w:t xml:space="preserve">  </w:t>
      </w:r>
      <w:r>
        <w:rPr>
          <w:rFonts w:hint="eastAsia"/>
          <w:color w:val="000000"/>
          <w:szCs w:val="21"/>
          <w:lang w:eastAsia="zh-CN"/>
        </w:rPr>
        <w:t>人：</w:t>
      </w:r>
      <w:r>
        <w:rPr>
          <w:color w:val="000000"/>
          <w:szCs w:val="21"/>
          <w:u w:val="single"/>
          <w:lang w:eastAsia="zh-CN"/>
        </w:rPr>
        <w:t xml:space="preserve">                            </w:t>
      </w:r>
      <w:r>
        <w:rPr>
          <w:rFonts w:hint="eastAsia"/>
          <w:color w:val="000000"/>
          <w:szCs w:val="21"/>
          <w:u w:val="single"/>
          <w:lang w:eastAsia="zh-CN"/>
        </w:rPr>
        <w:t>（盖单位章）</w:t>
      </w:r>
      <w:r>
        <w:rPr>
          <w:color w:val="000000"/>
          <w:szCs w:val="21"/>
          <w:u w:val="single"/>
          <w:lang w:eastAsia="zh-CN"/>
        </w:rPr>
        <w:t xml:space="preserve">  </w:t>
      </w:r>
    </w:p>
    <w:p>
      <w:pPr>
        <w:spacing w:line="276" w:lineRule="auto"/>
        <w:ind w:firstLine="440" w:firstLineChars="200"/>
        <w:rPr>
          <w:color w:val="000000"/>
          <w:szCs w:val="21"/>
          <w:lang w:eastAsia="zh-CN"/>
        </w:rPr>
      </w:pPr>
      <w:r>
        <w:rPr>
          <w:color w:val="000000"/>
          <w:szCs w:val="21"/>
          <w:lang w:eastAsia="zh-CN"/>
        </w:rPr>
        <w:t xml:space="preserve">                               </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附：代理人身份证明</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360" w:lineRule="auto"/>
              <w:rPr>
                <w:rFonts w:eastAsiaTheme="minorEastAsia"/>
                <w:color w:val="000000"/>
                <w:kern w:val="2"/>
                <w:szCs w:val="21"/>
                <w:lang w:eastAsia="zh-CN"/>
              </w:rPr>
            </w:pPr>
          </w:p>
          <w:p>
            <w:pPr>
              <w:spacing w:line="360" w:lineRule="auto"/>
              <w:rPr>
                <w:rFonts w:eastAsiaTheme="minorEastAsia"/>
                <w:color w:val="000000"/>
                <w:kern w:val="2"/>
                <w:szCs w:val="21"/>
                <w:lang w:eastAsia="zh-CN"/>
              </w:rPr>
            </w:pPr>
          </w:p>
          <w:p>
            <w:pPr>
              <w:spacing w:line="360" w:lineRule="auto"/>
              <w:jc w:val="center"/>
              <w:rPr>
                <w:rFonts w:eastAsiaTheme="minorEastAsia"/>
                <w:color w:val="000000"/>
                <w:kern w:val="2"/>
                <w:szCs w:val="21"/>
              </w:rPr>
            </w:pPr>
            <w:r>
              <w:rPr>
                <w:rFonts w:hint="eastAsia" w:eastAsiaTheme="minorEastAsia"/>
                <w:color w:val="000000"/>
                <w:kern w:val="2"/>
                <w:szCs w:val="21"/>
              </w:rPr>
              <w:t>（正面）</w:t>
            </w:r>
          </w:p>
          <w:p>
            <w:pPr>
              <w:spacing w:line="360" w:lineRule="auto"/>
              <w:rPr>
                <w:rFonts w:eastAsiaTheme="minorEastAsia"/>
                <w:color w:val="000000"/>
                <w:kern w:val="2"/>
                <w:szCs w:val="21"/>
              </w:rPr>
            </w:pPr>
          </w:p>
          <w:p>
            <w:pPr>
              <w:spacing w:line="360" w:lineRule="auto"/>
              <w:rPr>
                <w:rFonts w:eastAsiaTheme="minorEastAsia"/>
                <w:color w:val="000000"/>
                <w:kern w:val="2"/>
                <w:szCs w:val="21"/>
              </w:rPr>
            </w:pPr>
          </w:p>
          <w:p>
            <w:pPr>
              <w:spacing w:line="360" w:lineRule="auto"/>
              <w:rPr>
                <w:rFonts w:eastAsiaTheme="minorEastAsia"/>
                <w:color w:val="000000"/>
                <w:kern w:val="2"/>
                <w:szCs w:val="21"/>
              </w:rPr>
            </w:pPr>
          </w:p>
        </w:tc>
        <w:tc>
          <w:tcPr>
            <w:tcW w:w="4643" w:type="dxa"/>
          </w:tcPr>
          <w:p>
            <w:pPr>
              <w:spacing w:line="360" w:lineRule="auto"/>
              <w:rPr>
                <w:rFonts w:eastAsiaTheme="minorEastAsia"/>
                <w:color w:val="000000"/>
                <w:kern w:val="2"/>
                <w:szCs w:val="21"/>
              </w:rPr>
            </w:pPr>
          </w:p>
          <w:p>
            <w:pPr>
              <w:spacing w:line="360" w:lineRule="auto"/>
              <w:rPr>
                <w:rFonts w:eastAsiaTheme="minorEastAsia"/>
                <w:color w:val="000000"/>
                <w:kern w:val="2"/>
                <w:szCs w:val="21"/>
              </w:rPr>
            </w:pPr>
          </w:p>
          <w:p>
            <w:pPr>
              <w:spacing w:line="360" w:lineRule="auto"/>
              <w:jc w:val="center"/>
              <w:rPr>
                <w:rFonts w:eastAsiaTheme="minorEastAsia"/>
                <w:color w:val="000000"/>
                <w:kern w:val="2"/>
                <w:szCs w:val="21"/>
              </w:rPr>
            </w:pPr>
            <w:r>
              <w:rPr>
                <w:rFonts w:hint="eastAsia" w:eastAsiaTheme="minorEastAsia"/>
                <w:color w:val="000000"/>
                <w:kern w:val="2"/>
                <w:szCs w:val="21"/>
              </w:rPr>
              <w:t>（反面）</w:t>
            </w:r>
          </w:p>
        </w:tc>
      </w:tr>
    </w:tbl>
    <w:p>
      <w:pPr>
        <w:widowControl/>
        <w:rPr>
          <w:sz w:val="24"/>
          <w:szCs w:val="32"/>
        </w:rPr>
      </w:pPr>
    </w:p>
    <w:p/>
    <w:p>
      <w:pPr>
        <w:pStyle w:val="9"/>
        <w:ind w:left="0" w:leftChars="0"/>
        <w:jc w:val="center"/>
        <w:rPr>
          <w:lang w:eastAsia="zh-CN"/>
        </w:rPr>
      </w:pPr>
      <w:r>
        <w:rPr>
          <w:rFonts w:ascii="Times New Roman" w:hAnsi="Times New Roman" w:cs="Times New Roman"/>
          <w:b/>
          <w:sz w:val="36"/>
          <w:szCs w:val="36"/>
          <w:lang w:eastAsia="zh-CN"/>
        </w:rPr>
        <w:br w:type="page"/>
      </w: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bCs/>
          <w:sz w:val="36"/>
          <w:szCs w:val="36"/>
          <w:lang w:eastAsia="zh-CN"/>
        </w:rPr>
      </w:pPr>
    </w:p>
    <w:p>
      <w:pPr>
        <w:pStyle w:val="2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营业执照</w:t>
      </w:r>
    </w:p>
    <w:p>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pPr>
        <w:pStyle w:val="2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危险废物经营许可证</w:t>
      </w:r>
    </w:p>
    <w:p>
      <w:pPr>
        <w:pStyle w:val="24"/>
      </w:pPr>
      <w:r>
        <w:br w:type="page"/>
      </w:r>
    </w:p>
    <w:p>
      <w:pPr>
        <w:pStyle w:val="2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道路运输经营许可证</w:t>
      </w:r>
    </w:p>
    <w:p>
      <w:pPr>
        <w:pStyle w:val="24"/>
      </w:pPr>
      <w:r>
        <w:br w:type="page"/>
      </w:r>
    </w:p>
    <w:p>
      <w:pPr>
        <w:pStyle w:val="2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企业概况、业绩证明等</w:t>
      </w:r>
    </w:p>
    <w:p>
      <w:pPr>
        <w:pStyle w:val="28"/>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4"/>
        <w:rPr>
          <w:color w:val="FF0000"/>
        </w:rPr>
        <w:sectPr>
          <w:footerReference r:id="rId5" w:type="default"/>
          <w:pgSz w:w="11910" w:h="16840"/>
          <w:pgMar w:top="1440" w:right="1080" w:bottom="1440" w:left="1080" w:header="0" w:footer="551" w:gutter="0"/>
          <w:cols w:space="720" w:num="1"/>
          <w:docGrid w:type="lines" w:linePitch="312" w:charSpace="0"/>
        </w:sectPr>
      </w:pPr>
    </w:p>
    <w:p>
      <w:pPr>
        <w:widowControl/>
        <w:autoSpaceDE/>
        <w:autoSpaceDN/>
        <w:jc w:val="center"/>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参选报价单</w:t>
      </w:r>
    </w:p>
    <w:p>
      <w:pPr>
        <w:rPr>
          <w:lang w:eastAsia="zh-CN"/>
        </w:rPr>
      </w:pPr>
    </w:p>
    <w:tbl>
      <w:tblPr>
        <w:tblStyle w:val="22"/>
        <w:tblW w:w="15541" w:type="dxa"/>
        <w:tblInd w:w="-90" w:type="dxa"/>
        <w:tblLayout w:type="fixed"/>
        <w:tblCellMar>
          <w:top w:w="0" w:type="dxa"/>
          <w:left w:w="108" w:type="dxa"/>
          <w:bottom w:w="0" w:type="dxa"/>
          <w:right w:w="108" w:type="dxa"/>
        </w:tblCellMar>
      </w:tblPr>
      <w:tblGrid>
        <w:gridCol w:w="90"/>
        <w:gridCol w:w="851"/>
        <w:gridCol w:w="1559"/>
        <w:gridCol w:w="2126"/>
        <w:gridCol w:w="1134"/>
        <w:gridCol w:w="1560"/>
        <w:gridCol w:w="1275"/>
        <w:gridCol w:w="1276"/>
        <w:gridCol w:w="1559"/>
        <w:gridCol w:w="1701"/>
        <w:gridCol w:w="789"/>
        <w:gridCol w:w="1621"/>
      </w:tblGrid>
      <w:tr>
        <w:tblPrEx>
          <w:tblLayout w:type="fixed"/>
          <w:tblCellMar>
            <w:top w:w="0" w:type="dxa"/>
            <w:left w:w="108" w:type="dxa"/>
            <w:bottom w:w="0" w:type="dxa"/>
            <w:right w:w="108" w:type="dxa"/>
          </w:tblCellMar>
        </w:tblPrEx>
        <w:trPr>
          <w:gridAfter w:val="1"/>
          <w:wAfter w:w="1621" w:type="dxa"/>
          <w:trHeight w:val="450" w:hRule="atLeast"/>
        </w:trPr>
        <w:tc>
          <w:tcPr>
            <w:tcW w:w="13920" w:type="dxa"/>
            <w:gridSpan w:val="11"/>
            <w:tcBorders>
              <w:top w:val="nil"/>
              <w:left w:val="nil"/>
              <w:bottom w:val="nil"/>
              <w:right w:val="nil"/>
            </w:tcBorders>
            <w:shd w:val="clear" w:color="auto" w:fill="auto"/>
            <w:vAlign w:val="center"/>
          </w:tcPr>
          <w:p>
            <w:pPr>
              <w:widowControl/>
              <w:autoSpaceDE/>
              <w:autoSpaceDN/>
              <w:jc w:val="center"/>
              <w:rPr>
                <w:b/>
                <w:bCs/>
                <w:color w:val="000000"/>
                <w:sz w:val="28"/>
                <w:szCs w:val="28"/>
                <w:lang w:eastAsia="zh-CN"/>
              </w:rPr>
            </w:pPr>
            <w:r>
              <w:rPr>
                <w:lang w:eastAsia="zh-CN"/>
              </w:rPr>
              <w:br w:type="page"/>
            </w:r>
            <w:r>
              <w:rPr>
                <w:rFonts w:hint="eastAsia"/>
                <w:b/>
                <w:bCs/>
                <w:color w:val="000000"/>
                <w:sz w:val="28"/>
                <w:szCs w:val="28"/>
                <w:lang w:eastAsia="zh-CN"/>
              </w:rPr>
              <w:t>福海创废铅酸蓄电池处置价格清单 （包1）</w:t>
            </w:r>
          </w:p>
          <w:p>
            <w:pPr>
              <w:widowControl/>
              <w:autoSpaceDE/>
              <w:autoSpaceDN/>
              <w:jc w:val="center"/>
              <w:rPr>
                <w:b/>
                <w:bCs/>
                <w:color w:val="000000"/>
                <w:sz w:val="28"/>
                <w:szCs w:val="28"/>
                <w:lang w:eastAsia="zh-CN"/>
              </w:rPr>
            </w:pPr>
            <w:r>
              <w:rPr>
                <w:rFonts w:hint="eastAsia"/>
                <w:b/>
                <w:bCs/>
                <w:color w:val="000000"/>
                <w:sz w:val="28"/>
                <w:szCs w:val="28"/>
                <w:lang w:eastAsia="zh-CN"/>
              </w:rPr>
              <w:t xml:space="preserve">                </w:t>
            </w:r>
          </w:p>
        </w:tc>
      </w:tr>
      <w:tr>
        <w:tblPrEx>
          <w:tblLayout w:type="fixed"/>
          <w:tblCellMar>
            <w:top w:w="0" w:type="dxa"/>
            <w:left w:w="108" w:type="dxa"/>
            <w:bottom w:w="0" w:type="dxa"/>
            <w:right w:w="108" w:type="dxa"/>
          </w:tblCellMar>
        </w:tblPrEx>
        <w:trPr>
          <w:gridBefore w:val="1"/>
          <w:wBefore w:w="90" w:type="dxa"/>
          <w:trHeight w:val="5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序号</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危废类别及代码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有害成分</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预估量（吨）</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未税单价（元）</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总价（元）</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包装方式</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产生及签合同公司</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付款方</w:t>
            </w:r>
          </w:p>
        </w:tc>
      </w:tr>
      <w:tr>
        <w:tblPrEx>
          <w:tblLayout w:type="fixed"/>
          <w:tblCellMar>
            <w:top w:w="0" w:type="dxa"/>
            <w:left w:w="108" w:type="dxa"/>
            <w:bottom w:w="0" w:type="dxa"/>
            <w:right w:w="108" w:type="dxa"/>
          </w:tblCellMar>
        </w:tblPrEx>
        <w:trPr>
          <w:gridBefore w:val="1"/>
          <w:wBefore w:w="90" w:type="dxa"/>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color w:val="000000"/>
                <w:lang w:eastAsia="zh-CN"/>
              </w:rPr>
              <w:t>1</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废铅酸蓄电池</w:t>
            </w:r>
          </w:p>
        </w:tc>
        <w:tc>
          <w:tcPr>
            <w:tcW w:w="2126"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shd w:val="clear" w:color="auto" w:fill="FFFFFF"/>
              </w:rPr>
              <w:t>HW31（900-052-31)</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铅</w:t>
            </w:r>
          </w:p>
        </w:tc>
        <w:tc>
          <w:tcPr>
            <w:tcW w:w="15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val="en-US" w:eastAsia="zh-CN"/>
              </w:rPr>
              <w:t>48</w:t>
            </w:r>
          </w:p>
        </w:tc>
        <w:tc>
          <w:tcPr>
            <w:tcW w:w="1275"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rPr>
              <w:t>原包装</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rPr>
              <w:t>腾龙芳烃、翔鹭石化</w:t>
            </w:r>
          </w:p>
        </w:tc>
        <w:tc>
          <w:tcPr>
            <w:tcW w:w="241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r>
      <w:tr>
        <w:tblPrEx>
          <w:tblLayout w:type="fixed"/>
          <w:tblCellMar>
            <w:top w:w="0" w:type="dxa"/>
            <w:left w:w="108" w:type="dxa"/>
            <w:bottom w:w="0" w:type="dxa"/>
            <w:right w:w="108" w:type="dxa"/>
          </w:tblCellMar>
        </w:tblPrEx>
        <w:trPr>
          <w:gridBefore w:val="1"/>
          <w:wBefore w:w="90" w:type="dxa"/>
          <w:trHeight w:val="600" w:hRule="atLeast"/>
        </w:trPr>
        <w:tc>
          <w:tcPr>
            <w:tcW w:w="723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合计预估未税价格</w:t>
            </w:r>
          </w:p>
        </w:tc>
        <w:tc>
          <w:tcPr>
            <w:tcW w:w="1275"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eastAsia="zh-CN"/>
              </w:rPr>
            </w:pPr>
            <w:r>
              <w:rPr>
                <w:rFonts w:hint="eastAsia"/>
                <w:color w:val="000000"/>
                <w:lang w:eastAsia="zh-CN"/>
              </w:rPr>
              <w:t>　</w:t>
            </w:r>
          </w:p>
        </w:tc>
        <w:tc>
          <w:tcPr>
            <w:tcW w:w="2410" w:type="dxa"/>
            <w:gridSpan w:val="2"/>
            <w:tcBorders>
              <w:top w:val="nil"/>
              <w:left w:val="nil"/>
              <w:bottom w:val="single" w:color="auto" w:sz="4" w:space="0"/>
              <w:right w:val="single" w:color="auto" w:sz="4" w:space="0"/>
            </w:tcBorders>
            <w:shd w:val="clear" w:color="auto" w:fill="auto"/>
            <w:vAlign w:val="center"/>
          </w:tcPr>
          <w:p>
            <w:pPr>
              <w:widowControl/>
              <w:autoSpaceDE/>
              <w:autoSpaceDN/>
              <w:rPr>
                <w:color w:val="000000"/>
                <w:lang w:eastAsia="zh-CN"/>
              </w:rPr>
            </w:pPr>
            <w:r>
              <w:rPr>
                <w:rFonts w:hint="eastAsia"/>
                <w:color w:val="000000"/>
                <w:lang w:eastAsia="zh-CN"/>
              </w:rPr>
              <w:t>　</w:t>
            </w:r>
          </w:p>
        </w:tc>
      </w:tr>
      <w:tr>
        <w:tblPrEx>
          <w:tblLayout w:type="fixed"/>
          <w:tblCellMar>
            <w:top w:w="0" w:type="dxa"/>
            <w:left w:w="108" w:type="dxa"/>
            <w:bottom w:w="0" w:type="dxa"/>
            <w:right w:w="108" w:type="dxa"/>
          </w:tblCellMar>
        </w:tblPrEx>
        <w:trPr>
          <w:gridBefore w:val="1"/>
          <w:wBefore w:w="90" w:type="dxa"/>
          <w:trHeight w:val="2775" w:hRule="atLeast"/>
        </w:trPr>
        <w:tc>
          <w:tcPr>
            <w:tcW w:w="15451" w:type="dxa"/>
            <w:gridSpan w:val="11"/>
            <w:tcBorders>
              <w:top w:val="single" w:color="auto" w:sz="4" w:space="0"/>
              <w:left w:val="nil"/>
              <w:bottom w:val="nil"/>
              <w:right w:val="nil"/>
            </w:tcBorders>
            <w:shd w:val="clear" w:color="auto" w:fill="auto"/>
            <w:vAlign w:val="center"/>
          </w:tcPr>
          <w:p>
            <w:pPr>
              <w:widowControl/>
              <w:autoSpaceDE/>
              <w:autoSpaceDN/>
              <w:rPr>
                <w:color w:val="000000"/>
                <w:lang w:eastAsia="zh-CN"/>
              </w:rPr>
            </w:pPr>
            <w:r>
              <w:rPr>
                <w:rFonts w:hint="eastAsia"/>
                <w:color w:val="000000"/>
                <w:lang w:eastAsia="zh-CN"/>
              </w:rPr>
              <w:t>说明：一、发票：增值税专用发票税率：</w:t>
            </w:r>
            <w:r>
              <w:rPr>
                <w:rFonts w:hint="eastAsia"/>
                <w:color w:val="000000"/>
                <w:u w:val="single"/>
                <w:lang w:eastAsia="zh-CN"/>
              </w:rPr>
              <w:t xml:space="preserve">     </w:t>
            </w:r>
            <w:r>
              <w:rPr>
                <w:rFonts w:hint="eastAsia"/>
                <w:color w:val="000000"/>
                <w:lang w:eastAsia="zh-CN"/>
              </w:rPr>
              <w:t>%；</w:t>
            </w:r>
            <w:r>
              <w:rPr>
                <w:rFonts w:hint="eastAsia"/>
                <w:color w:val="000000"/>
                <w:lang w:eastAsia="zh-CN"/>
              </w:rPr>
              <w:br w:type="textWrapping"/>
            </w:r>
            <w:r>
              <w:rPr>
                <w:rFonts w:hint="eastAsia"/>
                <w:color w:val="000000"/>
                <w:lang w:eastAsia="zh-CN"/>
              </w:rPr>
              <w:t xml:space="preserve">      二、工期：2</w:t>
            </w:r>
            <w:r>
              <w:rPr>
                <w:color w:val="000000"/>
                <w:lang w:eastAsia="zh-CN"/>
              </w:rPr>
              <w:t>02</w:t>
            </w:r>
            <w:r>
              <w:rPr>
                <w:rFonts w:hint="eastAsia"/>
                <w:color w:val="000000"/>
                <w:lang w:val="en-US" w:eastAsia="zh-CN"/>
              </w:rPr>
              <w:t>3</w:t>
            </w:r>
            <w:r>
              <w:rPr>
                <w:color w:val="000000"/>
                <w:lang w:eastAsia="zh-CN"/>
              </w:rPr>
              <w:t>年</w:t>
            </w:r>
            <w:r>
              <w:rPr>
                <w:rFonts w:hint="eastAsia"/>
                <w:color w:val="000000"/>
                <w:lang w:eastAsia="zh-CN"/>
              </w:rPr>
              <w:t>0</w:t>
            </w:r>
            <w:r>
              <w:rPr>
                <w:color w:val="000000"/>
                <w:lang w:eastAsia="zh-CN"/>
              </w:rPr>
              <w:t>4月</w:t>
            </w:r>
            <w:r>
              <w:rPr>
                <w:rFonts w:hint="eastAsia"/>
                <w:color w:val="000000"/>
                <w:lang w:eastAsia="zh-CN"/>
              </w:rPr>
              <w:t>0</w:t>
            </w:r>
            <w:r>
              <w:rPr>
                <w:color w:val="000000"/>
                <w:lang w:eastAsia="zh-CN"/>
              </w:rPr>
              <w:t>1日至202</w:t>
            </w:r>
            <w:r>
              <w:rPr>
                <w:rFonts w:hint="eastAsia"/>
                <w:color w:val="000000"/>
                <w:lang w:val="en-US" w:eastAsia="zh-CN"/>
              </w:rPr>
              <w:t>4</w:t>
            </w:r>
            <w:r>
              <w:rPr>
                <w:color w:val="000000"/>
                <w:lang w:eastAsia="zh-CN"/>
              </w:rPr>
              <w:t>年03月31日</w:t>
            </w:r>
            <w:r>
              <w:rPr>
                <w:rFonts w:hint="eastAsia"/>
                <w:color w:val="000000"/>
                <w:lang w:eastAsia="zh-CN"/>
              </w:rPr>
              <w:t>，每批货物接甲方通知后</w:t>
            </w:r>
            <w:r>
              <w:rPr>
                <w:rFonts w:hint="eastAsia"/>
                <w:color w:val="000000"/>
                <w:u w:val="single"/>
                <w:lang w:eastAsia="zh-CN"/>
              </w:rPr>
              <w:t xml:space="preserve">   </w:t>
            </w:r>
            <w:r>
              <w:rPr>
                <w:rFonts w:hint="eastAsia"/>
                <w:color w:val="000000"/>
                <w:lang w:eastAsia="zh-CN"/>
              </w:rPr>
              <w:t>天入场；</w:t>
            </w:r>
            <w:r>
              <w:rPr>
                <w:rFonts w:hint="eastAsia"/>
                <w:color w:val="000000"/>
                <w:lang w:eastAsia="zh-CN"/>
              </w:rPr>
              <w:br w:type="textWrapping"/>
            </w:r>
            <w:r>
              <w:rPr>
                <w:rFonts w:hint="eastAsia"/>
                <w:color w:val="000000"/>
                <w:lang w:eastAsia="zh-CN"/>
              </w:rPr>
              <w:t xml:space="preserve">      三、付款方式：1）如比选方付款（合同中名称的甲方）：每批处置完毕且收到增值税专用发票后30天内一次性支付对应结算总价；</w:t>
            </w:r>
            <w:r>
              <w:rPr>
                <w:rFonts w:hint="eastAsia"/>
                <w:color w:val="000000"/>
                <w:lang w:eastAsia="zh-CN"/>
              </w:rPr>
              <w:br w:type="textWrapping"/>
            </w:r>
            <w:r>
              <w:rPr>
                <w:rFonts w:hint="eastAsia"/>
                <w:color w:val="000000"/>
                <w:lang w:eastAsia="zh-CN"/>
              </w:rPr>
              <w:t xml:space="preserve">                    2）如参选方付款（合同中名称的乙方）：参选方需把合同价款支付至比选方账户后提货，比选方开具1</w:t>
            </w:r>
            <w:r>
              <w:rPr>
                <w:color w:val="000000"/>
                <w:lang w:eastAsia="zh-CN"/>
              </w:rPr>
              <w:t>3</w:t>
            </w:r>
            <w:r>
              <w:rPr>
                <w:rFonts w:hint="eastAsia"/>
                <w:color w:val="000000"/>
                <w:lang w:eastAsia="zh-CN"/>
              </w:rPr>
              <w:t>%增值税专用发票至参选方（税票金额由参选方承担）；</w:t>
            </w:r>
          </w:p>
          <w:p>
            <w:pPr>
              <w:pStyle w:val="3"/>
              <w:spacing w:line="360" w:lineRule="auto"/>
              <w:ind w:left="0" w:firstLine="482" w:firstLineChars="200"/>
              <w:rPr>
                <w:b w:val="0"/>
                <w:bCs w:val="0"/>
                <w:color w:val="000000"/>
                <w:sz w:val="22"/>
                <w:szCs w:val="22"/>
                <w:lang w:eastAsia="zh-CN"/>
              </w:rPr>
            </w:pPr>
            <w:r>
              <w:rPr>
                <w:rFonts w:hint="eastAsia"/>
                <w:color w:val="000000"/>
                <w:lang w:eastAsia="zh-CN"/>
              </w:rPr>
              <w:t xml:space="preserve"> </w:t>
            </w:r>
            <w:r>
              <w:rPr>
                <w:b w:val="0"/>
                <w:bCs w:val="0"/>
                <w:color w:val="000000"/>
                <w:sz w:val="22"/>
                <w:szCs w:val="22"/>
                <w:lang w:eastAsia="zh-CN"/>
              </w:rPr>
              <w:t>四</w:t>
            </w:r>
            <w:r>
              <w:rPr>
                <w:rFonts w:hint="eastAsia"/>
                <w:b w:val="0"/>
                <w:bCs w:val="0"/>
                <w:color w:val="000000"/>
                <w:sz w:val="22"/>
                <w:szCs w:val="22"/>
                <w:lang w:eastAsia="zh-CN"/>
              </w:rPr>
              <w:t>、最后结算</w:t>
            </w:r>
            <w:r>
              <w:rPr>
                <w:b w:val="0"/>
                <w:bCs w:val="0"/>
                <w:color w:val="000000"/>
                <w:sz w:val="22"/>
                <w:szCs w:val="22"/>
                <w:lang w:eastAsia="zh-CN"/>
              </w:rPr>
              <w:t>实行浮动单价</w:t>
            </w:r>
            <w:r>
              <w:rPr>
                <w:rFonts w:hint="eastAsia"/>
                <w:b w:val="0"/>
                <w:bCs w:val="0"/>
                <w:color w:val="000000"/>
                <w:sz w:val="22"/>
                <w:szCs w:val="22"/>
                <w:lang w:eastAsia="zh-CN"/>
              </w:rPr>
              <w:t>，</w:t>
            </w:r>
            <w:r>
              <w:rPr>
                <w:b w:val="0"/>
                <w:bCs w:val="0"/>
                <w:color w:val="000000"/>
                <w:sz w:val="22"/>
                <w:szCs w:val="22"/>
                <w:lang w:eastAsia="zh-CN"/>
              </w:rPr>
              <w:t>卓创资讯废铅全国主流市场均价 (网址：https://www.sci99.com/monitor-646-0.html)，截标当日的价格</w:t>
            </w:r>
            <w:r>
              <w:rPr>
                <w:rFonts w:hint="eastAsia"/>
                <w:b w:val="0"/>
                <w:bCs w:val="0"/>
                <w:color w:val="000000"/>
                <w:sz w:val="22"/>
                <w:szCs w:val="22"/>
                <w:lang w:eastAsia="zh-CN"/>
              </w:rPr>
              <w:t>为基准价</w:t>
            </w:r>
            <w:r>
              <w:rPr>
                <w:b w:val="0"/>
                <w:bCs w:val="0"/>
                <w:color w:val="000000"/>
                <w:sz w:val="22"/>
                <w:szCs w:val="22"/>
                <w:lang w:eastAsia="zh-CN"/>
              </w:rPr>
              <w:t>，如提货当天与基准价</w:t>
            </w:r>
            <w:r>
              <w:rPr>
                <w:rFonts w:hint="eastAsia"/>
                <w:b w:val="0"/>
                <w:bCs w:val="0"/>
                <w:color w:val="000000"/>
                <w:sz w:val="22"/>
                <w:szCs w:val="22"/>
                <w:lang w:eastAsia="zh-CN"/>
              </w:rPr>
              <w:t>涨跌</w:t>
            </w:r>
            <w:r>
              <w:rPr>
                <w:b w:val="0"/>
                <w:bCs w:val="0"/>
                <w:color w:val="000000"/>
                <w:sz w:val="22"/>
                <w:szCs w:val="22"/>
                <w:lang w:eastAsia="zh-CN"/>
              </w:rPr>
              <w:t>相差10%以内，不调整，如提货前一天超出10%，随变化幅度调整结算价格。</w:t>
            </w:r>
            <w:r>
              <w:rPr>
                <w:rFonts w:hint="eastAsia"/>
                <w:b w:val="0"/>
                <w:bCs w:val="0"/>
                <w:color w:val="000000"/>
                <w:sz w:val="22"/>
                <w:szCs w:val="22"/>
                <w:lang w:eastAsia="zh-CN"/>
              </w:rPr>
              <w:t>公式</w:t>
            </w:r>
            <w:r>
              <w:rPr>
                <w:b w:val="0"/>
                <w:bCs w:val="0"/>
                <w:color w:val="000000"/>
                <w:sz w:val="22"/>
                <w:szCs w:val="22"/>
                <w:lang w:eastAsia="zh-CN"/>
              </w:rPr>
              <w:t>如下</w:t>
            </w:r>
            <w:r>
              <w:rPr>
                <w:rFonts w:hint="eastAsia"/>
                <w:b w:val="0"/>
                <w:bCs w:val="0"/>
                <w:color w:val="000000"/>
                <w:sz w:val="22"/>
                <w:szCs w:val="22"/>
                <w:lang w:eastAsia="zh-CN"/>
              </w:rPr>
              <w:t>：实际结算价格=</w:t>
            </w:r>
            <w:r>
              <w:rPr>
                <w:b w:val="0"/>
                <w:bCs w:val="0"/>
                <w:color w:val="000000"/>
                <w:sz w:val="22"/>
                <w:szCs w:val="22"/>
                <w:lang w:eastAsia="zh-CN"/>
              </w:rPr>
              <w:t xml:space="preserve"> 报价</w:t>
            </w:r>
            <w:r>
              <w:rPr>
                <w:rFonts w:hint="eastAsia"/>
                <w:b w:val="0"/>
                <w:bCs w:val="0"/>
                <w:color w:val="000000"/>
                <w:sz w:val="22"/>
                <w:szCs w:val="22"/>
                <w:lang w:eastAsia="zh-CN"/>
              </w:rPr>
              <w:t>×（1</w:t>
            </w:r>
            <w:r>
              <w:rPr>
                <w:b w:val="0"/>
                <w:bCs w:val="0"/>
                <w:color w:val="000000"/>
                <w:sz w:val="22"/>
                <w:szCs w:val="22"/>
                <w:lang w:eastAsia="zh-CN"/>
              </w:rPr>
              <w:t>-</w:t>
            </w:r>
            <w:r>
              <w:rPr>
                <w:rFonts w:hint="eastAsia"/>
                <w:b w:val="0"/>
                <w:bCs w:val="0"/>
                <w:color w:val="000000"/>
                <w:sz w:val="22"/>
                <w:szCs w:val="22"/>
                <w:lang w:eastAsia="zh-CN"/>
              </w:rPr>
              <w:t>（基准</w:t>
            </w:r>
            <w:r>
              <w:rPr>
                <w:b w:val="0"/>
                <w:bCs w:val="0"/>
                <w:color w:val="000000"/>
                <w:sz w:val="22"/>
                <w:szCs w:val="22"/>
                <w:lang w:eastAsia="zh-CN"/>
              </w:rPr>
              <w:t xml:space="preserve">价 </w:t>
            </w:r>
            <w:r>
              <w:rPr>
                <w:rFonts w:hint="eastAsia"/>
                <w:b w:val="0"/>
                <w:bCs w:val="0"/>
                <w:color w:val="000000"/>
                <w:sz w:val="22"/>
                <w:szCs w:val="22"/>
                <w:lang w:eastAsia="zh-CN"/>
              </w:rPr>
              <w:t>-提货前一天的价格）÷基准</w:t>
            </w:r>
            <w:r>
              <w:rPr>
                <w:b w:val="0"/>
                <w:bCs w:val="0"/>
                <w:color w:val="000000"/>
                <w:sz w:val="22"/>
                <w:szCs w:val="22"/>
                <w:lang w:eastAsia="zh-CN"/>
              </w:rPr>
              <w:t>价</w:t>
            </w:r>
            <w:r>
              <w:rPr>
                <w:rFonts w:hint="eastAsia"/>
                <w:b w:val="0"/>
                <w:bCs w:val="0"/>
                <w:color w:val="000000"/>
                <w:sz w:val="22"/>
                <w:szCs w:val="22"/>
                <w:lang w:eastAsia="zh-CN"/>
              </w:rPr>
              <w:t>）。</w:t>
            </w:r>
          </w:p>
          <w:p>
            <w:pPr>
              <w:widowControl/>
              <w:autoSpaceDE/>
              <w:autoSpaceDN/>
              <w:rPr>
                <w:color w:val="000000"/>
                <w:lang w:eastAsia="zh-CN"/>
              </w:rPr>
            </w:pPr>
          </w:p>
          <w:p>
            <w:pPr>
              <w:pStyle w:val="24"/>
              <w:jc w:val="right"/>
              <w:rPr>
                <w:rFonts w:hAnsi="宋体" w:cs="宋体"/>
                <w:color w:val="000000"/>
                <w:sz w:val="22"/>
              </w:rPr>
            </w:pPr>
          </w:p>
          <w:p>
            <w:pPr>
              <w:pStyle w:val="24"/>
              <w:jc w:val="right"/>
              <w:rPr>
                <w:rFonts w:hAnsi="宋体" w:cs="宋体"/>
                <w:color w:val="000000"/>
                <w:sz w:val="22"/>
              </w:rPr>
            </w:pPr>
          </w:p>
          <w:p>
            <w:pPr>
              <w:pStyle w:val="24"/>
              <w:jc w:val="right"/>
              <w:rPr>
                <w:rFonts w:hAnsi="宋体" w:cs="宋体"/>
                <w:color w:val="000000"/>
                <w:sz w:val="22"/>
              </w:rPr>
            </w:pPr>
            <w:r>
              <w:rPr>
                <w:rFonts w:hAnsi="宋体" w:cs="宋体"/>
                <w:color w:val="000000"/>
                <w:sz w:val="22"/>
              </w:rPr>
              <w:t>参选人</w:t>
            </w:r>
            <w:r>
              <w:rPr>
                <w:rFonts w:hint="eastAsia" w:hAnsi="宋体" w:cs="宋体"/>
                <w:color w:val="000000"/>
                <w:sz w:val="22"/>
              </w:rPr>
              <w:t>（盖单位公章）</w:t>
            </w:r>
          </w:p>
          <w:p>
            <w:pPr>
              <w:pStyle w:val="24"/>
              <w:jc w:val="right"/>
              <w:rPr>
                <w:rFonts w:hAnsi="宋体" w:cs="宋体"/>
                <w:color w:val="000000"/>
                <w:sz w:val="22"/>
              </w:rPr>
            </w:pPr>
          </w:p>
          <w:p>
            <w:pPr>
              <w:pStyle w:val="24"/>
              <w:jc w:val="right"/>
              <w:rPr>
                <w:rFonts w:hAnsi="宋体" w:cs="宋体"/>
                <w:color w:val="000000"/>
                <w:sz w:val="22"/>
              </w:rPr>
            </w:pPr>
          </w:p>
          <w:p>
            <w:pPr>
              <w:pStyle w:val="24"/>
              <w:jc w:val="right"/>
            </w:pPr>
            <w:r>
              <w:rPr>
                <w:rFonts w:hint="eastAsia" w:hAnsi="宋体" w:cs="宋体"/>
                <w:color w:val="000000"/>
                <w:sz w:val="22"/>
              </w:rPr>
              <w:t>年  月  日</w:t>
            </w:r>
          </w:p>
        </w:tc>
      </w:tr>
    </w:tbl>
    <w:p>
      <w:pPr>
        <w:widowControl/>
        <w:autoSpaceDE/>
        <w:autoSpaceDN/>
        <w:rPr>
          <w:b/>
          <w:sz w:val="21"/>
          <w:szCs w:val="21"/>
          <w:lang w:eastAsia="zh-CN"/>
        </w:rPr>
      </w:pPr>
    </w:p>
    <w:tbl>
      <w:tblPr>
        <w:tblStyle w:val="22"/>
        <w:tblW w:w="14441" w:type="dxa"/>
        <w:tblInd w:w="0" w:type="dxa"/>
        <w:tblLayout w:type="fixed"/>
        <w:tblCellMar>
          <w:top w:w="0" w:type="dxa"/>
          <w:left w:w="108" w:type="dxa"/>
          <w:bottom w:w="0" w:type="dxa"/>
          <w:right w:w="108" w:type="dxa"/>
        </w:tblCellMar>
      </w:tblPr>
      <w:tblGrid>
        <w:gridCol w:w="833"/>
        <w:gridCol w:w="1134"/>
        <w:gridCol w:w="2410"/>
        <w:gridCol w:w="1417"/>
        <w:gridCol w:w="1276"/>
        <w:gridCol w:w="1559"/>
        <w:gridCol w:w="1276"/>
        <w:gridCol w:w="1559"/>
        <w:gridCol w:w="1559"/>
        <w:gridCol w:w="1418"/>
      </w:tblGrid>
      <w:tr>
        <w:tblPrEx>
          <w:tblLayout w:type="fixed"/>
          <w:tblCellMar>
            <w:top w:w="0" w:type="dxa"/>
            <w:left w:w="108" w:type="dxa"/>
            <w:bottom w:w="0" w:type="dxa"/>
            <w:right w:w="108" w:type="dxa"/>
          </w:tblCellMar>
        </w:tblPrEx>
        <w:trPr>
          <w:trHeight w:val="550" w:hRule="atLeast"/>
        </w:trPr>
        <w:tc>
          <w:tcPr>
            <w:tcW w:w="14441" w:type="dxa"/>
            <w:gridSpan w:val="10"/>
            <w:tcBorders>
              <w:top w:val="nil"/>
              <w:left w:val="nil"/>
              <w:bottom w:val="nil"/>
              <w:right w:val="nil"/>
            </w:tcBorders>
            <w:shd w:val="clear" w:color="auto" w:fill="auto"/>
            <w:vAlign w:val="center"/>
          </w:tcPr>
          <w:p>
            <w:pPr>
              <w:widowControl/>
              <w:autoSpaceDE/>
              <w:autoSpaceDN/>
              <w:jc w:val="center"/>
              <w:rPr>
                <w:b/>
                <w:bCs/>
                <w:color w:val="000000"/>
                <w:sz w:val="28"/>
                <w:szCs w:val="28"/>
                <w:lang w:eastAsia="zh-CN"/>
              </w:rPr>
            </w:pPr>
            <w:r>
              <w:rPr>
                <w:rFonts w:hint="eastAsia"/>
                <w:b/>
                <w:bCs/>
                <w:color w:val="000000"/>
                <w:sz w:val="28"/>
                <w:szCs w:val="28"/>
                <w:lang w:eastAsia="zh-CN"/>
              </w:rPr>
              <w:t>福海创废润滑油委外处置价格清单（包</w:t>
            </w:r>
            <w:r>
              <w:rPr>
                <w:b/>
                <w:bCs/>
                <w:color w:val="000000"/>
                <w:sz w:val="28"/>
                <w:szCs w:val="28"/>
                <w:lang w:eastAsia="zh-CN"/>
              </w:rPr>
              <w:t>2</w:t>
            </w:r>
            <w:r>
              <w:rPr>
                <w:rFonts w:hint="eastAsia"/>
                <w:b/>
                <w:bCs/>
                <w:color w:val="000000"/>
                <w:sz w:val="28"/>
                <w:szCs w:val="28"/>
                <w:lang w:eastAsia="zh-CN"/>
              </w:rPr>
              <w:t>）</w:t>
            </w:r>
          </w:p>
        </w:tc>
      </w:tr>
      <w:tr>
        <w:tblPrEx>
          <w:tblLayout w:type="fixed"/>
          <w:tblCellMar>
            <w:top w:w="0" w:type="dxa"/>
            <w:left w:w="108" w:type="dxa"/>
            <w:bottom w:w="0" w:type="dxa"/>
            <w:right w:w="108" w:type="dxa"/>
          </w:tblCellMar>
        </w:tblPrEx>
        <w:trPr>
          <w:trHeight w:val="535" w:hRule="atLeast"/>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名称</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危废类别及代码</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有害成分</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预估量（吨）</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未税单价（元）</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总价（元）</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包装方式</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产生及签合同公司</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付款方</w:t>
            </w:r>
          </w:p>
        </w:tc>
      </w:tr>
      <w:tr>
        <w:tblPrEx>
          <w:tblLayout w:type="fixed"/>
          <w:tblCellMar>
            <w:top w:w="0" w:type="dxa"/>
            <w:left w:w="108" w:type="dxa"/>
            <w:bottom w:w="0" w:type="dxa"/>
            <w:right w:w="108" w:type="dxa"/>
          </w:tblCellMar>
        </w:tblPrEx>
        <w:trPr>
          <w:trHeight w:val="491" w:hRule="atLeast"/>
        </w:trPr>
        <w:tc>
          <w:tcPr>
            <w:tcW w:w="83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val="en-US" w:eastAsia="zh-CN"/>
              </w:rPr>
              <w:t>2</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废润滑油</w:t>
            </w:r>
          </w:p>
        </w:tc>
        <w:tc>
          <w:tcPr>
            <w:tcW w:w="241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HW08、900-217-08</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矿物油</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val="en-US" w:eastAsia="zh-CN"/>
              </w:rPr>
              <w:t>218</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桶装</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腾龙芳烃、翔鹭石化、翔鹭码头</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r>
      <w:tr>
        <w:tblPrEx>
          <w:tblLayout w:type="fixed"/>
          <w:tblCellMar>
            <w:top w:w="0" w:type="dxa"/>
            <w:left w:w="108" w:type="dxa"/>
            <w:bottom w:w="0" w:type="dxa"/>
            <w:right w:w="108" w:type="dxa"/>
          </w:tblCellMar>
        </w:tblPrEx>
        <w:trPr>
          <w:trHeight w:val="595" w:hRule="atLeast"/>
        </w:trPr>
        <w:tc>
          <w:tcPr>
            <w:tcW w:w="70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合计预估未税价格</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eastAsia="zh-CN"/>
              </w:rPr>
            </w:pPr>
            <w:r>
              <w:rPr>
                <w:rFonts w:hint="eastAsia"/>
                <w:color w:val="000000"/>
                <w:lang w:eastAsia="zh-CN"/>
              </w:rPr>
              <w:t>　</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eastAsia="zh-CN"/>
              </w:rPr>
            </w:pPr>
            <w:r>
              <w:rPr>
                <w:rFonts w:hint="eastAsia"/>
                <w:color w:val="000000"/>
                <w:lang w:eastAsia="zh-CN"/>
              </w:rPr>
              <w:t>　</w:t>
            </w:r>
          </w:p>
        </w:tc>
      </w:tr>
      <w:tr>
        <w:tblPrEx>
          <w:tblLayout w:type="fixed"/>
          <w:tblCellMar>
            <w:top w:w="0" w:type="dxa"/>
            <w:left w:w="108" w:type="dxa"/>
            <w:bottom w:w="0" w:type="dxa"/>
            <w:right w:w="108" w:type="dxa"/>
          </w:tblCellMar>
        </w:tblPrEx>
        <w:trPr>
          <w:trHeight w:val="2754" w:hRule="atLeast"/>
        </w:trPr>
        <w:tc>
          <w:tcPr>
            <w:tcW w:w="14441" w:type="dxa"/>
            <w:gridSpan w:val="10"/>
            <w:tcBorders>
              <w:top w:val="single" w:color="auto" w:sz="4" w:space="0"/>
              <w:left w:val="nil"/>
              <w:bottom w:val="nil"/>
              <w:right w:val="nil"/>
            </w:tcBorders>
            <w:shd w:val="clear" w:color="auto" w:fill="auto"/>
            <w:vAlign w:val="center"/>
          </w:tcPr>
          <w:p>
            <w:pPr>
              <w:widowControl/>
              <w:autoSpaceDE/>
              <w:autoSpaceDN/>
              <w:spacing w:line="360" w:lineRule="auto"/>
              <w:ind w:firstLine="440" w:firstLineChars="200"/>
              <w:rPr>
                <w:color w:val="000000"/>
                <w:lang w:eastAsia="zh-CN"/>
              </w:rPr>
            </w:pPr>
            <w:r>
              <w:rPr>
                <w:rFonts w:hint="eastAsia"/>
                <w:color w:val="000000"/>
                <w:lang w:eastAsia="zh-CN"/>
              </w:rPr>
              <w:t>说明：</w:t>
            </w:r>
          </w:p>
          <w:p>
            <w:pPr>
              <w:widowControl/>
              <w:autoSpaceDE/>
              <w:autoSpaceDN/>
              <w:spacing w:line="360" w:lineRule="auto"/>
              <w:ind w:firstLine="440" w:firstLineChars="200"/>
              <w:rPr>
                <w:color w:val="000000"/>
                <w:lang w:eastAsia="zh-CN"/>
              </w:rPr>
            </w:pPr>
            <w:r>
              <w:rPr>
                <w:rFonts w:hint="eastAsia"/>
                <w:color w:val="000000"/>
                <w:lang w:eastAsia="zh-CN"/>
              </w:rPr>
              <w:t>一、发票：增值税专用发票税率：</w:t>
            </w:r>
            <w:r>
              <w:rPr>
                <w:rFonts w:hint="eastAsia"/>
                <w:color w:val="000000"/>
                <w:u w:val="single"/>
                <w:lang w:eastAsia="zh-CN"/>
              </w:rPr>
              <w:t xml:space="preserve">     </w:t>
            </w:r>
            <w:r>
              <w:rPr>
                <w:rFonts w:hint="eastAsia"/>
                <w:color w:val="000000"/>
                <w:lang w:eastAsia="zh-CN"/>
              </w:rPr>
              <w:t>%；</w:t>
            </w:r>
            <w:r>
              <w:rPr>
                <w:color w:val="000000"/>
                <w:lang w:eastAsia="zh-CN"/>
              </w:rPr>
              <w:t xml:space="preserve">                </w:t>
            </w:r>
          </w:p>
          <w:p>
            <w:pPr>
              <w:widowControl/>
              <w:autoSpaceDE/>
              <w:autoSpaceDN/>
              <w:spacing w:line="360" w:lineRule="auto"/>
              <w:ind w:firstLine="440" w:firstLineChars="200"/>
              <w:rPr>
                <w:color w:val="000000"/>
                <w:lang w:eastAsia="zh-CN"/>
              </w:rPr>
            </w:pPr>
            <w:r>
              <w:rPr>
                <w:color w:val="000000"/>
                <w:lang w:eastAsia="zh-CN"/>
              </w:rPr>
              <w:t>二、工期：</w:t>
            </w:r>
            <w:r>
              <w:rPr>
                <w:rFonts w:hint="eastAsia"/>
                <w:color w:val="000000"/>
                <w:lang w:eastAsia="zh-CN"/>
              </w:rPr>
              <w:t>2</w:t>
            </w:r>
            <w:r>
              <w:rPr>
                <w:color w:val="000000"/>
                <w:lang w:eastAsia="zh-CN"/>
              </w:rPr>
              <w:t>02</w:t>
            </w:r>
            <w:r>
              <w:rPr>
                <w:rFonts w:hint="eastAsia"/>
                <w:color w:val="000000"/>
                <w:lang w:val="en-US" w:eastAsia="zh-CN"/>
              </w:rPr>
              <w:t>3</w:t>
            </w:r>
            <w:r>
              <w:rPr>
                <w:color w:val="000000"/>
                <w:lang w:eastAsia="zh-CN"/>
              </w:rPr>
              <w:t>年</w:t>
            </w:r>
            <w:r>
              <w:rPr>
                <w:rFonts w:hint="eastAsia"/>
                <w:color w:val="000000"/>
                <w:lang w:eastAsia="zh-CN"/>
              </w:rPr>
              <w:t>0</w:t>
            </w:r>
            <w:r>
              <w:rPr>
                <w:color w:val="000000"/>
                <w:lang w:eastAsia="zh-CN"/>
              </w:rPr>
              <w:t>4月</w:t>
            </w:r>
            <w:r>
              <w:rPr>
                <w:rFonts w:hint="eastAsia"/>
                <w:color w:val="000000"/>
                <w:lang w:eastAsia="zh-CN"/>
              </w:rPr>
              <w:t>0</w:t>
            </w:r>
            <w:r>
              <w:rPr>
                <w:color w:val="000000"/>
                <w:lang w:eastAsia="zh-CN"/>
              </w:rPr>
              <w:t>1日至202</w:t>
            </w:r>
            <w:r>
              <w:rPr>
                <w:rFonts w:hint="eastAsia"/>
                <w:color w:val="000000"/>
                <w:lang w:val="en-US" w:eastAsia="zh-CN"/>
              </w:rPr>
              <w:t>4</w:t>
            </w:r>
            <w:r>
              <w:rPr>
                <w:color w:val="000000"/>
                <w:lang w:eastAsia="zh-CN"/>
              </w:rPr>
              <w:t>年03月31日，每批货物接甲方通知后</w:t>
            </w:r>
            <w:r>
              <w:rPr>
                <w:color w:val="000000"/>
                <w:u w:val="single"/>
                <w:lang w:eastAsia="zh-CN"/>
              </w:rPr>
              <w:t xml:space="preserve">   </w:t>
            </w:r>
            <w:r>
              <w:rPr>
                <w:color w:val="000000"/>
                <w:lang w:eastAsia="zh-CN"/>
              </w:rPr>
              <w:t xml:space="preserve">天入场；               </w:t>
            </w:r>
          </w:p>
          <w:p>
            <w:pPr>
              <w:widowControl/>
              <w:autoSpaceDE/>
              <w:autoSpaceDN/>
              <w:spacing w:line="360" w:lineRule="auto"/>
              <w:ind w:firstLine="440" w:firstLineChars="200"/>
              <w:rPr>
                <w:color w:val="000000"/>
                <w:lang w:eastAsia="zh-CN"/>
              </w:rPr>
            </w:pPr>
            <w:r>
              <w:rPr>
                <w:color w:val="000000"/>
                <w:lang w:eastAsia="zh-CN"/>
              </w:rPr>
              <w:t>三、付款方式：1）如比选方付款（合同中名称的甲方）：每批处置完毕且收到增值税专用发票后30天内一次性支付对应结算总价；</w:t>
            </w:r>
          </w:p>
          <w:p>
            <w:pPr>
              <w:widowControl/>
              <w:autoSpaceDE/>
              <w:autoSpaceDN/>
              <w:spacing w:line="360" w:lineRule="auto"/>
              <w:ind w:firstLine="440" w:firstLineChars="200"/>
              <w:rPr>
                <w:color w:val="000000"/>
                <w:lang w:eastAsia="zh-CN"/>
              </w:rPr>
            </w:pPr>
            <w:r>
              <w:rPr>
                <w:color w:val="000000"/>
                <w:lang w:eastAsia="zh-CN"/>
              </w:rPr>
              <w:t xml:space="preserve">             2）如参选方付款（合同中名称的乙方）：参选方需把合同价款支付至比选方账户后提货，比选方开具增值税专用发票至参选方</w:t>
            </w:r>
            <w:r>
              <w:rPr>
                <w:rFonts w:hint="eastAsia"/>
                <w:color w:val="000000"/>
                <w:lang w:eastAsia="zh-CN"/>
              </w:rPr>
              <w:t>（税票金额由付款方承担）</w:t>
            </w:r>
            <w:r>
              <w:rPr>
                <w:color w:val="000000"/>
                <w:lang w:eastAsia="zh-CN"/>
              </w:rPr>
              <w:t>；</w:t>
            </w:r>
          </w:p>
          <w:p>
            <w:pPr>
              <w:widowControl/>
              <w:autoSpaceDE/>
              <w:autoSpaceDN/>
              <w:spacing w:line="360" w:lineRule="auto"/>
              <w:ind w:firstLine="440" w:firstLineChars="200"/>
              <w:rPr>
                <w:color w:val="000000"/>
                <w:lang w:eastAsia="zh-CN"/>
              </w:rPr>
            </w:pPr>
            <w:r>
              <w:rPr>
                <w:color w:val="000000"/>
                <w:lang w:eastAsia="zh-CN"/>
              </w:rPr>
              <w:t>四、比选人提供包装桶，过磅时，含桶的重量；</w:t>
            </w:r>
          </w:p>
          <w:p>
            <w:pPr>
              <w:widowControl/>
              <w:autoSpaceDE/>
              <w:autoSpaceDN/>
              <w:spacing w:line="360" w:lineRule="auto"/>
              <w:ind w:firstLine="440" w:firstLineChars="200"/>
              <w:rPr>
                <w:color w:val="000000"/>
                <w:lang w:eastAsia="zh-CN"/>
              </w:rPr>
            </w:pPr>
            <w:r>
              <w:rPr>
                <w:color w:val="000000"/>
                <w:lang w:eastAsia="zh-CN"/>
              </w:rPr>
              <w:t>五、因现场收集废润滑油品质各不相同，部分收集的废润滑油中含有少量水分，处置单位不得区分油品品质，分类处理，需统一报价，统一处理；</w:t>
            </w:r>
          </w:p>
          <w:p>
            <w:pPr>
              <w:pStyle w:val="3"/>
              <w:spacing w:line="360" w:lineRule="auto"/>
              <w:ind w:left="0" w:firstLine="440" w:firstLineChars="200"/>
              <w:rPr>
                <w:b w:val="0"/>
                <w:bCs w:val="0"/>
                <w:color w:val="000000"/>
                <w:sz w:val="22"/>
                <w:szCs w:val="22"/>
                <w:lang w:eastAsia="zh-CN"/>
              </w:rPr>
            </w:pPr>
            <w:r>
              <w:rPr>
                <w:b w:val="0"/>
                <w:bCs w:val="0"/>
                <w:color w:val="000000"/>
                <w:sz w:val="22"/>
                <w:szCs w:val="22"/>
                <w:lang w:eastAsia="zh-CN"/>
              </w:rPr>
              <w:t>六、卓创资讯公布截标当天润滑油/基础油全国主流市场均价 (网址：https://www.sci99.com/monitor-745-0.html)，如提货当天与截标日价格相差10%以内，不调整，如提货前一天超出10%，随变化幅度调整结算价格。</w:t>
            </w:r>
            <w:r>
              <w:rPr>
                <w:rFonts w:hint="eastAsia"/>
                <w:b w:val="0"/>
                <w:bCs w:val="0"/>
                <w:color w:val="000000"/>
                <w:sz w:val="22"/>
                <w:szCs w:val="22"/>
                <w:lang w:eastAsia="zh-CN"/>
              </w:rPr>
              <w:t>公式</w:t>
            </w:r>
            <w:r>
              <w:rPr>
                <w:b w:val="0"/>
                <w:bCs w:val="0"/>
                <w:color w:val="000000"/>
                <w:sz w:val="22"/>
                <w:szCs w:val="22"/>
                <w:lang w:eastAsia="zh-CN"/>
              </w:rPr>
              <w:t>如下</w:t>
            </w:r>
            <w:r>
              <w:rPr>
                <w:rFonts w:hint="eastAsia"/>
                <w:b w:val="0"/>
                <w:bCs w:val="0"/>
                <w:color w:val="000000"/>
                <w:sz w:val="22"/>
                <w:szCs w:val="22"/>
                <w:lang w:eastAsia="zh-CN"/>
              </w:rPr>
              <w:t>：实际结算价格=</w:t>
            </w:r>
            <w:r>
              <w:rPr>
                <w:b w:val="0"/>
                <w:bCs w:val="0"/>
                <w:color w:val="000000"/>
                <w:sz w:val="22"/>
                <w:szCs w:val="22"/>
                <w:lang w:eastAsia="zh-CN"/>
              </w:rPr>
              <w:t xml:space="preserve"> 报价</w:t>
            </w:r>
            <w:r>
              <w:rPr>
                <w:rFonts w:hint="eastAsia"/>
                <w:b w:val="0"/>
                <w:bCs w:val="0"/>
                <w:color w:val="000000"/>
                <w:sz w:val="22"/>
                <w:szCs w:val="22"/>
                <w:lang w:eastAsia="zh-CN"/>
              </w:rPr>
              <w:t>×（1</w:t>
            </w:r>
            <w:r>
              <w:rPr>
                <w:b w:val="0"/>
                <w:bCs w:val="0"/>
                <w:color w:val="000000"/>
                <w:sz w:val="22"/>
                <w:szCs w:val="22"/>
                <w:lang w:eastAsia="zh-CN"/>
              </w:rPr>
              <w:t>-</w:t>
            </w:r>
            <w:r>
              <w:rPr>
                <w:rFonts w:hint="eastAsia"/>
                <w:b w:val="0"/>
                <w:bCs w:val="0"/>
                <w:color w:val="000000"/>
                <w:sz w:val="22"/>
                <w:szCs w:val="22"/>
                <w:lang w:eastAsia="zh-CN"/>
              </w:rPr>
              <w:t>（基准</w:t>
            </w:r>
            <w:r>
              <w:rPr>
                <w:b w:val="0"/>
                <w:bCs w:val="0"/>
                <w:color w:val="000000"/>
                <w:sz w:val="22"/>
                <w:szCs w:val="22"/>
                <w:lang w:eastAsia="zh-CN"/>
              </w:rPr>
              <w:t xml:space="preserve">价 </w:t>
            </w:r>
            <w:r>
              <w:rPr>
                <w:rFonts w:hint="eastAsia"/>
                <w:b w:val="0"/>
                <w:bCs w:val="0"/>
                <w:color w:val="000000"/>
                <w:sz w:val="22"/>
                <w:szCs w:val="22"/>
                <w:lang w:eastAsia="zh-CN"/>
              </w:rPr>
              <w:t>-提货前一天的价格）÷基准</w:t>
            </w:r>
            <w:r>
              <w:rPr>
                <w:b w:val="0"/>
                <w:bCs w:val="0"/>
                <w:color w:val="000000"/>
                <w:sz w:val="22"/>
                <w:szCs w:val="22"/>
                <w:lang w:eastAsia="zh-CN"/>
              </w:rPr>
              <w:t>价</w:t>
            </w:r>
            <w:r>
              <w:rPr>
                <w:rFonts w:hint="eastAsia"/>
                <w:b w:val="0"/>
                <w:bCs w:val="0"/>
                <w:color w:val="000000"/>
                <w:sz w:val="22"/>
                <w:szCs w:val="22"/>
                <w:lang w:eastAsia="zh-CN"/>
              </w:rPr>
              <w:t>）</w:t>
            </w:r>
            <w:r>
              <w:rPr>
                <w:b w:val="0"/>
                <w:bCs w:val="0"/>
                <w:color w:val="000000"/>
                <w:sz w:val="22"/>
                <w:szCs w:val="22"/>
                <w:lang w:eastAsia="zh-CN"/>
              </w:rPr>
              <w:t>。</w:t>
            </w:r>
          </w:p>
          <w:p>
            <w:pPr>
              <w:pStyle w:val="3"/>
              <w:spacing w:line="360" w:lineRule="auto"/>
              <w:ind w:left="0" w:firstLine="482" w:firstLineChars="200"/>
              <w:jc w:val="right"/>
              <w:rPr>
                <w:lang w:eastAsia="zh-CN"/>
              </w:rPr>
            </w:pPr>
            <w:r>
              <w:rPr>
                <w:color w:val="000000"/>
                <w:lang w:eastAsia="zh-CN"/>
              </w:rPr>
              <w:t xml:space="preserve">               </w:t>
            </w:r>
            <w:r>
              <w:rPr>
                <w:color w:val="000000"/>
                <w:sz w:val="21"/>
                <w:szCs w:val="21"/>
                <w:lang w:eastAsia="zh-CN"/>
              </w:rPr>
              <w:t xml:space="preserve">                                                                参选人（盖单位公章）                                                                                   年  月  日</w:t>
            </w:r>
          </w:p>
        </w:tc>
      </w:tr>
    </w:tbl>
    <w:p>
      <w:pPr>
        <w:widowControl/>
        <w:autoSpaceDE/>
        <w:autoSpaceDN/>
        <w:rPr>
          <w:sz w:val="21"/>
          <w:szCs w:val="21"/>
          <w:lang w:eastAsia="zh-CN"/>
        </w:rPr>
        <w:sectPr>
          <w:pgSz w:w="16840" w:h="11910" w:orient="landscape"/>
          <w:pgMar w:top="1440" w:right="1080" w:bottom="1440" w:left="1080" w:header="0" w:footer="551" w:gutter="0"/>
          <w:cols w:space="720" w:num="1"/>
          <w:docGrid w:type="lines" w:linePitch="312" w:charSpace="0"/>
        </w:sectPr>
      </w:pPr>
    </w:p>
    <w:p>
      <w:pPr>
        <w:widowControl/>
        <w:autoSpaceDE/>
        <w:autoSpaceDN/>
        <w:rPr>
          <w:b/>
          <w:sz w:val="21"/>
          <w:szCs w:val="21"/>
          <w:lang w:eastAsia="zh-CN"/>
        </w:rPr>
      </w:pPr>
    </w:p>
    <w:p>
      <w:pPr>
        <w:widowControl/>
        <w:autoSpaceDE/>
        <w:autoSpaceDN/>
        <w:rPr>
          <w:b/>
          <w:sz w:val="21"/>
          <w:szCs w:val="21"/>
          <w:lang w:eastAsia="zh-CN"/>
        </w:rPr>
      </w:pPr>
    </w:p>
    <w:p>
      <w:pPr>
        <w:snapToGrid w:val="0"/>
        <w:spacing w:line="360" w:lineRule="auto"/>
        <w:jc w:val="center"/>
        <w:rPr>
          <w:b/>
          <w:sz w:val="21"/>
          <w:szCs w:val="21"/>
          <w:lang w:eastAsia="zh-CN"/>
        </w:rPr>
      </w:pPr>
      <w:r>
        <w:rPr>
          <w:rFonts w:hint="eastAsia"/>
          <w:b/>
          <w:sz w:val="21"/>
          <w:szCs w:val="21"/>
          <w:lang w:eastAsia="zh-CN"/>
        </w:rPr>
        <w:t>承诺函</w:t>
      </w:r>
    </w:p>
    <w:p>
      <w:pPr>
        <w:snapToGrid w:val="0"/>
        <w:spacing w:line="360" w:lineRule="auto"/>
        <w:rPr>
          <w:sz w:val="21"/>
          <w:szCs w:val="21"/>
          <w:lang w:eastAsia="zh-CN"/>
        </w:rPr>
      </w:pPr>
      <w:r>
        <w:rPr>
          <w:rFonts w:hint="eastAsia"/>
          <w:sz w:val="21"/>
          <w:szCs w:val="21"/>
          <w:lang w:eastAsia="zh-CN"/>
        </w:rPr>
        <w:t>致：福建福海创石油化工有限公司</w:t>
      </w:r>
    </w:p>
    <w:p>
      <w:pPr>
        <w:snapToGrid w:val="0"/>
        <w:spacing w:line="360" w:lineRule="auto"/>
        <w:ind w:firstLine="420" w:firstLineChars="200"/>
        <w:rPr>
          <w:sz w:val="21"/>
          <w:szCs w:val="21"/>
          <w:lang w:eastAsia="zh-CN"/>
        </w:rPr>
      </w:pPr>
      <w:r>
        <w:rPr>
          <w:rFonts w:hint="eastAsia"/>
          <w:sz w:val="21"/>
          <w:szCs w:val="21"/>
          <w:lang w:eastAsia="zh-CN"/>
        </w:rPr>
        <w:t>我方为对福建福海创石油化工有限公司</w:t>
      </w:r>
      <w:r>
        <w:rPr>
          <w:rFonts w:hint="eastAsia"/>
          <w:sz w:val="21"/>
          <w:szCs w:val="21"/>
          <w:u w:val="single"/>
          <w:lang w:eastAsia="zh-CN"/>
        </w:rPr>
        <w:t xml:space="preserve">                        </w:t>
      </w:r>
      <w:r>
        <w:rPr>
          <w:rFonts w:hint="eastAsia"/>
          <w:sz w:val="21"/>
          <w:szCs w:val="21"/>
          <w:lang w:eastAsia="zh-CN"/>
        </w:rPr>
        <w:t>项目比选文件表示完全响应，遵照公告的要求，特此确认并承诺：</w:t>
      </w:r>
    </w:p>
    <w:p>
      <w:pPr>
        <w:snapToGrid w:val="0"/>
        <w:spacing w:line="360" w:lineRule="auto"/>
        <w:ind w:firstLine="420" w:firstLineChars="200"/>
        <w:rPr>
          <w:sz w:val="21"/>
          <w:szCs w:val="21"/>
          <w:lang w:eastAsia="zh-CN"/>
        </w:rPr>
      </w:pPr>
      <w:r>
        <w:rPr>
          <w:rFonts w:hint="eastAsia"/>
          <w:sz w:val="21"/>
          <w:szCs w:val="21"/>
          <w:lang w:eastAsia="zh-CN"/>
        </w:rPr>
        <w:t>1、我方确认，我方已仔细阅读并研究了贵方的公告及其附件，我方完全熟悉其中的要求、条款和条件，并充分了解比选情况。</w:t>
      </w:r>
    </w:p>
    <w:p>
      <w:pPr>
        <w:snapToGrid w:val="0"/>
        <w:spacing w:line="360" w:lineRule="auto"/>
        <w:ind w:firstLine="420" w:firstLineChars="200"/>
        <w:rPr>
          <w:sz w:val="21"/>
          <w:szCs w:val="21"/>
          <w:lang w:eastAsia="zh-CN"/>
        </w:rPr>
      </w:pPr>
      <w:r>
        <w:rPr>
          <w:rFonts w:hint="eastAsia"/>
          <w:sz w:val="21"/>
          <w:szCs w:val="21"/>
          <w:lang w:eastAsia="zh-CN"/>
        </w:rPr>
        <w:t>2、我方确认：我方完全同意比选文件制定的交易规则。接受比选文件中所制定的评分标准。</w:t>
      </w:r>
    </w:p>
    <w:p>
      <w:pPr>
        <w:snapToGrid w:val="0"/>
        <w:spacing w:line="360" w:lineRule="auto"/>
        <w:ind w:firstLine="420" w:firstLineChars="200"/>
        <w:rPr>
          <w:sz w:val="21"/>
          <w:szCs w:val="21"/>
          <w:lang w:eastAsia="zh-CN"/>
        </w:rPr>
      </w:pPr>
      <w:r>
        <w:rPr>
          <w:rFonts w:hint="eastAsia"/>
          <w:sz w:val="21"/>
          <w:szCs w:val="21"/>
          <w:lang w:eastAsia="zh-CN"/>
        </w:rPr>
        <w:t>3、我方承诺：我方为参选方所提供的材料均为真实、合法、完整。</w:t>
      </w:r>
    </w:p>
    <w:p>
      <w:pPr>
        <w:snapToGrid w:val="0"/>
        <w:spacing w:line="360" w:lineRule="auto"/>
        <w:ind w:firstLine="420" w:firstLineChars="200"/>
        <w:rPr>
          <w:sz w:val="21"/>
          <w:szCs w:val="21"/>
          <w:lang w:eastAsia="zh-CN"/>
        </w:rPr>
      </w:pPr>
      <w:r>
        <w:rPr>
          <w:rFonts w:hint="eastAsia"/>
          <w:sz w:val="21"/>
          <w:szCs w:val="21"/>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pPr>
        <w:snapToGrid w:val="0"/>
        <w:spacing w:line="360" w:lineRule="auto"/>
        <w:ind w:firstLine="525" w:firstLineChars="250"/>
        <w:rPr>
          <w:sz w:val="21"/>
          <w:szCs w:val="21"/>
          <w:lang w:eastAsia="zh-CN"/>
        </w:rPr>
      </w:pPr>
      <w:r>
        <w:rPr>
          <w:rFonts w:hint="eastAsia"/>
          <w:sz w:val="21"/>
          <w:szCs w:val="21"/>
          <w:lang w:eastAsia="zh-CN"/>
        </w:rPr>
        <w:t>特此承诺。</w:t>
      </w:r>
    </w:p>
    <w:p>
      <w:pPr>
        <w:snapToGrid w:val="0"/>
        <w:spacing w:line="360" w:lineRule="auto"/>
        <w:rPr>
          <w:sz w:val="21"/>
          <w:szCs w:val="21"/>
          <w:lang w:eastAsia="zh-CN"/>
        </w:rPr>
      </w:pPr>
      <w:r>
        <w:rPr>
          <w:rFonts w:hint="eastAsia"/>
          <w:sz w:val="21"/>
          <w:szCs w:val="21"/>
          <w:lang w:eastAsia="zh-CN"/>
        </w:rPr>
        <w:t>意向参选方（盖章）：</w:t>
      </w:r>
      <w:r>
        <w:rPr>
          <w:rFonts w:hint="eastAsia"/>
          <w:sz w:val="21"/>
          <w:szCs w:val="21"/>
          <w:u w:val="single"/>
          <w:lang w:eastAsia="zh-CN"/>
        </w:rPr>
        <w:t xml:space="preserve">                                   </w:t>
      </w:r>
      <w:r>
        <w:rPr>
          <w:rFonts w:hint="eastAsia"/>
          <w:sz w:val="21"/>
          <w:szCs w:val="21"/>
          <w:lang w:eastAsia="zh-CN"/>
        </w:rPr>
        <w:t xml:space="preserve">                      </w:t>
      </w:r>
    </w:p>
    <w:p>
      <w:pPr>
        <w:snapToGrid w:val="0"/>
        <w:spacing w:line="360" w:lineRule="auto"/>
        <w:rPr>
          <w:sz w:val="21"/>
          <w:szCs w:val="21"/>
          <w:lang w:eastAsia="zh-CN"/>
        </w:rPr>
      </w:pPr>
      <w:r>
        <w:rPr>
          <w:rFonts w:hint="eastAsia"/>
          <w:sz w:val="21"/>
          <w:szCs w:val="21"/>
          <w:lang w:eastAsia="zh-CN"/>
        </w:rPr>
        <w:t>法定代表人或委托代理人（签字或盖章）：</w:t>
      </w:r>
      <w:r>
        <w:rPr>
          <w:rFonts w:hint="eastAsia"/>
          <w:sz w:val="21"/>
          <w:szCs w:val="21"/>
          <w:u w:val="single"/>
          <w:lang w:eastAsia="zh-CN"/>
        </w:rPr>
        <w:t xml:space="preserve">                 </w:t>
      </w:r>
      <w:r>
        <w:rPr>
          <w:rFonts w:hint="eastAsia"/>
          <w:sz w:val="21"/>
          <w:szCs w:val="21"/>
          <w:lang w:eastAsia="zh-CN"/>
        </w:rPr>
        <w:t xml:space="preserve">         </w:t>
      </w:r>
    </w:p>
    <w:p>
      <w:pPr>
        <w:snapToGrid w:val="0"/>
        <w:spacing w:line="360" w:lineRule="auto"/>
        <w:rPr>
          <w:sz w:val="21"/>
          <w:szCs w:val="21"/>
          <w:lang w:eastAsia="zh-CN"/>
        </w:rPr>
      </w:pPr>
      <w:r>
        <w:rPr>
          <w:rFonts w:hint="eastAsia"/>
          <w:sz w:val="21"/>
          <w:szCs w:val="21"/>
          <w:lang w:eastAsia="zh-CN"/>
        </w:rPr>
        <w:t>地  址：</w:t>
      </w:r>
      <w:r>
        <w:rPr>
          <w:rFonts w:hint="eastAsia"/>
          <w:sz w:val="21"/>
          <w:szCs w:val="21"/>
          <w:u w:val="single"/>
          <w:lang w:eastAsia="zh-CN"/>
        </w:rPr>
        <w:t xml:space="preserve">                                              </w:t>
      </w:r>
      <w:r>
        <w:rPr>
          <w:rFonts w:hint="eastAsia"/>
          <w:sz w:val="21"/>
          <w:szCs w:val="21"/>
          <w:lang w:eastAsia="zh-CN"/>
        </w:rPr>
        <w:t xml:space="preserve">                                 </w:t>
      </w:r>
    </w:p>
    <w:p>
      <w:pPr>
        <w:snapToGrid w:val="0"/>
        <w:spacing w:line="360" w:lineRule="auto"/>
        <w:rPr>
          <w:sz w:val="21"/>
          <w:szCs w:val="21"/>
          <w:lang w:eastAsia="zh-CN"/>
        </w:rPr>
      </w:pPr>
      <w:r>
        <w:rPr>
          <w:rFonts w:hint="eastAsia"/>
          <w:sz w:val="21"/>
          <w:szCs w:val="21"/>
          <w:lang w:eastAsia="zh-CN"/>
        </w:rPr>
        <w:t>联系人：</w:t>
      </w:r>
      <w:r>
        <w:rPr>
          <w:rFonts w:hint="eastAsia"/>
          <w:sz w:val="21"/>
          <w:szCs w:val="21"/>
          <w:u w:val="single"/>
          <w:lang w:eastAsia="zh-CN"/>
        </w:rPr>
        <w:t xml:space="preserve">                                              </w:t>
      </w:r>
      <w:r>
        <w:rPr>
          <w:rFonts w:hint="eastAsia"/>
          <w:sz w:val="21"/>
          <w:szCs w:val="21"/>
          <w:lang w:eastAsia="zh-CN"/>
        </w:rPr>
        <w:t xml:space="preserve">                                 </w:t>
      </w:r>
    </w:p>
    <w:p>
      <w:pPr>
        <w:snapToGrid w:val="0"/>
        <w:spacing w:line="360" w:lineRule="auto"/>
        <w:rPr>
          <w:sz w:val="21"/>
          <w:szCs w:val="21"/>
          <w:u w:val="single"/>
          <w:lang w:eastAsia="zh-CN"/>
        </w:rPr>
      </w:pPr>
      <w:r>
        <w:rPr>
          <w:rFonts w:hint="eastAsia"/>
          <w:sz w:val="21"/>
          <w:szCs w:val="21"/>
          <w:lang w:eastAsia="zh-CN"/>
        </w:rPr>
        <w:t>电  话：</w:t>
      </w:r>
      <w:r>
        <w:rPr>
          <w:rFonts w:hint="eastAsia"/>
          <w:sz w:val="21"/>
          <w:szCs w:val="21"/>
          <w:u w:val="single"/>
          <w:lang w:eastAsia="zh-CN"/>
        </w:rPr>
        <w:t xml:space="preserve">                                              </w:t>
      </w:r>
    </w:p>
    <w:p>
      <w:pPr>
        <w:snapToGrid w:val="0"/>
        <w:spacing w:line="360" w:lineRule="auto"/>
        <w:rPr>
          <w:sz w:val="21"/>
          <w:szCs w:val="21"/>
          <w:lang w:eastAsia="zh-CN"/>
        </w:rPr>
      </w:pPr>
      <w:r>
        <w:rPr>
          <w:rFonts w:hint="eastAsia"/>
          <w:sz w:val="21"/>
          <w:szCs w:val="21"/>
          <w:lang w:eastAsia="zh-CN"/>
        </w:rPr>
        <w:t xml:space="preserve">邮箱： </w:t>
      </w:r>
      <w:r>
        <w:rPr>
          <w:rFonts w:hint="eastAsia"/>
          <w:sz w:val="21"/>
          <w:szCs w:val="21"/>
          <w:u w:val="single"/>
          <w:lang w:eastAsia="zh-CN"/>
        </w:rPr>
        <w:t xml:space="preserve">                                               </w:t>
      </w:r>
    </w:p>
    <w:p>
      <w:pPr>
        <w:widowControl/>
        <w:autoSpaceDE/>
        <w:autoSpaceDN/>
        <w:spacing w:line="360" w:lineRule="auto"/>
        <w:rPr>
          <w:sz w:val="21"/>
          <w:szCs w:val="21"/>
          <w:lang w:eastAsia="zh-CN"/>
        </w:rPr>
      </w:pPr>
      <w:r>
        <w:rPr>
          <w:rFonts w:hint="eastAsia"/>
          <w:sz w:val="21"/>
          <w:szCs w:val="21"/>
          <w:lang w:eastAsia="zh-CN"/>
        </w:rPr>
        <w:t>日期：</w:t>
      </w:r>
      <w:r>
        <w:rPr>
          <w:rFonts w:hint="eastAsia"/>
          <w:sz w:val="21"/>
          <w:szCs w:val="21"/>
          <w:u w:val="single"/>
          <w:lang w:eastAsia="zh-CN"/>
        </w:rPr>
        <w:t xml:space="preserve">         </w:t>
      </w:r>
      <w:r>
        <w:rPr>
          <w:rFonts w:hint="eastAsia"/>
          <w:sz w:val="21"/>
          <w:szCs w:val="21"/>
          <w:lang w:eastAsia="zh-CN"/>
        </w:rPr>
        <w:t>年</w:t>
      </w:r>
      <w:r>
        <w:rPr>
          <w:rFonts w:hint="eastAsia"/>
          <w:sz w:val="21"/>
          <w:szCs w:val="21"/>
          <w:u w:val="single"/>
          <w:lang w:eastAsia="zh-CN"/>
        </w:rPr>
        <w:t xml:space="preserve">        </w:t>
      </w:r>
      <w:r>
        <w:rPr>
          <w:rFonts w:hint="eastAsia"/>
          <w:sz w:val="21"/>
          <w:szCs w:val="21"/>
          <w:lang w:eastAsia="zh-CN"/>
        </w:rPr>
        <w:t>月</w:t>
      </w:r>
      <w:r>
        <w:rPr>
          <w:rFonts w:hint="eastAsia"/>
          <w:sz w:val="21"/>
          <w:szCs w:val="21"/>
          <w:u w:val="single"/>
          <w:lang w:eastAsia="zh-CN"/>
        </w:rPr>
        <w:t xml:space="preserve">       </w:t>
      </w:r>
      <w:r>
        <w:rPr>
          <w:rFonts w:hint="eastAsia"/>
          <w:sz w:val="21"/>
          <w:szCs w:val="21"/>
          <w:lang w:eastAsia="zh-CN"/>
        </w:rPr>
        <w:t>日</w:t>
      </w:r>
      <w:bookmarkEnd w:id="0"/>
    </w:p>
    <w:p>
      <w:pPr>
        <w:pStyle w:val="24"/>
      </w:pPr>
      <w:r>
        <w:br w:type="page"/>
      </w:r>
    </w:p>
    <w:p>
      <w:pPr>
        <w:widowControl/>
        <w:autoSpaceDE/>
        <w:autoSpaceDN/>
        <w:spacing w:line="360" w:lineRule="auto"/>
        <w:jc w:val="center"/>
        <w:rPr>
          <w:lang w:eastAsia="zh-CN"/>
        </w:rPr>
      </w:pPr>
      <w:r>
        <w:rPr>
          <w:rFonts w:hint="eastAsia"/>
          <w:lang w:eastAsia="zh-CN"/>
        </w:rPr>
        <w:t>偏离表（如有）</w:t>
      </w:r>
    </w:p>
    <w:sectPr>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MS Sans Serif">
    <w:altName w:val="Arial"/>
    <w:panose1 w:val="020B0500000000000000"/>
    <w:charset w:val="00"/>
    <w:family w:val="swiss"/>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件">
    <w:altName w:val="Segoe Print"/>
    <w:panose1 w:val="00000000000000000000"/>
    <w:charset w:val="00"/>
    <w:family w:val="auto"/>
    <w:pitch w:val="default"/>
    <w:sig w:usb0="00000000" w:usb1="00000000" w:usb2="00000000" w:usb3="00000000" w:csb0="00000000" w:csb1="00000000"/>
  </w:font>
  <w:font w:name="'宋体">
    <w:altName w:val="宋体"/>
    <w:panose1 w:val="00000000000000000000"/>
    <w:charset w:val="86"/>
    <w:family w:val="auto"/>
    <w:pitch w:val="default"/>
    <w:sig w:usb0="00000000" w:usb1="00000000" w:usb2="00000010" w:usb3="00000000" w:csb0="00040000"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57216"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305.95pt;margin-top:803.4pt;height:12pt;width:38pt;mso-position-horizontal-relative:page;mso-position-vertical-relative:page;z-index:-251659264;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GWshVPhAQAAuAMAAA4AAABkcnMvZTJvRG9jLnhtbK1T&#10;227bMAx9H7B/EPS+2DG6oDDiFF2LDgO6C9D2AxhZjoXZokYpsbOvHyXHabe+FXsRaF4ODw/p9dXY&#10;d+KgyRu0lVwucim0VVgbu6vk0+Pdh0spfABbQ4dWV/KovbzavH+3HlypC2yxqzUJBrG+HFwl2xBc&#10;mWVetboHv0CnLQcbpB4Cf9IuqwkGRu+7rMjzVTYg1Y5Qae/ZezsF5SbhN41W4XvTeB1EV0nmFtJL&#10;6d3GN9usodwRuNaoEw14A4sejOWmZ6hbCCD2ZF5B9UYRemzCQmGfYdMYpdMMPM0y/2eahxacTrOw&#10;ON6dZfL/D1Z9O/wgYepKFlJY6HlFj3oM4hOOYpkXqyjQ4HzJeQ+OM8PIEV50Gta7e1Q/vbB404Ld&#10;6WsiHFoNNRNcxsrsRemE4yPIdviKNXeCfcAENDbUR/VYD8HovKjjeTmRjWLnxWWxyjmiOLT8WFyw&#10;HTtAORc78uGzxl5Eo5LEu0/gcLj3YUqdU2Ivi3em69gPZWf/cjBm9CTyke/EPIzbkbPjRFusjzwG&#10;4XROfP5stEi/pRj4lCrpf+2BtBTdF8tSxLubDZqN7WyAVVxaySDFZN6E6T73jsyuZeRJbIvXLFdj&#10;0ijPLE48+TySGKdTjvf38jtlPf9wm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6cVe2QAAAA0B&#10;AAAPAAAAAAAAAAEAIAAAACIAAABkcnMvZG93bnJldi54bWxQSwECFAAUAAAACACHTuJAZayFU+EB&#10;AAC4AwAADgAAAAAAAAABACAAAAAoAQAAZHJzL2Uyb0RvYy54bWxQSwUGAAAAAAYABgBZAQAAew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left:310.5pt;margin-top:803.4pt;height:12pt;width:38pt;mso-position-horizontal-relative:page;mso-position-vertical-relative:page;z-index:-251658240;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SkUmThAQAAuAMAAA4AAABkcnMvZTJvRG9jLnhtbK1T&#10;227bMAx9H7B/EPS+2Am6IjDiFF2LDgO6C9D2A2hZjoXZokYpsbOvHyXHabe+FXsRaF4OzyHpzdXY&#10;d+KgyRu0pVwucim0VVgbuyvl0+Pdh7UUPoCtoUOrS3nUXl5t37/bDK7QK2yxqzUJBrG+GFwp2xBc&#10;kWVetboHv0CnLQcbpB4Cf9IuqwkGRu+7bJXnl9mAVDtCpb1n7+0UlNuE3zRahe9N43UQXSmZW0gv&#10;pbeKb7bdQLEjcK1RJxrwBhY9GMtNz1C3EEDsybyC6o0i9NiEhcI+w6YxSicNrGaZ/6PmoQWnkxYe&#10;jnfnMfn/B6u+HX6QMDXvTgoLPa/oUY9BfMJRLPPVOg5ocL7gvAfHmWHkSEyOYr27R/XTC4s3Ldid&#10;vibCodVQM8FlrMxelE44PoJUw1esuRPsAyagsaE+AvI8BKPzoo7n5UQ2ip0X69VlzhHFoeXH1QXb&#10;sQMUc7EjHz5r7EU0Skm8+wQOh3sfptQ5JfayeGe6jv1QdPYvB2NGTyIf+U7Mw1iNnB0VVVgfWQbh&#10;dE58/my0SL+lGPiUSul/7YG0FN0Xy6OIdzcbNBvVbIBVXFrKIMVk3oTpPveOzK5l5GnYFq95XI1J&#10;Up5ZnHjyeaRhnE453t/L75T1/MN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vZTB2QAAAA0B&#10;AAAPAAAAAAAAAAEAIAAAACIAAABkcnMvZG93bnJldi54bWxQSwECFAAUAAAACACHTuJABKRSZOEB&#10;AAC4AwAADgAAAAAAAAABACAAAAAoAQAAZHJzL2Uyb0RvYy54bWxQSwUGAAAAAAYABgBZAQAAew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7C4E"/>
    <w:multiLevelType w:val="multilevel"/>
    <w:tmpl w:val="0B097C4E"/>
    <w:lvl w:ilvl="0" w:tentative="0">
      <w:start w:val="1"/>
      <w:numFmt w:val="japaneseCounting"/>
      <w:lvlText w:val="%1、"/>
      <w:lvlJc w:val="left"/>
      <w:pPr>
        <w:ind w:left="720" w:hanging="720"/>
      </w:pPr>
      <w:rPr>
        <w:rFonts w:hint="default" w:ascii="Calibri" w:hAnsi="Calibri"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C46C65"/>
    <w:multiLevelType w:val="multilevel"/>
    <w:tmpl w:val="0CC46C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C52249"/>
    <w:multiLevelType w:val="multilevel"/>
    <w:tmpl w:val="0CC52249"/>
    <w:lvl w:ilvl="0" w:tentative="0">
      <w:start w:val="1"/>
      <w:numFmt w:val="decimal"/>
      <w:suff w:val="space"/>
      <w:lvlText w:val="%1、"/>
      <w:lvlJc w:val="left"/>
      <w:pPr>
        <w:ind w:left="77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4">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36784644"/>
    <w:multiLevelType w:val="multilevel"/>
    <w:tmpl w:val="36784644"/>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505919B1"/>
    <w:multiLevelType w:val="multilevel"/>
    <w:tmpl w:val="505919B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18470A2"/>
    <w:multiLevelType w:val="multilevel"/>
    <w:tmpl w:val="518470A2"/>
    <w:lvl w:ilvl="0" w:tentative="0">
      <w:start w:val="1"/>
      <w:numFmt w:val="decimal"/>
      <w:suff w:val="space"/>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9">
    <w:nsid w:val="60350D40"/>
    <w:multiLevelType w:val="multilevel"/>
    <w:tmpl w:val="60350D40"/>
    <w:lvl w:ilvl="0" w:tentative="0">
      <w:start w:val="1"/>
      <w:numFmt w:val="chineseCountingThousand"/>
      <w:suff w:val="space"/>
      <w:lvlText w:val="%1、"/>
      <w:lvlJc w:val="left"/>
      <w:pPr>
        <w:ind w:left="832" w:hanging="420"/>
      </w:pPr>
      <w:rPr>
        <w:rFonts w:hint="default"/>
        <w:lang w:val="en-US"/>
      </w:rPr>
    </w:lvl>
    <w:lvl w:ilvl="1" w:tentative="0">
      <w:start w:val="1"/>
      <w:numFmt w:val="decimal"/>
      <w:suff w:val="space"/>
      <w:lvlText w:val="%2、"/>
      <w:lvlJc w:val="left"/>
      <w:pPr>
        <w:ind w:left="1192" w:hanging="360"/>
      </w:pPr>
      <w:rPr>
        <w:rFonts w:hint="default"/>
      </w:r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0">
    <w:nsid w:val="6AC72BA6"/>
    <w:multiLevelType w:val="multilevel"/>
    <w:tmpl w:val="6AC72BA6"/>
    <w:lvl w:ilvl="0" w:tentative="0">
      <w:start w:val="1"/>
      <w:numFmt w:val="decimal"/>
      <w:suff w:val="space"/>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9"/>
  </w:num>
  <w:num w:numId="2">
    <w:abstractNumId w:val="2"/>
  </w:num>
  <w:num w:numId="3">
    <w:abstractNumId w:val="10"/>
  </w:num>
  <w:num w:numId="4">
    <w:abstractNumId w:val="8"/>
  </w:num>
  <w:num w:numId="5">
    <w:abstractNumId w:val="4"/>
  </w:num>
  <w:num w:numId="6">
    <w:abstractNumId w:val="7"/>
  </w:num>
  <w:num w:numId="7">
    <w:abstractNumId w:val="5"/>
  </w:num>
  <w:num w:numId="8">
    <w:abstractNumId w:val="0"/>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15F9"/>
    <w:rsid w:val="00001E49"/>
    <w:rsid w:val="00004863"/>
    <w:rsid w:val="00004AA4"/>
    <w:rsid w:val="000058E7"/>
    <w:rsid w:val="000063FC"/>
    <w:rsid w:val="00006C19"/>
    <w:rsid w:val="00014A8D"/>
    <w:rsid w:val="00014C26"/>
    <w:rsid w:val="00024707"/>
    <w:rsid w:val="000251D6"/>
    <w:rsid w:val="00034969"/>
    <w:rsid w:val="000402A1"/>
    <w:rsid w:val="000407E0"/>
    <w:rsid w:val="00044302"/>
    <w:rsid w:val="00045996"/>
    <w:rsid w:val="0004749E"/>
    <w:rsid w:val="00050FC7"/>
    <w:rsid w:val="00053B03"/>
    <w:rsid w:val="00053E13"/>
    <w:rsid w:val="00054F0C"/>
    <w:rsid w:val="000620FD"/>
    <w:rsid w:val="0006365E"/>
    <w:rsid w:val="000704C1"/>
    <w:rsid w:val="0007216F"/>
    <w:rsid w:val="00073518"/>
    <w:rsid w:val="00076FA4"/>
    <w:rsid w:val="00076FE6"/>
    <w:rsid w:val="000836AF"/>
    <w:rsid w:val="0009088D"/>
    <w:rsid w:val="000912A3"/>
    <w:rsid w:val="00095EEE"/>
    <w:rsid w:val="000961D7"/>
    <w:rsid w:val="000A3C05"/>
    <w:rsid w:val="000B0E6C"/>
    <w:rsid w:val="000B202C"/>
    <w:rsid w:val="000B7331"/>
    <w:rsid w:val="000C276C"/>
    <w:rsid w:val="000C2801"/>
    <w:rsid w:val="000C3B33"/>
    <w:rsid w:val="000C5660"/>
    <w:rsid w:val="000C65FA"/>
    <w:rsid w:val="000C7CEB"/>
    <w:rsid w:val="000D1838"/>
    <w:rsid w:val="000D3186"/>
    <w:rsid w:val="000D3DF7"/>
    <w:rsid w:val="000D57BF"/>
    <w:rsid w:val="000E117A"/>
    <w:rsid w:val="000E18BE"/>
    <w:rsid w:val="000E1C96"/>
    <w:rsid w:val="000E5056"/>
    <w:rsid w:val="000F2553"/>
    <w:rsid w:val="000F396C"/>
    <w:rsid w:val="000F75F1"/>
    <w:rsid w:val="00100885"/>
    <w:rsid w:val="001012CA"/>
    <w:rsid w:val="00102148"/>
    <w:rsid w:val="00105308"/>
    <w:rsid w:val="00105C3C"/>
    <w:rsid w:val="001063D3"/>
    <w:rsid w:val="00114625"/>
    <w:rsid w:val="001203B1"/>
    <w:rsid w:val="00120DD5"/>
    <w:rsid w:val="001212B1"/>
    <w:rsid w:val="00121DC9"/>
    <w:rsid w:val="00121EFA"/>
    <w:rsid w:val="001222FC"/>
    <w:rsid w:val="00124A88"/>
    <w:rsid w:val="00126905"/>
    <w:rsid w:val="001306A6"/>
    <w:rsid w:val="00131C29"/>
    <w:rsid w:val="001345AB"/>
    <w:rsid w:val="001348E6"/>
    <w:rsid w:val="00137203"/>
    <w:rsid w:val="0014500C"/>
    <w:rsid w:val="001516D7"/>
    <w:rsid w:val="0015488F"/>
    <w:rsid w:val="001553AF"/>
    <w:rsid w:val="001565F4"/>
    <w:rsid w:val="00156630"/>
    <w:rsid w:val="00162C1F"/>
    <w:rsid w:val="0016567C"/>
    <w:rsid w:val="001728E3"/>
    <w:rsid w:val="00177D52"/>
    <w:rsid w:val="00181CF0"/>
    <w:rsid w:val="0018230A"/>
    <w:rsid w:val="00183F69"/>
    <w:rsid w:val="001858CE"/>
    <w:rsid w:val="00185E9A"/>
    <w:rsid w:val="00193618"/>
    <w:rsid w:val="00193817"/>
    <w:rsid w:val="001942C5"/>
    <w:rsid w:val="001979DF"/>
    <w:rsid w:val="00197AC1"/>
    <w:rsid w:val="001A04B8"/>
    <w:rsid w:val="001A44A2"/>
    <w:rsid w:val="001A77D9"/>
    <w:rsid w:val="001B0325"/>
    <w:rsid w:val="001B19D0"/>
    <w:rsid w:val="001B698B"/>
    <w:rsid w:val="001B6D68"/>
    <w:rsid w:val="001B7F70"/>
    <w:rsid w:val="001C099B"/>
    <w:rsid w:val="001C0FEE"/>
    <w:rsid w:val="001C2587"/>
    <w:rsid w:val="001C5C2D"/>
    <w:rsid w:val="001C619E"/>
    <w:rsid w:val="001C71E5"/>
    <w:rsid w:val="001D1195"/>
    <w:rsid w:val="001D2981"/>
    <w:rsid w:val="001D333B"/>
    <w:rsid w:val="001D4B2E"/>
    <w:rsid w:val="001D700D"/>
    <w:rsid w:val="001E4B3F"/>
    <w:rsid w:val="001E5218"/>
    <w:rsid w:val="001E6D44"/>
    <w:rsid w:val="001E7E59"/>
    <w:rsid w:val="001F0C0E"/>
    <w:rsid w:val="001F0C79"/>
    <w:rsid w:val="001F1F3E"/>
    <w:rsid w:val="001F534F"/>
    <w:rsid w:val="002004B8"/>
    <w:rsid w:val="002004D5"/>
    <w:rsid w:val="00204373"/>
    <w:rsid w:val="00204B24"/>
    <w:rsid w:val="002102DD"/>
    <w:rsid w:val="00211608"/>
    <w:rsid w:val="00212363"/>
    <w:rsid w:val="002132AA"/>
    <w:rsid w:val="00214559"/>
    <w:rsid w:val="00222DE0"/>
    <w:rsid w:val="00226F69"/>
    <w:rsid w:val="00227520"/>
    <w:rsid w:val="00227556"/>
    <w:rsid w:val="002347D6"/>
    <w:rsid w:val="00235294"/>
    <w:rsid w:val="002369EE"/>
    <w:rsid w:val="002406A8"/>
    <w:rsid w:val="00240838"/>
    <w:rsid w:val="00241B64"/>
    <w:rsid w:val="002458C5"/>
    <w:rsid w:val="002464C6"/>
    <w:rsid w:val="002470FE"/>
    <w:rsid w:val="002530B6"/>
    <w:rsid w:val="00255CB4"/>
    <w:rsid w:val="00255ED9"/>
    <w:rsid w:val="002631AA"/>
    <w:rsid w:val="00265419"/>
    <w:rsid w:val="00266D4A"/>
    <w:rsid w:val="00270B52"/>
    <w:rsid w:val="00274930"/>
    <w:rsid w:val="002769A1"/>
    <w:rsid w:val="002808F0"/>
    <w:rsid w:val="00284A78"/>
    <w:rsid w:val="00284AF9"/>
    <w:rsid w:val="00285A4F"/>
    <w:rsid w:val="002900BF"/>
    <w:rsid w:val="00290FA7"/>
    <w:rsid w:val="00291C30"/>
    <w:rsid w:val="00292355"/>
    <w:rsid w:val="002960B2"/>
    <w:rsid w:val="00296726"/>
    <w:rsid w:val="00297014"/>
    <w:rsid w:val="00297196"/>
    <w:rsid w:val="002A2F25"/>
    <w:rsid w:val="002A4B20"/>
    <w:rsid w:val="002A4BAB"/>
    <w:rsid w:val="002A5953"/>
    <w:rsid w:val="002A6D8C"/>
    <w:rsid w:val="002A73C2"/>
    <w:rsid w:val="002B3D00"/>
    <w:rsid w:val="002B41AF"/>
    <w:rsid w:val="002B6763"/>
    <w:rsid w:val="002B740D"/>
    <w:rsid w:val="002B7EDD"/>
    <w:rsid w:val="002C03A9"/>
    <w:rsid w:val="002C0E6F"/>
    <w:rsid w:val="002C253C"/>
    <w:rsid w:val="002C2F76"/>
    <w:rsid w:val="002C360C"/>
    <w:rsid w:val="002C6536"/>
    <w:rsid w:val="002D0988"/>
    <w:rsid w:val="002D2A35"/>
    <w:rsid w:val="002F4335"/>
    <w:rsid w:val="002F5F41"/>
    <w:rsid w:val="00300BE3"/>
    <w:rsid w:val="003021DB"/>
    <w:rsid w:val="00305103"/>
    <w:rsid w:val="00311154"/>
    <w:rsid w:val="00312F53"/>
    <w:rsid w:val="00313A30"/>
    <w:rsid w:val="00313CDA"/>
    <w:rsid w:val="00314958"/>
    <w:rsid w:val="00315AEF"/>
    <w:rsid w:val="00315EDC"/>
    <w:rsid w:val="00322549"/>
    <w:rsid w:val="00324E17"/>
    <w:rsid w:val="00324EE1"/>
    <w:rsid w:val="00342963"/>
    <w:rsid w:val="00344E8D"/>
    <w:rsid w:val="003453DB"/>
    <w:rsid w:val="00346880"/>
    <w:rsid w:val="0034689A"/>
    <w:rsid w:val="00351F25"/>
    <w:rsid w:val="00352577"/>
    <w:rsid w:val="00355B70"/>
    <w:rsid w:val="00362A26"/>
    <w:rsid w:val="00364D9F"/>
    <w:rsid w:val="003651C5"/>
    <w:rsid w:val="00367735"/>
    <w:rsid w:val="003757AF"/>
    <w:rsid w:val="003767AF"/>
    <w:rsid w:val="00381C6F"/>
    <w:rsid w:val="00392393"/>
    <w:rsid w:val="0039488B"/>
    <w:rsid w:val="00395974"/>
    <w:rsid w:val="003A0F27"/>
    <w:rsid w:val="003A185F"/>
    <w:rsid w:val="003A1EBC"/>
    <w:rsid w:val="003A50DC"/>
    <w:rsid w:val="003A5136"/>
    <w:rsid w:val="003A52C3"/>
    <w:rsid w:val="003A7103"/>
    <w:rsid w:val="003B24AC"/>
    <w:rsid w:val="003B37DF"/>
    <w:rsid w:val="003B5173"/>
    <w:rsid w:val="003B5DD0"/>
    <w:rsid w:val="003C2A5E"/>
    <w:rsid w:val="003C3A77"/>
    <w:rsid w:val="003C3EFD"/>
    <w:rsid w:val="003C6380"/>
    <w:rsid w:val="003C6860"/>
    <w:rsid w:val="003D47C3"/>
    <w:rsid w:val="003D7220"/>
    <w:rsid w:val="003E3DD6"/>
    <w:rsid w:val="003E4C62"/>
    <w:rsid w:val="003F28B1"/>
    <w:rsid w:val="003F3753"/>
    <w:rsid w:val="00400578"/>
    <w:rsid w:val="00402783"/>
    <w:rsid w:val="0040417A"/>
    <w:rsid w:val="004106F7"/>
    <w:rsid w:val="004123FF"/>
    <w:rsid w:val="0041536C"/>
    <w:rsid w:val="00416CB8"/>
    <w:rsid w:val="00420A60"/>
    <w:rsid w:val="004236BF"/>
    <w:rsid w:val="00432215"/>
    <w:rsid w:val="00432729"/>
    <w:rsid w:val="00433C41"/>
    <w:rsid w:val="00442122"/>
    <w:rsid w:val="00450EFC"/>
    <w:rsid w:val="0045168C"/>
    <w:rsid w:val="00452B37"/>
    <w:rsid w:val="004559AB"/>
    <w:rsid w:val="00455FB2"/>
    <w:rsid w:val="00461264"/>
    <w:rsid w:val="00462840"/>
    <w:rsid w:val="00462A9C"/>
    <w:rsid w:val="00464AE0"/>
    <w:rsid w:val="00465261"/>
    <w:rsid w:val="004700A6"/>
    <w:rsid w:val="00470BC1"/>
    <w:rsid w:val="00471F11"/>
    <w:rsid w:val="00472375"/>
    <w:rsid w:val="0047282D"/>
    <w:rsid w:val="004804BA"/>
    <w:rsid w:val="004825D1"/>
    <w:rsid w:val="004835AF"/>
    <w:rsid w:val="00483F3C"/>
    <w:rsid w:val="00485AB4"/>
    <w:rsid w:val="00486E31"/>
    <w:rsid w:val="00492AF9"/>
    <w:rsid w:val="004A3DAF"/>
    <w:rsid w:val="004A4523"/>
    <w:rsid w:val="004A508E"/>
    <w:rsid w:val="004B3B74"/>
    <w:rsid w:val="004B40D0"/>
    <w:rsid w:val="004B4E2E"/>
    <w:rsid w:val="004B6DE8"/>
    <w:rsid w:val="004C0A7C"/>
    <w:rsid w:val="004C3B08"/>
    <w:rsid w:val="004D13B3"/>
    <w:rsid w:val="004D3FBC"/>
    <w:rsid w:val="004E027B"/>
    <w:rsid w:val="004E0C06"/>
    <w:rsid w:val="004E27BB"/>
    <w:rsid w:val="004E42DF"/>
    <w:rsid w:val="004E7A46"/>
    <w:rsid w:val="004F1139"/>
    <w:rsid w:val="004F371B"/>
    <w:rsid w:val="004F6BFB"/>
    <w:rsid w:val="005009B1"/>
    <w:rsid w:val="0050401C"/>
    <w:rsid w:val="00505D4E"/>
    <w:rsid w:val="00512A4D"/>
    <w:rsid w:val="00512DF5"/>
    <w:rsid w:val="0051313C"/>
    <w:rsid w:val="005139F8"/>
    <w:rsid w:val="00515641"/>
    <w:rsid w:val="00520B24"/>
    <w:rsid w:val="00521D6E"/>
    <w:rsid w:val="005262CA"/>
    <w:rsid w:val="00530A86"/>
    <w:rsid w:val="0053587A"/>
    <w:rsid w:val="00535B31"/>
    <w:rsid w:val="00540459"/>
    <w:rsid w:val="00540C0F"/>
    <w:rsid w:val="00542114"/>
    <w:rsid w:val="00543B15"/>
    <w:rsid w:val="00545874"/>
    <w:rsid w:val="0055168C"/>
    <w:rsid w:val="00551A22"/>
    <w:rsid w:val="00565AF9"/>
    <w:rsid w:val="005664F6"/>
    <w:rsid w:val="005670D6"/>
    <w:rsid w:val="00570238"/>
    <w:rsid w:val="00570270"/>
    <w:rsid w:val="00576010"/>
    <w:rsid w:val="00583DF7"/>
    <w:rsid w:val="00590160"/>
    <w:rsid w:val="00595F8F"/>
    <w:rsid w:val="005A02DB"/>
    <w:rsid w:val="005A1B99"/>
    <w:rsid w:val="005A26D4"/>
    <w:rsid w:val="005A4871"/>
    <w:rsid w:val="005A7EB2"/>
    <w:rsid w:val="005B09F9"/>
    <w:rsid w:val="005B3583"/>
    <w:rsid w:val="005B3D05"/>
    <w:rsid w:val="005B4B0E"/>
    <w:rsid w:val="005B4BA0"/>
    <w:rsid w:val="005B7222"/>
    <w:rsid w:val="005C2EC0"/>
    <w:rsid w:val="005C38B3"/>
    <w:rsid w:val="005C3CB6"/>
    <w:rsid w:val="005C7225"/>
    <w:rsid w:val="005C7F45"/>
    <w:rsid w:val="005D1003"/>
    <w:rsid w:val="005D1601"/>
    <w:rsid w:val="005D2DE0"/>
    <w:rsid w:val="005D3D69"/>
    <w:rsid w:val="005D56C1"/>
    <w:rsid w:val="005D663E"/>
    <w:rsid w:val="005E1D45"/>
    <w:rsid w:val="005E2AB3"/>
    <w:rsid w:val="005E7816"/>
    <w:rsid w:val="005E7AFB"/>
    <w:rsid w:val="005F3DB6"/>
    <w:rsid w:val="006048BF"/>
    <w:rsid w:val="00611B99"/>
    <w:rsid w:val="0061512B"/>
    <w:rsid w:val="006168B3"/>
    <w:rsid w:val="00624FF6"/>
    <w:rsid w:val="00627C3F"/>
    <w:rsid w:val="00632E23"/>
    <w:rsid w:val="006332DA"/>
    <w:rsid w:val="00640796"/>
    <w:rsid w:val="00642E80"/>
    <w:rsid w:val="00645439"/>
    <w:rsid w:val="00645B6F"/>
    <w:rsid w:val="00652F82"/>
    <w:rsid w:val="00655A67"/>
    <w:rsid w:val="00671111"/>
    <w:rsid w:val="0067302B"/>
    <w:rsid w:val="00674C8A"/>
    <w:rsid w:val="006804B7"/>
    <w:rsid w:val="00681A9D"/>
    <w:rsid w:val="00685ACD"/>
    <w:rsid w:val="00686F2E"/>
    <w:rsid w:val="006A24C6"/>
    <w:rsid w:val="006A3DD2"/>
    <w:rsid w:val="006A78D8"/>
    <w:rsid w:val="006B4931"/>
    <w:rsid w:val="006B65EB"/>
    <w:rsid w:val="006C05ED"/>
    <w:rsid w:val="006C1474"/>
    <w:rsid w:val="006C2707"/>
    <w:rsid w:val="006C5C93"/>
    <w:rsid w:val="006C62F5"/>
    <w:rsid w:val="006D464F"/>
    <w:rsid w:val="006D6A22"/>
    <w:rsid w:val="006D761D"/>
    <w:rsid w:val="006E2F4F"/>
    <w:rsid w:val="006E5A5E"/>
    <w:rsid w:val="006F1204"/>
    <w:rsid w:val="006F135E"/>
    <w:rsid w:val="006F27B5"/>
    <w:rsid w:val="006F781E"/>
    <w:rsid w:val="007015DC"/>
    <w:rsid w:val="007024E3"/>
    <w:rsid w:val="00702828"/>
    <w:rsid w:val="00704C07"/>
    <w:rsid w:val="00704F07"/>
    <w:rsid w:val="007054E4"/>
    <w:rsid w:val="0070640F"/>
    <w:rsid w:val="007065B0"/>
    <w:rsid w:val="007079EA"/>
    <w:rsid w:val="00711D0A"/>
    <w:rsid w:val="00712207"/>
    <w:rsid w:val="00715982"/>
    <w:rsid w:val="007169FF"/>
    <w:rsid w:val="00723EB2"/>
    <w:rsid w:val="00724236"/>
    <w:rsid w:val="00724B24"/>
    <w:rsid w:val="00724F37"/>
    <w:rsid w:val="00726B49"/>
    <w:rsid w:val="0073168F"/>
    <w:rsid w:val="00735801"/>
    <w:rsid w:val="0073709C"/>
    <w:rsid w:val="00752F16"/>
    <w:rsid w:val="00755727"/>
    <w:rsid w:val="00755830"/>
    <w:rsid w:val="00760BC5"/>
    <w:rsid w:val="0076431D"/>
    <w:rsid w:val="0076533D"/>
    <w:rsid w:val="00775822"/>
    <w:rsid w:val="00785AD2"/>
    <w:rsid w:val="00786047"/>
    <w:rsid w:val="00786E07"/>
    <w:rsid w:val="00794094"/>
    <w:rsid w:val="007A0335"/>
    <w:rsid w:val="007A2690"/>
    <w:rsid w:val="007A354C"/>
    <w:rsid w:val="007B2B44"/>
    <w:rsid w:val="007C1FCB"/>
    <w:rsid w:val="007C2DE5"/>
    <w:rsid w:val="007C2F21"/>
    <w:rsid w:val="007C4898"/>
    <w:rsid w:val="007C57BF"/>
    <w:rsid w:val="007D305E"/>
    <w:rsid w:val="007D388F"/>
    <w:rsid w:val="007E064F"/>
    <w:rsid w:val="007E17AC"/>
    <w:rsid w:val="007E39FF"/>
    <w:rsid w:val="007E5C49"/>
    <w:rsid w:val="007E67D8"/>
    <w:rsid w:val="007F5E71"/>
    <w:rsid w:val="008025F8"/>
    <w:rsid w:val="00804D64"/>
    <w:rsid w:val="0080763F"/>
    <w:rsid w:val="008104A0"/>
    <w:rsid w:val="00813444"/>
    <w:rsid w:val="0081782F"/>
    <w:rsid w:val="008231D2"/>
    <w:rsid w:val="00823C83"/>
    <w:rsid w:val="00830972"/>
    <w:rsid w:val="00833C0A"/>
    <w:rsid w:val="00836011"/>
    <w:rsid w:val="00836FD4"/>
    <w:rsid w:val="0084060E"/>
    <w:rsid w:val="008436AC"/>
    <w:rsid w:val="008444E9"/>
    <w:rsid w:val="00844E7E"/>
    <w:rsid w:val="00847B37"/>
    <w:rsid w:val="00847E18"/>
    <w:rsid w:val="00851371"/>
    <w:rsid w:val="00853E2C"/>
    <w:rsid w:val="00860788"/>
    <w:rsid w:val="00870268"/>
    <w:rsid w:val="00870EEB"/>
    <w:rsid w:val="0087394D"/>
    <w:rsid w:val="00873A49"/>
    <w:rsid w:val="00875946"/>
    <w:rsid w:val="00876F32"/>
    <w:rsid w:val="008870F1"/>
    <w:rsid w:val="00887345"/>
    <w:rsid w:val="00894009"/>
    <w:rsid w:val="008942D2"/>
    <w:rsid w:val="00895439"/>
    <w:rsid w:val="00897DEB"/>
    <w:rsid w:val="008A0061"/>
    <w:rsid w:val="008A030B"/>
    <w:rsid w:val="008A09A3"/>
    <w:rsid w:val="008A5A6E"/>
    <w:rsid w:val="008B007B"/>
    <w:rsid w:val="008B030E"/>
    <w:rsid w:val="008B0955"/>
    <w:rsid w:val="008B096A"/>
    <w:rsid w:val="008B4FFA"/>
    <w:rsid w:val="008B57D7"/>
    <w:rsid w:val="008C3514"/>
    <w:rsid w:val="008C43F7"/>
    <w:rsid w:val="008C467C"/>
    <w:rsid w:val="008C4829"/>
    <w:rsid w:val="008D2926"/>
    <w:rsid w:val="008D33C5"/>
    <w:rsid w:val="008D7687"/>
    <w:rsid w:val="008E06A7"/>
    <w:rsid w:val="008E347D"/>
    <w:rsid w:val="008E67C8"/>
    <w:rsid w:val="008E6E86"/>
    <w:rsid w:val="008F3BB8"/>
    <w:rsid w:val="008F405C"/>
    <w:rsid w:val="008F7085"/>
    <w:rsid w:val="009005CB"/>
    <w:rsid w:val="00900CB5"/>
    <w:rsid w:val="0090286D"/>
    <w:rsid w:val="00903F9D"/>
    <w:rsid w:val="00904F84"/>
    <w:rsid w:val="0091255C"/>
    <w:rsid w:val="00913389"/>
    <w:rsid w:val="00916544"/>
    <w:rsid w:val="009238B8"/>
    <w:rsid w:val="00925C67"/>
    <w:rsid w:val="0092664A"/>
    <w:rsid w:val="009312CA"/>
    <w:rsid w:val="00934E61"/>
    <w:rsid w:val="0093652B"/>
    <w:rsid w:val="0093665A"/>
    <w:rsid w:val="0094102F"/>
    <w:rsid w:val="0094239E"/>
    <w:rsid w:val="00942F8D"/>
    <w:rsid w:val="0095005F"/>
    <w:rsid w:val="00951115"/>
    <w:rsid w:val="0095515D"/>
    <w:rsid w:val="00961119"/>
    <w:rsid w:val="00962804"/>
    <w:rsid w:val="00962AD9"/>
    <w:rsid w:val="009650E3"/>
    <w:rsid w:val="009676FD"/>
    <w:rsid w:val="00967702"/>
    <w:rsid w:val="00971CA5"/>
    <w:rsid w:val="00975313"/>
    <w:rsid w:val="00977255"/>
    <w:rsid w:val="00981FCE"/>
    <w:rsid w:val="00982338"/>
    <w:rsid w:val="00982980"/>
    <w:rsid w:val="009863E2"/>
    <w:rsid w:val="00990C25"/>
    <w:rsid w:val="00992255"/>
    <w:rsid w:val="009A1020"/>
    <w:rsid w:val="009A283B"/>
    <w:rsid w:val="009A4BC9"/>
    <w:rsid w:val="009A763C"/>
    <w:rsid w:val="009B03BC"/>
    <w:rsid w:val="009B21C9"/>
    <w:rsid w:val="009B2998"/>
    <w:rsid w:val="009B3695"/>
    <w:rsid w:val="009B393B"/>
    <w:rsid w:val="009B6F21"/>
    <w:rsid w:val="009C0DC1"/>
    <w:rsid w:val="009C1C1C"/>
    <w:rsid w:val="009C333D"/>
    <w:rsid w:val="009D0AD8"/>
    <w:rsid w:val="009D4685"/>
    <w:rsid w:val="009D572B"/>
    <w:rsid w:val="009D7BFD"/>
    <w:rsid w:val="009E0627"/>
    <w:rsid w:val="009E3EA2"/>
    <w:rsid w:val="009E55DB"/>
    <w:rsid w:val="009F6C98"/>
    <w:rsid w:val="00A02158"/>
    <w:rsid w:val="00A04674"/>
    <w:rsid w:val="00A047B3"/>
    <w:rsid w:val="00A06B73"/>
    <w:rsid w:val="00A122AE"/>
    <w:rsid w:val="00A1300A"/>
    <w:rsid w:val="00A15305"/>
    <w:rsid w:val="00A15713"/>
    <w:rsid w:val="00A15FB6"/>
    <w:rsid w:val="00A20007"/>
    <w:rsid w:val="00A20386"/>
    <w:rsid w:val="00A21049"/>
    <w:rsid w:val="00A2126A"/>
    <w:rsid w:val="00A22B3F"/>
    <w:rsid w:val="00A23287"/>
    <w:rsid w:val="00A24386"/>
    <w:rsid w:val="00A25345"/>
    <w:rsid w:val="00A25D9F"/>
    <w:rsid w:val="00A33A27"/>
    <w:rsid w:val="00A403B9"/>
    <w:rsid w:val="00A42130"/>
    <w:rsid w:val="00A458E5"/>
    <w:rsid w:val="00A4783D"/>
    <w:rsid w:val="00A47FC4"/>
    <w:rsid w:val="00A536F8"/>
    <w:rsid w:val="00A553E8"/>
    <w:rsid w:val="00A5681C"/>
    <w:rsid w:val="00A56B7B"/>
    <w:rsid w:val="00A626E5"/>
    <w:rsid w:val="00A6392F"/>
    <w:rsid w:val="00A649E2"/>
    <w:rsid w:val="00A64C39"/>
    <w:rsid w:val="00A71FC6"/>
    <w:rsid w:val="00A72512"/>
    <w:rsid w:val="00A736F2"/>
    <w:rsid w:val="00A809CC"/>
    <w:rsid w:val="00A83CEF"/>
    <w:rsid w:val="00A842AA"/>
    <w:rsid w:val="00A8622C"/>
    <w:rsid w:val="00A913E0"/>
    <w:rsid w:val="00A92478"/>
    <w:rsid w:val="00A9459A"/>
    <w:rsid w:val="00A979ED"/>
    <w:rsid w:val="00AA1133"/>
    <w:rsid w:val="00AA26E0"/>
    <w:rsid w:val="00AA5F78"/>
    <w:rsid w:val="00AA6B18"/>
    <w:rsid w:val="00AA7B38"/>
    <w:rsid w:val="00AB0178"/>
    <w:rsid w:val="00AB04A6"/>
    <w:rsid w:val="00AB310A"/>
    <w:rsid w:val="00AB3788"/>
    <w:rsid w:val="00AB42B3"/>
    <w:rsid w:val="00AB6531"/>
    <w:rsid w:val="00AB7979"/>
    <w:rsid w:val="00AC3B11"/>
    <w:rsid w:val="00AD0B6D"/>
    <w:rsid w:val="00AD1E52"/>
    <w:rsid w:val="00AD5901"/>
    <w:rsid w:val="00AD71DF"/>
    <w:rsid w:val="00AE0739"/>
    <w:rsid w:val="00AE2C8A"/>
    <w:rsid w:val="00AE5944"/>
    <w:rsid w:val="00AF0E99"/>
    <w:rsid w:val="00AF488D"/>
    <w:rsid w:val="00AF6800"/>
    <w:rsid w:val="00AF7825"/>
    <w:rsid w:val="00B03E1F"/>
    <w:rsid w:val="00B10312"/>
    <w:rsid w:val="00B10A40"/>
    <w:rsid w:val="00B161D3"/>
    <w:rsid w:val="00B16338"/>
    <w:rsid w:val="00B16DED"/>
    <w:rsid w:val="00B212DD"/>
    <w:rsid w:val="00B232FC"/>
    <w:rsid w:val="00B2617E"/>
    <w:rsid w:val="00B27C5C"/>
    <w:rsid w:val="00B3187B"/>
    <w:rsid w:val="00B35A60"/>
    <w:rsid w:val="00B35FC4"/>
    <w:rsid w:val="00B41311"/>
    <w:rsid w:val="00B422DD"/>
    <w:rsid w:val="00B44BC3"/>
    <w:rsid w:val="00B44DB9"/>
    <w:rsid w:val="00B44FC3"/>
    <w:rsid w:val="00B45E2C"/>
    <w:rsid w:val="00B46444"/>
    <w:rsid w:val="00B4664E"/>
    <w:rsid w:val="00B47113"/>
    <w:rsid w:val="00B5053C"/>
    <w:rsid w:val="00B52A36"/>
    <w:rsid w:val="00B55128"/>
    <w:rsid w:val="00B5616E"/>
    <w:rsid w:val="00B562A8"/>
    <w:rsid w:val="00B63026"/>
    <w:rsid w:val="00B631A2"/>
    <w:rsid w:val="00B64738"/>
    <w:rsid w:val="00B66BC5"/>
    <w:rsid w:val="00B70DEC"/>
    <w:rsid w:val="00B72474"/>
    <w:rsid w:val="00B73DA1"/>
    <w:rsid w:val="00B769AE"/>
    <w:rsid w:val="00B81CFF"/>
    <w:rsid w:val="00B851BE"/>
    <w:rsid w:val="00B90F82"/>
    <w:rsid w:val="00B90FAC"/>
    <w:rsid w:val="00B93E74"/>
    <w:rsid w:val="00B93FB8"/>
    <w:rsid w:val="00B97E37"/>
    <w:rsid w:val="00BA3CFE"/>
    <w:rsid w:val="00BA6043"/>
    <w:rsid w:val="00BA6E50"/>
    <w:rsid w:val="00BB35C8"/>
    <w:rsid w:val="00BB4488"/>
    <w:rsid w:val="00BC0152"/>
    <w:rsid w:val="00BC1B12"/>
    <w:rsid w:val="00BC3B49"/>
    <w:rsid w:val="00BC4528"/>
    <w:rsid w:val="00BC610C"/>
    <w:rsid w:val="00BD3FFA"/>
    <w:rsid w:val="00BD4686"/>
    <w:rsid w:val="00BD713F"/>
    <w:rsid w:val="00BE3EDB"/>
    <w:rsid w:val="00BE75B3"/>
    <w:rsid w:val="00BF2D24"/>
    <w:rsid w:val="00BF3204"/>
    <w:rsid w:val="00BF7849"/>
    <w:rsid w:val="00C00714"/>
    <w:rsid w:val="00C032EA"/>
    <w:rsid w:val="00C11DB2"/>
    <w:rsid w:val="00C12535"/>
    <w:rsid w:val="00C1270B"/>
    <w:rsid w:val="00C12A73"/>
    <w:rsid w:val="00C14ABE"/>
    <w:rsid w:val="00C16638"/>
    <w:rsid w:val="00C17207"/>
    <w:rsid w:val="00C17AAC"/>
    <w:rsid w:val="00C21010"/>
    <w:rsid w:val="00C22576"/>
    <w:rsid w:val="00C22E21"/>
    <w:rsid w:val="00C2347D"/>
    <w:rsid w:val="00C2357E"/>
    <w:rsid w:val="00C24088"/>
    <w:rsid w:val="00C250DE"/>
    <w:rsid w:val="00C25FB8"/>
    <w:rsid w:val="00C27C70"/>
    <w:rsid w:val="00C30DDC"/>
    <w:rsid w:val="00C32258"/>
    <w:rsid w:val="00C350CB"/>
    <w:rsid w:val="00C41B82"/>
    <w:rsid w:val="00C41F94"/>
    <w:rsid w:val="00C4332E"/>
    <w:rsid w:val="00C44C5E"/>
    <w:rsid w:val="00C46071"/>
    <w:rsid w:val="00C520DC"/>
    <w:rsid w:val="00C60116"/>
    <w:rsid w:val="00C6784F"/>
    <w:rsid w:val="00C713C9"/>
    <w:rsid w:val="00C714D0"/>
    <w:rsid w:val="00C722D9"/>
    <w:rsid w:val="00C739FA"/>
    <w:rsid w:val="00C77E8A"/>
    <w:rsid w:val="00C80E3B"/>
    <w:rsid w:val="00C83440"/>
    <w:rsid w:val="00C83757"/>
    <w:rsid w:val="00C95450"/>
    <w:rsid w:val="00C95BD3"/>
    <w:rsid w:val="00CA0B39"/>
    <w:rsid w:val="00CA0BCC"/>
    <w:rsid w:val="00CA4E8A"/>
    <w:rsid w:val="00CA6A28"/>
    <w:rsid w:val="00CB2E01"/>
    <w:rsid w:val="00CB4F3E"/>
    <w:rsid w:val="00CB7245"/>
    <w:rsid w:val="00CB7ACF"/>
    <w:rsid w:val="00CC04C4"/>
    <w:rsid w:val="00CC299C"/>
    <w:rsid w:val="00CC2A5B"/>
    <w:rsid w:val="00CC49F0"/>
    <w:rsid w:val="00CC4B8A"/>
    <w:rsid w:val="00CC7037"/>
    <w:rsid w:val="00CD2C59"/>
    <w:rsid w:val="00CD4619"/>
    <w:rsid w:val="00CD72CF"/>
    <w:rsid w:val="00CE3669"/>
    <w:rsid w:val="00CE3798"/>
    <w:rsid w:val="00CE7866"/>
    <w:rsid w:val="00CF07DE"/>
    <w:rsid w:val="00CF3FF7"/>
    <w:rsid w:val="00CF5773"/>
    <w:rsid w:val="00CF751C"/>
    <w:rsid w:val="00CF7D75"/>
    <w:rsid w:val="00CF7E31"/>
    <w:rsid w:val="00D0185D"/>
    <w:rsid w:val="00D0194B"/>
    <w:rsid w:val="00D0209B"/>
    <w:rsid w:val="00D02225"/>
    <w:rsid w:val="00D040C8"/>
    <w:rsid w:val="00D0480E"/>
    <w:rsid w:val="00D05C03"/>
    <w:rsid w:val="00D07620"/>
    <w:rsid w:val="00D11512"/>
    <w:rsid w:val="00D217F7"/>
    <w:rsid w:val="00D22303"/>
    <w:rsid w:val="00D251AF"/>
    <w:rsid w:val="00D2677F"/>
    <w:rsid w:val="00D33A9A"/>
    <w:rsid w:val="00D365F0"/>
    <w:rsid w:val="00D37978"/>
    <w:rsid w:val="00D37C0D"/>
    <w:rsid w:val="00D418AE"/>
    <w:rsid w:val="00D42AAE"/>
    <w:rsid w:val="00D43317"/>
    <w:rsid w:val="00D4464B"/>
    <w:rsid w:val="00D45229"/>
    <w:rsid w:val="00D51FFA"/>
    <w:rsid w:val="00D5452E"/>
    <w:rsid w:val="00D5512C"/>
    <w:rsid w:val="00D56858"/>
    <w:rsid w:val="00D65FAC"/>
    <w:rsid w:val="00D714AA"/>
    <w:rsid w:val="00D725D3"/>
    <w:rsid w:val="00D7311D"/>
    <w:rsid w:val="00D73B6D"/>
    <w:rsid w:val="00D74985"/>
    <w:rsid w:val="00D749CB"/>
    <w:rsid w:val="00D7747F"/>
    <w:rsid w:val="00D81F52"/>
    <w:rsid w:val="00D8270F"/>
    <w:rsid w:val="00D84814"/>
    <w:rsid w:val="00D86093"/>
    <w:rsid w:val="00D879D9"/>
    <w:rsid w:val="00D90B6C"/>
    <w:rsid w:val="00D93DDC"/>
    <w:rsid w:val="00D947D8"/>
    <w:rsid w:val="00D959C1"/>
    <w:rsid w:val="00D9659A"/>
    <w:rsid w:val="00DA0503"/>
    <w:rsid w:val="00DA1BC1"/>
    <w:rsid w:val="00DA2FEB"/>
    <w:rsid w:val="00DA5645"/>
    <w:rsid w:val="00DA57F8"/>
    <w:rsid w:val="00DA7834"/>
    <w:rsid w:val="00DB2307"/>
    <w:rsid w:val="00DB24DA"/>
    <w:rsid w:val="00DB26AF"/>
    <w:rsid w:val="00DB37AB"/>
    <w:rsid w:val="00DB3C2A"/>
    <w:rsid w:val="00DB577D"/>
    <w:rsid w:val="00DB71B6"/>
    <w:rsid w:val="00DB78F0"/>
    <w:rsid w:val="00DC07F0"/>
    <w:rsid w:val="00DC48D4"/>
    <w:rsid w:val="00DC6A08"/>
    <w:rsid w:val="00DC6A0A"/>
    <w:rsid w:val="00DC6C9A"/>
    <w:rsid w:val="00DD56C2"/>
    <w:rsid w:val="00DD7728"/>
    <w:rsid w:val="00DF6B40"/>
    <w:rsid w:val="00DF79E4"/>
    <w:rsid w:val="00E054D5"/>
    <w:rsid w:val="00E07EA0"/>
    <w:rsid w:val="00E15B0A"/>
    <w:rsid w:val="00E21B17"/>
    <w:rsid w:val="00E269E8"/>
    <w:rsid w:val="00E272ED"/>
    <w:rsid w:val="00E315BE"/>
    <w:rsid w:val="00E353F0"/>
    <w:rsid w:val="00E35BC5"/>
    <w:rsid w:val="00E3655C"/>
    <w:rsid w:val="00E40549"/>
    <w:rsid w:val="00E41AC5"/>
    <w:rsid w:val="00E4417B"/>
    <w:rsid w:val="00E459C0"/>
    <w:rsid w:val="00E50EFA"/>
    <w:rsid w:val="00E52823"/>
    <w:rsid w:val="00E601BC"/>
    <w:rsid w:val="00E62AEA"/>
    <w:rsid w:val="00E63329"/>
    <w:rsid w:val="00E7351B"/>
    <w:rsid w:val="00E75497"/>
    <w:rsid w:val="00E83497"/>
    <w:rsid w:val="00E90826"/>
    <w:rsid w:val="00E92A42"/>
    <w:rsid w:val="00E9424B"/>
    <w:rsid w:val="00E95C0E"/>
    <w:rsid w:val="00EA10BC"/>
    <w:rsid w:val="00EA59F5"/>
    <w:rsid w:val="00EA7D2F"/>
    <w:rsid w:val="00EB1D7B"/>
    <w:rsid w:val="00EB244B"/>
    <w:rsid w:val="00EB2EFD"/>
    <w:rsid w:val="00EC11C4"/>
    <w:rsid w:val="00EC244A"/>
    <w:rsid w:val="00EC3F91"/>
    <w:rsid w:val="00ED3BD6"/>
    <w:rsid w:val="00ED4BBD"/>
    <w:rsid w:val="00ED6FDF"/>
    <w:rsid w:val="00EE2059"/>
    <w:rsid w:val="00EE34C9"/>
    <w:rsid w:val="00EE49A7"/>
    <w:rsid w:val="00EE6D14"/>
    <w:rsid w:val="00EF5006"/>
    <w:rsid w:val="00EF553A"/>
    <w:rsid w:val="00EF5C5D"/>
    <w:rsid w:val="00F00CFA"/>
    <w:rsid w:val="00F05718"/>
    <w:rsid w:val="00F05D15"/>
    <w:rsid w:val="00F12660"/>
    <w:rsid w:val="00F12FF3"/>
    <w:rsid w:val="00F1428A"/>
    <w:rsid w:val="00F21999"/>
    <w:rsid w:val="00F243AA"/>
    <w:rsid w:val="00F27FB2"/>
    <w:rsid w:val="00F318B5"/>
    <w:rsid w:val="00F32352"/>
    <w:rsid w:val="00F3733E"/>
    <w:rsid w:val="00F374F4"/>
    <w:rsid w:val="00F435B7"/>
    <w:rsid w:val="00F44434"/>
    <w:rsid w:val="00F471A2"/>
    <w:rsid w:val="00F477CC"/>
    <w:rsid w:val="00F60BD9"/>
    <w:rsid w:val="00F61907"/>
    <w:rsid w:val="00F6409E"/>
    <w:rsid w:val="00F7278F"/>
    <w:rsid w:val="00F730F2"/>
    <w:rsid w:val="00F73F20"/>
    <w:rsid w:val="00F77B31"/>
    <w:rsid w:val="00F80954"/>
    <w:rsid w:val="00F86AA7"/>
    <w:rsid w:val="00F86F14"/>
    <w:rsid w:val="00F86F43"/>
    <w:rsid w:val="00F87BC1"/>
    <w:rsid w:val="00F90BD7"/>
    <w:rsid w:val="00F9126C"/>
    <w:rsid w:val="00F916B9"/>
    <w:rsid w:val="00F91F4C"/>
    <w:rsid w:val="00F9482E"/>
    <w:rsid w:val="00F97466"/>
    <w:rsid w:val="00FA0BF9"/>
    <w:rsid w:val="00FA2785"/>
    <w:rsid w:val="00FB1882"/>
    <w:rsid w:val="00FB4CBE"/>
    <w:rsid w:val="00FB710F"/>
    <w:rsid w:val="00FB758B"/>
    <w:rsid w:val="00FC3965"/>
    <w:rsid w:val="00FD3074"/>
    <w:rsid w:val="00FD5C26"/>
    <w:rsid w:val="00FE03DE"/>
    <w:rsid w:val="00FE2191"/>
    <w:rsid w:val="00FE2786"/>
    <w:rsid w:val="00FE3800"/>
    <w:rsid w:val="00FE3B8D"/>
    <w:rsid w:val="00FE5033"/>
    <w:rsid w:val="00FE51D5"/>
    <w:rsid w:val="00FE51E6"/>
    <w:rsid w:val="00FF0883"/>
    <w:rsid w:val="00FF2511"/>
    <w:rsid w:val="00FF31C2"/>
    <w:rsid w:val="00FF3E3D"/>
    <w:rsid w:val="00FF45EA"/>
    <w:rsid w:val="00FF5EC3"/>
    <w:rsid w:val="00FF6DF6"/>
    <w:rsid w:val="020B128B"/>
    <w:rsid w:val="0367315B"/>
    <w:rsid w:val="06037223"/>
    <w:rsid w:val="061139E5"/>
    <w:rsid w:val="06F50B00"/>
    <w:rsid w:val="076E1278"/>
    <w:rsid w:val="08D1141D"/>
    <w:rsid w:val="09AD65B7"/>
    <w:rsid w:val="0B296DE2"/>
    <w:rsid w:val="10294AA3"/>
    <w:rsid w:val="10E40CA0"/>
    <w:rsid w:val="129721F7"/>
    <w:rsid w:val="136130D9"/>
    <w:rsid w:val="18DD4F7E"/>
    <w:rsid w:val="195B58A2"/>
    <w:rsid w:val="1D747069"/>
    <w:rsid w:val="1E085A14"/>
    <w:rsid w:val="1FF43DDB"/>
    <w:rsid w:val="21541D68"/>
    <w:rsid w:val="21933AA2"/>
    <w:rsid w:val="23E77893"/>
    <w:rsid w:val="25BF356F"/>
    <w:rsid w:val="25DB0C2D"/>
    <w:rsid w:val="269469E7"/>
    <w:rsid w:val="29FC3B14"/>
    <w:rsid w:val="2B11792E"/>
    <w:rsid w:val="2DFA31EE"/>
    <w:rsid w:val="2F63304D"/>
    <w:rsid w:val="2FB21E81"/>
    <w:rsid w:val="310D1D50"/>
    <w:rsid w:val="31C54755"/>
    <w:rsid w:val="3216608C"/>
    <w:rsid w:val="34CE14C6"/>
    <w:rsid w:val="34D84CEC"/>
    <w:rsid w:val="37AF5AB7"/>
    <w:rsid w:val="3B1C3371"/>
    <w:rsid w:val="3CC23198"/>
    <w:rsid w:val="3DDF4815"/>
    <w:rsid w:val="3FE669E5"/>
    <w:rsid w:val="462D5787"/>
    <w:rsid w:val="50F63E28"/>
    <w:rsid w:val="51BC43B0"/>
    <w:rsid w:val="5221007F"/>
    <w:rsid w:val="527A2023"/>
    <w:rsid w:val="52926B5A"/>
    <w:rsid w:val="53FA577D"/>
    <w:rsid w:val="545C5E51"/>
    <w:rsid w:val="5486175B"/>
    <w:rsid w:val="57474AA0"/>
    <w:rsid w:val="57667D24"/>
    <w:rsid w:val="57CE5BC3"/>
    <w:rsid w:val="592C363B"/>
    <w:rsid w:val="5AE1516A"/>
    <w:rsid w:val="5B6A3A79"/>
    <w:rsid w:val="5C1A5F7B"/>
    <w:rsid w:val="645771F8"/>
    <w:rsid w:val="67D02F18"/>
    <w:rsid w:val="695E1464"/>
    <w:rsid w:val="6A1249E4"/>
    <w:rsid w:val="6A54112D"/>
    <w:rsid w:val="6AA035AE"/>
    <w:rsid w:val="6AEC5D2D"/>
    <w:rsid w:val="6B3B4998"/>
    <w:rsid w:val="6BDD4B7F"/>
    <w:rsid w:val="6E0F2E14"/>
    <w:rsid w:val="6F1E141D"/>
    <w:rsid w:val="6F5354F8"/>
    <w:rsid w:val="73D31745"/>
    <w:rsid w:val="740A2BDE"/>
    <w:rsid w:val="751839E0"/>
    <w:rsid w:val="76274F93"/>
    <w:rsid w:val="79EB3F2F"/>
    <w:rsid w:val="7B11789E"/>
    <w:rsid w:val="7B9B5CC4"/>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99" w:semiHidden="0" w:name="Normal (Web)"/>
    <w:lsdException w:uiPriority="0" w:name="HTML Acronym"/>
    <w:lsdException w:uiPriority="0" w:name="HTML Address"/>
    <w:lsdException w:qFormat="1" w:uiPriority="99"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538"/>
      <w:outlineLvl w:val="0"/>
    </w:pPr>
    <w:rPr>
      <w:b/>
      <w:bCs/>
      <w:sz w:val="28"/>
      <w:szCs w:val="28"/>
    </w:rPr>
  </w:style>
  <w:style w:type="paragraph" w:styleId="3">
    <w:name w:val="heading 2"/>
    <w:basedOn w:val="1"/>
    <w:next w:val="1"/>
    <w:link w:val="41"/>
    <w:qFormat/>
    <w:uiPriority w:val="1"/>
    <w:pPr>
      <w:ind w:left="629"/>
      <w:outlineLvl w:val="1"/>
    </w:pPr>
    <w:rPr>
      <w:b/>
      <w:bCs/>
      <w:sz w:val="24"/>
      <w:szCs w:val="24"/>
    </w:rPr>
  </w:style>
  <w:style w:type="paragraph" w:styleId="4">
    <w:name w:val="heading 3"/>
    <w:basedOn w:val="1"/>
    <w:next w:val="1"/>
    <w:link w:val="33"/>
    <w:qFormat/>
    <w:uiPriority w:val="0"/>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5">
    <w:name w:val="heading 8"/>
    <w:basedOn w:val="1"/>
    <w:next w:val="1"/>
    <w:link w:val="36"/>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29"/>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annotation text"/>
    <w:basedOn w:val="1"/>
    <w:link w:val="37"/>
    <w:unhideWhenUsed/>
    <w:qFormat/>
    <w:uiPriority w:val="99"/>
    <w:pPr>
      <w:autoSpaceDE/>
      <w:autoSpaceDN/>
    </w:pPr>
    <w:rPr>
      <w:rFonts w:ascii="Calibri" w:hAnsi="Calibri" w:cs="Times New Roman"/>
      <w:kern w:val="2"/>
      <w:sz w:val="21"/>
      <w:lang w:eastAsia="zh-CN"/>
    </w:rPr>
  </w:style>
  <w:style w:type="paragraph" w:styleId="8">
    <w:name w:val="Body Text"/>
    <w:basedOn w:val="1"/>
    <w:qFormat/>
    <w:uiPriority w:val="1"/>
    <w:rPr>
      <w:sz w:val="24"/>
      <w:szCs w:val="24"/>
    </w:rPr>
  </w:style>
  <w:style w:type="paragraph" w:styleId="9">
    <w:name w:val="Body Text Indent"/>
    <w:basedOn w:val="1"/>
    <w:link w:val="39"/>
    <w:qFormat/>
    <w:uiPriority w:val="0"/>
    <w:pPr>
      <w:spacing w:after="120"/>
      <w:ind w:left="420" w:leftChars="200"/>
    </w:pPr>
  </w:style>
  <w:style w:type="paragraph" w:styleId="10">
    <w:name w:val="Plain Text"/>
    <w:basedOn w:val="1"/>
    <w:link w:val="31"/>
    <w:qFormat/>
    <w:uiPriority w:val="0"/>
    <w:rPr>
      <w:rFonts w:hAnsi="Courier New" w:cs="Courier New"/>
      <w:szCs w:val="21"/>
    </w:rPr>
  </w:style>
  <w:style w:type="paragraph" w:styleId="11">
    <w:name w:val="Date"/>
    <w:basedOn w:val="1"/>
    <w:next w:val="1"/>
    <w:link w:val="32"/>
    <w:qFormat/>
    <w:uiPriority w:val="0"/>
    <w:pPr>
      <w:autoSpaceDE/>
      <w:autoSpaceDN/>
      <w:ind w:left="100" w:leftChars="2500"/>
      <w:jc w:val="both"/>
    </w:pPr>
    <w:rPr>
      <w:rFonts w:ascii="Times New Roman" w:hAnsi="Times New Roman" w:cs="Times New Roman"/>
      <w:sz w:val="24"/>
      <w:szCs w:val="24"/>
      <w:lang w:eastAsia="zh-CN"/>
    </w:rPr>
  </w:style>
  <w:style w:type="paragraph" w:styleId="12">
    <w:name w:val="Body Text Indent 2"/>
    <w:basedOn w:val="1"/>
    <w:link w:val="35"/>
    <w:qFormat/>
    <w:uiPriority w:val="0"/>
    <w:pPr>
      <w:spacing w:after="120" w:line="480" w:lineRule="auto"/>
      <w:ind w:left="420" w:leftChars="200"/>
    </w:pPr>
  </w:style>
  <w:style w:type="paragraph" w:styleId="13">
    <w:name w:val="Balloon Text"/>
    <w:basedOn w:val="1"/>
    <w:link w:val="40"/>
    <w:unhideWhenUsed/>
    <w:qFormat/>
    <w:uiPriority w:val="0"/>
    <w:rPr>
      <w:sz w:val="18"/>
      <w:szCs w:val="18"/>
    </w:rPr>
  </w:style>
  <w:style w:type="paragraph" w:styleId="14">
    <w:name w:val="footer"/>
    <w:basedOn w:val="1"/>
    <w:qFormat/>
    <w:uiPriority w:val="0"/>
    <w:pPr>
      <w:tabs>
        <w:tab w:val="center" w:pos="4153"/>
        <w:tab w:val="right" w:pos="8306"/>
      </w:tabs>
      <w:snapToGrid w:val="0"/>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Normal (Web)"/>
    <w:basedOn w:val="1"/>
    <w:unhideWhenUsed/>
    <w:uiPriority w:val="99"/>
    <w:pPr>
      <w:widowControl/>
      <w:autoSpaceDE/>
      <w:autoSpaceDN/>
    </w:pPr>
    <w:rPr>
      <w:sz w:val="24"/>
      <w:szCs w:val="24"/>
      <w:lang w:eastAsia="zh-CN"/>
    </w:rPr>
  </w:style>
  <w:style w:type="character" w:styleId="18">
    <w:name w:val="Strong"/>
    <w:basedOn w:val="17"/>
    <w:qFormat/>
    <w:uiPriority w:val="22"/>
    <w:rPr>
      <w:b/>
      <w:bCs/>
    </w:rPr>
  </w:style>
  <w:style w:type="character" w:styleId="19">
    <w:name w:val="Hyperlink"/>
    <w:qFormat/>
    <w:uiPriority w:val="99"/>
    <w:rPr>
      <w:color w:val="0000FF"/>
      <w:u w:val="single"/>
    </w:rPr>
  </w:style>
  <w:style w:type="character" w:styleId="20">
    <w:name w:val="annotation reference"/>
    <w:basedOn w:val="17"/>
    <w:unhideWhenUsed/>
    <w:qFormat/>
    <w:uiPriority w:val="99"/>
    <w:rPr>
      <w:sz w:val="21"/>
      <w:szCs w:val="21"/>
    </w:rPr>
  </w:style>
  <w:style w:type="character" w:styleId="21">
    <w:name w:val="HTML Cite"/>
    <w:basedOn w:val="17"/>
    <w:unhideWhenUsed/>
    <w:qFormat/>
    <w:uiPriority w:val="99"/>
  </w:style>
  <w:style w:type="table" w:styleId="23">
    <w:name w:val="Table Grid"/>
    <w:basedOn w:val="2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25">
    <w:name w:val="Table Normal"/>
    <w:unhideWhenUsed/>
    <w:qFormat/>
    <w:uiPriority w:val="2"/>
    <w:tblPr>
      <w:tblLayout w:type="fixed"/>
      <w:tblCellMar>
        <w:top w:w="0" w:type="dxa"/>
        <w:left w:w="0" w:type="dxa"/>
        <w:bottom w:w="0" w:type="dxa"/>
        <w:right w:w="0" w:type="dxa"/>
      </w:tblCellMar>
    </w:tblPr>
  </w:style>
  <w:style w:type="paragraph" w:customStyle="1" w:styleId="26">
    <w:name w:val="List Paragraph"/>
    <w:basedOn w:val="1"/>
    <w:qFormat/>
    <w:uiPriority w:val="34"/>
    <w:pPr>
      <w:spacing w:before="206"/>
      <w:ind w:left="959" w:hanging="361"/>
    </w:pPr>
  </w:style>
  <w:style w:type="paragraph" w:customStyle="1" w:styleId="27">
    <w:name w:val="Table Paragraph"/>
    <w:basedOn w:val="1"/>
    <w:qFormat/>
    <w:uiPriority w:val="1"/>
  </w:style>
  <w:style w:type="paragraph" w:customStyle="1" w:styleId="28">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9">
    <w:name w:val="正文缩进 Char"/>
    <w:link w:val="6"/>
    <w:qFormat/>
    <w:uiPriority w:val="0"/>
    <w:rPr>
      <w:kern w:val="2"/>
      <w:sz w:val="21"/>
    </w:rPr>
  </w:style>
  <w:style w:type="paragraph" w:customStyle="1" w:styleId="30">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1">
    <w:name w:val="纯文本 Char"/>
    <w:basedOn w:val="17"/>
    <w:link w:val="10"/>
    <w:qFormat/>
    <w:uiPriority w:val="0"/>
    <w:rPr>
      <w:rFonts w:ascii="宋体" w:hAnsi="Courier New" w:cs="Courier New"/>
      <w:sz w:val="22"/>
      <w:szCs w:val="21"/>
      <w:lang w:eastAsia="en-US"/>
    </w:rPr>
  </w:style>
  <w:style w:type="character" w:customStyle="1" w:styleId="32">
    <w:name w:val="日期 Char"/>
    <w:basedOn w:val="17"/>
    <w:link w:val="11"/>
    <w:uiPriority w:val="0"/>
    <w:rPr>
      <w:sz w:val="24"/>
      <w:szCs w:val="24"/>
    </w:rPr>
  </w:style>
  <w:style w:type="character" w:customStyle="1" w:styleId="33">
    <w:name w:val="标题 3 Char"/>
    <w:basedOn w:val="17"/>
    <w:link w:val="4"/>
    <w:qFormat/>
    <w:uiPriority w:val="0"/>
    <w:rPr>
      <w:b/>
      <w:bCs/>
      <w:sz w:val="32"/>
      <w:szCs w:val="32"/>
    </w:rPr>
  </w:style>
  <w:style w:type="character" w:customStyle="1" w:styleId="34">
    <w:name w:val="xdrichtextbox2"/>
    <w:basedOn w:val="17"/>
    <w:qFormat/>
    <w:uiPriority w:val="0"/>
    <w:rPr>
      <w:color w:val="0000FF"/>
      <w:sz w:val="18"/>
      <w:szCs w:val="18"/>
      <w:u w:val="none"/>
      <w:bdr w:val="single" w:color="DCDCDC" w:sz="8" w:space="0"/>
      <w:shd w:val="clear" w:color="auto" w:fill="FFFFFF"/>
    </w:rPr>
  </w:style>
  <w:style w:type="character" w:customStyle="1" w:styleId="35">
    <w:name w:val="正文文本缩进 2 Char"/>
    <w:basedOn w:val="17"/>
    <w:link w:val="12"/>
    <w:qFormat/>
    <w:uiPriority w:val="0"/>
    <w:rPr>
      <w:rFonts w:ascii="宋体" w:hAnsi="宋体" w:cs="宋体"/>
      <w:sz w:val="22"/>
      <w:szCs w:val="22"/>
      <w:lang w:eastAsia="en-US"/>
    </w:rPr>
  </w:style>
  <w:style w:type="character" w:customStyle="1" w:styleId="36">
    <w:name w:val="标题 8 Char"/>
    <w:basedOn w:val="17"/>
    <w:link w:val="5"/>
    <w:qFormat/>
    <w:uiPriority w:val="0"/>
    <w:rPr>
      <w:rFonts w:asciiTheme="majorHAnsi" w:hAnsiTheme="majorHAnsi" w:eastAsiaTheme="majorEastAsia" w:cstheme="majorBidi"/>
      <w:sz w:val="24"/>
      <w:szCs w:val="24"/>
      <w:lang w:eastAsia="en-US"/>
    </w:rPr>
  </w:style>
  <w:style w:type="character" w:customStyle="1" w:styleId="37">
    <w:name w:val="批注文字 Char"/>
    <w:basedOn w:val="17"/>
    <w:link w:val="7"/>
    <w:uiPriority w:val="99"/>
    <w:rPr>
      <w:rFonts w:ascii="Calibri" w:hAnsi="Calibri"/>
      <w:kern w:val="2"/>
      <w:sz w:val="21"/>
      <w:szCs w:val="22"/>
    </w:rPr>
  </w:style>
  <w:style w:type="character" w:customStyle="1" w:styleId="38">
    <w:name w:val="apple-converted-space"/>
    <w:basedOn w:val="17"/>
    <w:qFormat/>
    <w:uiPriority w:val="99"/>
    <w:rPr>
      <w:rFonts w:cs="Times New Roman"/>
    </w:rPr>
  </w:style>
  <w:style w:type="character" w:customStyle="1" w:styleId="39">
    <w:name w:val="正文文本缩进 Char"/>
    <w:basedOn w:val="17"/>
    <w:link w:val="9"/>
    <w:uiPriority w:val="0"/>
    <w:rPr>
      <w:rFonts w:ascii="宋体" w:hAnsi="宋体" w:cs="宋体"/>
      <w:sz w:val="22"/>
      <w:szCs w:val="22"/>
      <w:lang w:eastAsia="en-US"/>
    </w:rPr>
  </w:style>
  <w:style w:type="character" w:customStyle="1" w:styleId="40">
    <w:name w:val="批注框文本 Char"/>
    <w:basedOn w:val="17"/>
    <w:link w:val="13"/>
    <w:semiHidden/>
    <w:qFormat/>
    <w:uiPriority w:val="0"/>
    <w:rPr>
      <w:rFonts w:ascii="宋体" w:hAnsi="宋体" w:cs="宋体"/>
      <w:sz w:val="18"/>
      <w:szCs w:val="18"/>
      <w:lang w:eastAsia="en-US"/>
    </w:rPr>
  </w:style>
  <w:style w:type="character" w:customStyle="1" w:styleId="41">
    <w:name w:val="标题 2 Char"/>
    <w:basedOn w:val="17"/>
    <w:link w:val="3"/>
    <w:qFormat/>
    <w:uiPriority w:val="1"/>
    <w:rPr>
      <w:rFonts w:ascii="宋体" w:hAnsi="宋体" w:cs="宋体"/>
      <w:b/>
      <w:bCs/>
      <w:sz w:val="24"/>
      <w:szCs w:val="24"/>
      <w:lang w:eastAsia="en-US"/>
    </w:rPr>
  </w:style>
  <w:style w:type="paragraph" w:customStyle="1" w:styleId="4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3">
    <w:name w:val="NormalCharacter"/>
    <w:uiPriority w:val="0"/>
  </w:style>
  <w:style w:type="paragraph" w:customStyle="1" w:styleId="44">
    <w:name w:val="样式 标题 1 + 宋体 居中 段前: 48 磅 段后: 12 磅 行距: 1.5 倍行距"/>
    <w:basedOn w:val="2"/>
    <w:qFormat/>
    <w:uiPriority w:val="0"/>
    <w:pPr>
      <w:keepNext/>
      <w:keepLines/>
      <w:autoSpaceDE/>
      <w:autoSpaceDN/>
      <w:adjustRightInd w:val="0"/>
      <w:spacing w:before="1560" w:after="240" w:line="360" w:lineRule="auto"/>
      <w:ind w:left="0"/>
      <w:jc w:val="center"/>
      <w:textAlignment w:val="baseline"/>
    </w:pPr>
    <w:rPr>
      <w:rFonts w:cs="Times New Roman"/>
      <w:snapToGrid w:val="0"/>
      <w:color w:val="000000"/>
      <w:kern w:val="2"/>
      <w:sz w:val="44"/>
      <w:szCs w:val="44"/>
      <w:lang w:eastAsia="zh-CN"/>
    </w:rPr>
  </w:style>
  <w:style w:type="character" w:customStyle="1" w:styleId="45">
    <w:name w:val="UserStyle_8"/>
    <w:link w:val="46"/>
    <w:qFormat/>
    <w:uiPriority w:val="0"/>
    <w:rPr>
      <w:rFonts w:ascii="宋体" w:hAnsi="Courier New"/>
    </w:rPr>
  </w:style>
  <w:style w:type="paragraph" w:customStyle="1" w:styleId="46">
    <w:name w:val="PlainText"/>
    <w:basedOn w:val="1"/>
    <w:link w:val="45"/>
    <w:qFormat/>
    <w:uiPriority w:val="0"/>
    <w:pPr>
      <w:widowControl/>
      <w:autoSpaceDE/>
      <w:autoSpaceDN/>
      <w:spacing w:line="360" w:lineRule="atLeast"/>
      <w:jc w:val="both"/>
      <w:textAlignment w:val="baseline"/>
    </w:pPr>
    <w:rPr>
      <w:rFonts w:hAnsi="Courier New" w:cs="Times New Roman"/>
      <w:sz w:val="20"/>
      <w:szCs w:val="20"/>
      <w:lang w:eastAsia="zh-CN"/>
    </w:rPr>
  </w:style>
  <w:style w:type="paragraph" w:customStyle="1" w:styleId="47">
    <w:name w:val="179"/>
    <w:basedOn w:val="1"/>
    <w:qFormat/>
    <w:uiPriority w:val="0"/>
    <w:pPr>
      <w:widowControl/>
      <w:autoSpaceDE/>
      <w:autoSpaceDN/>
      <w:ind w:firstLine="420" w:firstLineChars="200"/>
      <w:jc w:val="both"/>
    </w:pPr>
    <w:rPr>
      <w:rFonts w:ascii="Times New Roman" w:hAnsi="Times New Roman" w:cs="Times New Roman"/>
      <w:kern w:val="2"/>
      <w:sz w:val="21"/>
      <w:szCs w:val="24"/>
      <w:lang w:eastAsia="zh-CN"/>
    </w:rPr>
  </w:style>
  <w:style w:type="paragraph" w:customStyle="1" w:styleId="48">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2599</Words>
  <Characters>14820</Characters>
  <Lines>123</Lines>
  <Paragraphs>34</Paragraphs>
  <TotalTime>28</TotalTime>
  <ScaleCrop>false</ScaleCrop>
  <LinksUpToDate>false</LinksUpToDate>
  <CharactersWithSpaces>17385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2022-02-21T06:31:00Z</dcterms:created>
  <dc:creator>CGC</dc:creator>
  <cp:lastModifiedBy>333</cp:lastModifiedBy>
  <dcterms:modified xsi:type="dcterms:W3CDTF">2023-02-02T01:54:37Z</dcterms:modified>
  <dc:title>公开招标文件（货物服务类）</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