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易制毒、易制爆化学试剂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3</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FHC</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化学试剂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1128</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福建福海创石油化工有限公司</w:t>
      </w: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lang w:eastAsia="zh-CN"/>
        </w:rPr>
        <w:t>202</w:t>
      </w:r>
      <w:r>
        <w:rPr>
          <w:rFonts w:hint="eastAsia" w:asciiTheme="minorEastAsia" w:hAnsiTheme="minorEastAsia" w:eastAsiaTheme="minorEastAsia" w:cstheme="minorEastAsia"/>
          <w:color w:val="auto"/>
          <w:kern w:val="0"/>
          <w:sz w:val="28"/>
          <w:szCs w:val="28"/>
          <w:shd w:val="clear" w:color="auto" w:fill="FFFFFF"/>
          <w:lang w:val="en-US" w:eastAsia="zh-CN"/>
        </w:rPr>
        <w:t>3</w:t>
      </w:r>
      <w:r>
        <w:rPr>
          <w:rFonts w:hint="eastAsia" w:asciiTheme="minorEastAsia" w:hAnsiTheme="minorEastAsia" w:eastAsiaTheme="minorEastAsia" w:cstheme="minorEastAsia"/>
          <w:color w:val="auto"/>
          <w:kern w:val="0"/>
          <w:sz w:val="28"/>
          <w:szCs w:val="28"/>
          <w:shd w:val="clear" w:color="auto" w:fill="FFFFFF"/>
          <w:lang w:eastAsia="zh-CN"/>
        </w:rPr>
        <w:t>年</w:t>
      </w:r>
      <w:r>
        <w:rPr>
          <w:rFonts w:hint="eastAsia" w:asciiTheme="minorEastAsia" w:hAnsiTheme="minorEastAsia" w:eastAsiaTheme="minorEastAsia" w:cstheme="minorEastAsia"/>
          <w:color w:val="auto"/>
          <w:kern w:val="0"/>
          <w:sz w:val="28"/>
          <w:szCs w:val="28"/>
          <w:shd w:val="clear" w:color="auto" w:fill="FFFFFF"/>
          <w:lang w:val="en-US" w:eastAsia="zh-CN"/>
        </w:rPr>
        <w:t>11</w:t>
      </w:r>
      <w:r>
        <w:rPr>
          <w:rFonts w:hint="eastAsia" w:asciiTheme="minorEastAsia" w:hAnsiTheme="minorEastAsia" w:eastAsiaTheme="minorEastAsia" w:cstheme="minorEastAsia"/>
          <w:color w:val="auto"/>
          <w:kern w:val="0"/>
          <w:sz w:val="28"/>
          <w:szCs w:val="28"/>
          <w:shd w:val="clear" w:color="auto" w:fill="FFFFFF"/>
          <w:lang w:eastAsia="zh-CN"/>
        </w:rPr>
        <w:t>月</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lang w:eastAsia="zh-CN"/>
        </w:rPr>
        <w:t>8日</w:t>
      </w:r>
    </w:p>
    <w:p>
      <w:pPr>
        <w:widowControl/>
        <w:shd w:val="clear" w:color="auto" w:fill="FFFFFF"/>
        <w:rPr>
          <w:rFonts w:ascii="宋体"/>
          <w:b/>
          <w:bCs/>
          <w:color w:val="auto"/>
          <w:sz w:val="36"/>
        </w:rPr>
      </w:pPr>
      <w:r>
        <w:rPr>
          <w:color w:val="auto"/>
          <w:kern w:val="0"/>
          <w:szCs w:val="21"/>
          <w:shd w:val="clear" w:color="auto" w:fill="FFFFFF"/>
        </w:rPr>
        <w:t> </w:t>
      </w: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28"/>
          <w:szCs w:val="22"/>
          <w:lang w:val="en-US" w:eastAsia="zh-CN"/>
        </w:rPr>
      </w:pPr>
      <w:r>
        <w:rPr>
          <w:rFonts w:hint="eastAsia" w:ascii="宋体" w:hAnsi="宋体"/>
          <w:b/>
          <w:bCs/>
          <w:sz w:val="36"/>
        </w:rPr>
        <w:t>一、比选公告</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28"/>
          <w:szCs w:val="22"/>
          <w:lang w:val="en-US" w:eastAsia="zh-CN"/>
        </w:rPr>
      </w:pPr>
      <w:r>
        <w:rPr>
          <w:rFonts w:hint="eastAsia"/>
          <w:b/>
          <w:bCs/>
          <w:color w:val="auto"/>
          <w:sz w:val="28"/>
          <w:szCs w:val="22"/>
          <w:lang w:val="en-US" w:eastAsia="zh-CN"/>
        </w:rPr>
        <w:t>福建福海创石油化工有限公司</w:t>
      </w:r>
    </w:p>
    <w:p>
      <w:pPr>
        <w:keepNext w:val="0"/>
        <w:keepLines w:val="0"/>
        <w:pageBreakBefore w:val="0"/>
        <w:widowControl w:val="0"/>
        <w:kinsoku/>
        <w:wordWrap/>
        <w:overflowPunct/>
        <w:topLinePunct w:val="0"/>
        <w:autoSpaceDE/>
        <w:autoSpaceDN/>
        <w:bidi w:val="0"/>
        <w:spacing w:line="300" w:lineRule="auto"/>
        <w:jc w:val="center"/>
        <w:rPr>
          <w:bCs/>
          <w:color w:val="auto"/>
          <w:sz w:val="20"/>
          <w:szCs w:val="20"/>
        </w:rPr>
      </w:pPr>
      <w:r>
        <w:rPr>
          <w:rFonts w:hint="eastAsia"/>
          <w:b/>
          <w:bCs/>
          <w:color w:val="auto"/>
          <w:sz w:val="28"/>
          <w:szCs w:val="22"/>
          <w:lang w:val="en-US" w:eastAsia="zh-CN"/>
        </w:rPr>
        <w:t>易制毒、易制爆化学试剂</w:t>
      </w:r>
      <w:r>
        <w:rPr>
          <w:rFonts w:hint="eastAsia"/>
          <w:b/>
          <w:bCs/>
          <w:color w:val="auto"/>
          <w:sz w:val="28"/>
          <w:szCs w:val="2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525" w:firstLineChars="250"/>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lang w:val="en-US" w:eastAsia="zh-CN"/>
        </w:rPr>
        <w:t>福建福海创石油化工有限公司</w:t>
      </w:r>
      <w:r>
        <w:rPr>
          <w:rFonts w:hint="eastAsia" w:asciiTheme="minorEastAsia" w:hAnsiTheme="minorEastAsia" w:eastAsiaTheme="minorEastAsia"/>
          <w:bCs/>
          <w:color w:val="auto"/>
          <w:sz w:val="21"/>
          <w:szCs w:val="21"/>
          <w:lang w:eastAsia="zh-CN"/>
        </w:rPr>
        <w:t>就</w:t>
      </w:r>
      <w:r>
        <w:rPr>
          <w:rFonts w:hint="eastAsia" w:asciiTheme="minorEastAsia" w:hAnsiTheme="minorEastAsia" w:eastAsiaTheme="minorEastAsia"/>
          <w:bCs/>
          <w:color w:val="auto"/>
          <w:sz w:val="21"/>
          <w:szCs w:val="21"/>
          <w:u w:val="single"/>
          <w:lang w:eastAsia="zh-CN"/>
        </w:rPr>
        <w:t>“</w:t>
      </w:r>
      <w:r>
        <w:rPr>
          <w:rFonts w:hint="eastAsia" w:asciiTheme="minorEastAsia" w:hAnsiTheme="minorEastAsia" w:eastAsiaTheme="minorEastAsia"/>
          <w:bCs/>
          <w:color w:val="auto"/>
          <w:sz w:val="21"/>
          <w:szCs w:val="21"/>
          <w:u w:val="single"/>
          <w:lang w:val="en-US" w:eastAsia="zh-CN"/>
        </w:rPr>
        <w:t>易制毒、易制爆化学试剂</w:t>
      </w:r>
      <w:r>
        <w:rPr>
          <w:rFonts w:hint="eastAsia" w:asciiTheme="minorEastAsia" w:hAnsiTheme="minorEastAsia" w:eastAsiaTheme="minorEastAsia"/>
          <w:bCs/>
          <w:color w:val="auto"/>
          <w:sz w:val="21"/>
          <w:szCs w:val="21"/>
          <w:u w:val="single"/>
          <w:lang w:eastAsia="zh-CN"/>
        </w:rPr>
        <w:t>（项目</w:t>
      </w:r>
      <w:r>
        <w:rPr>
          <w:rFonts w:hint="eastAsia" w:asciiTheme="minorEastAsia" w:hAnsiTheme="minorEastAsia" w:eastAsiaTheme="minorEastAsia"/>
          <w:bCs/>
          <w:color w:val="auto"/>
          <w:sz w:val="21"/>
          <w:szCs w:val="21"/>
          <w:u w:val="single"/>
        </w:rPr>
        <w:t>编号：</w:t>
      </w:r>
      <w:r>
        <w:rPr>
          <w:rFonts w:hint="eastAsia" w:asciiTheme="minorEastAsia" w:hAnsiTheme="minorEastAsia" w:eastAsiaTheme="minorEastAsia"/>
          <w:bCs/>
          <w:color w:val="auto"/>
          <w:sz w:val="21"/>
          <w:szCs w:val="21"/>
          <w:u w:val="single"/>
          <w:lang w:eastAsia="zh-CN"/>
        </w:rPr>
        <w:t>2023-FHC-化学试剂-1128</w:t>
      </w:r>
      <w:r>
        <w:rPr>
          <w:rFonts w:hint="eastAsia" w:asciiTheme="minorEastAsia" w:hAnsiTheme="minorEastAsia" w:eastAsiaTheme="minorEastAsia"/>
          <w:bCs/>
          <w:color w:val="auto"/>
          <w:sz w:val="21"/>
          <w:szCs w:val="21"/>
          <w:u w:val="single"/>
        </w:rPr>
        <w:t>）”</w:t>
      </w:r>
      <w:r>
        <w:rPr>
          <w:rFonts w:hint="eastAsia" w:asciiTheme="minorEastAsia" w:hAnsiTheme="minorEastAsia" w:eastAsiaTheme="minorEastAsia"/>
          <w:bCs/>
          <w:color w:val="auto"/>
          <w:sz w:val="21"/>
          <w:szCs w:val="21"/>
        </w:rPr>
        <w:t>进行国内公开比选，</w:t>
      </w:r>
      <w:r>
        <w:rPr>
          <w:rFonts w:hint="eastAsia" w:asciiTheme="minorEastAsia" w:hAnsiTheme="minorEastAsia" w:eastAsiaTheme="minorEastAsia"/>
          <w:bCs/>
          <w:color w:val="auto"/>
          <w:spacing w:val="-2"/>
          <w:sz w:val="21"/>
          <w:szCs w:val="21"/>
        </w:rPr>
        <w:t>欢迎国内符合条件且有同类业绩的供应商积极参选。</w:t>
      </w:r>
    </w:p>
    <w:p>
      <w:pPr>
        <w:pStyle w:val="17"/>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项目概况</w:t>
      </w:r>
    </w:p>
    <w:p>
      <w:pPr>
        <w:pStyle w:val="17"/>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项</w:t>
      </w:r>
      <w:r>
        <w:rPr>
          <w:rFonts w:hint="eastAsia" w:ascii="宋体" w:hAnsi="宋体" w:cs="宋体" w:eastAsiaTheme="minorEastAsia"/>
          <w:color w:val="auto"/>
          <w:sz w:val="21"/>
          <w:szCs w:val="21"/>
          <w:lang w:eastAsia="zh-CN"/>
        </w:rPr>
        <w:t>目名称：</w:t>
      </w:r>
      <w:r>
        <w:rPr>
          <w:rFonts w:hint="eastAsia" w:ascii="宋体" w:hAnsi="宋体" w:cs="宋体" w:eastAsiaTheme="minorEastAsia"/>
          <w:color w:val="auto"/>
          <w:sz w:val="21"/>
          <w:szCs w:val="21"/>
          <w:lang w:val="en-US" w:eastAsia="zh-CN"/>
        </w:rPr>
        <w:t>易制毒、易制爆化学试剂。</w:t>
      </w:r>
    </w:p>
    <w:p>
      <w:pPr>
        <w:pStyle w:val="17"/>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比选项目：</w:t>
      </w:r>
      <w:r>
        <w:rPr>
          <w:rFonts w:hint="eastAsia" w:ascii="宋体" w:hAnsi="宋体" w:cs="宋体" w:eastAsiaTheme="minorEastAsia"/>
          <w:color w:val="auto"/>
          <w:sz w:val="21"/>
          <w:szCs w:val="21"/>
          <w:lang w:val="en-US" w:eastAsia="zh-CN"/>
        </w:rPr>
        <w:t>化学试剂</w:t>
      </w:r>
      <w:r>
        <w:rPr>
          <w:rFonts w:hint="eastAsia" w:asciiTheme="minorEastAsia" w:hAnsiTheme="minorEastAsia" w:eastAsiaTheme="minorEastAsia"/>
          <w:bCs/>
          <w:color w:val="auto"/>
          <w:sz w:val="21"/>
          <w:szCs w:val="21"/>
        </w:rPr>
        <w:t>采购数量、质量、货期</w:t>
      </w:r>
      <w:r>
        <w:rPr>
          <w:rFonts w:hint="eastAsia" w:asciiTheme="minorEastAsia" w:hAnsiTheme="minorEastAsia" w:eastAsiaTheme="minorEastAsia"/>
          <w:bCs/>
          <w:color w:val="auto"/>
          <w:sz w:val="21"/>
          <w:szCs w:val="21"/>
          <w:lang w:eastAsia="zh-CN"/>
        </w:rPr>
        <w:t>、</w:t>
      </w:r>
      <w:r>
        <w:rPr>
          <w:rFonts w:hint="eastAsia" w:asciiTheme="minorEastAsia" w:hAnsiTheme="minorEastAsia" w:eastAsiaTheme="minorEastAsia"/>
          <w:bCs/>
          <w:color w:val="auto"/>
          <w:sz w:val="21"/>
          <w:szCs w:val="21"/>
          <w:lang w:val="en-US" w:eastAsia="zh-CN"/>
        </w:rPr>
        <w:t>服务</w:t>
      </w:r>
      <w:r>
        <w:rPr>
          <w:rFonts w:hint="eastAsia" w:asciiTheme="minorEastAsia" w:hAnsiTheme="minorEastAsia" w:eastAsiaTheme="minorEastAsia"/>
          <w:bCs/>
          <w:color w:val="auto"/>
          <w:sz w:val="21"/>
          <w:szCs w:val="21"/>
        </w:rPr>
        <w:t>等要求详见比选文件</w:t>
      </w:r>
      <w:r>
        <w:rPr>
          <w:rFonts w:hint="eastAsia" w:asciiTheme="minorEastAsia" w:hAnsiTheme="minorEastAsia" w:eastAsiaTheme="minorEastAsia"/>
          <w:bCs/>
          <w:color w:val="auto"/>
          <w:sz w:val="21"/>
          <w:szCs w:val="21"/>
          <w:lang w:val="en-US" w:eastAsia="zh-CN"/>
        </w:rPr>
        <w:t>附件</w:t>
      </w:r>
      <w:r>
        <w:rPr>
          <w:rFonts w:hint="eastAsia" w:ascii="宋体" w:hAnsi="宋体" w:cs="宋体"/>
          <w:color w:val="auto"/>
          <w:sz w:val="21"/>
          <w:szCs w:val="21"/>
          <w:u w:val="single"/>
          <w:lang w:val="en-US" w:eastAsia="zh-CN"/>
        </w:rPr>
        <w:t>“易制毒易制爆试剂采购物资清单</w:t>
      </w:r>
      <w:r>
        <w:rPr>
          <w:rFonts w:hint="eastAsia" w:ascii="宋体" w:hAnsi="宋体" w:cs="宋体"/>
          <w:color w:val="auto"/>
          <w:sz w:val="21"/>
          <w:szCs w:val="21"/>
          <w:highlight w:val="none"/>
          <w:u w:val="single"/>
          <w:lang w:val="en-US" w:eastAsia="zh-CN"/>
        </w:rPr>
        <w:t>（PTA化验室2024）</w:t>
      </w:r>
      <w:r>
        <w:rPr>
          <w:rFonts w:hint="eastAsia" w:ascii="宋体" w:hAnsi="宋体" w:cs="宋体"/>
          <w:color w:val="auto"/>
          <w:sz w:val="21"/>
          <w:szCs w:val="21"/>
          <w:u w:val="single"/>
          <w:lang w:val="en-US" w:eastAsia="zh-CN"/>
        </w:rPr>
        <w:t>、易制毒易制爆试剂采购物资清单</w:t>
      </w:r>
      <w:r>
        <w:rPr>
          <w:rFonts w:hint="eastAsia" w:ascii="宋体" w:hAnsi="宋体" w:cs="宋体"/>
          <w:color w:val="auto"/>
          <w:sz w:val="21"/>
          <w:szCs w:val="21"/>
          <w:highlight w:val="none"/>
          <w:u w:val="single"/>
          <w:lang w:val="en-US" w:eastAsia="zh-CN"/>
        </w:rPr>
        <w:t>（PX化验室2024）</w:t>
      </w:r>
      <w:r>
        <w:rPr>
          <w:rFonts w:hint="eastAsia" w:ascii="宋体" w:hAnsi="宋体" w:cs="宋体"/>
          <w:color w:val="auto"/>
          <w:sz w:val="21"/>
          <w:szCs w:val="21"/>
          <w:u w:val="single"/>
          <w:lang w:val="en-US" w:eastAsia="zh-CN"/>
        </w:rPr>
        <w:t>”，下文称附件</w:t>
      </w:r>
      <w:r>
        <w:rPr>
          <w:rFonts w:hint="eastAsia" w:asciiTheme="minorEastAsia" w:hAnsiTheme="minorEastAsia" w:eastAsiaTheme="minorEastAsia"/>
          <w:bCs/>
          <w:color w:val="auto"/>
          <w:sz w:val="21"/>
          <w:szCs w:val="21"/>
        </w:rPr>
        <w:t>。</w:t>
      </w:r>
    </w:p>
    <w:p>
      <w:pPr>
        <w:pStyle w:val="17"/>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参选人资格要求</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具备独立法人资格、具备有效的企业法人营业执照</w:t>
      </w:r>
      <w:r>
        <w:rPr>
          <w:rFonts w:hint="eastAsia" w:asciiTheme="minorEastAsia" w:hAnsiTheme="minorEastAsia" w:eastAsiaTheme="minorEastAsia"/>
          <w:bCs/>
          <w:color w:val="auto"/>
          <w:sz w:val="21"/>
          <w:szCs w:val="21"/>
          <w:lang w:eastAsia="zh-CN"/>
        </w:rPr>
        <w:t>、组织机构代码、税务登记证</w:t>
      </w:r>
      <w:r>
        <w:rPr>
          <w:rFonts w:hint="eastAsia" w:asciiTheme="minorEastAsia" w:hAnsiTheme="minorEastAsia" w:eastAsiaTheme="minorEastAsia"/>
          <w:bCs/>
          <w:color w:val="auto"/>
          <w:sz w:val="21"/>
          <w:szCs w:val="21"/>
        </w:rPr>
        <w:t>。</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单位负责人为同一人或者存在控股、管理关系的不同单位不得同时参加本项目的比选。</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没有失信黑名单记录（以最高院失信被执行人系统发布信息为准）；</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color w:val="auto"/>
          <w:sz w:val="21"/>
          <w:szCs w:val="21"/>
        </w:rPr>
        <w:t>与比选人无诉讼纠纷。</w:t>
      </w:r>
    </w:p>
    <w:p>
      <w:pPr>
        <w:pStyle w:val="17"/>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sz w:val="21"/>
          <w:szCs w:val="21"/>
        </w:rPr>
        <w:t>参选保证金：</w:t>
      </w:r>
      <w:r>
        <w:rPr>
          <w:rFonts w:hint="eastAsia" w:asciiTheme="minorEastAsia" w:hAnsiTheme="minorEastAsia" w:eastAsiaTheme="minorEastAsia"/>
          <w:bCs/>
          <w:sz w:val="21"/>
          <w:szCs w:val="21"/>
          <w:lang w:val="en-US" w:eastAsia="zh-CN"/>
        </w:rPr>
        <w:t>6000元（陆仟圆整）</w:t>
      </w:r>
      <w:r>
        <w:rPr>
          <w:rFonts w:hint="eastAsia" w:asciiTheme="minorEastAsia" w:hAnsiTheme="minorEastAsia" w:eastAsiaTheme="minorEastAsia"/>
          <w:bCs/>
          <w:sz w:val="21"/>
          <w:szCs w:val="21"/>
        </w:rPr>
        <w:t>。</w:t>
      </w:r>
    </w:p>
    <w:p>
      <w:pPr>
        <w:pStyle w:val="17"/>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Cs/>
          <w:color w:val="auto"/>
          <w:sz w:val="21"/>
          <w:szCs w:val="21"/>
          <w:highlight w:val="none"/>
          <w:lang w:val="en-US" w:eastAsia="zh-CN"/>
        </w:rPr>
      </w:pPr>
      <w:r>
        <w:rPr>
          <w:rFonts w:hint="eastAsia" w:asciiTheme="minorEastAsia" w:hAnsiTheme="minorEastAsia" w:eastAsiaTheme="minorEastAsia"/>
          <w:bCs/>
          <w:color w:val="auto"/>
          <w:sz w:val="21"/>
          <w:szCs w:val="21"/>
          <w:highlight w:val="none"/>
        </w:rPr>
        <w:t>具有相关易制毒</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易制爆</w:t>
      </w:r>
      <w:r>
        <w:rPr>
          <w:rFonts w:hint="eastAsia" w:asciiTheme="minorEastAsia" w:hAnsiTheme="minorEastAsia" w:eastAsiaTheme="minorEastAsia"/>
          <w:bCs/>
          <w:color w:val="auto"/>
          <w:sz w:val="21"/>
          <w:szCs w:val="21"/>
          <w:highlight w:val="none"/>
        </w:rPr>
        <w:t>试剂经营资质：危险化学品经营许可证</w:t>
      </w:r>
      <w:r>
        <w:rPr>
          <w:rFonts w:hint="eastAsia" w:asciiTheme="minorEastAsia" w:hAnsiTheme="minorEastAsia" w:eastAsiaTheme="minorEastAsia"/>
          <w:bCs/>
          <w:color w:val="auto"/>
          <w:sz w:val="21"/>
          <w:szCs w:val="21"/>
          <w:highlight w:val="none"/>
          <w:lang w:val="en-US" w:eastAsia="zh-CN"/>
        </w:rPr>
        <w:t>/安全生产许可证</w:t>
      </w:r>
      <w:r>
        <w:rPr>
          <w:rFonts w:hint="eastAsia" w:asciiTheme="minorEastAsia" w:hAnsiTheme="minorEastAsia" w:eastAsiaTheme="minorEastAsia"/>
          <w:bCs/>
          <w:color w:val="auto"/>
          <w:sz w:val="21"/>
          <w:szCs w:val="21"/>
          <w:highlight w:val="none"/>
        </w:rPr>
        <w:t>、非药品类易制毒化学品经营备案证明等。</w:t>
      </w:r>
    </w:p>
    <w:p>
      <w:pPr>
        <w:pStyle w:val="17"/>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获取比选文件</w:t>
      </w:r>
    </w:p>
    <w:p>
      <w:pPr>
        <w:pStyle w:val="17"/>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报名时间：</w:t>
      </w:r>
      <w:r>
        <w:rPr>
          <w:rFonts w:hint="eastAsia" w:asciiTheme="majorEastAsia" w:hAnsiTheme="majorEastAsia" w:eastAsiaTheme="majorEastAsia"/>
          <w:color w:val="auto"/>
          <w:sz w:val="21"/>
          <w:szCs w:val="21"/>
        </w:rPr>
        <w:t>自公告之日至2</w:t>
      </w:r>
      <w:r>
        <w:rPr>
          <w:rFonts w:asciiTheme="majorEastAsia" w:hAnsiTheme="majorEastAsia" w:eastAsiaTheme="majorEastAsia"/>
          <w:color w:val="auto"/>
          <w:sz w:val="21"/>
          <w:szCs w:val="21"/>
        </w:rPr>
        <w:t>02</w:t>
      </w:r>
      <w:r>
        <w:rPr>
          <w:rFonts w:hint="eastAsia" w:asciiTheme="majorEastAsia" w:hAnsiTheme="majorEastAsia" w:eastAsiaTheme="majorEastAsia"/>
          <w:color w:val="auto"/>
          <w:sz w:val="21"/>
          <w:szCs w:val="21"/>
          <w:lang w:val="en-US" w:eastAsia="zh-CN"/>
        </w:rPr>
        <w:t>3</w:t>
      </w:r>
      <w:r>
        <w:rPr>
          <w:rFonts w:hint="eastAsia" w:asciiTheme="majorEastAsia" w:hAnsiTheme="majorEastAsia" w:eastAsiaTheme="majorEastAsia"/>
          <w:color w:val="auto"/>
          <w:sz w:val="21"/>
          <w:szCs w:val="21"/>
        </w:rPr>
        <w:t>年</w:t>
      </w:r>
      <w:r>
        <w:rPr>
          <w:rFonts w:hint="eastAsia" w:asciiTheme="majorEastAsia" w:hAnsiTheme="majorEastAsia" w:eastAsiaTheme="majorEastAsia"/>
          <w:color w:val="auto"/>
          <w:sz w:val="21"/>
          <w:szCs w:val="21"/>
          <w:lang w:val="en-US" w:eastAsia="zh-CN"/>
        </w:rPr>
        <w:t>12</w:t>
      </w:r>
      <w:r>
        <w:rPr>
          <w:rFonts w:hint="eastAsia" w:asciiTheme="majorEastAsia" w:hAnsiTheme="majorEastAsia" w:eastAsiaTheme="majorEastAsia"/>
          <w:color w:val="auto"/>
          <w:sz w:val="21"/>
          <w:szCs w:val="21"/>
        </w:rPr>
        <w:t>月</w:t>
      </w:r>
      <w:r>
        <w:rPr>
          <w:rFonts w:hint="eastAsia" w:asciiTheme="majorEastAsia" w:hAnsiTheme="majorEastAsia" w:eastAsiaTheme="majorEastAsia"/>
          <w:color w:val="auto"/>
          <w:sz w:val="21"/>
          <w:szCs w:val="21"/>
          <w:lang w:val="en-US" w:eastAsia="zh-CN"/>
        </w:rPr>
        <w:t>15</w:t>
      </w:r>
      <w:bookmarkStart w:id="1" w:name="_GoBack"/>
      <w:bookmarkEnd w:id="1"/>
      <w:r>
        <w:rPr>
          <w:rFonts w:hint="eastAsia" w:asciiTheme="majorEastAsia" w:hAnsiTheme="majorEastAsia" w:eastAsiaTheme="majorEastAsia"/>
          <w:color w:val="auto"/>
          <w:sz w:val="21"/>
          <w:szCs w:val="21"/>
        </w:rPr>
        <w:t>日（含当日）</w:t>
      </w:r>
    </w:p>
    <w:p>
      <w:pPr>
        <w:pStyle w:val="17"/>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bCs/>
          <w:color w:val="auto"/>
          <w:sz w:val="21"/>
          <w:szCs w:val="21"/>
        </w:rPr>
        <w:t>报名方式：</w:t>
      </w:r>
      <w:r>
        <w:rPr>
          <w:rFonts w:hint="eastAsia" w:asciiTheme="minorEastAsia" w:hAnsiTheme="minorEastAsia" w:eastAsiaTheme="minorEastAsia"/>
          <w:color w:val="auto"/>
          <w:sz w:val="21"/>
          <w:szCs w:val="21"/>
        </w:rPr>
        <w:t>参选人在报名时间内将报名文件发送至邮箱wzcgb@fjpec.com.cn</w:t>
      </w:r>
      <w:r>
        <w:rPr>
          <w:rFonts w:hint="eastAsia" w:asciiTheme="minorEastAsia" w:hAnsiTheme="minorEastAsia" w:eastAsiaTheme="minorEastAsia"/>
          <w:bCs/>
          <w:color w:val="auto"/>
          <w:sz w:val="21"/>
          <w:szCs w:val="21"/>
        </w:rPr>
        <w:t>，报名文件包含</w:t>
      </w:r>
      <w:r>
        <w:rPr>
          <w:rFonts w:asciiTheme="minorEastAsia" w:hAnsiTheme="minorEastAsia" w:eastAsiaTheme="minorEastAsia"/>
          <w:bCs/>
          <w:color w:val="auto"/>
          <w:sz w:val="21"/>
          <w:szCs w:val="21"/>
        </w:rPr>
        <w:t>：</w:t>
      </w:r>
    </w:p>
    <w:p>
      <w:pPr>
        <w:pStyle w:val="17"/>
        <w:keepNext w:val="0"/>
        <w:keepLines w:val="0"/>
        <w:pageBreakBefore w:val="0"/>
        <w:widowControl w:val="0"/>
        <w:numPr>
          <w:ilvl w:val="0"/>
          <w:numId w:val="0"/>
        </w:numPr>
        <w:kinsoku/>
        <w:wordWrap/>
        <w:overflowPunct/>
        <w:topLinePunct w:val="0"/>
        <w:autoSpaceDE/>
        <w:autoSpaceDN/>
        <w:bidi w:val="0"/>
        <w:spacing w:before="0" w:line="300" w:lineRule="auto"/>
        <w:ind w:left="1042" w:leftChars="496" w:firstLine="0" w:firstLineChars="0"/>
        <w:rPr>
          <w:rFonts w:hint="eastAsia" w:asciiTheme="minorEastAsia" w:hAnsiTheme="minorEastAsia" w:eastAsiaTheme="minorEastAsia"/>
          <w:color w:val="auto"/>
          <w:sz w:val="21"/>
          <w:szCs w:val="21"/>
          <w:lang w:val="en-US" w:eastAsia="zh-CN"/>
        </w:rPr>
      </w:pPr>
      <w:r>
        <w:rPr>
          <w:rFonts w:asciiTheme="minorEastAsia" w:hAnsiTheme="minorEastAsia" w:eastAsiaTheme="minorEastAsia"/>
          <w:bCs/>
          <w:color w:val="auto"/>
          <w:sz w:val="21"/>
          <w:szCs w:val="21"/>
        </w:rPr>
        <w:t>（1）针对本项目的法</w:t>
      </w:r>
      <w:r>
        <w:rPr>
          <w:rFonts w:hint="eastAsia" w:asciiTheme="minorEastAsia" w:hAnsiTheme="minorEastAsia" w:eastAsiaTheme="minorEastAsia"/>
          <w:bCs/>
          <w:color w:val="auto"/>
          <w:sz w:val="21"/>
          <w:szCs w:val="21"/>
        </w:rPr>
        <w:t>定代表人</w:t>
      </w:r>
      <w:r>
        <w:rPr>
          <w:rFonts w:asciiTheme="minorEastAsia" w:hAnsiTheme="minorEastAsia" w:eastAsiaTheme="minorEastAsia"/>
          <w:bCs/>
          <w:color w:val="auto"/>
          <w:sz w:val="21"/>
          <w:szCs w:val="21"/>
        </w:rPr>
        <w:t>授权委托书（格式详见</w:t>
      </w:r>
      <w:r>
        <w:rPr>
          <w:rFonts w:hint="eastAsia" w:asciiTheme="minorEastAsia" w:hAnsiTheme="minorEastAsia" w:eastAsiaTheme="minorEastAsia"/>
          <w:bCs/>
          <w:color w:val="auto"/>
          <w:sz w:val="21"/>
          <w:szCs w:val="21"/>
        </w:rPr>
        <w:t>比选文件</w:t>
      </w:r>
      <w:r>
        <w:rPr>
          <w:rFonts w:asciiTheme="minorEastAsia" w:hAnsiTheme="minorEastAsia" w:eastAsiaTheme="minorEastAsia"/>
          <w:bCs/>
          <w:color w:val="auto"/>
          <w:sz w:val="21"/>
          <w:szCs w:val="21"/>
        </w:rPr>
        <w:t>）；</w:t>
      </w:r>
      <w:r>
        <w:rPr>
          <w:rFonts w:hint="eastAsia" w:asciiTheme="minorEastAsia" w:hAnsiTheme="minorEastAsia" w:eastAsiaTheme="minorEastAsia"/>
          <w:bCs/>
          <w:color w:val="auto"/>
          <w:sz w:val="21"/>
          <w:szCs w:val="21"/>
        </w:rPr>
        <w:cr/>
      </w:r>
      <w:r>
        <w:rPr>
          <w:rFonts w:asciiTheme="minorEastAsia" w:hAnsiTheme="minorEastAsia" w:eastAsiaTheme="minorEastAsia"/>
          <w:bCs/>
          <w:color w:val="auto"/>
          <w:sz w:val="21"/>
          <w:szCs w:val="21"/>
        </w:rPr>
        <w:t>（</w:t>
      </w:r>
      <w:r>
        <w:rPr>
          <w:rFonts w:hint="eastAsia" w:asciiTheme="minorEastAsia" w:hAnsiTheme="minorEastAsia" w:eastAsiaTheme="minorEastAsia"/>
          <w:color w:val="auto"/>
          <w:sz w:val="21"/>
          <w:szCs w:val="21"/>
        </w:rPr>
        <w:t>2）证件：营业执照、开户许可证</w:t>
      </w:r>
      <w:r>
        <w:rPr>
          <w:rFonts w:hint="eastAsia" w:asciiTheme="minorEastAsia" w:hAnsiTheme="minorEastAsia" w:eastAsiaTheme="minorEastAsia"/>
          <w:color w:val="auto"/>
          <w:sz w:val="21"/>
          <w:szCs w:val="21"/>
          <w:lang w:eastAsia="zh-CN"/>
        </w:rPr>
        <w:t>、组织机构代码、税务登记证</w:t>
      </w:r>
      <w:r>
        <w:rPr>
          <w:rFonts w:hint="eastAsia" w:asciiTheme="minorEastAsia" w:hAnsiTheme="minorEastAsia" w:eastAsiaTheme="minorEastAsia"/>
          <w:color w:val="auto"/>
          <w:sz w:val="21"/>
          <w:szCs w:val="21"/>
        </w:rPr>
        <w:t>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050" w:firstLineChars="500"/>
        <w:jc w:val="both"/>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050" w:firstLineChars="500"/>
        <w:jc w:val="both"/>
        <w:textAlignment w:val="auto"/>
        <w:rPr>
          <w:rFonts w:hint="eastAsia" w:asciiTheme="minorEastAsia" w:hAnsiTheme="minorEastAsia" w:eastAsiaTheme="minorEastAsia"/>
          <w:bCs/>
          <w:sz w:val="21"/>
          <w:szCs w:val="21"/>
          <w:highlight w:val="none"/>
          <w:lang w:val="en-US" w:eastAsia="zh-CN"/>
        </w:rPr>
      </w:pPr>
      <w:r>
        <w:rPr>
          <w:rFonts w:hint="eastAsia" w:asciiTheme="minorEastAsia" w:hAnsiTheme="minorEastAsia" w:eastAsiaTheme="minorEastAsia"/>
          <w:bCs/>
          <w:sz w:val="21"/>
          <w:szCs w:val="21"/>
          <w:highlight w:val="none"/>
          <w:lang w:val="en-US" w:eastAsia="zh-CN"/>
        </w:rPr>
        <w:t>相关易制毒、易制爆经营资质文件：含危险化学品经营许可证/安全生产许可证、非药品类易制毒化学品经营备案证明等。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050" w:firstLineChars="500"/>
        <w:jc w:val="both"/>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保证金汇款银行水单：参选单位需缴纳参选保证金：</w:t>
      </w:r>
      <w:r>
        <w:rPr>
          <w:rFonts w:hint="eastAsia" w:asciiTheme="minorEastAsia" w:hAnsiTheme="minorEastAsia" w:eastAsiaTheme="minorEastAsia"/>
          <w:bCs/>
          <w:sz w:val="21"/>
          <w:szCs w:val="21"/>
          <w:lang w:val="en-US" w:eastAsia="zh-CN"/>
        </w:rPr>
        <w:t>6000元（陆仟圆整）</w:t>
      </w:r>
      <w:r>
        <w:rPr>
          <w:rFonts w:hint="eastAsia" w:asciiTheme="minorEastAsia" w:hAnsiTheme="minorEastAsia" w:eastAsiaTheme="minorEastAsia"/>
          <w:bCs/>
          <w:sz w:val="21"/>
          <w:szCs w:val="21"/>
        </w:rPr>
        <w:t>，如中选、该保证金转为履约保证金，如不中选，在比选结束后请联系商务联系人办理无息等额退款。</w:t>
      </w:r>
    </w:p>
    <w:p>
      <w:pPr>
        <w:pStyle w:val="17"/>
        <w:spacing w:before="0" w:line="360" w:lineRule="auto"/>
        <w:ind w:left="832" w:firstLine="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 xml:space="preserve">汇款资料：  </w:t>
      </w:r>
    </w:p>
    <w:p>
      <w:pPr>
        <w:spacing w:line="360" w:lineRule="auto"/>
        <w:ind w:firstLine="1050" w:firstLineChars="500"/>
        <w:rPr>
          <w:rFonts w:asciiTheme="minorEastAsia" w:hAnsiTheme="minorEastAsia" w:eastAsiaTheme="minorEastAsia"/>
          <w:bCs/>
          <w:sz w:val="21"/>
          <w:szCs w:val="21"/>
          <w:highlight w:val="yellow"/>
        </w:rPr>
      </w:pPr>
      <w:r>
        <w:rPr>
          <w:rFonts w:hint="eastAsia" w:asciiTheme="minorEastAsia" w:hAnsiTheme="minorEastAsia" w:eastAsiaTheme="minorEastAsia"/>
          <w:bCs/>
          <w:sz w:val="21"/>
          <w:szCs w:val="21"/>
          <w:highlight w:val="yellow"/>
        </w:rPr>
        <w:t>收款人：福建福海创石油化工有限公司</w:t>
      </w:r>
    </w:p>
    <w:p>
      <w:pPr>
        <w:spacing w:line="360" w:lineRule="auto"/>
        <w:ind w:firstLine="1050" w:firstLineChars="500"/>
        <w:rPr>
          <w:rFonts w:asciiTheme="minorEastAsia" w:hAnsiTheme="minorEastAsia" w:eastAsiaTheme="minorEastAsia"/>
          <w:bCs/>
          <w:sz w:val="21"/>
          <w:szCs w:val="21"/>
          <w:highlight w:val="yellow"/>
        </w:rPr>
      </w:pPr>
      <w:r>
        <w:rPr>
          <w:rFonts w:hint="eastAsia" w:asciiTheme="minorEastAsia" w:hAnsiTheme="minorEastAsia" w:eastAsiaTheme="minorEastAsia"/>
          <w:bCs/>
          <w:sz w:val="21"/>
          <w:szCs w:val="21"/>
          <w:highlight w:val="yellow"/>
        </w:rPr>
        <w:t>开户银行：中国银行漳州古雷经济开发区支行</w:t>
      </w:r>
    </w:p>
    <w:p>
      <w:pPr>
        <w:spacing w:line="360" w:lineRule="auto"/>
        <w:ind w:firstLine="1050" w:firstLineChars="50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highlight w:val="yellow"/>
        </w:rPr>
        <w:t>账    号：406574816628</w:t>
      </w:r>
    </w:p>
    <w:p>
      <w:pPr>
        <w:pStyle w:val="17"/>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获取比选文件：参选人自行下载比选文件。</w:t>
      </w:r>
    </w:p>
    <w:p>
      <w:pPr>
        <w:pStyle w:val="17"/>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四、参选文件递交要求</w:t>
      </w:r>
    </w:p>
    <w:p>
      <w:pPr>
        <w:pStyle w:val="17"/>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参选文件递交地点：</w:t>
      </w:r>
      <w:r>
        <w:rPr>
          <w:rFonts w:hint="eastAsia" w:asciiTheme="minorEastAsia" w:hAnsiTheme="minorEastAsia" w:eastAsiaTheme="minorEastAsia"/>
          <w:bCs/>
          <w:sz w:val="21"/>
          <w:szCs w:val="21"/>
          <w:lang w:val="en-US" w:eastAsia="zh-CN"/>
        </w:rPr>
        <w:t xml:space="preserve">     收件人：郑萍        电话：13015727080          </w:t>
      </w:r>
      <w:r>
        <w:rPr>
          <w:rFonts w:hint="eastAsia" w:asciiTheme="minorEastAsia" w:hAnsiTheme="minorEastAsia" w:eastAsiaTheme="minorEastAsia"/>
          <w:bCs/>
          <w:sz w:val="21"/>
          <w:szCs w:val="21"/>
        </w:rPr>
        <w:t>地址：</w:t>
      </w:r>
      <w:r>
        <w:rPr>
          <w:rFonts w:hint="eastAsia" w:asciiTheme="minorEastAsia" w:hAnsiTheme="minorEastAsia" w:eastAsiaTheme="minorEastAsia"/>
          <w:bCs/>
          <w:sz w:val="21"/>
          <w:szCs w:val="21"/>
          <w:lang w:val="en-US" w:eastAsia="zh-CN"/>
        </w:rPr>
        <w:t>福建省漳州市漳浦县杜浔镇福建福海创石油化工有限公司办公楼三楼</w:t>
      </w:r>
    </w:p>
    <w:p>
      <w:pPr>
        <w:pStyle w:val="17"/>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asciiTheme="minorEastAsia" w:hAnsiTheme="minorEastAsia" w:eastAsiaTheme="minorEastAsia"/>
          <w:bCs/>
          <w:sz w:val="21"/>
          <w:szCs w:val="21"/>
        </w:rPr>
      </w:pPr>
      <w:r>
        <w:rPr>
          <w:rFonts w:hint="eastAsia" w:asciiTheme="minorEastAsia" w:hAnsiTheme="minorEastAsia" w:eastAsiaTheme="minorEastAsia"/>
          <w:bCs/>
          <w:sz w:val="21"/>
          <w:szCs w:val="21"/>
        </w:rPr>
        <w:t>递交截止时间：</w:t>
      </w:r>
      <w:r>
        <w:rPr>
          <w:rFonts w:hint="eastAsia" w:asciiTheme="majorEastAsia" w:hAnsiTheme="majorEastAsia" w:eastAsiaTheme="majorEastAsia"/>
          <w:bCs/>
          <w:sz w:val="21"/>
          <w:szCs w:val="21"/>
        </w:rPr>
        <w:t>报名截止时间延后2个工作日</w:t>
      </w:r>
    </w:p>
    <w:p>
      <w:pPr>
        <w:pStyle w:val="17"/>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asciiTheme="minorEastAsia" w:hAnsiTheme="minorEastAsia" w:eastAsiaTheme="minorEastAsia"/>
          <w:bCs/>
          <w:sz w:val="21"/>
          <w:szCs w:val="21"/>
        </w:rPr>
      </w:pPr>
      <w:r>
        <w:rPr>
          <w:rFonts w:asciiTheme="minorEastAsia" w:hAnsiTheme="minorEastAsia" w:eastAsiaTheme="minorEastAsia"/>
          <w:bCs/>
          <w:sz w:val="21"/>
          <w:szCs w:val="21"/>
        </w:rPr>
        <w:t>寄送快递时，请在快递件上面备注清楚</w:t>
      </w:r>
      <w:r>
        <w:rPr>
          <w:rFonts w:asciiTheme="minorEastAsia" w:hAnsiTheme="minorEastAsia" w:eastAsiaTheme="minorEastAsia"/>
          <w:b/>
          <w:bCs w:val="0"/>
          <w:sz w:val="21"/>
          <w:szCs w:val="21"/>
        </w:rPr>
        <w:t>寄件人公司名称及相应参选项目名称</w:t>
      </w:r>
      <w:r>
        <w:rPr>
          <w:rFonts w:asciiTheme="minorEastAsia" w:hAnsiTheme="minorEastAsia" w:eastAsiaTheme="minorEastAsia"/>
          <w:bCs/>
          <w:sz w:val="21"/>
          <w:szCs w:val="21"/>
        </w:rPr>
        <w:t>！</w:t>
      </w:r>
    </w:p>
    <w:p>
      <w:pPr>
        <w:pStyle w:val="17"/>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hint="eastAsia" w:asciiTheme="majorEastAsia" w:hAnsiTheme="majorEastAsia" w:eastAsiaTheme="majorEastAsia"/>
          <w:bCs/>
          <w:sz w:val="21"/>
          <w:szCs w:val="21"/>
        </w:rPr>
      </w:pPr>
      <w:r>
        <w:rPr>
          <w:rFonts w:hint="eastAsia" w:asciiTheme="minorEastAsia" w:hAnsiTheme="minorEastAsia" w:eastAsiaTheme="minorEastAsia"/>
          <w:bCs/>
          <w:sz w:val="21"/>
          <w:szCs w:val="21"/>
        </w:rPr>
        <w:t>如遇</w:t>
      </w:r>
      <w:r>
        <w:rPr>
          <w:rFonts w:hint="eastAsia" w:asciiTheme="minorEastAsia" w:hAnsiTheme="minorEastAsia" w:eastAsiaTheme="minorEastAsia"/>
          <w:bCs/>
          <w:sz w:val="21"/>
          <w:szCs w:val="21"/>
          <w:lang w:val="en-US" w:eastAsia="zh-CN"/>
        </w:rPr>
        <w:t>不可抗力因素</w:t>
      </w:r>
      <w:r>
        <w:rPr>
          <w:rFonts w:hint="eastAsia" w:asciiTheme="minorEastAsia" w:hAnsiTheme="minorEastAsia" w:eastAsiaTheme="minorEastAsia"/>
          <w:bCs/>
          <w:sz w:val="21"/>
          <w:szCs w:val="21"/>
        </w:rPr>
        <w:t>影响导致无法保证物流配送时间，需邮件说明原因并在参选文件递交截止时间前邮件加密发送参选文件至：wzcgb@fjpec.com.cn（邮件标题备注参选项目名称）。开选当日将由业务员联系获取加密密码。</w:t>
      </w:r>
    </w:p>
    <w:p>
      <w:pPr>
        <w:pStyle w:val="17"/>
        <w:keepNext w:val="0"/>
        <w:keepLines w:val="0"/>
        <w:pageBreakBefore w:val="0"/>
        <w:widowControl w:val="0"/>
        <w:numPr>
          <w:ilvl w:val="0"/>
          <w:numId w:val="6"/>
        </w:numPr>
        <w:kinsoku/>
        <w:wordWrap/>
        <w:overflowPunct/>
        <w:topLinePunct w:val="0"/>
        <w:autoSpaceDE/>
        <w:autoSpaceDN/>
        <w:bidi w:val="0"/>
        <w:adjustRightInd/>
        <w:snapToGrid/>
        <w:spacing w:before="100" w:beforeAutospacing="1" w:after="100" w:afterAutospacing="1" w:line="360" w:lineRule="auto"/>
        <w:ind w:left="1196" w:hanging="363"/>
        <w:textAlignment w:val="auto"/>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特别声明：（1）参选人必须对全部物资进行参选，不得部分参选，否则其比选文件将被拒绝。（2）未进行登记报名的参选人，其递交的参选文件将被拒收</w:t>
      </w:r>
    </w:p>
    <w:p>
      <w:pPr>
        <w:pStyle w:val="17"/>
        <w:keepNext w:val="0"/>
        <w:keepLines w:val="0"/>
        <w:pageBreakBefore w:val="0"/>
        <w:widowControl w:val="0"/>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商务联系人：</w:t>
      </w:r>
      <w:r>
        <w:rPr>
          <w:rFonts w:hint="eastAsia" w:asciiTheme="minorEastAsia" w:hAnsiTheme="minorEastAsia" w:eastAsiaTheme="minorEastAsia"/>
          <w:bCs/>
          <w:color w:val="auto"/>
          <w:sz w:val="21"/>
          <w:szCs w:val="21"/>
          <w:lang w:val="en-US" w:eastAsia="zh-CN"/>
        </w:rPr>
        <w:t>郑萍</w:t>
      </w:r>
      <w:r>
        <w:rPr>
          <w:rFonts w:hint="eastAsia" w:asciiTheme="minorEastAsia" w:hAnsiTheme="minorEastAsia" w:eastAsiaTheme="minorEastAsia"/>
          <w:bCs/>
          <w:color w:val="auto"/>
          <w:sz w:val="21"/>
          <w:szCs w:val="21"/>
        </w:rPr>
        <w:t xml:space="preserve">  电话：</w:t>
      </w:r>
      <w:r>
        <w:rPr>
          <w:rFonts w:hint="eastAsia" w:asciiTheme="minorEastAsia" w:hAnsiTheme="minorEastAsia" w:eastAsiaTheme="minorEastAsia"/>
          <w:bCs/>
          <w:color w:val="auto"/>
          <w:sz w:val="21"/>
          <w:szCs w:val="21"/>
          <w:lang w:val="en-US" w:eastAsia="zh-CN"/>
        </w:rPr>
        <w:t>13015727080</w:t>
      </w:r>
      <w:r>
        <w:rPr>
          <w:rFonts w:hint="eastAsia" w:asciiTheme="minorEastAsia" w:hAnsiTheme="minorEastAsia" w:eastAsiaTheme="minorEastAsia"/>
          <w:bCs/>
          <w:color w:val="auto"/>
          <w:sz w:val="21"/>
          <w:szCs w:val="21"/>
        </w:rPr>
        <w:tab/>
      </w:r>
      <w:r>
        <w:rPr>
          <w:rFonts w:hint="eastAsia" w:asciiTheme="minorEastAsia" w:hAnsiTheme="minorEastAsia" w:eastAsiaTheme="minorEastAsia"/>
          <w:bCs/>
          <w:color w:val="auto"/>
          <w:sz w:val="21"/>
          <w:szCs w:val="21"/>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Theme="minorEastAsia" w:hAnsiTheme="minorEastAsia" w:eastAsiaTheme="minorEastAsia"/>
          <w:bCs/>
          <w:color w:val="auto"/>
          <w:sz w:val="21"/>
          <w:szCs w:val="21"/>
          <w:lang w:val="en-US" w:eastAsia="zh-CN"/>
        </w:rPr>
      </w:pPr>
      <w:r>
        <w:rPr>
          <w:rFonts w:hint="eastAsia" w:asciiTheme="minorEastAsia" w:hAnsiTheme="minorEastAsia" w:eastAsiaTheme="minorEastAsia"/>
          <w:bCs/>
          <w:color w:val="auto"/>
          <w:sz w:val="21"/>
          <w:szCs w:val="21"/>
        </w:rPr>
        <w:t>技术联系人：</w:t>
      </w:r>
      <w:r>
        <w:rPr>
          <w:rFonts w:hint="eastAsia" w:asciiTheme="minorEastAsia" w:hAnsiTheme="minorEastAsia" w:eastAsiaTheme="minorEastAsia"/>
          <w:bCs/>
          <w:color w:val="auto"/>
          <w:sz w:val="21"/>
          <w:szCs w:val="21"/>
          <w:lang w:val="en-US" w:eastAsia="zh-CN"/>
        </w:rPr>
        <w:t xml:space="preserve">何欣 </w:t>
      </w:r>
      <w:r>
        <w:rPr>
          <w:rFonts w:hint="eastAsia" w:asciiTheme="minorEastAsia" w:hAnsiTheme="minorEastAsia" w:eastAsiaTheme="minorEastAsia"/>
          <w:bCs/>
          <w:color w:val="auto"/>
          <w:sz w:val="21"/>
          <w:szCs w:val="21"/>
        </w:rPr>
        <w:t>电话：</w:t>
      </w:r>
      <w:r>
        <w:rPr>
          <w:rFonts w:hint="eastAsia" w:asciiTheme="minorEastAsia" w:hAnsiTheme="minorEastAsia" w:eastAsiaTheme="minorEastAsia"/>
          <w:bCs/>
          <w:color w:val="auto"/>
          <w:sz w:val="21"/>
          <w:szCs w:val="21"/>
          <w:lang w:val="en-US" w:eastAsia="zh-CN"/>
        </w:rPr>
        <w:t xml:space="preserve">18805058501   </w:t>
      </w:r>
      <w:r>
        <w:rPr>
          <w:rFonts w:hint="eastAsia" w:asciiTheme="minorEastAsia" w:hAnsiTheme="minorEastAsia" w:eastAsiaTheme="minorEastAsia"/>
          <w:bCs/>
          <w:color w:val="auto"/>
          <w:sz w:val="21"/>
          <w:szCs w:val="21"/>
        </w:rPr>
        <w:t>邮箱：xhe@fhcpec.com.cn</w:t>
      </w:r>
      <w:r>
        <w:rPr>
          <w:rFonts w:hint="default" w:asciiTheme="minorEastAsia" w:hAnsiTheme="minorEastAsia" w:eastAsiaTheme="minorEastAsia"/>
          <w:bCs/>
          <w:color w:val="auto"/>
          <w:sz w:val="21"/>
          <w:szCs w:val="21"/>
        </w:rPr>
        <w:t> </w:t>
      </w:r>
      <w:r>
        <w:rPr>
          <w:rFonts w:hint="eastAsia" w:asciiTheme="minorEastAsia" w:hAnsiTheme="minorEastAsia" w:eastAsiaTheme="minorEastAsia"/>
          <w:bCs/>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 xml:space="preserve">纪检监察室电话：0596-6311774  </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color w:val="auto"/>
          <w:sz w:val="21"/>
          <w:szCs w:val="21"/>
        </w:rPr>
        <w:t>联系地址：</w:t>
      </w:r>
      <w:r>
        <w:rPr>
          <w:rFonts w:hint="eastAsia" w:asciiTheme="minorEastAsia" w:hAnsiTheme="minorEastAsia" w:eastAsiaTheme="minorEastAsia"/>
          <w:bCs/>
          <w:sz w:val="21"/>
          <w:szCs w:val="21"/>
          <w:lang w:val="en-US" w:eastAsia="zh-CN"/>
        </w:rPr>
        <w:t>福建省漳州市漳浦县杜浔镇福建福海创石油化工有限公司办公楼三楼</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default" w:asciiTheme="minorEastAsia" w:hAnsiTheme="minorEastAsia" w:eastAsiaTheme="minorEastAsia"/>
          <w:bCs/>
          <w:color w:val="auto"/>
          <w:sz w:val="21"/>
          <w:szCs w:val="21"/>
          <w:lang w:val="en-US" w:eastAsia="zh-CN"/>
        </w:rPr>
      </w:pPr>
      <w:r>
        <w:rPr>
          <w:rFonts w:hint="eastAsia" w:asciiTheme="minorEastAsia" w:hAnsiTheme="minorEastAsia" w:eastAsiaTheme="minorEastAsia"/>
          <w:bCs/>
          <w:color w:val="auto"/>
          <w:sz w:val="21"/>
          <w:szCs w:val="21"/>
        </w:rPr>
        <w:t>邮    编：361001</w:t>
      </w:r>
      <w:r>
        <w:rPr>
          <w:rFonts w:hint="eastAsia" w:asciiTheme="minorEastAsia" w:hAnsiTheme="minorEastAsia"/>
          <w:color w:val="auto"/>
          <w:sz w:val="21"/>
          <w:szCs w:val="21"/>
        </w:rPr>
        <w:t xml:space="preserve"> </w:t>
      </w:r>
      <w:r>
        <w:rPr>
          <w:rFonts w:hint="eastAsia" w:asciiTheme="minorEastAsia" w:hAnsiTheme="minorEastAsia"/>
          <w:color w:val="auto"/>
          <w:sz w:val="21"/>
          <w:szCs w:val="21"/>
          <w:lang w:val="en-US" w:eastAsia="zh-CN"/>
        </w:rPr>
        <w:t xml:space="preserve">                    </w:t>
      </w:r>
      <w:r>
        <w:rPr>
          <w:rFonts w:hint="eastAsia" w:asciiTheme="minorEastAsia" w:hAnsiTheme="minorEastAsia" w:eastAsiaTheme="minorEastAsia"/>
          <w:bCs/>
          <w:color w:val="auto"/>
          <w:sz w:val="21"/>
          <w:szCs w:val="21"/>
          <w:lang w:val="en-US" w:eastAsia="zh-CN"/>
        </w:rPr>
        <w:t>福建福海创石油化工有限公司</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both"/>
        <w:textAlignment w:val="auto"/>
        <w:rPr>
          <w:rFonts w:hint="eastAsia" w:asciiTheme="minorEastAsia" w:hAnsiTheme="minorEastAsia" w:eastAsiaTheme="minorEastAsia"/>
          <w:bCs/>
          <w:color w:val="auto"/>
          <w:sz w:val="21"/>
          <w:szCs w:val="21"/>
          <w:lang w:eastAsia="zh-CN"/>
        </w:rPr>
      </w:pPr>
      <w:r>
        <w:rPr>
          <w:rFonts w:hint="eastAsia" w:asciiTheme="minorEastAsia" w:hAnsiTheme="minorEastAsia" w:eastAsiaTheme="minorEastAsia"/>
          <w:bCs/>
          <w:color w:val="auto"/>
          <w:sz w:val="21"/>
          <w:szCs w:val="21"/>
          <w:lang w:val="en-US" w:eastAsia="zh-CN"/>
        </w:rPr>
        <w:t xml:space="preserve">                                     </w:t>
      </w:r>
      <w:r>
        <w:rPr>
          <w:rFonts w:hint="eastAsia" w:asciiTheme="minorEastAsia" w:hAnsiTheme="minorEastAsia" w:eastAsiaTheme="minorEastAsia"/>
          <w:bCs/>
          <w:color w:val="auto"/>
          <w:sz w:val="21"/>
          <w:szCs w:val="21"/>
          <w:lang w:eastAsia="zh-CN"/>
        </w:rPr>
        <w:t>202</w:t>
      </w:r>
      <w:r>
        <w:rPr>
          <w:rFonts w:hint="eastAsia" w:asciiTheme="minorEastAsia" w:hAnsiTheme="minorEastAsia" w:eastAsiaTheme="minorEastAsia"/>
          <w:bCs/>
          <w:color w:val="auto"/>
          <w:sz w:val="21"/>
          <w:szCs w:val="21"/>
          <w:lang w:val="en-US" w:eastAsia="zh-CN"/>
        </w:rPr>
        <w:t>3</w:t>
      </w:r>
      <w:r>
        <w:rPr>
          <w:rFonts w:hint="eastAsia" w:asciiTheme="minorEastAsia" w:hAnsiTheme="minorEastAsia" w:eastAsiaTheme="minorEastAsia"/>
          <w:bCs/>
          <w:color w:val="auto"/>
          <w:sz w:val="21"/>
          <w:szCs w:val="21"/>
          <w:lang w:eastAsia="zh-CN"/>
        </w:rPr>
        <w:t>年</w:t>
      </w:r>
      <w:r>
        <w:rPr>
          <w:rFonts w:hint="eastAsia" w:asciiTheme="minorEastAsia" w:hAnsiTheme="minorEastAsia" w:eastAsiaTheme="minorEastAsia"/>
          <w:bCs/>
          <w:color w:val="auto"/>
          <w:sz w:val="21"/>
          <w:szCs w:val="21"/>
          <w:lang w:val="en-US" w:eastAsia="zh-CN"/>
        </w:rPr>
        <w:t>11</w:t>
      </w:r>
      <w:r>
        <w:rPr>
          <w:rFonts w:hint="eastAsia" w:asciiTheme="minorEastAsia" w:hAnsiTheme="minorEastAsia" w:eastAsiaTheme="minorEastAsia"/>
          <w:bCs/>
          <w:color w:val="auto"/>
          <w:sz w:val="21"/>
          <w:szCs w:val="21"/>
          <w:lang w:eastAsia="zh-CN"/>
        </w:rPr>
        <w:t>月</w:t>
      </w:r>
      <w:r>
        <w:rPr>
          <w:rFonts w:hint="eastAsia" w:asciiTheme="minorEastAsia" w:hAnsiTheme="minorEastAsia" w:eastAsiaTheme="minorEastAsia"/>
          <w:bCs/>
          <w:color w:val="auto"/>
          <w:sz w:val="21"/>
          <w:szCs w:val="21"/>
          <w:lang w:val="en-US" w:eastAsia="zh-CN"/>
        </w:rPr>
        <w:t>2</w:t>
      </w:r>
      <w:r>
        <w:rPr>
          <w:rFonts w:hint="eastAsia" w:asciiTheme="minorEastAsia" w:hAnsiTheme="minorEastAsia" w:eastAsiaTheme="minorEastAsia"/>
          <w:bCs/>
          <w:color w:val="auto"/>
          <w:sz w:val="21"/>
          <w:szCs w:val="21"/>
          <w:lang w:eastAsia="zh-CN"/>
        </w:rPr>
        <w:t>8日</w:t>
      </w:r>
    </w:p>
    <w:p>
      <w:pPr>
        <w:rPr>
          <w:rFonts w:hint="eastAsia" w:asciiTheme="minorEastAsia" w:hAnsiTheme="minorEastAsia" w:eastAsiaTheme="minorEastAsia"/>
          <w:bCs/>
          <w:color w:val="auto"/>
          <w:sz w:val="21"/>
          <w:szCs w:val="21"/>
          <w:lang w:eastAsia="zh-CN"/>
        </w:rPr>
      </w:pPr>
    </w:p>
    <w:p>
      <w:pPr>
        <w:numPr>
          <w:ilvl w:val="0"/>
          <w:numId w:val="7"/>
        </w:numPr>
        <w:spacing w:line="400" w:lineRule="exact"/>
        <w:jc w:val="center"/>
        <w:rPr>
          <w:rFonts w:hint="eastAsia" w:ascii="宋体" w:hAnsi="宋体"/>
          <w:b/>
          <w:bCs/>
          <w:color w:val="auto"/>
          <w:sz w:val="36"/>
        </w:rPr>
      </w:pPr>
      <w:r>
        <w:rPr>
          <w:rFonts w:hint="eastAsia" w:ascii="宋体" w:hAnsi="宋体"/>
          <w:b/>
          <w:bCs/>
          <w:color w:val="auto"/>
          <w:sz w:val="36"/>
        </w:rPr>
        <w:t>参选规定及说明</w:t>
      </w:r>
    </w:p>
    <w:p>
      <w:pPr>
        <w:numPr>
          <w:ilvl w:val="0"/>
          <w:numId w:val="0"/>
        </w:numPr>
        <w:spacing w:line="400" w:lineRule="exact"/>
        <w:jc w:val="both"/>
        <w:rPr>
          <w:rFonts w:hint="eastAsia" w:ascii="宋体" w:hAnsi="宋体"/>
          <w:b/>
          <w:bCs/>
          <w:color w:val="auto"/>
          <w:sz w:val="36"/>
        </w:rPr>
      </w:pPr>
    </w:p>
    <w:p>
      <w:pPr>
        <w:spacing w:line="320" w:lineRule="exact"/>
        <w:rPr>
          <w:rFonts w:ascii="宋体"/>
          <w:color w:val="auto"/>
          <w:sz w:val="16"/>
          <w:szCs w:val="16"/>
        </w:rPr>
      </w:pPr>
      <w:r>
        <w:rPr>
          <w:rFonts w:ascii="宋体" w:hAnsi="宋体"/>
          <w:color w:val="auto"/>
          <w:sz w:val="16"/>
          <w:szCs w:val="16"/>
        </w:rPr>
        <w:t>1.</w:t>
      </w:r>
      <w:r>
        <w:rPr>
          <w:rFonts w:hint="eastAsia" w:ascii="宋体" w:hAnsi="宋体"/>
          <w:color w:val="auto"/>
          <w:sz w:val="16"/>
          <w:szCs w:val="16"/>
        </w:rPr>
        <w:t>本次公开比选涉及产品为：</w:t>
      </w:r>
      <w:r>
        <w:rPr>
          <w:rFonts w:hint="eastAsia" w:ascii="宋体" w:hAnsi="宋体"/>
          <w:color w:val="auto"/>
          <w:sz w:val="16"/>
          <w:szCs w:val="16"/>
          <w:u w:val="single"/>
          <w:lang w:val="en-US" w:eastAsia="zh-CN"/>
        </w:rPr>
        <w:t>易制毒、易制爆化学试剂</w:t>
      </w:r>
      <w:r>
        <w:rPr>
          <w:rFonts w:hint="eastAsia" w:ascii="宋体" w:hAnsi="宋体"/>
          <w:color w:val="auto"/>
          <w:sz w:val="16"/>
          <w:szCs w:val="16"/>
          <w:u w:val="single"/>
          <w:lang w:eastAsia="zh-CN"/>
        </w:rPr>
        <w:t>。</w:t>
      </w:r>
    </w:p>
    <w:p>
      <w:pPr>
        <w:pStyle w:val="20"/>
        <w:spacing w:line="320" w:lineRule="exact"/>
        <w:ind w:firstLine="160" w:firstLineChars="100"/>
        <w:rPr>
          <w:rFonts w:ascii="宋体"/>
          <w:color w:val="auto"/>
          <w:sz w:val="16"/>
          <w:szCs w:val="16"/>
        </w:rPr>
      </w:pPr>
      <w:r>
        <w:rPr>
          <w:rFonts w:hint="eastAsia" w:ascii="宋体" w:hAnsi="宋体"/>
          <w:color w:val="auto"/>
          <w:sz w:val="16"/>
          <w:szCs w:val="16"/>
        </w:rPr>
        <w:t>数量、时间、付款方式等、质量标准等按公开比选文件要求。</w:t>
      </w:r>
    </w:p>
    <w:p>
      <w:pPr>
        <w:spacing w:line="320" w:lineRule="exact"/>
        <w:rPr>
          <w:rFonts w:ascii="宋体"/>
          <w:color w:val="auto"/>
          <w:sz w:val="16"/>
          <w:szCs w:val="16"/>
        </w:rPr>
      </w:pPr>
      <w:r>
        <w:rPr>
          <w:rFonts w:hint="eastAsia" w:ascii="宋体"/>
          <w:color w:val="auto"/>
          <w:sz w:val="16"/>
          <w:szCs w:val="16"/>
        </w:rPr>
        <w:t>2.参选人资格：</w:t>
      </w:r>
    </w:p>
    <w:p>
      <w:pPr>
        <w:spacing w:line="320" w:lineRule="exact"/>
        <w:rPr>
          <w:rFonts w:hint="eastAsia" w:ascii="宋体"/>
          <w:color w:val="auto"/>
          <w:sz w:val="16"/>
          <w:szCs w:val="16"/>
        </w:rPr>
      </w:pPr>
      <w:r>
        <w:rPr>
          <w:rFonts w:hint="eastAsia" w:ascii="宋体"/>
          <w:color w:val="auto"/>
          <w:sz w:val="16"/>
          <w:szCs w:val="16"/>
        </w:rPr>
        <w:t>（1）具备独立法人资格、具备有效的企业法人营业执照</w:t>
      </w:r>
      <w:r>
        <w:rPr>
          <w:rFonts w:hint="eastAsia" w:ascii="宋体"/>
          <w:color w:val="auto"/>
          <w:sz w:val="16"/>
          <w:szCs w:val="16"/>
          <w:lang w:eastAsia="zh-CN"/>
        </w:rPr>
        <w:t>、组织机构代码、税务登记证；</w:t>
      </w:r>
    </w:p>
    <w:p>
      <w:pPr>
        <w:spacing w:line="320" w:lineRule="exact"/>
        <w:rPr>
          <w:rFonts w:ascii="宋体"/>
          <w:color w:val="auto"/>
          <w:sz w:val="16"/>
          <w:szCs w:val="16"/>
        </w:rPr>
      </w:pPr>
      <w:r>
        <w:rPr>
          <w:rFonts w:hint="eastAsia" w:ascii="宋体"/>
          <w:color w:val="auto"/>
          <w:sz w:val="16"/>
          <w:szCs w:val="16"/>
        </w:rPr>
        <w:t>（2）单位负责人为同一人或者存在控股、管理关系的不同单位不得同时参加本项目的比选；</w:t>
      </w:r>
    </w:p>
    <w:p>
      <w:pPr>
        <w:spacing w:line="320" w:lineRule="exact"/>
        <w:rPr>
          <w:rFonts w:ascii="宋体"/>
          <w:color w:val="auto"/>
          <w:sz w:val="16"/>
          <w:szCs w:val="16"/>
        </w:rPr>
      </w:pPr>
      <w:r>
        <w:rPr>
          <w:rFonts w:hint="eastAsia" w:ascii="宋体"/>
          <w:color w:val="auto"/>
          <w:sz w:val="16"/>
          <w:szCs w:val="16"/>
        </w:rPr>
        <w:t>（3）没有失信黑名单记录（以最高院失信被执行人系统发布信息为准）；</w:t>
      </w:r>
    </w:p>
    <w:p>
      <w:pPr>
        <w:spacing w:line="320" w:lineRule="exact"/>
        <w:rPr>
          <w:rFonts w:hint="eastAsia" w:ascii="宋体"/>
          <w:color w:val="auto"/>
          <w:sz w:val="16"/>
          <w:szCs w:val="16"/>
        </w:rPr>
      </w:pPr>
      <w:r>
        <w:rPr>
          <w:rFonts w:hint="eastAsia" w:ascii="宋体"/>
          <w:color w:val="auto"/>
          <w:sz w:val="16"/>
          <w:szCs w:val="16"/>
        </w:rPr>
        <w:t>（4）与比选人无诉讼纠纷。</w:t>
      </w:r>
    </w:p>
    <w:p>
      <w:pPr>
        <w:spacing w:line="320" w:lineRule="exact"/>
        <w:rPr>
          <w:rFonts w:hint="eastAsia" w:ascii="宋体"/>
          <w:sz w:val="16"/>
          <w:szCs w:val="16"/>
        </w:rPr>
      </w:pPr>
      <w:r>
        <w:rPr>
          <w:rFonts w:hint="eastAsia" w:ascii="宋体"/>
          <w:sz w:val="16"/>
          <w:szCs w:val="16"/>
        </w:rPr>
        <w:t>（5）参选保证金：</w:t>
      </w:r>
      <w:r>
        <w:rPr>
          <w:rFonts w:hint="eastAsia" w:ascii="宋体"/>
          <w:sz w:val="16"/>
          <w:szCs w:val="16"/>
          <w:lang w:val="en-US" w:eastAsia="zh-CN"/>
        </w:rPr>
        <w:t>6000元（陆仟圆整）</w:t>
      </w:r>
      <w:r>
        <w:rPr>
          <w:rFonts w:hint="eastAsia" w:ascii="宋体"/>
          <w:sz w:val="16"/>
          <w:szCs w:val="16"/>
        </w:rPr>
        <w:t>。</w:t>
      </w:r>
    </w:p>
    <w:p>
      <w:pPr>
        <w:spacing w:line="320" w:lineRule="exact"/>
        <w:rPr>
          <w:rFonts w:hint="eastAsia" w:ascii="宋体" w:eastAsia="宋体"/>
          <w:sz w:val="16"/>
          <w:szCs w:val="16"/>
          <w:highlight w:val="none"/>
          <w:lang w:eastAsia="zh-CN"/>
        </w:rPr>
      </w:pPr>
      <w:r>
        <w:rPr>
          <w:rFonts w:hint="eastAsia" w:ascii="宋体"/>
          <w:sz w:val="16"/>
          <w:szCs w:val="16"/>
          <w:highlight w:val="none"/>
          <w:lang w:eastAsia="zh-CN"/>
        </w:rPr>
        <w:t>（</w:t>
      </w:r>
      <w:r>
        <w:rPr>
          <w:rFonts w:hint="eastAsia" w:ascii="宋体"/>
          <w:sz w:val="16"/>
          <w:szCs w:val="16"/>
          <w:highlight w:val="none"/>
          <w:lang w:val="en-US" w:eastAsia="zh-CN"/>
        </w:rPr>
        <w:t>6</w:t>
      </w:r>
      <w:r>
        <w:rPr>
          <w:rFonts w:hint="eastAsia" w:ascii="宋体"/>
          <w:sz w:val="16"/>
          <w:szCs w:val="16"/>
          <w:highlight w:val="none"/>
          <w:lang w:eastAsia="zh-CN"/>
        </w:rPr>
        <w:t>）</w:t>
      </w:r>
      <w:r>
        <w:rPr>
          <w:rFonts w:hint="eastAsia" w:ascii="宋体"/>
          <w:color w:val="auto"/>
          <w:sz w:val="16"/>
          <w:szCs w:val="16"/>
          <w:highlight w:val="none"/>
        </w:rPr>
        <w:t>具有相关易制毒</w:t>
      </w:r>
      <w:r>
        <w:rPr>
          <w:rFonts w:hint="eastAsia" w:ascii="宋体"/>
          <w:color w:val="auto"/>
          <w:sz w:val="16"/>
          <w:szCs w:val="16"/>
          <w:highlight w:val="none"/>
          <w:lang w:eastAsia="zh-CN"/>
        </w:rPr>
        <w:t>、</w:t>
      </w:r>
      <w:r>
        <w:rPr>
          <w:rFonts w:hint="eastAsia" w:ascii="宋体"/>
          <w:color w:val="auto"/>
          <w:sz w:val="16"/>
          <w:szCs w:val="16"/>
          <w:highlight w:val="none"/>
          <w:lang w:val="en-US" w:eastAsia="zh-CN"/>
        </w:rPr>
        <w:t>易制爆</w:t>
      </w:r>
      <w:r>
        <w:rPr>
          <w:rFonts w:hint="eastAsia" w:ascii="宋体"/>
          <w:color w:val="auto"/>
          <w:sz w:val="16"/>
          <w:szCs w:val="16"/>
          <w:highlight w:val="none"/>
        </w:rPr>
        <w:t>试剂经营资质：危险化学品经营许可证</w:t>
      </w:r>
      <w:r>
        <w:rPr>
          <w:rFonts w:hint="eastAsia" w:ascii="宋体"/>
          <w:color w:val="auto"/>
          <w:sz w:val="16"/>
          <w:szCs w:val="16"/>
          <w:highlight w:val="none"/>
          <w:lang w:val="en-US" w:eastAsia="zh-CN"/>
        </w:rPr>
        <w:t>/安全生产许可证</w:t>
      </w:r>
      <w:r>
        <w:rPr>
          <w:rFonts w:hint="eastAsia" w:ascii="宋体"/>
          <w:color w:val="auto"/>
          <w:sz w:val="16"/>
          <w:szCs w:val="16"/>
          <w:highlight w:val="none"/>
        </w:rPr>
        <w:t>、非药品类易制毒化学品经营备案证明等。</w:t>
      </w:r>
    </w:p>
    <w:p>
      <w:pPr>
        <w:spacing w:line="320" w:lineRule="exact"/>
        <w:rPr>
          <w:rFonts w:ascii="宋体"/>
          <w:color w:val="auto"/>
          <w:sz w:val="16"/>
          <w:szCs w:val="16"/>
        </w:rPr>
      </w:pPr>
      <w:r>
        <w:rPr>
          <w:rFonts w:ascii="宋体" w:hAnsi="宋体"/>
          <w:color w:val="auto"/>
          <w:sz w:val="16"/>
          <w:szCs w:val="16"/>
        </w:rPr>
        <w:t>3.</w:t>
      </w:r>
      <w:r>
        <w:rPr>
          <w:rFonts w:hint="eastAsia"/>
          <w:color w:val="auto"/>
          <w:sz w:val="16"/>
          <w:szCs w:val="16"/>
        </w:rPr>
        <w:t>参选人要仔细阅读公开比选文件的内容，按该报价要求提供以下要求的文件，所提供资料必须真实。</w:t>
      </w:r>
    </w:p>
    <w:p>
      <w:pPr>
        <w:spacing w:line="320" w:lineRule="exact"/>
        <w:rPr>
          <w:rFonts w:ascii="宋体" w:hAnsi="宋体"/>
          <w:color w:val="auto"/>
          <w:sz w:val="16"/>
          <w:szCs w:val="16"/>
        </w:rPr>
      </w:pPr>
      <w:r>
        <w:rPr>
          <w:rFonts w:ascii="宋体" w:hAnsi="宋体"/>
          <w:color w:val="auto"/>
          <w:sz w:val="16"/>
          <w:szCs w:val="16"/>
        </w:rPr>
        <w:t>4.</w:t>
      </w:r>
      <w:r>
        <w:rPr>
          <w:rFonts w:hint="eastAsia" w:ascii="宋体" w:hAnsi="宋体"/>
          <w:color w:val="auto"/>
          <w:sz w:val="16"/>
          <w:szCs w:val="16"/>
        </w:rPr>
        <w:t>公开比选请按以下要求密封报价。</w:t>
      </w:r>
    </w:p>
    <w:p>
      <w:pPr>
        <w:spacing w:line="320" w:lineRule="exact"/>
        <w:rPr>
          <w:rFonts w:ascii="宋体" w:hAnsi="宋体"/>
          <w:color w:val="auto"/>
          <w:sz w:val="16"/>
          <w:szCs w:val="16"/>
        </w:rPr>
      </w:pPr>
      <w:r>
        <w:rPr>
          <w:rFonts w:ascii="宋体" w:hAnsi="宋体"/>
          <w:color w:val="auto"/>
          <w:sz w:val="16"/>
          <w:szCs w:val="16"/>
        </w:rPr>
        <w:t>5</w:t>
      </w:r>
      <w:r>
        <w:rPr>
          <w:rFonts w:hint="eastAsia" w:ascii="宋体" w:hAnsi="宋体"/>
          <w:color w:val="auto"/>
          <w:sz w:val="16"/>
          <w:szCs w:val="16"/>
          <w:lang w:val="en-US" w:eastAsia="zh-CN"/>
        </w:rPr>
        <w:t>.</w:t>
      </w:r>
      <w:r>
        <w:rPr>
          <w:rFonts w:hint="eastAsia" w:ascii="宋体" w:hAnsi="宋体"/>
          <w:sz w:val="16"/>
          <w:szCs w:val="16"/>
        </w:rPr>
        <w:t>参选人密封参选书，在各封口处加盖公司印章。以下材料一式两份，称为“参选文件”，需正、副本各一份，注明“正本”及“副本”并逐页盖公章</w:t>
      </w:r>
      <w:r>
        <w:rPr>
          <w:rFonts w:hint="eastAsia" w:ascii="宋体" w:hAnsi="宋体"/>
          <w:sz w:val="16"/>
          <w:szCs w:val="16"/>
          <w:lang w:eastAsia="zh-CN"/>
        </w:rPr>
        <w:t>。</w:t>
      </w:r>
      <w:r>
        <w:rPr>
          <w:rFonts w:hint="eastAsia" w:ascii="宋体" w:hAnsi="宋体"/>
          <w:color w:val="auto"/>
          <w:sz w:val="16"/>
          <w:szCs w:val="16"/>
        </w:rPr>
        <w:t>包括：</w:t>
      </w:r>
    </w:p>
    <w:p>
      <w:pPr>
        <w:spacing w:line="320" w:lineRule="exact"/>
        <w:rPr>
          <w:rFonts w:ascii="宋体" w:hAnsi="宋体"/>
          <w:color w:val="auto"/>
          <w:sz w:val="16"/>
          <w:szCs w:val="16"/>
        </w:rPr>
      </w:pPr>
      <w:r>
        <w:rPr>
          <w:rFonts w:hint="eastAsia" w:ascii="宋体" w:hAnsi="宋体"/>
          <w:color w:val="auto"/>
          <w:sz w:val="16"/>
          <w:szCs w:val="16"/>
        </w:rPr>
        <w:t>（</w:t>
      </w:r>
      <w:r>
        <w:rPr>
          <w:rFonts w:ascii="宋体" w:hAnsi="宋体"/>
          <w:color w:val="auto"/>
          <w:sz w:val="16"/>
          <w:szCs w:val="16"/>
        </w:rPr>
        <w:t>1</w:t>
      </w:r>
      <w:r>
        <w:rPr>
          <w:rFonts w:hint="eastAsia" w:ascii="宋体" w:hAnsi="宋体"/>
          <w:color w:val="auto"/>
          <w:sz w:val="16"/>
          <w:szCs w:val="16"/>
        </w:rPr>
        <w:t>）比选公告</w:t>
      </w:r>
    </w:p>
    <w:p>
      <w:pPr>
        <w:spacing w:line="320" w:lineRule="exact"/>
        <w:rPr>
          <w:rFonts w:ascii="宋体" w:hAnsi="宋体"/>
          <w:color w:val="auto"/>
          <w:sz w:val="16"/>
          <w:szCs w:val="16"/>
        </w:rPr>
      </w:pPr>
      <w:r>
        <w:rPr>
          <w:rFonts w:hint="eastAsia" w:ascii="宋体" w:hAnsi="宋体"/>
          <w:color w:val="auto"/>
          <w:sz w:val="16"/>
          <w:szCs w:val="16"/>
        </w:rPr>
        <w:t>（2）参选规定及说明</w:t>
      </w:r>
    </w:p>
    <w:p>
      <w:pPr>
        <w:spacing w:line="320" w:lineRule="exact"/>
        <w:rPr>
          <w:rFonts w:ascii="宋体" w:hAnsi="宋体"/>
          <w:color w:val="auto"/>
          <w:sz w:val="16"/>
          <w:szCs w:val="16"/>
        </w:rPr>
      </w:pPr>
      <w:r>
        <w:rPr>
          <w:rFonts w:hint="eastAsia" w:ascii="宋体" w:hAnsi="宋体"/>
          <w:color w:val="auto"/>
          <w:sz w:val="16"/>
          <w:szCs w:val="16"/>
        </w:rPr>
        <w:t>（3）公开比选文件</w:t>
      </w:r>
    </w:p>
    <w:p>
      <w:pPr>
        <w:spacing w:line="320" w:lineRule="exact"/>
        <w:rPr>
          <w:rFonts w:ascii="宋体" w:hAnsi="宋体"/>
          <w:color w:val="auto"/>
          <w:sz w:val="16"/>
          <w:szCs w:val="16"/>
        </w:rPr>
      </w:pPr>
      <w:r>
        <w:rPr>
          <w:rFonts w:hint="eastAsia" w:ascii="宋体" w:hAnsi="宋体"/>
          <w:color w:val="auto"/>
          <w:sz w:val="16"/>
          <w:szCs w:val="16"/>
        </w:rPr>
        <w:t>（4）参选书</w:t>
      </w:r>
    </w:p>
    <w:p>
      <w:pPr>
        <w:spacing w:line="320" w:lineRule="exact"/>
        <w:rPr>
          <w:rFonts w:ascii="宋体" w:hAnsi="宋体"/>
          <w:color w:val="auto"/>
          <w:sz w:val="16"/>
          <w:szCs w:val="16"/>
        </w:rPr>
      </w:pPr>
      <w:r>
        <w:rPr>
          <w:rFonts w:hint="eastAsia" w:ascii="宋体" w:hAnsi="宋体"/>
          <w:color w:val="auto"/>
          <w:sz w:val="16"/>
          <w:szCs w:val="16"/>
        </w:rPr>
        <w:t>（5）法定代表人授权书</w:t>
      </w:r>
    </w:p>
    <w:p>
      <w:pPr>
        <w:spacing w:line="320" w:lineRule="exact"/>
        <w:rPr>
          <w:rFonts w:hint="eastAsia" w:ascii="宋体" w:hAnsi="宋体" w:eastAsia="宋体"/>
          <w:color w:val="auto"/>
          <w:sz w:val="16"/>
          <w:szCs w:val="16"/>
          <w:lang w:eastAsia="zh-CN"/>
        </w:rPr>
      </w:pPr>
      <w:r>
        <w:rPr>
          <w:rFonts w:hint="eastAsia" w:ascii="宋体" w:hAnsi="宋体"/>
          <w:color w:val="auto"/>
          <w:sz w:val="16"/>
          <w:szCs w:val="16"/>
        </w:rPr>
        <w:t>（6）报价单</w:t>
      </w:r>
    </w:p>
    <w:p>
      <w:pPr>
        <w:spacing w:line="320" w:lineRule="exact"/>
        <w:rPr>
          <w:rFonts w:ascii="宋体" w:hAnsi="宋体"/>
          <w:color w:val="auto"/>
          <w:sz w:val="16"/>
          <w:szCs w:val="16"/>
        </w:rPr>
      </w:pPr>
      <w:r>
        <w:rPr>
          <w:rFonts w:ascii="宋体" w:hAnsi="宋体"/>
          <w:color w:val="auto"/>
          <w:sz w:val="16"/>
          <w:szCs w:val="16"/>
        </w:rPr>
        <w:t>6.</w:t>
      </w:r>
      <w:r>
        <w:rPr>
          <w:rFonts w:hint="eastAsia" w:ascii="宋体" w:hAnsi="宋体"/>
          <w:color w:val="auto"/>
          <w:sz w:val="16"/>
          <w:szCs w:val="16"/>
        </w:rPr>
        <w:t>参选文件的修改：</w:t>
      </w:r>
    </w:p>
    <w:p>
      <w:pPr>
        <w:spacing w:line="320" w:lineRule="exact"/>
        <w:rPr>
          <w:rFonts w:ascii="宋体" w:hAnsi="宋体"/>
          <w:color w:val="auto"/>
          <w:sz w:val="16"/>
          <w:szCs w:val="16"/>
        </w:rPr>
      </w:pPr>
      <w:r>
        <w:rPr>
          <w:rFonts w:hint="eastAsia" w:ascii="宋体" w:hAnsi="宋体"/>
          <w:color w:val="auto"/>
          <w:sz w:val="16"/>
          <w:szCs w:val="16"/>
        </w:rPr>
        <w:t>在参选文件收取时间截止</w:t>
      </w:r>
      <w:r>
        <w:rPr>
          <w:rFonts w:ascii="宋体" w:hAnsi="宋体"/>
          <w:color w:val="auto"/>
          <w:sz w:val="16"/>
          <w:szCs w:val="16"/>
        </w:rPr>
        <w:t>24</w:t>
      </w:r>
      <w:r>
        <w:rPr>
          <w:rFonts w:hint="eastAsia" w:ascii="宋体" w:hAnsi="宋体"/>
          <w:color w:val="auto"/>
          <w:sz w:val="16"/>
          <w:szCs w:val="16"/>
        </w:rPr>
        <w:t>小时之前，参选人有权修改、补充或撤回已邮寄的参选文件，修改书将替代被修改的部分，成为参选文件的一部分。截至参选文件收取日期前</w:t>
      </w:r>
      <w:r>
        <w:rPr>
          <w:rFonts w:ascii="宋体" w:hAnsi="宋体"/>
          <w:color w:val="auto"/>
          <w:sz w:val="16"/>
          <w:szCs w:val="16"/>
        </w:rPr>
        <w:t>24</w:t>
      </w:r>
      <w:r>
        <w:rPr>
          <w:rFonts w:hint="eastAsia" w:ascii="宋体" w:hAnsi="宋体"/>
          <w:color w:val="auto"/>
          <w:sz w:val="16"/>
          <w:szCs w:val="16"/>
        </w:rPr>
        <w:t>小时内，不允许修改、补充或撤回参选文件。</w:t>
      </w:r>
    </w:p>
    <w:p>
      <w:pPr>
        <w:spacing w:line="320" w:lineRule="exact"/>
        <w:rPr>
          <w:rFonts w:ascii="宋体" w:hAnsi="宋体"/>
          <w:color w:val="auto"/>
          <w:sz w:val="16"/>
          <w:szCs w:val="16"/>
        </w:rPr>
      </w:pPr>
      <w:r>
        <w:rPr>
          <w:rFonts w:hint="eastAsia" w:ascii="宋体" w:hAnsi="宋体"/>
          <w:color w:val="auto"/>
          <w:sz w:val="16"/>
          <w:szCs w:val="16"/>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6"/>
          <w:szCs w:val="16"/>
        </w:rPr>
      </w:pPr>
      <w:r>
        <w:rPr>
          <w:rFonts w:ascii="宋体" w:hAnsi="宋体"/>
          <w:color w:val="auto"/>
          <w:sz w:val="16"/>
          <w:szCs w:val="16"/>
        </w:rPr>
        <w:t>7.</w:t>
      </w:r>
      <w:r>
        <w:rPr>
          <w:rFonts w:hint="eastAsia" w:ascii="宋体" w:hAnsi="宋体"/>
          <w:color w:val="auto"/>
          <w:sz w:val="16"/>
          <w:szCs w:val="16"/>
        </w:rPr>
        <w:t>报价均应为人民币一票含增值税目的地交货价。小写和大写不符，以大写为准；副本与正本不符，以正本为准。</w:t>
      </w:r>
    </w:p>
    <w:p>
      <w:pPr>
        <w:spacing w:line="320" w:lineRule="exact"/>
        <w:rPr>
          <w:rFonts w:ascii="宋体" w:hAnsi="宋体"/>
          <w:color w:val="auto"/>
          <w:sz w:val="16"/>
          <w:szCs w:val="16"/>
        </w:rPr>
      </w:pPr>
      <w:r>
        <w:rPr>
          <w:rFonts w:ascii="宋体" w:hAnsi="宋体"/>
          <w:color w:val="auto"/>
          <w:sz w:val="16"/>
          <w:szCs w:val="16"/>
        </w:rPr>
        <w:t>8.</w:t>
      </w:r>
      <w:r>
        <w:rPr>
          <w:rFonts w:hint="eastAsia" w:ascii="宋体" w:hAnsi="宋体"/>
          <w:color w:val="auto"/>
          <w:sz w:val="16"/>
          <w:szCs w:val="16"/>
        </w:rPr>
        <w:t>公开比选在本公司或本集团范围内组织比选小组成员召开比选会议，检查参选文件是否符合规定，并作记录。比选会议旨在确定所公开比选</w:t>
      </w:r>
      <w:r>
        <w:rPr>
          <w:rFonts w:hint="eastAsia" w:ascii="宋体" w:hAnsi="宋体"/>
          <w:color w:val="auto"/>
          <w:sz w:val="16"/>
          <w:szCs w:val="16"/>
          <w:u w:val="single"/>
          <w:lang w:val="en-US" w:eastAsia="zh-CN"/>
        </w:rPr>
        <w:t>易制毒、易制爆化学试剂</w:t>
      </w:r>
      <w:r>
        <w:rPr>
          <w:rFonts w:hint="eastAsia" w:ascii="宋体" w:hAnsi="宋体"/>
          <w:color w:val="auto"/>
          <w:sz w:val="16"/>
          <w:szCs w:val="16"/>
          <w:u w:val="none"/>
        </w:rPr>
        <w:t>的采</w:t>
      </w:r>
      <w:r>
        <w:rPr>
          <w:rFonts w:hint="eastAsia" w:ascii="宋体" w:hAnsi="宋体"/>
          <w:color w:val="auto"/>
          <w:sz w:val="16"/>
          <w:szCs w:val="16"/>
        </w:rPr>
        <w:t>购指导价格。比选会议确定指导价格之后：</w:t>
      </w:r>
    </w:p>
    <w:p>
      <w:pPr>
        <w:spacing w:line="320" w:lineRule="exact"/>
        <w:rPr>
          <w:rFonts w:ascii="Arial" w:hAnsi="Arial" w:cs="Arial"/>
          <w:color w:val="auto"/>
          <w:sz w:val="16"/>
          <w:szCs w:val="16"/>
        </w:rPr>
      </w:pPr>
      <w:r>
        <w:rPr>
          <w:rFonts w:ascii="Arial" w:hAnsi="Arial" w:cs="Arial"/>
          <w:color w:val="auto"/>
          <w:sz w:val="16"/>
          <w:szCs w:val="16"/>
        </w:rPr>
        <w:t>8.1</w:t>
      </w:r>
      <w:r>
        <w:rPr>
          <w:rFonts w:hint="eastAsia" w:ascii="Arial" w:hAnsi="Arial" w:cs="Arial"/>
          <w:color w:val="auto"/>
          <w:sz w:val="16"/>
          <w:szCs w:val="16"/>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6"/>
          <w:szCs w:val="16"/>
        </w:rPr>
      </w:pPr>
      <w:r>
        <w:rPr>
          <w:rFonts w:ascii="Arial" w:hAnsi="Arial" w:cs="Arial"/>
          <w:color w:val="auto"/>
          <w:sz w:val="16"/>
          <w:szCs w:val="16"/>
        </w:rPr>
        <w:t>8.2</w:t>
      </w:r>
      <w:r>
        <w:rPr>
          <w:rFonts w:hint="eastAsia" w:ascii="Arial" w:hAnsi="Arial" w:cs="Arial"/>
          <w:color w:val="auto"/>
          <w:sz w:val="16"/>
          <w:szCs w:val="16"/>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6"/>
          <w:szCs w:val="16"/>
        </w:rPr>
      </w:pPr>
      <w:r>
        <w:rPr>
          <w:rFonts w:ascii="宋体" w:hAnsi="宋体"/>
          <w:color w:val="auto"/>
          <w:sz w:val="16"/>
          <w:szCs w:val="16"/>
        </w:rPr>
        <w:t>9.</w:t>
      </w:r>
      <w:r>
        <w:rPr>
          <w:rFonts w:hint="eastAsia" w:ascii="宋体" w:hAnsi="宋体"/>
          <w:color w:val="auto"/>
          <w:sz w:val="16"/>
          <w:szCs w:val="16"/>
        </w:rPr>
        <w:t>公开比选小组将允许修改参选文件中不构成重大偏离的、不一致或不规则的地方。</w:t>
      </w:r>
    </w:p>
    <w:p>
      <w:pPr>
        <w:spacing w:line="320" w:lineRule="exact"/>
        <w:rPr>
          <w:rFonts w:ascii="宋体"/>
          <w:color w:val="auto"/>
          <w:sz w:val="16"/>
          <w:szCs w:val="16"/>
        </w:rPr>
      </w:pPr>
      <w:r>
        <w:rPr>
          <w:rFonts w:ascii="宋体" w:hAnsi="宋体"/>
          <w:color w:val="auto"/>
          <w:sz w:val="16"/>
          <w:szCs w:val="16"/>
        </w:rPr>
        <w:t>1</w:t>
      </w:r>
      <w:r>
        <w:rPr>
          <w:rFonts w:hint="eastAsia" w:ascii="宋体" w:hAnsi="宋体"/>
          <w:color w:val="auto"/>
          <w:sz w:val="16"/>
          <w:szCs w:val="16"/>
        </w:rPr>
        <w:t>0</w:t>
      </w:r>
      <w:r>
        <w:rPr>
          <w:rFonts w:ascii="宋体" w:hAnsi="宋体"/>
          <w:color w:val="auto"/>
          <w:sz w:val="16"/>
          <w:szCs w:val="16"/>
        </w:rPr>
        <w:t>.</w:t>
      </w:r>
      <w:r>
        <w:rPr>
          <w:rFonts w:hint="eastAsia" w:ascii="宋体" w:hAnsi="宋体"/>
          <w:color w:val="auto"/>
          <w:sz w:val="16"/>
          <w:szCs w:val="16"/>
        </w:rPr>
        <w:t>公开比选小组各成员均有权参与议价。确定价格后，由采购部成员记录各供应商报价以及会议过程的调价情况，各成员共同签署《比选会议纪要》。</w:t>
      </w:r>
    </w:p>
    <w:p>
      <w:pPr>
        <w:spacing w:line="320" w:lineRule="exact"/>
        <w:rPr>
          <w:rFonts w:hint="eastAsia" w:ascii="宋体" w:hAnsi="宋体"/>
          <w:sz w:val="18"/>
          <w:szCs w:val="18"/>
        </w:rPr>
      </w:pPr>
      <w:r>
        <w:rPr>
          <w:rFonts w:ascii="宋体" w:hAnsi="宋体"/>
          <w:color w:val="auto"/>
          <w:sz w:val="16"/>
          <w:szCs w:val="16"/>
        </w:rPr>
        <w:t>1</w:t>
      </w:r>
      <w:r>
        <w:rPr>
          <w:rFonts w:hint="eastAsia" w:ascii="宋体" w:hAnsi="宋体"/>
          <w:color w:val="auto"/>
          <w:sz w:val="16"/>
          <w:szCs w:val="16"/>
        </w:rPr>
        <w:t>1.公开比选会议期间，确定价格后，愿意以确定的价格供货的报价人立即或会后邮件扫描或传真《公开比选确认单》至我司，由采购部成员办理随后的订单送审手续</w:t>
      </w:r>
      <w:r>
        <w:rPr>
          <w:rFonts w:hint="eastAsia" w:ascii="宋体" w:hAnsi="宋体"/>
          <w:color w:val="auto"/>
          <w:sz w:val="16"/>
          <w:szCs w:val="16"/>
          <w:highlight w:val="none"/>
        </w:rPr>
        <w:t>。比选数量为总数量，</w:t>
      </w:r>
      <w:r>
        <w:rPr>
          <w:rFonts w:hint="eastAsia" w:ascii="宋体" w:hAnsi="宋体"/>
          <w:sz w:val="18"/>
          <w:szCs w:val="18"/>
          <w:highlight w:val="none"/>
        </w:rPr>
        <w:t>以需方实际需求为准。</w:t>
      </w:r>
    </w:p>
    <w:p>
      <w:pPr>
        <w:spacing w:line="320" w:lineRule="exact"/>
        <w:rPr>
          <w:rFonts w:hint="eastAsia" w:ascii="宋体" w:hAnsi="宋体"/>
          <w:color w:val="auto"/>
          <w:sz w:val="16"/>
          <w:szCs w:val="16"/>
        </w:rPr>
      </w:pPr>
      <w:r>
        <w:rPr>
          <w:rFonts w:hint="eastAsia" w:ascii="宋体" w:hAnsi="宋体"/>
          <w:color w:val="auto"/>
          <w:sz w:val="16"/>
          <w:szCs w:val="16"/>
        </w:rPr>
        <w:t>12.参选文件不退还。</w:t>
      </w:r>
    </w:p>
    <w:p>
      <w:pPr>
        <w:spacing w:line="320" w:lineRule="exact"/>
        <w:rPr>
          <w:rFonts w:hint="eastAsia" w:ascii="宋体" w:hAnsi="宋体" w:eastAsia="宋体" w:cs="宋体"/>
          <w:b/>
          <w:color w:val="auto"/>
          <w:kern w:val="0"/>
          <w:sz w:val="22"/>
          <w:szCs w:val="22"/>
          <w:lang w:eastAsia="zh-CN"/>
        </w:rPr>
      </w:pPr>
      <w:r>
        <w:rPr>
          <w:rFonts w:ascii="宋体" w:hAnsi="宋体"/>
          <w:color w:val="auto"/>
          <w:sz w:val="16"/>
          <w:szCs w:val="16"/>
        </w:rPr>
        <w:t>1</w:t>
      </w:r>
      <w:r>
        <w:rPr>
          <w:rFonts w:hint="eastAsia" w:ascii="宋体" w:hAnsi="宋体"/>
          <w:color w:val="auto"/>
          <w:sz w:val="16"/>
          <w:szCs w:val="16"/>
          <w:lang w:val="en-US" w:eastAsia="zh-CN"/>
        </w:rPr>
        <w:t>3</w:t>
      </w:r>
      <w:r>
        <w:rPr>
          <w:rFonts w:ascii="宋体" w:hAnsi="宋体"/>
          <w:color w:val="auto"/>
          <w:sz w:val="16"/>
          <w:szCs w:val="16"/>
        </w:rPr>
        <w:t>.</w:t>
      </w:r>
      <w:r>
        <w:rPr>
          <w:rFonts w:hint="eastAsia" w:ascii="宋体" w:hAnsi="宋体" w:cs="宋体"/>
          <w:b/>
          <w:color w:val="auto"/>
          <w:kern w:val="0"/>
          <w:sz w:val="22"/>
          <w:szCs w:val="22"/>
        </w:rPr>
        <w:t>若报价偏离市场行情，</w:t>
      </w:r>
      <w:r>
        <w:rPr>
          <w:rFonts w:hint="eastAsia" w:ascii="宋体" w:hAnsi="宋体" w:cs="宋体"/>
          <w:b/>
          <w:color w:val="auto"/>
          <w:kern w:val="0"/>
          <w:sz w:val="22"/>
          <w:szCs w:val="22"/>
          <w:lang w:val="en-US" w:eastAsia="zh-CN"/>
        </w:rPr>
        <w:t>福建福海创石油化工有限公司</w:t>
      </w:r>
      <w:r>
        <w:rPr>
          <w:rFonts w:hint="eastAsia" w:ascii="宋体" w:hAnsi="宋体" w:cs="宋体"/>
          <w:b/>
          <w:color w:val="auto"/>
          <w:kern w:val="0"/>
          <w:sz w:val="22"/>
          <w:szCs w:val="22"/>
        </w:rPr>
        <w:t>有权选择废选</w:t>
      </w:r>
      <w:r>
        <w:rPr>
          <w:rFonts w:hint="eastAsia" w:ascii="宋体" w:hAnsi="宋体" w:cs="宋体"/>
          <w:b/>
          <w:color w:val="auto"/>
          <w:kern w:val="0"/>
          <w:sz w:val="22"/>
          <w:szCs w:val="22"/>
          <w:lang w:eastAsia="zh-CN"/>
        </w:rPr>
        <w:t>。</w:t>
      </w:r>
    </w:p>
    <w:p>
      <w:pPr>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宋体"/>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2023-FHC-化学试剂-1128</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易制毒、易制爆</w:t>
      </w:r>
      <w:r>
        <w:rPr>
          <w:rFonts w:hint="eastAsia" w:ascii="宋体" w:hAnsi="宋体" w:cs="宋体" w:eastAsiaTheme="minorEastAsia"/>
          <w:color w:val="auto"/>
          <w:sz w:val="28"/>
          <w:szCs w:val="28"/>
          <w:lang w:val="en-US" w:eastAsia="zh-CN"/>
        </w:rPr>
        <w:t>化学试剂</w:t>
      </w:r>
      <w:r>
        <w:rPr>
          <w:rFonts w:hint="eastAsia" w:ascii="宋体" w:hAnsi="宋体"/>
          <w:color w:val="auto"/>
          <w:sz w:val="28"/>
          <w:szCs w:val="28"/>
        </w:rPr>
        <w:t>，具体要求如下：</w:t>
      </w:r>
      <w:r>
        <w:rPr>
          <w:rFonts w:ascii="宋体"/>
          <w:color w:val="auto"/>
          <w:sz w:val="28"/>
          <w:szCs w:val="28"/>
        </w:rPr>
        <w:tab/>
      </w:r>
    </w:p>
    <w:p>
      <w:pPr>
        <w:numPr>
          <w:ilvl w:val="0"/>
          <w:numId w:val="8"/>
        </w:numPr>
        <w:spacing w:line="360" w:lineRule="exact"/>
        <w:ind w:left="0" w:leftChars="0" w:firstLine="0" w:firstLineChars="0"/>
        <w:jc w:val="left"/>
        <w:rPr>
          <w:rFonts w:hint="eastAsia" w:ascii="宋体" w:cs="宋体"/>
          <w:color w:val="auto"/>
          <w:sz w:val="24"/>
          <w:lang w:val="en-US" w:eastAsia="zh-CN"/>
        </w:rPr>
      </w:pPr>
      <w:r>
        <w:rPr>
          <w:rFonts w:hint="eastAsia" w:ascii="宋体" w:cs="宋体"/>
          <w:color w:val="auto"/>
          <w:sz w:val="24"/>
        </w:rPr>
        <w:t>采购</w:t>
      </w:r>
      <w:r>
        <w:rPr>
          <w:rFonts w:hint="eastAsia" w:ascii="宋体" w:cs="宋体"/>
          <w:color w:val="auto"/>
          <w:sz w:val="24"/>
          <w:lang w:val="en-US" w:eastAsia="zh-CN"/>
        </w:rPr>
        <w:t>数量：</w:t>
      </w:r>
      <w:r>
        <w:rPr>
          <w:rFonts w:hint="eastAsia" w:ascii="宋体" w:cs="宋体"/>
          <w:color w:val="auto"/>
          <w:sz w:val="24"/>
          <w:u w:val="single"/>
          <w:lang w:val="en-US" w:eastAsia="zh-CN"/>
        </w:rPr>
        <w:t>一批，</w:t>
      </w:r>
      <w:r>
        <w:rPr>
          <w:rFonts w:hint="eastAsia" w:ascii="宋体" w:hAnsi="宋体" w:cs="宋体"/>
          <w:color w:val="auto"/>
          <w:sz w:val="24"/>
          <w:u w:val="single"/>
          <w:lang w:val="en-US" w:eastAsia="zh-CN"/>
        </w:rPr>
        <w:t>详见附件</w:t>
      </w:r>
      <w:r>
        <w:rPr>
          <w:rFonts w:hint="eastAsia" w:ascii="宋体" w:cs="宋体"/>
          <w:color w:val="auto"/>
          <w:sz w:val="24"/>
          <w:lang w:val="en-US" w:eastAsia="zh-CN"/>
        </w:rPr>
        <w:t>。（附件中的数量为2年预估量，以实际供货量批次结算）</w:t>
      </w:r>
    </w:p>
    <w:p>
      <w:pPr>
        <w:numPr>
          <w:ilvl w:val="0"/>
          <w:numId w:val="8"/>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w:t>
      </w:r>
    </w:p>
    <w:p>
      <w:pPr>
        <w:numPr>
          <w:ilvl w:val="0"/>
          <w:numId w:val="0"/>
        </w:numPr>
        <w:spacing w:line="360" w:lineRule="exact"/>
        <w:ind w:leftChars="0"/>
        <w:jc w:val="left"/>
        <w:rPr>
          <w:rFonts w:hint="eastAsia" w:ascii="宋体" w:hAnsi="宋体" w:cs="宋体"/>
          <w:color w:val="auto"/>
          <w:sz w:val="24"/>
          <w:u w:val="none"/>
        </w:rPr>
      </w:pPr>
      <w:r>
        <w:rPr>
          <w:rFonts w:hint="eastAsia" w:ascii="宋体" w:hAnsi="宋体" w:cs="宋体"/>
          <w:color w:val="auto"/>
          <w:sz w:val="24"/>
          <w:u w:val="none"/>
          <w:lang w:val="en-US" w:eastAsia="zh-CN"/>
        </w:rPr>
        <w:t>（产品要求：所提供的化学试剂必须保证有效期大于1年，附相应的出厂合格证明，提供危险化学品“一书一签”，基准试剂提供相关证书。）</w:t>
      </w:r>
    </w:p>
    <w:p>
      <w:pPr>
        <w:numPr>
          <w:ilvl w:val="0"/>
          <w:numId w:val="8"/>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single"/>
          <w:lang w:val="en-US" w:eastAsia="zh-CN"/>
        </w:rPr>
        <w:t xml:space="preserve"> / </w:t>
      </w:r>
      <w:r>
        <w:rPr>
          <w:rFonts w:hint="eastAsia" w:ascii="宋体" w:hAnsi="宋体" w:cs="宋体"/>
          <w:color w:val="auto"/>
          <w:sz w:val="24"/>
          <w:u w:val="none"/>
          <w:lang w:val="en-US" w:eastAsia="zh-CN"/>
        </w:rPr>
        <w:t>。</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sz w:val="24"/>
        </w:rPr>
        <w:t>合同期内</w:t>
      </w:r>
      <w:r>
        <w:rPr>
          <w:rFonts w:hint="eastAsia" w:ascii="宋体" w:hAnsi="宋体"/>
          <w:sz w:val="24"/>
          <w:lang w:val="en-US" w:eastAsia="zh-CN"/>
        </w:rPr>
        <w:t>分批次</w:t>
      </w:r>
      <w:r>
        <w:rPr>
          <w:rFonts w:hint="eastAsia" w:ascii="宋体" w:hAnsi="宋体"/>
          <w:sz w:val="24"/>
        </w:rPr>
        <w:t>到货，具体以需方通知为准</w:t>
      </w:r>
      <w:r>
        <w:rPr>
          <w:rFonts w:hint="eastAsia" w:ascii="宋体" w:hAnsi="宋体"/>
          <w:color w:val="auto"/>
          <w:sz w:val="24"/>
        </w:rPr>
        <w:t>。</w:t>
      </w:r>
    </w:p>
    <w:p>
      <w:pPr>
        <w:spacing w:line="350" w:lineRule="exact"/>
        <w:jc w:val="left"/>
        <w:rPr>
          <w:rFonts w:hint="default" w:ascii="宋体" w:hAnsi="宋体" w:cs="宋体"/>
          <w:color w:val="auto"/>
          <w:sz w:val="24"/>
          <w:lang w:val="en-US" w:eastAsia="zh-CN"/>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Theme="minorEastAsia" w:hAnsiTheme="minorEastAsia" w:eastAsiaTheme="minorEastAsia"/>
          <w:bCs/>
          <w:color w:val="auto"/>
          <w:kern w:val="0"/>
          <w:sz w:val="24"/>
          <w:lang w:val="en-US" w:eastAsia="zh-CN"/>
        </w:rPr>
        <w:t>易制毒、易制爆</w:t>
      </w:r>
      <w:r>
        <w:rPr>
          <w:rFonts w:hint="eastAsia" w:ascii="宋体" w:hAnsi="宋体" w:cs="宋体" w:eastAsiaTheme="minorEastAsia"/>
          <w:color w:val="auto"/>
          <w:sz w:val="24"/>
          <w:lang w:val="en-US" w:eastAsia="zh-CN"/>
        </w:rPr>
        <w:t>化学试剂</w:t>
      </w:r>
      <w:r>
        <w:rPr>
          <w:rFonts w:hint="eastAsia" w:ascii="宋体" w:hAnsi="宋体" w:cs="宋体"/>
          <w:color w:val="auto"/>
          <w:sz w:val="24"/>
        </w:rPr>
        <w:t>含税送到价</w:t>
      </w:r>
      <w:r>
        <w:rPr>
          <w:rFonts w:hint="eastAsia" w:ascii="宋体" w:hAnsi="宋体" w:cs="宋体"/>
          <w:color w:val="auto"/>
          <w:sz w:val="24"/>
          <w:lang w:eastAsia="zh-CN"/>
        </w:rPr>
        <w:t>，</w:t>
      </w:r>
      <w:r>
        <w:rPr>
          <w:rFonts w:hint="eastAsia" w:ascii="宋体" w:hAnsi="宋体" w:cs="宋体"/>
          <w:color w:val="auto"/>
          <w:sz w:val="24"/>
          <w:highlight w:val="yellow"/>
          <w:lang w:val="en-US" w:eastAsia="zh-CN"/>
        </w:rPr>
        <w:t>单价请按照附件表格逐一进行报价，合计总价</w:t>
      </w:r>
      <w:r>
        <w:rPr>
          <w:rFonts w:hint="eastAsia" w:ascii="宋体" w:hAnsi="宋体" w:cs="宋体"/>
          <w:color w:val="auto"/>
          <w:sz w:val="24"/>
        </w:rPr>
        <w:t>。</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w:t>
      </w:r>
      <w:r>
        <w:rPr>
          <w:rFonts w:hint="eastAsia" w:ascii="宋体" w:hAnsi="宋体" w:cs="宋体"/>
          <w:sz w:val="24"/>
          <w:szCs w:val="24"/>
        </w:rPr>
        <w:t>每批到货后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8.3我公司联系方式：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公司名称：福建福海创石油化工有限公司</w:t>
      </w:r>
    </w:p>
    <w:p>
      <w:pPr>
        <w:spacing w:line="360" w:lineRule="exact"/>
        <w:jc w:val="left"/>
        <w:rPr>
          <w:rFonts w:hint="default" w:ascii="宋体" w:hAnsi="宋体" w:cs="宋体"/>
          <w:color w:val="auto"/>
          <w:sz w:val="24"/>
          <w:lang w:val="en-US" w:eastAsia="zh-CN"/>
        </w:rPr>
      </w:pPr>
      <w:r>
        <w:rPr>
          <w:rFonts w:hint="eastAsia" w:ascii="宋体" w:hAnsi="宋体" w:cs="宋体"/>
          <w:color w:val="auto"/>
          <w:sz w:val="24"/>
          <w:lang w:val="en-US" w:eastAsia="zh-CN"/>
        </w:rPr>
        <w:t>地址：福建省漳州市漳浦县杜浔镇福建福海创石油化工有限公司办公楼三楼</w:t>
      </w:r>
    </w:p>
    <w:p>
      <w:pPr>
        <w:spacing w:line="360" w:lineRule="exact"/>
        <w:ind w:firstLine="720" w:firstLineChars="300"/>
        <w:jc w:val="left"/>
        <w:rPr>
          <w:rFonts w:hint="default" w:ascii="宋体" w:hAnsi="宋体" w:cs="宋体"/>
          <w:color w:val="auto"/>
          <w:sz w:val="24"/>
          <w:lang w:val="en-US" w:eastAsia="zh-CN"/>
        </w:rPr>
      </w:pPr>
      <w:r>
        <w:rPr>
          <w:rFonts w:hint="eastAsia" w:ascii="宋体" w:hAnsi="宋体" w:cs="宋体"/>
          <w:color w:val="auto"/>
          <w:sz w:val="24"/>
          <w:lang w:val="en-US" w:eastAsia="zh-CN"/>
        </w:rPr>
        <w:t>联系人：郑萍  手机：13015727080</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ind w:firstLine="480" w:firstLineChars="200"/>
        <w:rPr>
          <w:rFonts w:ascii="宋体" w:hAnsi="宋体"/>
          <w:color w:val="auto"/>
          <w:sz w:val="24"/>
        </w:rPr>
      </w:pPr>
      <w:r>
        <w:rPr>
          <w:rFonts w:hint="eastAsia" w:ascii="宋体" w:hAnsi="宋体"/>
          <w:color w:val="auto"/>
          <w:sz w:val="24"/>
        </w:rPr>
        <w:t>根据贵</w:t>
      </w:r>
      <w:r>
        <w:rPr>
          <w:rFonts w:hint="eastAsia" w:ascii="宋体" w:hAnsi="宋体"/>
          <w:color w:val="auto"/>
          <w:sz w:val="24"/>
          <w:lang w:val="en-US" w:eastAsia="zh-CN"/>
        </w:rPr>
        <w:t>公司</w:t>
      </w:r>
      <w:r>
        <w:rPr>
          <w:rFonts w:hint="eastAsia" w:ascii="宋体" w:hAnsi="宋体"/>
          <w:color w:val="auto"/>
          <w:sz w:val="24"/>
        </w:rPr>
        <w:t>的公开比选文件（编号：</w:t>
      </w:r>
      <w:r>
        <w:rPr>
          <w:rFonts w:hint="eastAsia" w:asciiTheme="minorEastAsia" w:hAnsiTheme="minorEastAsia" w:eastAsiaTheme="minorEastAsia"/>
          <w:bCs/>
          <w:color w:val="auto"/>
          <w:sz w:val="24"/>
          <w:u w:val="single"/>
          <w:lang w:eastAsia="zh-CN"/>
        </w:rPr>
        <w:t>2023-FHC-化学试剂-1128</w:t>
      </w:r>
      <w:r>
        <w:rPr>
          <w:rFonts w:hint="eastAsia" w:ascii="宋体" w:hAnsi="宋体"/>
          <w:color w:val="auto"/>
          <w:sz w:val="24"/>
        </w:rPr>
        <w:t>），被我</w:t>
      </w:r>
      <w:r>
        <w:rPr>
          <w:rFonts w:hint="eastAsia" w:ascii="宋体" w:hAnsi="宋体"/>
          <w:color w:val="auto"/>
          <w:sz w:val="24"/>
          <w:lang w:val="en-US" w:eastAsia="zh-CN"/>
        </w:rPr>
        <w:t>公司</w:t>
      </w:r>
      <w:r>
        <w:rPr>
          <w:rFonts w:hint="eastAsia" w:ascii="宋体" w:hAnsi="宋体"/>
          <w:color w:val="auto"/>
          <w:sz w:val="24"/>
        </w:rPr>
        <w:t>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r>
        <w:rPr>
          <w:rFonts w:hint="eastAsia" w:ascii="宋体" w:hAnsi="宋体"/>
          <w:color w:val="auto"/>
          <w:sz w:val="24"/>
          <w:lang w:eastAsia="zh-CN"/>
        </w:rPr>
        <w:t>（</w:t>
      </w:r>
      <w:r>
        <w:rPr>
          <w:rFonts w:hint="eastAsia" w:ascii="宋体" w:hAnsi="宋体"/>
          <w:color w:val="auto"/>
          <w:sz w:val="24"/>
          <w:lang w:val="en-US" w:eastAsia="zh-CN"/>
        </w:rPr>
        <w:t>含附件清单</w:t>
      </w:r>
      <w:r>
        <w:rPr>
          <w:rFonts w:hint="eastAsia" w:ascii="宋体" w:hAnsi="宋体"/>
          <w:color w:val="auto"/>
          <w:sz w:val="24"/>
          <w:lang w:eastAsia="zh-CN"/>
        </w:rPr>
        <w:t>）</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9"/>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9"/>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9"/>
        </w:numPr>
        <w:spacing w:line="500" w:lineRule="exact"/>
        <w:ind w:firstLine="480" w:firstLineChars="200"/>
        <w:rPr>
          <w:rFonts w:ascii="宋体"/>
          <w:color w:val="auto"/>
          <w:sz w:val="24"/>
          <w:highlight w:val="none"/>
        </w:rPr>
      </w:pPr>
      <w:r>
        <w:rPr>
          <w:rFonts w:hint="eastAsia" w:ascii="宋体" w:hAnsi="宋体"/>
          <w:color w:val="auto"/>
          <w:sz w:val="24"/>
          <w:highlight w:val="none"/>
        </w:rPr>
        <w:t>我公司报价有效期从报价日起至</w:t>
      </w:r>
      <w:r>
        <w:rPr>
          <w:rFonts w:hint="eastAsia" w:ascii="宋体" w:hAnsi="宋体"/>
          <w:color w:val="auto"/>
          <w:sz w:val="24"/>
          <w:highlight w:val="none"/>
          <w:lang w:val="en-US" w:eastAsia="zh-CN"/>
        </w:rPr>
        <w:t>2025年12月31日履约</w:t>
      </w:r>
      <w:r>
        <w:rPr>
          <w:rFonts w:hint="eastAsia" w:ascii="宋体" w:hAnsi="宋体"/>
          <w:color w:val="auto"/>
          <w:sz w:val="24"/>
          <w:highlight w:val="none"/>
        </w:rPr>
        <w:t>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2023-FHC-化学试剂-1128</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2023-FHC-化学试剂-1128</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易制毒、易制爆化学试剂</w:t>
      </w:r>
      <w:r>
        <w:rPr>
          <w:rFonts w:hint="eastAsia" w:ascii="宋体" w:hAnsi="宋体"/>
          <w:color w:val="auto"/>
          <w:sz w:val="24"/>
        </w:rPr>
        <w:t>：</w:t>
      </w:r>
    </w:p>
    <w:p>
      <w:pPr>
        <w:numPr>
          <w:ilvl w:val="0"/>
          <w:numId w:val="8"/>
        </w:numPr>
        <w:spacing w:line="360" w:lineRule="exact"/>
        <w:ind w:left="0" w:leftChars="0" w:firstLine="0" w:firstLineChars="0"/>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lang w:val="en-US" w:eastAsia="zh-CN"/>
        </w:rPr>
        <w:t>一批，详见附件</w:t>
      </w:r>
      <w:r>
        <w:rPr>
          <w:rFonts w:hint="eastAsia" w:ascii="宋体" w:hAnsi="宋体"/>
          <w:color w:val="auto"/>
          <w:sz w:val="24"/>
          <w:lang w:eastAsia="zh-CN"/>
        </w:rPr>
        <w:t>。</w:t>
      </w:r>
      <w:r>
        <w:rPr>
          <w:rFonts w:hint="eastAsia" w:ascii="宋体" w:cs="宋体"/>
          <w:color w:val="auto"/>
          <w:sz w:val="24"/>
          <w:lang w:val="en-US" w:eastAsia="zh-CN"/>
        </w:rPr>
        <w:t>（附件中的数量为2年预估量，以实际供货量批次结算）</w:t>
      </w:r>
    </w:p>
    <w:p>
      <w:pPr>
        <w:numPr>
          <w:ilvl w:val="0"/>
          <w:numId w:val="10"/>
        </w:numPr>
        <w:spacing w:line="312" w:lineRule="auto"/>
        <w:rPr>
          <w:rFonts w:hint="eastAsia" w:ascii="宋体" w:hAnsi="宋体" w:cs="宋体"/>
          <w:color w:val="auto"/>
          <w:sz w:val="24"/>
          <w:u w:val="single"/>
          <w:lang w:val="en-US" w:eastAsia="zh-CN"/>
        </w:rPr>
      </w:pPr>
      <w:r>
        <w:rPr>
          <w:rFonts w:hint="eastAsia" w:ascii="宋体" w:hAnsi="宋体"/>
          <w:color w:val="auto"/>
          <w:sz w:val="24"/>
          <w:lang w:val="en-US" w:eastAsia="zh-CN"/>
        </w:rPr>
        <w:t>采购指标：</w:t>
      </w:r>
      <w:r>
        <w:rPr>
          <w:rFonts w:hint="eastAsia" w:ascii="宋体" w:hAnsi="宋体" w:cs="宋体"/>
          <w:color w:val="auto"/>
          <w:sz w:val="24"/>
          <w:u w:val="single"/>
          <w:lang w:val="en-US" w:eastAsia="zh-CN"/>
        </w:rPr>
        <w:t>详见附件。</w:t>
      </w:r>
    </w:p>
    <w:p>
      <w:pPr>
        <w:numPr>
          <w:ilvl w:val="0"/>
          <w:numId w:val="0"/>
        </w:numPr>
        <w:spacing w:line="312" w:lineRule="auto"/>
        <w:rPr>
          <w:rFonts w:hint="default" w:ascii="宋体" w:hAnsi="宋体" w:cs="宋体"/>
          <w:color w:val="auto"/>
          <w:sz w:val="24"/>
          <w:u w:val="none"/>
          <w:lang w:val="en-US" w:eastAsia="zh-CN"/>
        </w:rPr>
      </w:pPr>
      <w:r>
        <w:rPr>
          <w:rFonts w:hint="eastAsia" w:ascii="宋体" w:hAnsi="宋体" w:cs="宋体"/>
          <w:color w:val="auto"/>
          <w:sz w:val="24"/>
          <w:u w:val="none"/>
          <w:lang w:val="en-US" w:eastAsia="zh-CN"/>
        </w:rPr>
        <w:t>（产品要求：所提供的化学试剂必须保证有效期大于1年，附相应的出厂合格证明，提供危险化学品“一书一签”，基准试剂提供相关证书。）</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u w:val="single"/>
          <w:lang w:val="en-US" w:eastAsia="zh-CN"/>
        </w:rPr>
        <w:t>详见附件</w:t>
      </w:r>
      <w:r>
        <w:rPr>
          <w:rFonts w:hint="eastAsia" w:ascii="宋体" w:hAnsi="宋体"/>
          <w:color w:val="auto"/>
          <w:sz w:val="24"/>
          <w:u w:val="single"/>
        </w:rPr>
        <w:t xml:space="preserve">  </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11"/>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sz w:val="24"/>
        </w:rPr>
        <w:t>合同期内</w:t>
      </w:r>
      <w:r>
        <w:rPr>
          <w:rFonts w:hint="eastAsia" w:ascii="宋体" w:hAnsi="宋体"/>
          <w:sz w:val="24"/>
          <w:lang w:val="en-US" w:eastAsia="zh-CN"/>
        </w:rPr>
        <w:t>分批次</w:t>
      </w:r>
      <w:r>
        <w:rPr>
          <w:rFonts w:hint="eastAsia" w:ascii="宋体" w:hAnsi="宋体"/>
          <w:sz w:val="24"/>
        </w:rPr>
        <w:t>到货，具体以</w:t>
      </w:r>
      <w:r>
        <w:rPr>
          <w:rFonts w:hint="eastAsia" w:ascii="宋体" w:hAnsi="宋体"/>
          <w:sz w:val="24"/>
          <w:lang w:val="en-US" w:eastAsia="zh-CN"/>
        </w:rPr>
        <w:t>贵公司</w:t>
      </w:r>
      <w:r>
        <w:rPr>
          <w:rFonts w:hint="eastAsia" w:ascii="宋体" w:hAnsi="宋体"/>
          <w:sz w:val="24"/>
        </w:rPr>
        <w:t>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w:t>
      </w:r>
      <w:r>
        <w:rPr>
          <w:rFonts w:hint="eastAsia" w:ascii="宋体" w:hAnsi="宋体" w:cs="宋体"/>
          <w:sz w:val="24"/>
          <w:szCs w:val="24"/>
        </w:rPr>
        <w:t>每批到货后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福建福海创石油化工有限公司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lang w:eastAsia="zh-CN"/>
        </w:rPr>
        <w:t>2023-FHC-化学试剂-1128</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280" w:lineRule="exact"/>
        <w:jc w:val="center"/>
        <w:rPr>
          <w:rFonts w:hint="eastAsia" w:ascii="宋体" w:hAnsi="宋体"/>
          <w:b/>
          <w:sz w:val="24"/>
        </w:rPr>
      </w:pPr>
      <w:r>
        <w:rPr>
          <w:rFonts w:hint="eastAsia" w:ascii="宋体" w:hAnsi="宋体"/>
          <w:b/>
          <w:sz w:val="24"/>
        </w:rPr>
        <w:t>一般货物（产品）采购合同</w:t>
      </w:r>
    </w:p>
    <w:p>
      <w:pPr>
        <w:spacing w:line="280" w:lineRule="exact"/>
        <w:rPr>
          <w:rFonts w:ascii="宋体" w:hAnsi="宋体"/>
          <w:b/>
          <w:szCs w:val="21"/>
          <w:u w:val="single"/>
        </w:rPr>
      </w:pPr>
      <w:r>
        <w:rPr>
          <w:rFonts w:hint="eastAsia" w:ascii="宋体" w:hAnsi="宋体"/>
          <w:sz w:val="18"/>
          <w:szCs w:val="18"/>
        </w:rPr>
        <w:t>合同编号：</w:t>
      </w:r>
    </w:p>
    <w:p>
      <w:pPr>
        <w:spacing w:line="280" w:lineRule="exact"/>
        <w:rPr>
          <w:rFonts w:hint="eastAsia" w:ascii="宋体" w:hAnsi="宋体"/>
          <w:b/>
          <w:szCs w:val="21"/>
        </w:rPr>
      </w:pPr>
      <w:r>
        <w:rPr>
          <w:rFonts w:hint="eastAsia" w:ascii="宋体" w:hAnsi="宋体"/>
          <w:b/>
          <w:szCs w:val="21"/>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b/>
          <w:color w:val="000000"/>
          <w:szCs w:val="21"/>
        </w:rPr>
        <w:t>腾龙芳烃（漳州）有限公司</w:t>
      </w:r>
      <w:r>
        <w:rPr>
          <w:rFonts w:hint="eastAsia"/>
          <w:b/>
          <w:color w:val="000000"/>
          <w:szCs w:val="21"/>
        </w:rPr>
        <w:t>、翔鹭石化</w:t>
      </w:r>
      <w:r>
        <w:rPr>
          <w:rFonts w:hint="eastAsia"/>
          <w:b/>
          <w:color w:val="000000"/>
          <w:szCs w:val="21"/>
          <w:lang w:eastAsia="zh-CN"/>
        </w:rPr>
        <w:t>（</w:t>
      </w:r>
      <w:r>
        <w:rPr>
          <w:rFonts w:hint="eastAsia"/>
          <w:b/>
          <w:color w:val="000000"/>
          <w:szCs w:val="21"/>
          <w:lang w:val="en-US" w:eastAsia="zh-CN"/>
        </w:rPr>
        <w:t>漳州</w:t>
      </w:r>
      <w:r>
        <w:rPr>
          <w:rFonts w:hint="eastAsia"/>
          <w:b/>
          <w:color w:val="000000"/>
          <w:szCs w:val="21"/>
          <w:lang w:eastAsia="zh-CN"/>
        </w:rPr>
        <w:t>）</w:t>
      </w:r>
      <w:r>
        <w:rPr>
          <w:rFonts w:hint="eastAsia"/>
          <w:b/>
          <w:color w:val="000000"/>
          <w:szCs w:val="21"/>
        </w:rPr>
        <w:t>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漳州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w:t>
      </w:r>
      <w:r>
        <w:rPr>
          <w:rFonts w:hint="eastAsia" w:ascii="宋体" w:hAnsi="宋体"/>
          <w:b/>
          <w:szCs w:val="21"/>
          <w:highlight w:val="none"/>
        </w:rPr>
        <w:t>、 产品名称</w:t>
      </w:r>
      <w:r>
        <w:rPr>
          <w:rFonts w:hint="eastAsia" w:ascii="宋体" w:hAnsi="宋体" w:cs="宋体"/>
          <w:b/>
          <w:kern w:val="0"/>
          <w:szCs w:val="21"/>
          <w:highlight w:val="none"/>
        </w:rPr>
        <w:t>、生产厂家、型号规格、计量单位、数量、</w:t>
      </w:r>
      <w:r>
        <w:rPr>
          <w:rFonts w:hint="eastAsia" w:ascii="宋体" w:hAnsi="宋体" w:cs="宋体"/>
          <w:b/>
          <w:kern w:val="0"/>
          <w:szCs w:val="21"/>
          <w:highlight w:val="none"/>
          <w:lang w:val="en-US" w:eastAsia="zh-CN"/>
        </w:rPr>
        <w:t>含税</w:t>
      </w:r>
      <w:r>
        <w:rPr>
          <w:rFonts w:hint="eastAsia" w:ascii="宋体" w:hAnsi="宋体" w:cs="宋体"/>
          <w:b/>
          <w:kern w:val="0"/>
          <w:szCs w:val="21"/>
          <w:highlight w:val="none"/>
        </w:rPr>
        <w:t>单价、</w:t>
      </w:r>
      <w:r>
        <w:rPr>
          <w:rFonts w:hint="eastAsia" w:ascii="宋体" w:hAnsi="宋体" w:cs="宋体"/>
          <w:b/>
          <w:kern w:val="0"/>
          <w:szCs w:val="21"/>
          <w:highlight w:val="none"/>
          <w:lang w:val="en-US" w:eastAsia="zh-CN"/>
        </w:rPr>
        <w:t>含税总金额、未含税总</w:t>
      </w:r>
      <w:r>
        <w:rPr>
          <w:rFonts w:hint="eastAsia" w:ascii="宋体" w:hAnsi="宋体" w:cs="宋体"/>
          <w:b/>
          <w:kern w:val="0"/>
          <w:szCs w:val="21"/>
          <w:highlight w:val="none"/>
        </w:rPr>
        <w:t>金额、</w:t>
      </w:r>
      <w:r>
        <w:rPr>
          <w:rFonts w:hint="eastAsia" w:ascii="宋体" w:hAnsi="宋体" w:cs="宋体"/>
          <w:b/>
          <w:kern w:val="0"/>
          <w:szCs w:val="21"/>
          <w:highlight w:val="none"/>
          <w:lang w:val="en-US" w:eastAsia="zh-CN"/>
        </w:rPr>
        <w:t>税金、</w:t>
      </w:r>
      <w:r>
        <w:rPr>
          <w:rFonts w:hint="eastAsia" w:ascii="宋体" w:hAnsi="宋体" w:cs="宋体"/>
          <w:b/>
          <w:kern w:val="0"/>
          <w:szCs w:val="21"/>
          <w:highlight w:val="none"/>
        </w:rPr>
        <w:t>备注:</w:t>
      </w:r>
    </w:p>
    <w:tbl>
      <w:tblPr>
        <w:tblStyle w:val="6"/>
        <w:tblW w:w="967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676"/>
        <w:gridCol w:w="631"/>
        <w:gridCol w:w="724"/>
        <w:gridCol w:w="572"/>
        <w:gridCol w:w="947"/>
        <w:gridCol w:w="887"/>
        <w:gridCol w:w="1028"/>
        <w:gridCol w:w="108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48"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676"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631"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24"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572"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947" w:type="dxa"/>
            <w:noWrap w:val="0"/>
            <w:vAlign w:val="center"/>
          </w:tcPr>
          <w:p>
            <w:pPr>
              <w:spacing w:line="280" w:lineRule="exact"/>
              <w:jc w:val="center"/>
              <w:rPr>
                <w:rFonts w:hint="eastAsia" w:ascii="宋体" w:hAnsi="宋体" w:eastAsia="宋体"/>
                <w:color w:val="000000"/>
                <w:szCs w:val="21"/>
                <w:lang w:eastAsia="zh-CN"/>
              </w:rPr>
            </w:pPr>
            <w:r>
              <w:rPr>
                <w:rFonts w:hint="eastAsia" w:ascii="宋体" w:hAnsi="宋体"/>
                <w:color w:val="000000"/>
                <w:szCs w:val="21"/>
              </w:rPr>
              <w:t>含税单价</w:t>
            </w:r>
            <w:r>
              <w:rPr>
                <w:rFonts w:hint="eastAsia" w:ascii="宋体" w:hAnsi="宋体"/>
                <w:color w:val="000000"/>
                <w:szCs w:val="21"/>
                <w:lang w:eastAsia="zh-CN"/>
              </w:rPr>
              <w:t>（</w:t>
            </w:r>
            <w:r>
              <w:rPr>
                <w:rFonts w:hint="eastAsia" w:ascii="宋体" w:hAnsi="宋体"/>
                <w:color w:val="000000"/>
                <w:szCs w:val="21"/>
                <w:lang w:val="en-US" w:eastAsia="zh-CN"/>
              </w:rPr>
              <w:t>元</w:t>
            </w:r>
            <w:r>
              <w:rPr>
                <w:rFonts w:hint="eastAsia" w:ascii="宋体" w:hAnsi="宋体"/>
                <w:color w:val="000000"/>
                <w:szCs w:val="21"/>
                <w:lang w:eastAsia="zh-CN"/>
              </w:rPr>
              <w:t>）</w:t>
            </w:r>
          </w:p>
        </w:tc>
        <w:tc>
          <w:tcPr>
            <w:tcW w:w="887"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028" w:type="dxa"/>
            <w:noWrap w:val="0"/>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未含税总金额（元）</w:t>
            </w:r>
          </w:p>
        </w:tc>
        <w:tc>
          <w:tcPr>
            <w:tcW w:w="1086"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lang w:val="en-US" w:eastAsia="zh-CN"/>
              </w:rPr>
              <w:t>税金</w:t>
            </w:r>
            <w:r>
              <w:rPr>
                <w:rFonts w:hint="eastAsia" w:ascii="宋体" w:hAnsi="宋体"/>
                <w:color w:val="000000"/>
                <w:szCs w:val="21"/>
              </w:rPr>
              <w:t>（元）</w:t>
            </w:r>
          </w:p>
        </w:tc>
        <w:tc>
          <w:tcPr>
            <w:tcW w:w="2076"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48" w:type="dxa"/>
            <w:noWrap w:val="0"/>
            <w:vAlign w:val="center"/>
          </w:tcPr>
          <w:p>
            <w:pPr>
              <w:spacing w:line="280" w:lineRule="exact"/>
              <w:jc w:val="left"/>
              <w:rPr>
                <w:rFonts w:ascii="宋体" w:hAnsi="宋体"/>
                <w:color w:val="000000"/>
                <w:szCs w:val="21"/>
              </w:rPr>
            </w:pPr>
            <w:r>
              <w:rPr>
                <w:rFonts w:hint="eastAsia" w:ascii="宋体" w:hAnsi="宋体"/>
                <w:color w:val="000000"/>
                <w:szCs w:val="21"/>
                <w:lang w:val="en-US" w:eastAsia="zh-CN"/>
              </w:rPr>
              <w:t>易制毒易制爆</w:t>
            </w:r>
            <w:r>
              <w:rPr>
                <w:rFonts w:hint="eastAsia" w:ascii="宋体" w:hAnsi="宋体"/>
                <w:color w:val="000000"/>
                <w:szCs w:val="21"/>
              </w:rPr>
              <w:t>化学试剂</w:t>
            </w:r>
          </w:p>
        </w:tc>
        <w:tc>
          <w:tcPr>
            <w:tcW w:w="676" w:type="dxa"/>
            <w:noWrap w:val="0"/>
            <w:vAlign w:val="center"/>
          </w:tcPr>
          <w:p>
            <w:pPr>
              <w:spacing w:line="280" w:lineRule="exact"/>
              <w:jc w:val="center"/>
              <w:rPr>
                <w:rFonts w:ascii="宋体" w:hAnsi="宋体"/>
                <w:color w:val="000000"/>
                <w:szCs w:val="21"/>
              </w:rPr>
            </w:pPr>
            <w:r>
              <w:rPr>
                <w:rFonts w:hint="eastAsia" w:ascii="宋体" w:hAnsi="宋体"/>
                <w:color w:val="000000"/>
                <w:szCs w:val="21"/>
              </w:rPr>
              <w:t>/</w:t>
            </w:r>
          </w:p>
        </w:tc>
        <w:tc>
          <w:tcPr>
            <w:tcW w:w="631" w:type="dxa"/>
            <w:noWrap w:val="0"/>
            <w:vAlign w:val="center"/>
          </w:tcPr>
          <w:p>
            <w:pPr>
              <w:spacing w:line="280" w:lineRule="exact"/>
              <w:jc w:val="center"/>
              <w:rPr>
                <w:rFonts w:ascii="宋体" w:hAnsi="宋体"/>
                <w:color w:val="000000"/>
                <w:szCs w:val="21"/>
              </w:rPr>
            </w:pPr>
            <w:r>
              <w:rPr>
                <w:rFonts w:hint="eastAsia" w:ascii="宋体" w:hAnsi="宋体"/>
                <w:color w:val="000000"/>
                <w:szCs w:val="21"/>
              </w:rPr>
              <w:t>见附件</w:t>
            </w:r>
          </w:p>
        </w:tc>
        <w:tc>
          <w:tcPr>
            <w:tcW w:w="724" w:type="dxa"/>
            <w:noWrap w:val="0"/>
            <w:vAlign w:val="center"/>
          </w:tcPr>
          <w:p>
            <w:pPr>
              <w:spacing w:line="280" w:lineRule="exact"/>
              <w:jc w:val="center"/>
              <w:rPr>
                <w:rFonts w:ascii="宋体" w:hAnsi="宋体"/>
                <w:color w:val="000000"/>
                <w:szCs w:val="21"/>
              </w:rPr>
            </w:pPr>
            <w:r>
              <w:rPr>
                <w:rFonts w:hint="eastAsia" w:ascii="宋体" w:hAnsi="宋体"/>
                <w:color w:val="000000"/>
                <w:szCs w:val="21"/>
              </w:rPr>
              <w:t>项</w:t>
            </w:r>
          </w:p>
        </w:tc>
        <w:tc>
          <w:tcPr>
            <w:tcW w:w="572" w:type="dxa"/>
            <w:noWrap w:val="0"/>
            <w:vAlign w:val="center"/>
          </w:tcPr>
          <w:p>
            <w:pPr>
              <w:spacing w:line="280" w:lineRule="exact"/>
              <w:jc w:val="center"/>
              <w:rPr>
                <w:rFonts w:ascii="宋体" w:hAnsi="宋体"/>
                <w:color w:val="000000"/>
                <w:szCs w:val="21"/>
              </w:rPr>
            </w:pPr>
            <w:r>
              <w:rPr>
                <w:rFonts w:hint="eastAsia" w:ascii="宋体" w:hAnsi="宋体"/>
                <w:color w:val="000000"/>
                <w:szCs w:val="21"/>
              </w:rPr>
              <w:t>一批</w:t>
            </w:r>
          </w:p>
        </w:tc>
        <w:tc>
          <w:tcPr>
            <w:tcW w:w="947" w:type="dxa"/>
            <w:noWrap w:val="0"/>
            <w:vAlign w:val="center"/>
          </w:tcPr>
          <w:p>
            <w:pPr>
              <w:spacing w:line="280" w:lineRule="exact"/>
              <w:jc w:val="center"/>
              <w:rPr>
                <w:rFonts w:ascii="宋体" w:hAnsi="宋体"/>
                <w:color w:val="000000"/>
                <w:szCs w:val="21"/>
              </w:rPr>
            </w:pPr>
            <w:r>
              <w:rPr>
                <w:rFonts w:hint="eastAsia" w:ascii="宋体" w:hAnsi="宋体"/>
                <w:color w:val="000000"/>
                <w:szCs w:val="21"/>
              </w:rPr>
              <w:t>见附件</w:t>
            </w:r>
          </w:p>
        </w:tc>
        <w:tc>
          <w:tcPr>
            <w:tcW w:w="887" w:type="dxa"/>
            <w:noWrap w:val="0"/>
            <w:vAlign w:val="center"/>
          </w:tcPr>
          <w:p>
            <w:pPr>
              <w:spacing w:line="280" w:lineRule="exact"/>
              <w:jc w:val="center"/>
              <w:rPr>
                <w:rFonts w:ascii="宋体" w:hAnsi="宋体"/>
                <w:color w:val="000000"/>
                <w:szCs w:val="21"/>
              </w:rPr>
            </w:pPr>
          </w:p>
        </w:tc>
        <w:tc>
          <w:tcPr>
            <w:tcW w:w="1028" w:type="dxa"/>
            <w:noWrap w:val="0"/>
            <w:vAlign w:val="center"/>
          </w:tcPr>
          <w:p>
            <w:pPr>
              <w:spacing w:line="280" w:lineRule="exact"/>
              <w:jc w:val="center"/>
              <w:rPr>
                <w:rFonts w:ascii="宋体" w:hAnsi="宋体"/>
                <w:color w:val="000000"/>
                <w:szCs w:val="21"/>
              </w:rPr>
            </w:pPr>
          </w:p>
        </w:tc>
        <w:tc>
          <w:tcPr>
            <w:tcW w:w="1086" w:type="dxa"/>
            <w:noWrap w:val="0"/>
            <w:vAlign w:val="center"/>
          </w:tcPr>
          <w:p>
            <w:pPr>
              <w:spacing w:line="280" w:lineRule="exact"/>
              <w:jc w:val="center"/>
              <w:rPr>
                <w:rFonts w:ascii="宋体" w:hAnsi="宋体"/>
                <w:color w:val="000000"/>
                <w:szCs w:val="21"/>
              </w:rPr>
            </w:pPr>
          </w:p>
        </w:tc>
        <w:tc>
          <w:tcPr>
            <w:tcW w:w="2076"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55" w:type="dxa"/>
            <w:gridSpan w:val="3"/>
            <w:noWrap w:val="0"/>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7320" w:type="dxa"/>
            <w:gridSpan w:val="7"/>
            <w:noWrap w:val="0"/>
            <w:vAlign w:val="center"/>
          </w:tcPr>
          <w:p>
            <w:pPr>
              <w:spacing w:line="280" w:lineRule="exact"/>
              <w:rPr>
                <w:rFonts w:hint="default" w:ascii="宋体" w:hAns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75" w:type="dxa"/>
            <w:gridSpan w:val="10"/>
            <w:noWrap w:val="0"/>
            <w:vAlign w:val="center"/>
          </w:tcPr>
          <w:p>
            <w:pPr>
              <w:spacing w:line="280" w:lineRule="exact"/>
              <w:rPr>
                <w:rFonts w:hint="eastAsia" w:ascii="宋体" w:hAnsi="宋体"/>
                <w:color w:val="000000"/>
                <w:szCs w:val="21"/>
              </w:rPr>
            </w:pPr>
            <w:r>
              <w:rPr>
                <w:rFonts w:hint="eastAsia" w:ascii="宋体" w:hAnsi="宋体"/>
                <w:color w:val="000000"/>
                <w:szCs w:val="21"/>
              </w:rPr>
              <w:t>注：用量为暂估量，故总金额为暂估量</w:t>
            </w:r>
            <w:r>
              <w:rPr>
                <w:rFonts w:hint="eastAsia" w:ascii="宋体" w:hAnsi="宋体"/>
                <w:color w:val="000000"/>
                <w:szCs w:val="21"/>
                <w:lang w:eastAsia="zh-CN"/>
              </w:rPr>
              <w:t>；</w:t>
            </w:r>
            <w:r>
              <w:rPr>
                <w:rFonts w:hint="eastAsia" w:ascii="宋体" w:hAnsi="宋体"/>
                <w:color w:val="000000"/>
                <w:szCs w:val="21"/>
              </w:rPr>
              <w:t>实际结算以报价清单上单价和实际到货数量为依据进行结算。</w:t>
            </w:r>
          </w:p>
        </w:tc>
      </w:tr>
    </w:tbl>
    <w:p>
      <w:pPr>
        <w:spacing w:line="280" w:lineRule="exact"/>
        <w:rPr>
          <w:rFonts w:hint="eastAsia" w:ascii="宋体" w:hAnsi="宋体"/>
          <w:color w:val="000000"/>
          <w:szCs w:val="21"/>
          <w:u w:val="single"/>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1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     </w:t>
      </w:r>
      <w:r>
        <w:rPr>
          <w:rFonts w:hint="eastAsia" w:ascii="宋体" w:hAnsi="宋体"/>
          <w:color w:val="000000"/>
          <w:szCs w:val="21"/>
        </w:rPr>
        <w:t>。</w:t>
      </w:r>
    </w:p>
    <w:p>
      <w:pPr>
        <w:spacing w:line="280" w:lineRule="exact"/>
        <w:ind w:firstLine="420" w:firstLineChars="200"/>
        <w:rPr>
          <w:rFonts w:ascii="宋体" w:hAnsi="宋体" w:cs="Arial"/>
          <w:color w:val="000000"/>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rPr>
        <w:t>：_____</w:t>
      </w:r>
      <w:r>
        <w:rPr>
          <w:rFonts w:ascii="宋体" w:hAnsi="宋体" w:cs="Arial"/>
          <w:szCs w:val="21"/>
          <w:u w:val="single"/>
        </w:rPr>
        <w:t>\</w:t>
      </w:r>
      <w:r>
        <w:rPr>
          <w:rFonts w:hint="eastAsia" w:ascii="宋体" w:hAnsi="宋体" w:cs="Arial"/>
          <w:szCs w:val="21"/>
        </w:rPr>
        <w:t>____</w:t>
      </w:r>
    </w:p>
    <w:p>
      <w:pPr>
        <w:spacing w:line="280" w:lineRule="exact"/>
        <w:rPr>
          <w:rFonts w:hint="eastAsia" w:ascii="宋体" w:hAnsi="宋体"/>
          <w:szCs w:val="21"/>
        </w:rPr>
      </w:pPr>
      <w:r>
        <w:rPr>
          <w:rFonts w:hint="eastAsia" w:ascii="宋体" w:hAnsi="宋体"/>
          <w:b/>
          <w:szCs w:val="21"/>
        </w:rPr>
        <w:t>三、包装方式：</w:t>
      </w:r>
    </w:p>
    <w:p>
      <w:pPr>
        <w:spacing w:line="280" w:lineRule="exact"/>
        <w:ind w:firstLine="420" w:firstLineChars="200"/>
        <w:rPr>
          <w:rFonts w:ascii="宋体" w:hAnsi="宋体"/>
          <w:szCs w:val="21"/>
        </w:rPr>
      </w:pPr>
      <w:r>
        <w:rPr>
          <w:rFonts w:hint="eastAsia" w:ascii="宋体" w:hAnsi="宋体"/>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Cs/>
          <w:szCs w:val="21"/>
        </w:rPr>
      </w:pPr>
      <w:r>
        <w:rPr>
          <w:rFonts w:hint="eastAsia" w:ascii="宋体" w:hAnsi="宋体"/>
          <w:bCs/>
          <w:szCs w:val="21"/>
        </w:rPr>
        <w:t>分批到货分批付款，现汇支付。产品到货后，经需方或需方指定单位（福建福海创石油化工有限公司）根据合同约定的质量、数量标准验收合格后，供方提供相应金额的13%增值税专用发票以及结算所需的各类清单，需方收到并确认无误后向供方支付货款。</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Cs/>
          <w:szCs w:val="21"/>
        </w:rPr>
      </w:pPr>
      <w:r>
        <w:rPr>
          <w:rFonts w:hint="eastAsia" w:ascii="宋体" w:hAnsi="宋体"/>
          <w:bCs/>
          <w:szCs w:val="21"/>
        </w:rPr>
        <w:t>合同有效期：2</w:t>
      </w:r>
      <w:r>
        <w:rPr>
          <w:rFonts w:ascii="宋体" w:hAnsi="宋体"/>
          <w:bCs/>
          <w:szCs w:val="21"/>
        </w:rPr>
        <w:t>02</w:t>
      </w:r>
      <w:r>
        <w:rPr>
          <w:rFonts w:hint="eastAsia" w:ascii="宋体" w:hAnsi="宋体"/>
          <w:bCs/>
          <w:szCs w:val="21"/>
          <w:lang w:val="en-US" w:eastAsia="zh-CN"/>
        </w:rPr>
        <w:t>4</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月1日至2</w:t>
      </w:r>
      <w:r>
        <w:rPr>
          <w:rFonts w:ascii="宋体" w:hAnsi="宋体"/>
          <w:bCs/>
          <w:szCs w:val="21"/>
        </w:rPr>
        <w:t>02</w:t>
      </w:r>
      <w:r>
        <w:rPr>
          <w:rFonts w:hint="eastAsia" w:ascii="宋体" w:hAnsi="宋体"/>
          <w:bCs/>
          <w:szCs w:val="21"/>
          <w:lang w:val="en-US" w:eastAsia="zh-CN"/>
        </w:rPr>
        <w:t>5</w:t>
      </w:r>
      <w:r>
        <w:rPr>
          <w:rFonts w:hint="eastAsia" w:ascii="宋体" w:hAnsi="宋体"/>
          <w:bCs/>
          <w:szCs w:val="21"/>
        </w:rPr>
        <w:t>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31</w:t>
      </w:r>
      <w:r>
        <w:rPr>
          <w:rFonts w:hint="eastAsia" w:ascii="宋体" w:hAnsi="宋体"/>
          <w:bCs/>
          <w:szCs w:val="21"/>
        </w:rPr>
        <w:t>日，供方收到需方订单后，需于</w:t>
      </w:r>
      <w:r>
        <w:rPr>
          <w:rFonts w:hint="eastAsia" w:ascii="宋体" w:hAnsi="宋体"/>
          <w:bCs/>
          <w:szCs w:val="21"/>
          <w:lang w:val="en-US" w:eastAsia="zh-CN"/>
        </w:rPr>
        <w:t>2</w:t>
      </w:r>
      <w:r>
        <w:rPr>
          <w:rFonts w:ascii="宋体" w:hAnsi="宋体"/>
          <w:bCs/>
          <w:szCs w:val="21"/>
        </w:rPr>
        <w:t>0</w:t>
      </w:r>
      <w:r>
        <w:rPr>
          <w:rFonts w:hint="eastAsia" w:ascii="宋体" w:hAnsi="宋体"/>
          <w:bCs/>
          <w:szCs w:val="21"/>
        </w:rPr>
        <w:t>天内送至需方指定地点。</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 w:val="18"/>
          <w:szCs w:val="18"/>
          <w:u w:val="single"/>
          <w:lang w:val="en-US" w:eastAsia="zh-CN"/>
        </w:rPr>
        <w:t>\</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Cs w:val="21"/>
          <w:u w:val="single"/>
        </w:rPr>
        <w:t>福建省漳州市古雷经济开发区腾龙路福建福海创石油化工有限公司指定仓库</w:t>
      </w:r>
      <w:r>
        <w:rPr>
          <w:rFonts w:hint="eastAsia" w:ascii="宋体" w:hAnsi="宋体"/>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 w:val="18"/>
          <w:szCs w:val="18"/>
          <w:u w:val="single"/>
          <w:lang w:eastAsia="zh-CN"/>
        </w:rPr>
        <w:t>、</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壹  </w:t>
      </w:r>
      <w:r>
        <w:rPr>
          <w:rFonts w:hint="eastAsia" w:ascii="宋体" w:hAnsi="宋体"/>
          <w:szCs w:val="21"/>
        </w:rPr>
        <w:t>份，需方执</w:t>
      </w:r>
      <w:r>
        <w:rPr>
          <w:rFonts w:hint="eastAsia" w:ascii="宋体" w:hAnsi="宋体"/>
          <w:szCs w:val="21"/>
          <w:u w:val="single"/>
        </w:rPr>
        <w:t xml:space="preserve">  叁  </w:t>
      </w:r>
      <w:r>
        <w:rPr>
          <w:rFonts w:hint="eastAsia" w:ascii="宋体" w:hAnsi="宋体"/>
          <w:szCs w:val="21"/>
        </w:rPr>
        <w:t>份。</w:t>
      </w:r>
    </w:p>
    <w:p>
      <w:pPr>
        <w:spacing w:line="280" w:lineRule="exact"/>
        <w:rPr>
          <w:rFonts w:hint="eastAsia" w:ascii="宋体" w:hAnsi="宋体"/>
          <w:b/>
          <w:szCs w:val="21"/>
        </w:rPr>
      </w:pPr>
    </w:p>
    <w:tbl>
      <w:tblPr>
        <w:tblStyle w:val="6"/>
        <w:tblW w:w="0" w:type="auto"/>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noWrap w:val="0"/>
            <w:vAlign w:val="center"/>
          </w:tcPr>
          <w:p>
            <w:pPr>
              <w:spacing w:line="280" w:lineRule="exact"/>
              <w:rPr>
                <w:b/>
                <w:color w:val="000000"/>
                <w:szCs w:val="21"/>
              </w:rPr>
            </w:pPr>
          </w:p>
        </w:tc>
        <w:tc>
          <w:tcPr>
            <w:tcW w:w="1377" w:type="dxa"/>
            <w:gridSpan w:val="4"/>
            <w:noWrap w:val="0"/>
            <w:vAlign w:val="center"/>
          </w:tcPr>
          <w:p>
            <w:pPr>
              <w:spacing w:line="280" w:lineRule="exact"/>
              <w:rPr>
                <w:rFonts w:hint="eastAsia" w:ascii="宋体" w:hAnsi="宋体"/>
                <w:b/>
                <w:color w:val="000000"/>
                <w:szCs w:val="21"/>
              </w:rPr>
            </w:pPr>
            <w:r>
              <w:rPr>
                <w:rFonts w:hint="eastAsia" w:ascii="宋体" w:hAnsi="宋体"/>
                <w:b/>
                <w:color w:val="000000"/>
                <w:szCs w:val="21"/>
              </w:rPr>
              <w:t>需方（章）1:</w:t>
            </w:r>
          </w:p>
        </w:tc>
        <w:tc>
          <w:tcPr>
            <w:tcW w:w="3975" w:type="dxa"/>
            <w:gridSpan w:val="2"/>
            <w:noWrap w:val="0"/>
            <w:vAlign w:val="center"/>
          </w:tcPr>
          <w:p>
            <w:pPr>
              <w:spacing w:line="280" w:lineRule="exact"/>
              <w:rPr>
                <w:b/>
                <w:color w:val="000000"/>
                <w:szCs w:val="21"/>
              </w:rPr>
            </w:pPr>
            <w:r>
              <w:rPr>
                <w:b/>
                <w:color w:val="000000"/>
                <w:szCs w:val="21"/>
              </w:rPr>
              <w:t>腾龙芳烃（漳州）有限公司</w:t>
            </w:r>
          </w:p>
        </w:tc>
      </w:tr>
      <w:tr>
        <w:tblPrEx>
          <w:tblCellMar>
            <w:top w:w="0" w:type="dxa"/>
            <w:left w:w="108" w:type="dxa"/>
            <w:bottom w:w="0" w:type="dxa"/>
            <w:right w:w="108" w:type="dxa"/>
          </w:tblCellMar>
        </w:tblPrEx>
        <w:trPr>
          <w:jc w:val="center"/>
        </w:trPr>
        <w:tc>
          <w:tcPr>
            <w:tcW w:w="1473" w:type="dxa"/>
            <w:gridSpan w:val="4"/>
            <w:noWrap w:val="0"/>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noWrap w:val="0"/>
            <w:vAlign w:val="center"/>
          </w:tcPr>
          <w:p>
            <w:pPr>
              <w:spacing w:line="280" w:lineRule="exact"/>
              <w:rPr>
                <w:rFonts w:hint="eastAsia"/>
                <w:color w:val="000000"/>
                <w:szCs w:val="21"/>
              </w:rPr>
            </w:pPr>
          </w:p>
        </w:tc>
        <w:tc>
          <w:tcPr>
            <w:tcW w:w="1377" w:type="dxa"/>
            <w:gridSpan w:val="4"/>
            <w:noWrap w:val="0"/>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noWrap w:val="0"/>
            <w:vAlign w:val="center"/>
          </w:tcPr>
          <w:p>
            <w:pPr>
              <w:spacing w:line="280" w:lineRule="exact"/>
              <w:rPr>
                <w:rFonts w:hint="eastAsia"/>
                <w:color w:val="000000"/>
                <w:sz w:val="18"/>
                <w:szCs w:val="18"/>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noWrap w:val="0"/>
            <w:vAlign w:val="center"/>
          </w:tcPr>
          <w:p>
            <w:pPr>
              <w:spacing w:line="280" w:lineRule="exact"/>
              <w:rPr>
                <w:rFonts w:hint="eastAsia"/>
                <w:color w:val="000000"/>
                <w:sz w:val="18"/>
                <w:szCs w:val="18"/>
              </w:rPr>
            </w:pPr>
            <w:r>
              <w:rPr>
                <w:rFonts w:hint="eastAsia"/>
                <w:color w:val="000000"/>
                <w:szCs w:val="21"/>
              </w:rPr>
              <w:t>福建省漳州市古雷港经济开发区腾龙路84号</w:t>
            </w: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noWrap w:val="0"/>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noWrap w:val="0"/>
            <w:vAlign w:val="center"/>
          </w:tcPr>
          <w:p>
            <w:pPr>
              <w:spacing w:line="280" w:lineRule="exact"/>
              <w:rPr>
                <w:rFonts w:hint="eastAsia"/>
                <w:color w:val="000000"/>
                <w:szCs w:val="21"/>
              </w:rPr>
            </w:pPr>
          </w:p>
        </w:tc>
        <w:tc>
          <w:tcPr>
            <w:tcW w:w="2732" w:type="dxa"/>
            <w:gridSpan w:val="5"/>
            <w:noWrap w:val="0"/>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noWrap w:val="0"/>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noWrap w:val="0"/>
            <w:vAlign w:val="center"/>
          </w:tcPr>
          <w:p>
            <w:pPr>
              <w:spacing w:line="280" w:lineRule="exact"/>
              <w:rPr>
                <w:rFonts w:hint="eastAsia"/>
                <w:color w:val="000000"/>
                <w:szCs w:val="21"/>
              </w:rPr>
            </w:pPr>
          </w:p>
        </w:tc>
        <w:tc>
          <w:tcPr>
            <w:tcW w:w="1052" w:type="dxa"/>
            <w:gridSpan w:val="2"/>
            <w:noWrap w:val="0"/>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noWrap w:val="0"/>
            <w:vAlign w:val="center"/>
          </w:tcPr>
          <w:p>
            <w:pPr>
              <w:spacing w:line="280" w:lineRule="exact"/>
              <w:rPr>
                <w:color w:val="000000"/>
                <w:szCs w:val="21"/>
              </w:rPr>
            </w:pPr>
          </w:p>
        </w:tc>
      </w:tr>
      <w:tr>
        <w:tblPrEx>
          <w:tblCellMar>
            <w:top w:w="0" w:type="dxa"/>
            <w:left w:w="108" w:type="dxa"/>
            <w:bottom w:w="0" w:type="dxa"/>
            <w:right w:w="108" w:type="dxa"/>
          </w:tblCellMar>
        </w:tblPrEx>
        <w:trPr>
          <w:trHeight w:val="111" w:hRule="atLeast"/>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noWrap w:val="0"/>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noWrap w:val="0"/>
            <w:vAlign w:val="center"/>
          </w:tcPr>
          <w:p>
            <w:pPr>
              <w:spacing w:line="280" w:lineRule="exact"/>
              <w:rPr>
                <w:rFonts w:hint="eastAsia"/>
                <w:color w:val="000000"/>
                <w:szCs w:val="21"/>
              </w:rPr>
            </w:pPr>
          </w:p>
        </w:tc>
        <w:tc>
          <w:tcPr>
            <w:tcW w:w="1260" w:type="dxa"/>
            <w:gridSpan w:val="3"/>
            <w:noWrap w:val="0"/>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noWrap w:val="0"/>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noWrap w:val="0"/>
            <w:vAlign w:val="center"/>
          </w:tcPr>
          <w:p>
            <w:pPr>
              <w:spacing w:line="280" w:lineRule="exact"/>
              <w:rPr>
                <w:rFonts w:hint="eastAsia"/>
                <w:color w:val="000000"/>
                <w:szCs w:val="21"/>
              </w:rPr>
            </w:pPr>
          </w:p>
        </w:tc>
        <w:tc>
          <w:tcPr>
            <w:tcW w:w="842" w:type="dxa"/>
            <w:noWrap w:val="0"/>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noWrap w:val="0"/>
            <w:vAlign w:val="center"/>
          </w:tcPr>
          <w:p>
            <w:pPr>
              <w:spacing w:line="280" w:lineRule="exact"/>
              <w:rPr>
                <w:rFonts w:hint="eastAsia"/>
                <w:color w:val="000000"/>
                <w:szCs w:val="21"/>
              </w:rPr>
            </w:pPr>
          </w:p>
        </w:tc>
      </w:tr>
    </w:tbl>
    <w:p>
      <w:pPr>
        <w:spacing w:line="280" w:lineRule="exact"/>
        <w:rPr>
          <w:rFonts w:hint="eastAsia" w:ascii="宋体" w:hAnsi="宋体"/>
          <w:b/>
          <w:szCs w:val="21"/>
          <w:u w:val="single"/>
        </w:rPr>
      </w:pPr>
    </w:p>
    <w:tbl>
      <w:tblPr>
        <w:tblStyle w:val="6"/>
        <w:tblpPr w:leftFromText="180" w:rightFromText="180" w:vertAnchor="text" w:horzAnchor="page" w:tblpX="5932" w:tblpY="216"/>
        <w:tblOverlap w:val="never"/>
        <w:tblW w:w="0" w:type="auto"/>
        <w:tblInd w:w="0" w:type="dxa"/>
        <w:tblLayout w:type="fixed"/>
        <w:tblCellMar>
          <w:top w:w="0" w:type="dxa"/>
          <w:left w:w="108" w:type="dxa"/>
          <w:bottom w:w="0" w:type="dxa"/>
          <w:right w:w="108" w:type="dxa"/>
        </w:tblCellMar>
      </w:tblPr>
      <w:tblGrid>
        <w:gridCol w:w="895"/>
        <w:gridCol w:w="223"/>
        <w:gridCol w:w="222"/>
        <w:gridCol w:w="125"/>
        <w:gridCol w:w="1443"/>
        <w:gridCol w:w="2791"/>
      </w:tblGrid>
      <w:tr>
        <w:tblPrEx>
          <w:tblCellMar>
            <w:top w:w="0" w:type="dxa"/>
            <w:left w:w="108" w:type="dxa"/>
            <w:bottom w:w="0" w:type="dxa"/>
            <w:right w:w="108" w:type="dxa"/>
          </w:tblCellMar>
        </w:tblPrEx>
        <w:trPr>
          <w:trHeight w:val="268" w:hRule="atLeast"/>
        </w:trPr>
        <w:tc>
          <w:tcPr>
            <w:tcW w:w="1465" w:type="dxa"/>
            <w:gridSpan w:val="4"/>
            <w:noWrap w:val="0"/>
            <w:vAlign w:val="center"/>
          </w:tcPr>
          <w:p>
            <w:pPr>
              <w:spacing w:line="280" w:lineRule="exact"/>
              <w:rPr>
                <w:rFonts w:hint="eastAsia" w:ascii="宋体" w:hAnsi="宋体"/>
                <w:b/>
                <w:color w:val="000000"/>
                <w:szCs w:val="21"/>
              </w:rPr>
            </w:pPr>
            <w:r>
              <w:rPr>
                <w:rFonts w:hint="eastAsia" w:ascii="宋体" w:hAnsi="宋体"/>
                <w:b/>
                <w:color w:val="000000"/>
                <w:szCs w:val="21"/>
              </w:rPr>
              <w:t>需方（章）</w:t>
            </w:r>
            <w:r>
              <w:rPr>
                <w:rFonts w:ascii="宋体" w:hAnsi="宋体"/>
                <w:b/>
                <w:color w:val="000000"/>
                <w:szCs w:val="21"/>
              </w:rPr>
              <w:t>2</w:t>
            </w:r>
            <w:r>
              <w:rPr>
                <w:rFonts w:hint="eastAsia" w:ascii="宋体" w:hAnsi="宋体"/>
                <w:b/>
                <w:color w:val="000000"/>
                <w:szCs w:val="21"/>
              </w:rPr>
              <w:t>:</w:t>
            </w:r>
          </w:p>
        </w:tc>
        <w:tc>
          <w:tcPr>
            <w:tcW w:w="4234" w:type="dxa"/>
            <w:gridSpan w:val="2"/>
            <w:noWrap w:val="0"/>
            <w:vAlign w:val="center"/>
          </w:tcPr>
          <w:p>
            <w:pPr>
              <w:spacing w:line="280" w:lineRule="exact"/>
              <w:rPr>
                <w:b/>
                <w:color w:val="000000"/>
                <w:szCs w:val="21"/>
              </w:rPr>
            </w:pPr>
            <w:r>
              <w:rPr>
                <w:rFonts w:hint="eastAsia"/>
                <w:b/>
                <w:color w:val="000000"/>
                <w:szCs w:val="21"/>
              </w:rPr>
              <w:t>翔鹭石化</w:t>
            </w:r>
            <w:r>
              <w:rPr>
                <w:b/>
                <w:color w:val="000000"/>
                <w:szCs w:val="21"/>
              </w:rPr>
              <w:t>（漳州）有限公司</w:t>
            </w:r>
          </w:p>
        </w:tc>
      </w:tr>
      <w:tr>
        <w:tblPrEx>
          <w:tblCellMar>
            <w:top w:w="0" w:type="dxa"/>
            <w:left w:w="108" w:type="dxa"/>
            <w:bottom w:w="0" w:type="dxa"/>
            <w:right w:w="108" w:type="dxa"/>
          </w:tblCellMar>
        </w:tblPrEx>
        <w:trPr>
          <w:trHeight w:val="268" w:hRule="atLeast"/>
        </w:trPr>
        <w:tc>
          <w:tcPr>
            <w:tcW w:w="1465" w:type="dxa"/>
            <w:gridSpan w:val="4"/>
            <w:noWrap w:val="0"/>
            <w:vAlign w:val="center"/>
          </w:tcPr>
          <w:p>
            <w:pPr>
              <w:spacing w:line="280" w:lineRule="exact"/>
              <w:rPr>
                <w:rFonts w:hint="eastAsia"/>
                <w:color w:val="000000"/>
                <w:szCs w:val="21"/>
              </w:rPr>
            </w:pPr>
            <w:r>
              <w:rPr>
                <w:rFonts w:hint="eastAsia" w:ascii="宋体" w:hAnsi="宋体"/>
                <w:color w:val="000000"/>
                <w:szCs w:val="21"/>
              </w:rPr>
              <w:t>工商注册号：</w:t>
            </w:r>
          </w:p>
        </w:tc>
        <w:tc>
          <w:tcPr>
            <w:tcW w:w="4234" w:type="dxa"/>
            <w:gridSpan w:val="2"/>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895" w:type="dxa"/>
            <w:noWrap w:val="0"/>
            <w:vAlign w:val="center"/>
          </w:tcPr>
          <w:p>
            <w:pPr>
              <w:spacing w:line="280" w:lineRule="exact"/>
              <w:rPr>
                <w:rFonts w:hint="eastAsia"/>
                <w:color w:val="000000"/>
                <w:szCs w:val="21"/>
              </w:rPr>
            </w:pPr>
            <w:r>
              <w:rPr>
                <w:rFonts w:hint="eastAsia" w:ascii="宋体" w:hAnsi="宋体"/>
                <w:color w:val="000000"/>
                <w:szCs w:val="21"/>
              </w:rPr>
              <w:t>地址：</w:t>
            </w:r>
          </w:p>
        </w:tc>
        <w:tc>
          <w:tcPr>
            <w:tcW w:w="4804" w:type="dxa"/>
            <w:gridSpan w:val="5"/>
            <w:noWrap w:val="0"/>
            <w:vAlign w:val="center"/>
          </w:tcPr>
          <w:p>
            <w:pPr>
              <w:spacing w:line="280" w:lineRule="exact"/>
              <w:rPr>
                <w:rFonts w:hint="eastAsia"/>
                <w:color w:val="000000"/>
                <w:sz w:val="18"/>
                <w:szCs w:val="18"/>
              </w:rPr>
            </w:pPr>
            <w:r>
              <w:rPr>
                <w:rFonts w:hint="eastAsia"/>
                <w:color w:val="000000"/>
                <w:szCs w:val="21"/>
              </w:rPr>
              <w:t>福建省漳州市古雷港经济开发区腾龙路8</w:t>
            </w:r>
            <w:r>
              <w:rPr>
                <w:color w:val="000000"/>
                <w:szCs w:val="21"/>
              </w:rPr>
              <w:t>6</w:t>
            </w:r>
            <w:r>
              <w:rPr>
                <w:rFonts w:hint="eastAsia"/>
                <w:color w:val="000000"/>
                <w:szCs w:val="21"/>
              </w:rPr>
              <w:t>号</w:t>
            </w:r>
          </w:p>
        </w:tc>
      </w:tr>
      <w:tr>
        <w:tblPrEx>
          <w:tblCellMar>
            <w:top w:w="0" w:type="dxa"/>
            <w:left w:w="108" w:type="dxa"/>
            <w:bottom w:w="0" w:type="dxa"/>
            <w:right w:w="108" w:type="dxa"/>
          </w:tblCellMar>
        </w:tblPrEx>
        <w:trPr>
          <w:trHeight w:val="268" w:hRule="atLeast"/>
        </w:trPr>
        <w:tc>
          <w:tcPr>
            <w:tcW w:w="1340" w:type="dxa"/>
            <w:gridSpan w:val="3"/>
            <w:noWrap w:val="0"/>
            <w:vAlign w:val="center"/>
          </w:tcPr>
          <w:p>
            <w:pPr>
              <w:spacing w:line="280" w:lineRule="exact"/>
              <w:rPr>
                <w:rFonts w:hint="eastAsia"/>
                <w:color w:val="000000"/>
                <w:szCs w:val="21"/>
              </w:rPr>
            </w:pPr>
            <w:r>
              <w:rPr>
                <w:rFonts w:hint="eastAsia" w:ascii="宋体" w:hAnsi="宋体"/>
                <w:color w:val="000000"/>
                <w:szCs w:val="21"/>
              </w:rPr>
              <w:t>邮政编码：</w:t>
            </w:r>
          </w:p>
        </w:tc>
        <w:tc>
          <w:tcPr>
            <w:tcW w:w="4359"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2908" w:type="dxa"/>
            <w:gridSpan w:val="5"/>
            <w:noWrap w:val="0"/>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791" w:type="dxa"/>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1118" w:type="dxa"/>
            <w:gridSpan w:val="2"/>
            <w:noWrap w:val="0"/>
            <w:vAlign w:val="center"/>
          </w:tcPr>
          <w:p>
            <w:pPr>
              <w:spacing w:line="280" w:lineRule="exact"/>
              <w:rPr>
                <w:rFonts w:hint="eastAsia"/>
                <w:color w:val="000000"/>
                <w:szCs w:val="21"/>
              </w:rPr>
            </w:pPr>
            <w:r>
              <w:rPr>
                <w:rFonts w:hint="eastAsia" w:ascii="宋体" w:hAnsi="宋体"/>
                <w:color w:val="000000"/>
                <w:szCs w:val="21"/>
              </w:rPr>
              <w:t>经办人：</w:t>
            </w:r>
          </w:p>
        </w:tc>
        <w:tc>
          <w:tcPr>
            <w:tcW w:w="4581" w:type="dxa"/>
            <w:gridSpan w:val="4"/>
            <w:noWrap w:val="0"/>
            <w:vAlign w:val="center"/>
          </w:tcPr>
          <w:p>
            <w:pPr>
              <w:spacing w:line="280" w:lineRule="exact"/>
              <w:rPr>
                <w:color w:val="000000"/>
                <w:szCs w:val="21"/>
              </w:rPr>
            </w:pPr>
          </w:p>
        </w:tc>
      </w:tr>
      <w:tr>
        <w:tblPrEx>
          <w:tblCellMar>
            <w:top w:w="0" w:type="dxa"/>
            <w:left w:w="108" w:type="dxa"/>
            <w:bottom w:w="0" w:type="dxa"/>
            <w:right w:w="108" w:type="dxa"/>
          </w:tblCellMar>
        </w:tblPrEx>
        <w:trPr>
          <w:trHeight w:val="268" w:hRule="atLeast"/>
        </w:trPr>
        <w:tc>
          <w:tcPr>
            <w:tcW w:w="895" w:type="dxa"/>
            <w:noWrap w:val="0"/>
            <w:vAlign w:val="center"/>
          </w:tcPr>
          <w:p>
            <w:pPr>
              <w:spacing w:line="280" w:lineRule="exact"/>
              <w:rPr>
                <w:rFonts w:hint="eastAsia"/>
                <w:color w:val="000000"/>
                <w:szCs w:val="21"/>
              </w:rPr>
            </w:pPr>
            <w:r>
              <w:rPr>
                <w:rFonts w:hint="eastAsia" w:ascii="宋体" w:hAnsi="宋体"/>
                <w:color w:val="000000"/>
                <w:szCs w:val="21"/>
              </w:rPr>
              <w:t>电话：</w:t>
            </w:r>
          </w:p>
        </w:tc>
        <w:tc>
          <w:tcPr>
            <w:tcW w:w="4804" w:type="dxa"/>
            <w:gridSpan w:val="5"/>
            <w:noWrap w:val="0"/>
            <w:vAlign w:val="center"/>
          </w:tcPr>
          <w:p>
            <w:pPr>
              <w:spacing w:line="280" w:lineRule="exact"/>
              <w:rPr>
                <w:color w:val="000000"/>
                <w:szCs w:val="21"/>
              </w:rPr>
            </w:pPr>
          </w:p>
        </w:tc>
      </w:tr>
      <w:tr>
        <w:tblPrEx>
          <w:tblCellMar>
            <w:top w:w="0" w:type="dxa"/>
            <w:left w:w="108" w:type="dxa"/>
            <w:bottom w:w="0" w:type="dxa"/>
            <w:right w:w="108" w:type="dxa"/>
          </w:tblCellMar>
        </w:tblPrEx>
        <w:trPr>
          <w:trHeight w:val="268" w:hRule="atLeast"/>
        </w:trPr>
        <w:tc>
          <w:tcPr>
            <w:tcW w:w="895" w:type="dxa"/>
            <w:noWrap w:val="0"/>
            <w:vAlign w:val="center"/>
          </w:tcPr>
          <w:p>
            <w:pPr>
              <w:spacing w:line="280" w:lineRule="exact"/>
              <w:rPr>
                <w:rFonts w:hint="eastAsia"/>
                <w:color w:val="000000"/>
                <w:szCs w:val="21"/>
              </w:rPr>
            </w:pPr>
            <w:r>
              <w:rPr>
                <w:rFonts w:hint="eastAsia" w:ascii="宋体" w:hAnsi="宋体"/>
                <w:color w:val="000000"/>
                <w:szCs w:val="21"/>
              </w:rPr>
              <w:t>传真：</w:t>
            </w:r>
          </w:p>
        </w:tc>
        <w:tc>
          <w:tcPr>
            <w:tcW w:w="4804"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96" w:hRule="atLeast"/>
        </w:trPr>
        <w:tc>
          <w:tcPr>
            <w:tcW w:w="1340" w:type="dxa"/>
            <w:gridSpan w:val="3"/>
            <w:noWrap w:val="0"/>
            <w:vAlign w:val="center"/>
          </w:tcPr>
          <w:p>
            <w:pPr>
              <w:spacing w:line="280" w:lineRule="exact"/>
              <w:rPr>
                <w:rFonts w:hint="eastAsia"/>
                <w:color w:val="000000"/>
                <w:szCs w:val="21"/>
              </w:rPr>
            </w:pPr>
            <w:r>
              <w:rPr>
                <w:rFonts w:hint="eastAsia" w:ascii="宋体" w:hAnsi="宋体"/>
                <w:color w:val="000000"/>
                <w:szCs w:val="21"/>
              </w:rPr>
              <w:t>电子邮箱：</w:t>
            </w:r>
          </w:p>
        </w:tc>
        <w:tc>
          <w:tcPr>
            <w:tcW w:w="4359"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1340" w:type="dxa"/>
            <w:gridSpan w:val="3"/>
            <w:noWrap w:val="0"/>
            <w:vAlign w:val="center"/>
          </w:tcPr>
          <w:p>
            <w:pPr>
              <w:spacing w:line="280" w:lineRule="exact"/>
              <w:rPr>
                <w:rFonts w:hint="eastAsia"/>
                <w:color w:val="000000"/>
                <w:szCs w:val="21"/>
              </w:rPr>
            </w:pPr>
            <w:r>
              <w:rPr>
                <w:rFonts w:hint="eastAsia" w:ascii="宋体" w:hAnsi="宋体"/>
                <w:color w:val="000000"/>
                <w:szCs w:val="21"/>
              </w:rPr>
              <w:t>开户银行：</w:t>
            </w:r>
          </w:p>
        </w:tc>
        <w:tc>
          <w:tcPr>
            <w:tcW w:w="4359" w:type="dxa"/>
            <w:gridSpan w:val="3"/>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895" w:type="dxa"/>
            <w:noWrap w:val="0"/>
            <w:vAlign w:val="center"/>
          </w:tcPr>
          <w:p>
            <w:pPr>
              <w:spacing w:line="280" w:lineRule="exact"/>
              <w:rPr>
                <w:rFonts w:hint="eastAsia"/>
                <w:color w:val="000000"/>
                <w:szCs w:val="21"/>
              </w:rPr>
            </w:pPr>
            <w:r>
              <w:rPr>
                <w:rFonts w:hint="eastAsia" w:ascii="宋体" w:hAnsi="宋体"/>
                <w:color w:val="000000"/>
                <w:szCs w:val="21"/>
              </w:rPr>
              <w:t>帐号：</w:t>
            </w:r>
          </w:p>
        </w:tc>
        <w:tc>
          <w:tcPr>
            <w:tcW w:w="4804" w:type="dxa"/>
            <w:gridSpan w:val="5"/>
            <w:noWrap w:val="0"/>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68" w:hRule="atLeast"/>
        </w:trPr>
        <w:tc>
          <w:tcPr>
            <w:tcW w:w="895" w:type="dxa"/>
            <w:noWrap w:val="0"/>
            <w:vAlign w:val="center"/>
          </w:tcPr>
          <w:p>
            <w:pPr>
              <w:spacing w:line="280" w:lineRule="exact"/>
              <w:rPr>
                <w:rFonts w:hint="eastAsia"/>
                <w:color w:val="000000"/>
                <w:szCs w:val="21"/>
              </w:rPr>
            </w:pPr>
            <w:r>
              <w:rPr>
                <w:rFonts w:hint="eastAsia" w:ascii="宋体" w:hAnsi="宋体"/>
                <w:color w:val="000000"/>
                <w:szCs w:val="21"/>
              </w:rPr>
              <w:t>税号：</w:t>
            </w:r>
          </w:p>
        </w:tc>
        <w:tc>
          <w:tcPr>
            <w:tcW w:w="4804" w:type="dxa"/>
            <w:gridSpan w:val="5"/>
            <w:noWrap w:val="0"/>
            <w:vAlign w:val="center"/>
          </w:tcPr>
          <w:p>
            <w:pPr>
              <w:spacing w:line="280" w:lineRule="exact"/>
              <w:rPr>
                <w:rFonts w:hint="eastAsia"/>
                <w:color w:val="000000"/>
                <w:szCs w:val="21"/>
              </w:rPr>
            </w:pPr>
          </w:p>
        </w:tc>
      </w:tr>
    </w:tbl>
    <w:p>
      <w:pPr>
        <w:spacing w:line="280" w:lineRule="exact"/>
        <w:jc w:val="center"/>
        <w:rPr>
          <w:rFonts w:hint="eastAsia" w:ascii="宋体" w:hAnsi="宋体"/>
          <w:b/>
          <w:szCs w:val="21"/>
          <w:u w:val="single"/>
        </w:rPr>
      </w:pPr>
    </w:p>
    <w:p>
      <w:pPr>
        <w:spacing w:line="280" w:lineRule="exact"/>
        <w:jc w:val="center"/>
        <w:rPr>
          <w:rFonts w:hint="eastAsia" w:ascii="宋体" w:hAnsi="宋体"/>
          <w:b/>
          <w:szCs w:val="21"/>
          <w:u w:val="single"/>
        </w:rPr>
      </w:pPr>
    </w:p>
    <w:p>
      <w:pPr>
        <w:spacing w:line="280" w:lineRule="exact"/>
        <w:jc w:val="center"/>
        <w:rPr>
          <w:rFonts w:hint="eastAsia" w:ascii="宋体" w:hAnsi="宋体"/>
          <w:b/>
          <w:szCs w:val="21"/>
          <w:u w:val="single"/>
        </w:rPr>
      </w:pPr>
    </w:p>
    <w:p>
      <w:pPr>
        <w:spacing w:line="280" w:lineRule="exact"/>
        <w:jc w:val="center"/>
        <w:rPr>
          <w:rFonts w:hint="eastAsia" w:ascii="宋体" w:hAnsi="宋体"/>
          <w:b/>
          <w:szCs w:val="21"/>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    </w:t>
      </w:r>
      <w:r>
        <w:rPr>
          <w:rFonts w:hint="eastAsia" w:ascii="宋体" w:hAnsi="宋体"/>
          <w:szCs w:val="21"/>
        </w:rPr>
        <w:t>%以内的，由需方承担；误差率超过</w:t>
      </w:r>
      <w:r>
        <w:rPr>
          <w:rFonts w:hint="eastAsia" w:ascii="宋体" w:hAnsi="宋体"/>
          <w:szCs w:val="21"/>
          <w:u w:val="single"/>
        </w:rPr>
        <w:t xml:space="preserve">   \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ind w:firstLine="420" w:firstLineChars="200"/>
        <w:rPr>
          <w:rFonts w:hint="eastAsia"/>
          <w:szCs w:val="21"/>
        </w:rPr>
      </w:pPr>
      <w:r>
        <w:rPr>
          <w:rFonts w:hint="eastAsia" w:ascii="宋体" w:hAnsi="宋体"/>
          <w:color w:val="000000"/>
          <w:szCs w:val="21"/>
        </w:rPr>
        <w:t>5.其他</w:t>
      </w:r>
      <w:r>
        <w:rPr>
          <w:rFonts w:hint="eastAsia"/>
          <w:szCs w:val="21"/>
        </w:rPr>
        <w:t>约定事项：①供方送货时，应将采购订单、送货清单、需求部门人员姓名、手机号等信息粘贴在货物外包装上（需用胶带覆盖以防运输中磨损掉）。②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tabs>
          <w:tab w:val="left" w:pos="4435"/>
        </w:tabs>
        <w:rPr>
          <w:rFonts w:hint="default"/>
          <w:szCs w:val="21"/>
          <w:lang w:val="en-US"/>
        </w:rPr>
      </w:pPr>
      <w:r>
        <w:rPr>
          <w:rFonts w:hint="eastAsia"/>
          <w:szCs w:val="21"/>
        </w:rPr>
        <w:t>③供方送货时需严格区分</w:t>
      </w:r>
      <w:r>
        <w:rPr>
          <w:szCs w:val="21"/>
        </w:rPr>
        <w:t>腾龙芳烃（漳州）有限公司</w:t>
      </w:r>
      <w:r>
        <w:rPr>
          <w:rFonts w:hint="eastAsia"/>
          <w:szCs w:val="21"/>
        </w:rPr>
        <w:t>（P</w:t>
      </w:r>
      <w:r>
        <w:rPr>
          <w:szCs w:val="21"/>
        </w:rPr>
        <w:t>X</w:t>
      </w:r>
      <w:r>
        <w:rPr>
          <w:rFonts w:hint="eastAsia"/>
          <w:szCs w:val="21"/>
        </w:rPr>
        <w:t>工厂）和翔鹭石化（漳州）有限公司（P</w:t>
      </w:r>
      <w:r>
        <w:rPr>
          <w:szCs w:val="21"/>
        </w:rPr>
        <w:t>TA</w:t>
      </w:r>
      <w:r>
        <w:rPr>
          <w:rFonts w:hint="eastAsia"/>
          <w:szCs w:val="21"/>
        </w:rPr>
        <w:t>工厂）需求单，并按照各自需求送至各自厂区。</w:t>
      </w:r>
      <w:r>
        <w:rPr>
          <w:rFonts w:hint="eastAsia"/>
          <w:szCs w:val="21"/>
          <w:lang w:val="en-US" w:eastAsia="zh-CN"/>
        </w:rPr>
        <w:t>④各品类单价详见报价清单附件。⑤参选保证金转为履约保证金，待合同执行完毕后</w:t>
      </w:r>
      <w:r>
        <w:rPr>
          <w:rFonts w:hint="eastAsia" w:ascii="宋体" w:hAnsi="宋体" w:eastAsia="宋体" w:cs="Times New Roman"/>
          <w:szCs w:val="21"/>
          <w:lang w:val="en-US" w:eastAsia="zh-CN"/>
        </w:rPr>
        <w:t>无息返还。</w:t>
      </w:r>
    </w:p>
    <w:p>
      <w:pPr>
        <w:spacing w:line="300" w:lineRule="exact"/>
        <w:rPr>
          <w:rFonts w:hint="eastAsia"/>
        </w:rPr>
      </w:pPr>
    </w:p>
    <w:p>
      <w:pPr>
        <w:spacing w:line="360" w:lineRule="auto"/>
        <w:jc w:val="left"/>
        <w:rPr>
          <w:rFonts w:hint="eastAsia" w:ascii="宋体" w:hAnsi="宋体" w:cs="宋体"/>
          <w:b/>
          <w:color w:val="auto"/>
          <w:sz w:val="28"/>
          <w:szCs w:val="28"/>
        </w:rPr>
      </w:pPr>
    </w:p>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F1BB4"/>
    <w:multiLevelType w:val="singleLevel"/>
    <w:tmpl w:val="8ADF1BB4"/>
    <w:lvl w:ilvl="0" w:tentative="0">
      <w:start w:val="2"/>
      <w:numFmt w:val="decimal"/>
      <w:suff w:val="nothing"/>
      <w:lvlText w:val="（%1）"/>
      <w:lvlJc w:val="left"/>
    </w:lvl>
  </w:abstractNum>
  <w:abstractNum w:abstractNumId="1">
    <w:nsid w:val="8EFABC00"/>
    <w:multiLevelType w:val="singleLevel"/>
    <w:tmpl w:val="8EFABC00"/>
    <w:lvl w:ilvl="0" w:tentative="0">
      <w:start w:val="2"/>
      <w:numFmt w:val="chineseCounting"/>
      <w:suff w:val="nothing"/>
      <w:lvlText w:val="%1、"/>
      <w:lvlJc w:val="left"/>
      <w:rPr>
        <w:rFonts w:hint="eastAsia"/>
      </w:rPr>
    </w:lvl>
  </w:abstractNum>
  <w:abstractNum w:abstractNumId="2">
    <w:nsid w:val="00000014"/>
    <w:multiLevelType w:val="singleLevel"/>
    <w:tmpl w:val="00000014"/>
    <w:lvl w:ilvl="0" w:tentative="0">
      <w:start w:val="1"/>
      <w:numFmt w:val="decimal"/>
      <w:suff w:val="nothing"/>
      <w:lvlText w:val="%1."/>
      <w:lvlJc w:val="left"/>
      <w:rPr>
        <w:rFonts w:cs="Times New Roman"/>
      </w:rPr>
    </w:lvl>
  </w:abstractNum>
  <w:abstractNum w:abstractNumId="3">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5419445F"/>
    <w:multiLevelType w:val="singleLevel"/>
    <w:tmpl w:val="5419445F"/>
    <w:lvl w:ilvl="0" w:tentative="0">
      <w:start w:val="1"/>
      <w:numFmt w:val="decimal"/>
      <w:suff w:val="nothing"/>
      <w:lvlText w:val="%1."/>
      <w:lvlJc w:val="left"/>
      <w:rPr>
        <w:rFonts w:cs="Times New Roman"/>
      </w:rPr>
    </w:lvl>
  </w:abstractNum>
  <w:abstractNum w:abstractNumId="7">
    <w:nsid w:val="5B7036A8"/>
    <w:multiLevelType w:val="singleLevel"/>
    <w:tmpl w:val="5B7036A8"/>
    <w:lvl w:ilvl="0" w:tentative="0">
      <w:start w:val="3"/>
      <w:numFmt w:val="decimal"/>
      <w:suff w:val="nothing"/>
      <w:lvlText w:val="（%1）"/>
      <w:lvlJc w:val="left"/>
    </w:lvl>
  </w:abstractNum>
  <w:abstractNum w:abstractNumId="8">
    <w:nsid w:val="5FE2B234"/>
    <w:multiLevelType w:val="singleLevel"/>
    <w:tmpl w:val="5FE2B234"/>
    <w:lvl w:ilvl="0" w:tentative="0">
      <w:start w:val="2"/>
      <w:numFmt w:val="decimal"/>
      <w:suff w:val="nothing"/>
      <w:lvlText w:val="%1、"/>
      <w:lvlJc w:val="left"/>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0">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9"/>
  </w:num>
  <w:num w:numId="2">
    <w:abstractNumId w:val="3"/>
  </w:num>
  <w:num w:numId="3">
    <w:abstractNumId w:val="10"/>
  </w:num>
  <w:num w:numId="4">
    <w:abstractNumId w:val="5"/>
  </w:num>
  <w:num w:numId="5">
    <w:abstractNumId w:val="7"/>
  </w:num>
  <w:num w:numId="6">
    <w:abstractNumId w:val="4"/>
  </w:num>
  <w:num w:numId="7">
    <w:abstractNumId w:val="1"/>
  </w:num>
  <w:num w:numId="8">
    <w:abstractNumId w:val="6"/>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25BFA"/>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887DFA"/>
    <w:rsid w:val="019C0822"/>
    <w:rsid w:val="01AB4154"/>
    <w:rsid w:val="021D391B"/>
    <w:rsid w:val="0230582E"/>
    <w:rsid w:val="024C0384"/>
    <w:rsid w:val="032D15FD"/>
    <w:rsid w:val="032F04D8"/>
    <w:rsid w:val="0348110C"/>
    <w:rsid w:val="038C4B27"/>
    <w:rsid w:val="03CE22E9"/>
    <w:rsid w:val="03E5328D"/>
    <w:rsid w:val="042207A6"/>
    <w:rsid w:val="04675C1C"/>
    <w:rsid w:val="046E24C0"/>
    <w:rsid w:val="04E84E7B"/>
    <w:rsid w:val="0546217C"/>
    <w:rsid w:val="05735E73"/>
    <w:rsid w:val="059A34DA"/>
    <w:rsid w:val="059B734C"/>
    <w:rsid w:val="05C112E8"/>
    <w:rsid w:val="05CE4353"/>
    <w:rsid w:val="064416AA"/>
    <w:rsid w:val="06A3708D"/>
    <w:rsid w:val="06AB00B1"/>
    <w:rsid w:val="06DA70D7"/>
    <w:rsid w:val="077632ED"/>
    <w:rsid w:val="07817814"/>
    <w:rsid w:val="07830629"/>
    <w:rsid w:val="078A61DF"/>
    <w:rsid w:val="078B3DA4"/>
    <w:rsid w:val="07C04CC8"/>
    <w:rsid w:val="07E878CC"/>
    <w:rsid w:val="07E87C6B"/>
    <w:rsid w:val="07FA7CF8"/>
    <w:rsid w:val="07FB0E0D"/>
    <w:rsid w:val="08051A7C"/>
    <w:rsid w:val="080F7CCD"/>
    <w:rsid w:val="090A2F1F"/>
    <w:rsid w:val="096D274B"/>
    <w:rsid w:val="0A285480"/>
    <w:rsid w:val="0A58515B"/>
    <w:rsid w:val="0A8B6BF2"/>
    <w:rsid w:val="0AB96449"/>
    <w:rsid w:val="0AD96C04"/>
    <w:rsid w:val="0B1E7010"/>
    <w:rsid w:val="0B35169E"/>
    <w:rsid w:val="0B386FBF"/>
    <w:rsid w:val="0B4A13AC"/>
    <w:rsid w:val="0B8D5623"/>
    <w:rsid w:val="0B8E420A"/>
    <w:rsid w:val="0BF4189E"/>
    <w:rsid w:val="0C3D7481"/>
    <w:rsid w:val="0C533408"/>
    <w:rsid w:val="0CF127D7"/>
    <w:rsid w:val="0D200600"/>
    <w:rsid w:val="0D5C0EA9"/>
    <w:rsid w:val="0D610678"/>
    <w:rsid w:val="0D9C32E2"/>
    <w:rsid w:val="0D9C4EA6"/>
    <w:rsid w:val="0E02486F"/>
    <w:rsid w:val="0E3D2F5D"/>
    <w:rsid w:val="0E3F22A2"/>
    <w:rsid w:val="0E7D1619"/>
    <w:rsid w:val="0E9503CA"/>
    <w:rsid w:val="0EC2186C"/>
    <w:rsid w:val="0EE30943"/>
    <w:rsid w:val="0EED40DE"/>
    <w:rsid w:val="0F123E53"/>
    <w:rsid w:val="0F3E53A7"/>
    <w:rsid w:val="0F8C0A60"/>
    <w:rsid w:val="0FA364D6"/>
    <w:rsid w:val="0FCE6C96"/>
    <w:rsid w:val="0FE34343"/>
    <w:rsid w:val="108E2EA4"/>
    <w:rsid w:val="10C613A6"/>
    <w:rsid w:val="10F1561E"/>
    <w:rsid w:val="10FA6A12"/>
    <w:rsid w:val="111E4EA7"/>
    <w:rsid w:val="112E386D"/>
    <w:rsid w:val="11715093"/>
    <w:rsid w:val="11744AD0"/>
    <w:rsid w:val="118A38B5"/>
    <w:rsid w:val="11AB7284"/>
    <w:rsid w:val="11B6302A"/>
    <w:rsid w:val="120C7CFD"/>
    <w:rsid w:val="122E4A94"/>
    <w:rsid w:val="123107B0"/>
    <w:rsid w:val="12493A8E"/>
    <w:rsid w:val="125F61EF"/>
    <w:rsid w:val="12802399"/>
    <w:rsid w:val="12837C22"/>
    <w:rsid w:val="12CF31F9"/>
    <w:rsid w:val="12DB5F87"/>
    <w:rsid w:val="1387789C"/>
    <w:rsid w:val="13B74194"/>
    <w:rsid w:val="14525B3A"/>
    <w:rsid w:val="14937361"/>
    <w:rsid w:val="149868E6"/>
    <w:rsid w:val="14C77424"/>
    <w:rsid w:val="15033088"/>
    <w:rsid w:val="15101A52"/>
    <w:rsid w:val="15125849"/>
    <w:rsid w:val="15B653C8"/>
    <w:rsid w:val="15BF2E22"/>
    <w:rsid w:val="15C31A47"/>
    <w:rsid w:val="16172661"/>
    <w:rsid w:val="16270A04"/>
    <w:rsid w:val="165069FC"/>
    <w:rsid w:val="173B43BC"/>
    <w:rsid w:val="178C691A"/>
    <w:rsid w:val="183B0D71"/>
    <w:rsid w:val="184968FC"/>
    <w:rsid w:val="185D1C5F"/>
    <w:rsid w:val="188C5585"/>
    <w:rsid w:val="189117E3"/>
    <w:rsid w:val="18925163"/>
    <w:rsid w:val="18C27F65"/>
    <w:rsid w:val="18DD46EE"/>
    <w:rsid w:val="18FA6BBD"/>
    <w:rsid w:val="192A2CC6"/>
    <w:rsid w:val="199B5D44"/>
    <w:rsid w:val="1A154AF6"/>
    <w:rsid w:val="1A2F6DF9"/>
    <w:rsid w:val="1A4C05AB"/>
    <w:rsid w:val="1A8D71C1"/>
    <w:rsid w:val="1AA834A0"/>
    <w:rsid w:val="1AF22A1C"/>
    <w:rsid w:val="1AFD66F4"/>
    <w:rsid w:val="1AFF401C"/>
    <w:rsid w:val="1B0010E2"/>
    <w:rsid w:val="1B233A0E"/>
    <w:rsid w:val="1B393CC6"/>
    <w:rsid w:val="1B462D4D"/>
    <w:rsid w:val="1B503B7D"/>
    <w:rsid w:val="1B7A2426"/>
    <w:rsid w:val="1B8F7883"/>
    <w:rsid w:val="1B927AE6"/>
    <w:rsid w:val="1BC83234"/>
    <w:rsid w:val="1BDB364C"/>
    <w:rsid w:val="1BE82287"/>
    <w:rsid w:val="1C1B3FE4"/>
    <w:rsid w:val="1C8261A0"/>
    <w:rsid w:val="1D0113C9"/>
    <w:rsid w:val="1D05782C"/>
    <w:rsid w:val="1D77416D"/>
    <w:rsid w:val="1DB72E7F"/>
    <w:rsid w:val="1DC07709"/>
    <w:rsid w:val="1DDB74E0"/>
    <w:rsid w:val="1DF747BA"/>
    <w:rsid w:val="1E3264F3"/>
    <w:rsid w:val="1E600A9D"/>
    <w:rsid w:val="1EBD3B62"/>
    <w:rsid w:val="1EFB3A15"/>
    <w:rsid w:val="1F02429F"/>
    <w:rsid w:val="1F133081"/>
    <w:rsid w:val="1F590291"/>
    <w:rsid w:val="1F6B1998"/>
    <w:rsid w:val="1F970F99"/>
    <w:rsid w:val="1FFC2F08"/>
    <w:rsid w:val="20221C78"/>
    <w:rsid w:val="20442B51"/>
    <w:rsid w:val="207E3421"/>
    <w:rsid w:val="2090579A"/>
    <w:rsid w:val="20AF45AF"/>
    <w:rsid w:val="20D70EB4"/>
    <w:rsid w:val="212D3E49"/>
    <w:rsid w:val="21331970"/>
    <w:rsid w:val="215846DF"/>
    <w:rsid w:val="21BD6DBB"/>
    <w:rsid w:val="22521DD3"/>
    <w:rsid w:val="22682AE8"/>
    <w:rsid w:val="23464916"/>
    <w:rsid w:val="23496B54"/>
    <w:rsid w:val="237B661E"/>
    <w:rsid w:val="238B2632"/>
    <w:rsid w:val="238B4E5F"/>
    <w:rsid w:val="23BF50C8"/>
    <w:rsid w:val="23CC07DA"/>
    <w:rsid w:val="242D644E"/>
    <w:rsid w:val="243E6F41"/>
    <w:rsid w:val="247C7073"/>
    <w:rsid w:val="2496308D"/>
    <w:rsid w:val="24A90CD3"/>
    <w:rsid w:val="24A9374C"/>
    <w:rsid w:val="252379DD"/>
    <w:rsid w:val="25766F60"/>
    <w:rsid w:val="2589209A"/>
    <w:rsid w:val="25A4506B"/>
    <w:rsid w:val="25B40CD0"/>
    <w:rsid w:val="25C05710"/>
    <w:rsid w:val="25CB1E8B"/>
    <w:rsid w:val="25EE3AA0"/>
    <w:rsid w:val="25F3676D"/>
    <w:rsid w:val="261B4E8D"/>
    <w:rsid w:val="26633241"/>
    <w:rsid w:val="267F12E4"/>
    <w:rsid w:val="26AF3687"/>
    <w:rsid w:val="26B363FA"/>
    <w:rsid w:val="27025876"/>
    <w:rsid w:val="274761A1"/>
    <w:rsid w:val="27937EDA"/>
    <w:rsid w:val="27CF60B0"/>
    <w:rsid w:val="27E234BC"/>
    <w:rsid w:val="28012C6B"/>
    <w:rsid w:val="280475E2"/>
    <w:rsid w:val="285B7C69"/>
    <w:rsid w:val="28681B96"/>
    <w:rsid w:val="28B0150E"/>
    <w:rsid w:val="2955395A"/>
    <w:rsid w:val="299A1AD2"/>
    <w:rsid w:val="29B80978"/>
    <w:rsid w:val="29BF1700"/>
    <w:rsid w:val="29D17C38"/>
    <w:rsid w:val="29DA1C97"/>
    <w:rsid w:val="29F11E79"/>
    <w:rsid w:val="2A0511A9"/>
    <w:rsid w:val="2A1F1303"/>
    <w:rsid w:val="2A7B7273"/>
    <w:rsid w:val="2AAB2012"/>
    <w:rsid w:val="2AC0562D"/>
    <w:rsid w:val="2AC11AAE"/>
    <w:rsid w:val="2AE300E0"/>
    <w:rsid w:val="2AE84D10"/>
    <w:rsid w:val="2AF82814"/>
    <w:rsid w:val="2B4658AA"/>
    <w:rsid w:val="2B775681"/>
    <w:rsid w:val="2B8E1B57"/>
    <w:rsid w:val="2B8E71EA"/>
    <w:rsid w:val="2BA705F6"/>
    <w:rsid w:val="2BE04E2E"/>
    <w:rsid w:val="2C31119D"/>
    <w:rsid w:val="2C3328C4"/>
    <w:rsid w:val="2C5548F9"/>
    <w:rsid w:val="2CA22535"/>
    <w:rsid w:val="2CCA71F1"/>
    <w:rsid w:val="2D2B1461"/>
    <w:rsid w:val="2D797C76"/>
    <w:rsid w:val="2E12514F"/>
    <w:rsid w:val="2E351771"/>
    <w:rsid w:val="2EF7551C"/>
    <w:rsid w:val="2F210D6D"/>
    <w:rsid w:val="2F7B3D99"/>
    <w:rsid w:val="2F8E0962"/>
    <w:rsid w:val="2FA30B14"/>
    <w:rsid w:val="2FBD5AB0"/>
    <w:rsid w:val="2FC2427A"/>
    <w:rsid w:val="30071591"/>
    <w:rsid w:val="30243F4A"/>
    <w:rsid w:val="305C52E4"/>
    <w:rsid w:val="30924D48"/>
    <w:rsid w:val="30985912"/>
    <w:rsid w:val="30C33928"/>
    <w:rsid w:val="30E60CDF"/>
    <w:rsid w:val="312B136C"/>
    <w:rsid w:val="316D3EFB"/>
    <w:rsid w:val="31771119"/>
    <w:rsid w:val="31CE1FAB"/>
    <w:rsid w:val="31F13E2B"/>
    <w:rsid w:val="31F46862"/>
    <w:rsid w:val="322752D3"/>
    <w:rsid w:val="322E5C7B"/>
    <w:rsid w:val="32306ABA"/>
    <w:rsid w:val="32492609"/>
    <w:rsid w:val="32696E6C"/>
    <w:rsid w:val="328F6057"/>
    <w:rsid w:val="32A75EF3"/>
    <w:rsid w:val="32AA4D8B"/>
    <w:rsid w:val="32AE7831"/>
    <w:rsid w:val="32B93292"/>
    <w:rsid w:val="32D80A9F"/>
    <w:rsid w:val="330C5F16"/>
    <w:rsid w:val="33354A43"/>
    <w:rsid w:val="33413E8A"/>
    <w:rsid w:val="335E264F"/>
    <w:rsid w:val="338059AD"/>
    <w:rsid w:val="33C9596F"/>
    <w:rsid w:val="33F1490B"/>
    <w:rsid w:val="341828E2"/>
    <w:rsid w:val="345B10E7"/>
    <w:rsid w:val="347C5E46"/>
    <w:rsid w:val="348E2E64"/>
    <w:rsid w:val="34905A19"/>
    <w:rsid w:val="34E06E39"/>
    <w:rsid w:val="35070F52"/>
    <w:rsid w:val="352C0C5B"/>
    <w:rsid w:val="35613533"/>
    <w:rsid w:val="35B058C7"/>
    <w:rsid w:val="35F871FB"/>
    <w:rsid w:val="35FC498E"/>
    <w:rsid w:val="36417C8D"/>
    <w:rsid w:val="36640957"/>
    <w:rsid w:val="366436B8"/>
    <w:rsid w:val="36886515"/>
    <w:rsid w:val="368B1D4A"/>
    <w:rsid w:val="369F3C73"/>
    <w:rsid w:val="36D61813"/>
    <w:rsid w:val="36F2393C"/>
    <w:rsid w:val="375C2CDF"/>
    <w:rsid w:val="3768338E"/>
    <w:rsid w:val="37945B49"/>
    <w:rsid w:val="379D3B99"/>
    <w:rsid w:val="37ED7F2D"/>
    <w:rsid w:val="37F47F4F"/>
    <w:rsid w:val="38227768"/>
    <w:rsid w:val="383E5812"/>
    <w:rsid w:val="38A94FE7"/>
    <w:rsid w:val="38DE0F29"/>
    <w:rsid w:val="39137A71"/>
    <w:rsid w:val="39300BC2"/>
    <w:rsid w:val="39390772"/>
    <w:rsid w:val="3955569C"/>
    <w:rsid w:val="39657C8F"/>
    <w:rsid w:val="3969383E"/>
    <w:rsid w:val="39C74F42"/>
    <w:rsid w:val="3A4967DD"/>
    <w:rsid w:val="3A5116BA"/>
    <w:rsid w:val="3A6B3107"/>
    <w:rsid w:val="3A87079F"/>
    <w:rsid w:val="3A8C3BAF"/>
    <w:rsid w:val="3AD63889"/>
    <w:rsid w:val="3B293E28"/>
    <w:rsid w:val="3B2F7891"/>
    <w:rsid w:val="3B603F9A"/>
    <w:rsid w:val="3BED76F6"/>
    <w:rsid w:val="3C1E5B01"/>
    <w:rsid w:val="3C333506"/>
    <w:rsid w:val="3C656913"/>
    <w:rsid w:val="3C94066E"/>
    <w:rsid w:val="3CFE624A"/>
    <w:rsid w:val="3D1251D3"/>
    <w:rsid w:val="3D254755"/>
    <w:rsid w:val="3D470E27"/>
    <w:rsid w:val="3D475A63"/>
    <w:rsid w:val="3D5440BC"/>
    <w:rsid w:val="3E447FF5"/>
    <w:rsid w:val="3F1539A0"/>
    <w:rsid w:val="3F1E4982"/>
    <w:rsid w:val="3F4D0129"/>
    <w:rsid w:val="3F6B06C4"/>
    <w:rsid w:val="3F76538A"/>
    <w:rsid w:val="3FBD0B19"/>
    <w:rsid w:val="3FEE6A4A"/>
    <w:rsid w:val="40163612"/>
    <w:rsid w:val="401F30A7"/>
    <w:rsid w:val="403B4631"/>
    <w:rsid w:val="40831E81"/>
    <w:rsid w:val="408C76E2"/>
    <w:rsid w:val="409057BD"/>
    <w:rsid w:val="40B17DCB"/>
    <w:rsid w:val="410D2280"/>
    <w:rsid w:val="41186225"/>
    <w:rsid w:val="416F5968"/>
    <w:rsid w:val="417F49B2"/>
    <w:rsid w:val="41803BF5"/>
    <w:rsid w:val="418324AC"/>
    <w:rsid w:val="41A04200"/>
    <w:rsid w:val="41A32F85"/>
    <w:rsid w:val="41D2372A"/>
    <w:rsid w:val="420C2A69"/>
    <w:rsid w:val="42100A19"/>
    <w:rsid w:val="42203971"/>
    <w:rsid w:val="42257F84"/>
    <w:rsid w:val="422D3D55"/>
    <w:rsid w:val="42680DF6"/>
    <w:rsid w:val="42BF0693"/>
    <w:rsid w:val="42C07A30"/>
    <w:rsid w:val="42DC0DDB"/>
    <w:rsid w:val="43240648"/>
    <w:rsid w:val="43434628"/>
    <w:rsid w:val="43482915"/>
    <w:rsid w:val="4351032C"/>
    <w:rsid w:val="4355293C"/>
    <w:rsid w:val="437E56C2"/>
    <w:rsid w:val="439439C5"/>
    <w:rsid w:val="43BF70AF"/>
    <w:rsid w:val="44120182"/>
    <w:rsid w:val="44236751"/>
    <w:rsid w:val="448C78B8"/>
    <w:rsid w:val="44CB1108"/>
    <w:rsid w:val="453F611C"/>
    <w:rsid w:val="45A90B22"/>
    <w:rsid w:val="45C94E39"/>
    <w:rsid w:val="45D568DB"/>
    <w:rsid w:val="45E64357"/>
    <w:rsid w:val="46196E13"/>
    <w:rsid w:val="46495A0E"/>
    <w:rsid w:val="464B079B"/>
    <w:rsid w:val="468077A8"/>
    <w:rsid w:val="468E6ECD"/>
    <w:rsid w:val="46EA56DB"/>
    <w:rsid w:val="476C6251"/>
    <w:rsid w:val="476E4F11"/>
    <w:rsid w:val="479C322F"/>
    <w:rsid w:val="47A978DA"/>
    <w:rsid w:val="47BB15B4"/>
    <w:rsid w:val="48037F6C"/>
    <w:rsid w:val="480C6C1B"/>
    <w:rsid w:val="4815707A"/>
    <w:rsid w:val="48295411"/>
    <w:rsid w:val="48A05AD4"/>
    <w:rsid w:val="48B268BC"/>
    <w:rsid w:val="48D21A79"/>
    <w:rsid w:val="48D45C9F"/>
    <w:rsid w:val="48DF13FB"/>
    <w:rsid w:val="48FE7D34"/>
    <w:rsid w:val="493B7D23"/>
    <w:rsid w:val="49545F4C"/>
    <w:rsid w:val="4969259E"/>
    <w:rsid w:val="497038CD"/>
    <w:rsid w:val="49730A66"/>
    <w:rsid w:val="499A66C3"/>
    <w:rsid w:val="49AC538B"/>
    <w:rsid w:val="49B75414"/>
    <w:rsid w:val="49D53592"/>
    <w:rsid w:val="49FA77BE"/>
    <w:rsid w:val="4A9D693F"/>
    <w:rsid w:val="4AC46FB1"/>
    <w:rsid w:val="4B2451E8"/>
    <w:rsid w:val="4B4A24A6"/>
    <w:rsid w:val="4BF27690"/>
    <w:rsid w:val="4C204881"/>
    <w:rsid w:val="4C775DE6"/>
    <w:rsid w:val="4C82133E"/>
    <w:rsid w:val="4D0A496F"/>
    <w:rsid w:val="4D13604C"/>
    <w:rsid w:val="4D3272BE"/>
    <w:rsid w:val="4D6B3CED"/>
    <w:rsid w:val="4DA80E22"/>
    <w:rsid w:val="4DBF0043"/>
    <w:rsid w:val="4DE92DD7"/>
    <w:rsid w:val="4DFE7BC4"/>
    <w:rsid w:val="4E0062C6"/>
    <w:rsid w:val="4E146AA7"/>
    <w:rsid w:val="4E424ADD"/>
    <w:rsid w:val="4E6B6CEB"/>
    <w:rsid w:val="4EAD5D22"/>
    <w:rsid w:val="4F7714C8"/>
    <w:rsid w:val="4F8D5360"/>
    <w:rsid w:val="4FA265C1"/>
    <w:rsid w:val="4FAF2ACB"/>
    <w:rsid w:val="503B5A8A"/>
    <w:rsid w:val="505852F6"/>
    <w:rsid w:val="507E72C1"/>
    <w:rsid w:val="508235A6"/>
    <w:rsid w:val="50AA4FC9"/>
    <w:rsid w:val="50DE33C7"/>
    <w:rsid w:val="50E9704D"/>
    <w:rsid w:val="512F6EC2"/>
    <w:rsid w:val="513242BC"/>
    <w:rsid w:val="513403C7"/>
    <w:rsid w:val="518B38CB"/>
    <w:rsid w:val="51E51CC3"/>
    <w:rsid w:val="5261238B"/>
    <w:rsid w:val="52790A80"/>
    <w:rsid w:val="529A77A5"/>
    <w:rsid w:val="529F5B90"/>
    <w:rsid w:val="530C6E70"/>
    <w:rsid w:val="532F6FD1"/>
    <w:rsid w:val="53396CC8"/>
    <w:rsid w:val="536C4A8A"/>
    <w:rsid w:val="53C90F08"/>
    <w:rsid w:val="53E01123"/>
    <w:rsid w:val="53ED6794"/>
    <w:rsid w:val="542657F3"/>
    <w:rsid w:val="542A50A2"/>
    <w:rsid w:val="542D5399"/>
    <w:rsid w:val="5448083D"/>
    <w:rsid w:val="54606FA2"/>
    <w:rsid w:val="54E4321F"/>
    <w:rsid w:val="557E6ADC"/>
    <w:rsid w:val="559230BD"/>
    <w:rsid w:val="55E305E8"/>
    <w:rsid w:val="55E6015C"/>
    <w:rsid w:val="55E907A3"/>
    <w:rsid w:val="56325307"/>
    <w:rsid w:val="5659474A"/>
    <w:rsid w:val="56701EC0"/>
    <w:rsid w:val="56732B47"/>
    <w:rsid w:val="568725BE"/>
    <w:rsid w:val="569A437E"/>
    <w:rsid w:val="5733660F"/>
    <w:rsid w:val="57463334"/>
    <w:rsid w:val="575C35DF"/>
    <w:rsid w:val="578B6597"/>
    <w:rsid w:val="57942C39"/>
    <w:rsid w:val="57A8196A"/>
    <w:rsid w:val="5845276D"/>
    <w:rsid w:val="586947A8"/>
    <w:rsid w:val="589107F3"/>
    <w:rsid w:val="58BD4B9B"/>
    <w:rsid w:val="58BD4EAA"/>
    <w:rsid w:val="58DA20C8"/>
    <w:rsid w:val="58FE6BB9"/>
    <w:rsid w:val="592E0C31"/>
    <w:rsid w:val="593259F3"/>
    <w:rsid w:val="59B64E5B"/>
    <w:rsid w:val="59C41AA5"/>
    <w:rsid w:val="5A487012"/>
    <w:rsid w:val="5A5A695B"/>
    <w:rsid w:val="5ABB11E7"/>
    <w:rsid w:val="5AC962C1"/>
    <w:rsid w:val="5AE35216"/>
    <w:rsid w:val="5AEB214A"/>
    <w:rsid w:val="5B416702"/>
    <w:rsid w:val="5B510FBA"/>
    <w:rsid w:val="5B5E370D"/>
    <w:rsid w:val="5B713427"/>
    <w:rsid w:val="5B8152A6"/>
    <w:rsid w:val="5B964C3B"/>
    <w:rsid w:val="5BBE6825"/>
    <w:rsid w:val="5BC4411C"/>
    <w:rsid w:val="5C514191"/>
    <w:rsid w:val="5C8B0489"/>
    <w:rsid w:val="5CD927B0"/>
    <w:rsid w:val="5D3038FF"/>
    <w:rsid w:val="5D74287B"/>
    <w:rsid w:val="5DC44195"/>
    <w:rsid w:val="5DCB432F"/>
    <w:rsid w:val="5DD956B5"/>
    <w:rsid w:val="5DE04163"/>
    <w:rsid w:val="5E086E60"/>
    <w:rsid w:val="5E12551D"/>
    <w:rsid w:val="5E5B4B1E"/>
    <w:rsid w:val="5E806603"/>
    <w:rsid w:val="5EDC2437"/>
    <w:rsid w:val="5EF600C1"/>
    <w:rsid w:val="5F3C0936"/>
    <w:rsid w:val="5F683B20"/>
    <w:rsid w:val="5F6A1B70"/>
    <w:rsid w:val="5F715923"/>
    <w:rsid w:val="5F74528F"/>
    <w:rsid w:val="5F905960"/>
    <w:rsid w:val="603C6B90"/>
    <w:rsid w:val="60694146"/>
    <w:rsid w:val="608B4D11"/>
    <w:rsid w:val="60E930B4"/>
    <w:rsid w:val="61034DA8"/>
    <w:rsid w:val="61391E0A"/>
    <w:rsid w:val="61563D8A"/>
    <w:rsid w:val="61716ECA"/>
    <w:rsid w:val="61775743"/>
    <w:rsid w:val="61AF7728"/>
    <w:rsid w:val="61E151CE"/>
    <w:rsid w:val="61EC3C39"/>
    <w:rsid w:val="62093EA3"/>
    <w:rsid w:val="6229181C"/>
    <w:rsid w:val="623517C7"/>
    <w:rsid w:val="62772330"/>
    <w:rsid w:val="62F96812"/>
    <w:rsid w:val="634B6B7B"/>
    <w:rsid w:val="639C4F66"/>
    <w:rsid w:val="64383FFB"/>
    <w:rsid w:val="64DD3A5E"/>
    <w:rsid w:val="651A5C4B"/>
    <w:rsid w:val="652C53ED"/>
    <w:rsid w:val="653116C9"/>
    <w:rsid w:val="653A164C"/>
    <w:rsid w:val="658631A0"/>
    <w:rsid w:val="659254DB"/>
    <w:rsid w:val="65B31BCC"/>
    <w:rsid w:val="65B87A10"/>
    <w:rsid w:val="65D35C16"/>
    <w:rsid w:val="65E24CF3"/>
    <w:rsid w:val="66241202"/>
    <w:rsid w:val="664A709B"/>
    <w:rsid w:val="666879C6"/>
    <w:rsid w:val="67B71CB2"/>
    <w:rsid w:val="67FB1FF0"/>
    <w:rsid w:val="68031777"/>
    <w:rsid w:val="682233F5"/>
    <w:rsid w:val="68353249"/>
    <w:rsid w:val="684319C5"/>
    <w:rsid w:val="68767A40"/>
    <w:rsid w:val="68897795"/>
    <w:rsid w:val="68C11D22"/>
    <w:rsid w:val="68D575AA"/>
    <w:rsid w:val="68E52B08"/>
    <w:rsid w:val="68F0116E"/>
    <w:rsid w:val="68F73295"/>
    <w:rsid w:val="69085BD7"/>
    <w:rsid w:val="69623047"/>
    <w:rsid w:val="6969171C"/>
    <w:rsid w:val="69F50851"/>
    <w:rsid w:val="6A9407E1"/>
    <w:rsid w:val="6AD87048"/>
    <w:rsid w:val="6B477EF6"/>
    <w:rsid w:val="6B513865"/>
    <w:rsid w:val="6B753990"/>
    <w:rsid w:val="6B9A256C"/>
    <w:rsid w:val="6BA373FF"/>
    <w:rsid w:val="6BEB1E5F"/>
    <w:rsid w:val="6C4957FC"/>
    <w:rsid w:val="6C5534FB"/>
    <w:rsid w:val="6C7C025F"/>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CB4FCD"/>
    <w:rsid w:val="70F637EC"/>
    <w:rsid w:val="70FA047D"/>
    <w:rsid w:val="71203373"/>
    <w:rsid w:val="713779A1"/>
    <w:rsid w:val="715168D7"/>
    <w:rsid w:val="718339E5"/>
    <w:rsid w:val="71ED5287"/>
    <w:rsid w:val="71FE5EAA"/>
    <w:rsid w:val="721F1F12"/>
    <w:rsid w:val="724E26A6"/>
    <w:rsid w:val="727035A7"/>
    <w:rsid w:val="72BA2638"/>
    <w:rsid w:val="72E24278"/>
    <w:rsid w:val="72F247EE"/>
    <w:rsid w:val="72F60360"/>
    <w:rsid w:val="73046E24"/>
    <w:rsid w:val="73117CBC"/>
    <w:rsid w:val="731D3DC6"/>
    <w:rsid w:val="734063C5"/>
    <w:rsid w:val="73623660"/>
    <w:rsid w:val="73785811"/>
    <w:rsid w:val="73843B37"/>
    <w:rsid w:val="73AA2AB8"/>
    <w:rsid w:val="7448595E"/>
    <w:rsid w:val="744F77C9"/>
    <w:rsid w:val="74936C9D"/>
    <w:rsid w:val="74A25915"/>
    <w:rsid w:val="750000AA"/>
    <w:rsid w:val="750A7ABF"/>
    <w:rsid w:val="75312FB6"/>
    <w:rsid w:val="753235FD"/>
    <w:rsid w:val="754B1F3E"/>
    <w:rsid w:val="755A5C8D"/>
    <w:rsid w:val="75706FDE"/>
    <w:rsid w:val="759077E6"/>
    <w:rsid w:val="75940C8C"/>
    <w:rsid w:val="75BB2BFD"/>
    <w:rsid w:val="75BC7EFC"/>
    <w:rsid w:val="75C940ED"/>
    <w:rsid w:val="75D85DC6"/>
    <w:rsid w:val="760701E8"/>
    <w:rsid w:val="768C51BE"/>
    <w:rsid w:val="76AC7129"/>
    <w:rsid w:val="76D15FF3"/>
    <w:rsid w:val="77281E9E"/>
    <w:rsid w:val="773C2D8E"/>
    <w:rsid w:val="77550A67"/>
    <w:rsid w:val="77B83BB6"/>
    <w:rsid w:val="77BA2D12"/>
    <w:rsid w:val="7856695F"/>
    <w:rsid w:val="7866427B"/>
    <w:rsid w:val="78812401"/>
    <w:rsid w:val="78F732D8"/>
    <w:rsid w:val="790F1791"/>
    <w:rsid w:val="791F3849"/>
    <w:rsid w:val="7961798B"/>
    <w:rsid w:val="797350BA"/>
    <w:rsid w:val="79751FE8"/>
    <w:rsid w:val="79775EC9"/>
    <w:rsid w:val="79EE2754"/>
    <w:rsid w:val="7A1F0A71"/>
    <w:rsid w:val="7A37206F"/>
    <w:rsid w:val="7A741385"/>
    <w:rsid w:val="7A7E5483"/>
    <w:rsid w:val="7AAF231C"/>
    <w:rsid w:val="7AC84743"/>
    <w:rsid w:val="7B2F1AD6"/>
    <w:rsid w:val="7B3A1AA6"/>
    <w:rsid w:val="7B7027FC"/>
    <w:rsid w:val="7B740622"/>
    <w:rsid w:val="7B994BC5"/>
    <w:rsid w:val="7BDA7AD6"/>
    <w:rsid w:val="7BE145C1"/>
    <w:rsid w:val="7BEA1AD4"/>
    <w:rsid w:val="7BF90534"/>
    <w:rsid w:val="7C0D7ADD"/>
    <w:rsid w:val="7C1020E3"/>
    <w:rsid w:val="7C152DD9"/>
    <w:rsid w:val="7C520931"/>
    <w:rsid w:val="7C831CEC"/>
    <w:rsid w:val="7CC24675"/>
    <w:rsid w:val="7CF26FE4"/>
    <w:rsid w:val="7D34076E"/>
    <w:rsid w:val="7D53381A"/>
    <w:rsid w:val="7D624404"/>
    <w:rsid w:val="7DAF298B"/>
    <w:rsid w:val="7DF27933"/>
    <w:rsid w:val="7E2C708B"/>
    <w:rsid w:val="7E5948D9"/>
    <w:rsid w:val="7E6B4778"/>
    <w:rsid w:val="7E9B2B28"/>
    <w:rsid w:val="7EB910BD"/>
    <w:rsid w:val="7ED91DFC"/>
    <w:rsid w:val="7F032D16"/>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semiHidden/>
    <w:unhideWhenUsed/>
    <w:qFormat/>
    <w:uiPriority w:val="0"/>
    <w:rPr>
      <w:color w:val="0091F2"/>
      <w:sz w:val="18"/>
      <w:szCs w:val="18"/>
      <w:u w:val="none"/>
    </w:rPr>
  </w:style>
  <w:style w:type="character" w:styleId="12">
    <w:name w:val="HTML Definition"/>
    <w:basedOn w:val="8"/>
    <w:semiHidden/>
    <w:unhideWhenUsed/>
    <w:qFormat/>
    <w:uiPriority w:val="0"/>
  </w:style>
  <w:style w:type="character" w:styleId="13">
    <w:name w:val="HTML Variable"/>
    <w:basedOn w:val="8"/>
    <w:semiHidden/>
    <w:unhideWhenUsed/>
    <w:qFormat/>
    <w:uiPriority w:val="0"/>
  </w:style>
  <w:style w:type="character" w:styleId="14">
    <w:name w:val="Hyperlink"/>
    <w:basedOn w:val="8"/>
    <w:semiHidden/>
    <w:unhideWhenUsed/>
    <w:qFormat/>
    <w:uiPriority w:val="0"/>
    <w:rPr>
      <w:color w:val="0091F2"/>
      <w:sz w:val="18"/>
      <w:szCs w:val="18"/>
      <w:u w:val="none"/>
    </w:rPr>
  </w:style>
  <w:style w:type="character" w:styleId="15">
    <w:name w:val="HTML Code"/>
    <w:basedOn w:val="8"/>
    <w:semiHidden/>
    <w:unhideWhenUsed/>
    <w:qFormat/>
    <w:uiPriority w:val="0"/>
    <w:rPr>
      <w:rFonts w:ascii="Courier New" w:hAnsi="Courier New"/>
      <w:sz w:val="20"/>
    </w:rPr>
  </w:style>
  <w:style w:type="character" w:styleId="16">
    <w:name w:val="HTML Cite"/>
    <w:basedOn w:val="8"/>
    <w:semiHidden/>
    <w:unhideWhenUsed/>
    <w:qFormat/>
    <w:uiPriority w:val="0"/>
  </w:style>
  <w:style w:type="paragraph" w:customStyle="1" w:styleId="17">
    <w:name w:val="列表段落1"/>
    <w:basedOn w:val="1"/>
    <w:qFormat/>
    <w:uiPriority w:val="34"/>
    <w:pPr>
      <w:spacing w:before="206"/>
      <w:ind w:left="959" w:hanging="361"/>
    </w:pPr>
  </w:style>
  <w:style w:type="character" w:customStyle="1" w:styleId="18">
    <w:name w:val="cd_message"/>
    <w:basedOn w:val="8"/>
    <w:qFormat/>
    <w:uiPriority w:val="0"/>
  </w:style>
  <w:style w:type="paragraph" w:customStyle="1" w:styleId="1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0">
    <w:name w:val="列出段落1"/>
    <w:basedOn w:val="1"/>
    <w:qFormat/>
    <w:uiPriority w:val="99"/>
    <w:pPr>
      <w:ind w:firstLine="420" w:firstLineChars="200"/>
    </w:pPr>
  </w:style>
  <w:style w:type="character" w:customStyle="1" w:styleId="21">
    <w:name w:val="页眉 字符"/>
    <w:basedOn w:val="8"/>
    <w:link w:val="5"/>
    <w:qFormat/>
    <w:uiPriority w:val="0"/>
    <w:rPr>
      <w:kern w:val="2"/>
      <w:sz w:val="18"/>
      <w:szCs w:val="18"/>
    </w:rPr>
  </w:style>
  <w:style w:type="character" w:customStyle="1" w:styleId="22">
    <w:name w:val="common_over_page_btn1"/>
    <w:basedOn w:val="8"/>
    <w:qFormat/>
    <w:uiPriority w:val="0"/>
  </w:style>
  <w:style w:type="character" w:customStyle="1" w:styleId="23">
    <w:name w:val="common_over_page_btn2"/>
    <w:basedOn w:val="8"/>
    <w:qFormat/>
    <w:uiPriority w:val="0"/>
    <w:rPr>
      <w:color w:val="999999"/>
      <w:bdr w:val="single" w:color="D4D4D4" w:sz="6" w:space="0"/>
      <w:shd w:val="clear" w:color="auto" w:fill="FFFFFF"/>
    </w:rPr>
  </w:style>
  <w:style w:type="paragraph" w:customStyle="1" w:styleId="24">
    <w:name w:val="Table Paragraph"/>
    <w:basedOn w:val="1"/>
    <w:qFormat/>
    <w:uiPriority w:val="1"/>
  </w:style>
  <w:style w:type="paragraph" w:styleId="25">
    <w:name w:val="List Paragraph"/>
    <w:basedOn w:val="1"/>
    <w:qFormat/>
    <w:uiPriority w:val="34"/>
    <w:pPr>
      <w:ind w:firstLine="420" w:firstLineChars="200"/>
    </w:pPr>
    <w:rPr>
      <w:rFonts w:ascii="Times New Roman" w:hAnsi="Times New Roman" w:eastAsia="宋体" w:cs="Times New Roman"/>
      <w:szCs w:val="24"/>
    </w:rPr>
  </w:style>
  <w:style w:type="paragraph" w:customStyle="1" w:styleId="26">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7">
    <w:name w:val="ico1654"/>
    <w:basedOn w:val="8"/>
    <w:qFormat/>
    <w:uiPriority w:val="0"/>
  </w:style>
  <w:style w:type="character" w:customStyle="1" w:styleId="28">
    <w:name w:val="icontext2"/>
    <w:basedOn w:val="8"/>
    <w:qFormat/>
    <w:uiPriority w:val="0"/>
  </w:style>
  <w:style w:type="character" w:customStyle="1" w:styleId="29">
    <w:name w:val="edit_class"/>
    <w:basedOn w:val="8"/>
    <w:qFormat/>
    <w:uiPriority w:val="0"/>
  </w:style>
  <w:style w:type="character" w:customStyle="1" w:styleId="30">
    <w:name w:val="hover41"/>
    <w:basedOn w:val="8"/>
    <w:qFormat/>
    <w:uiPriority w:val="0"/>
    <w:rPr>
      <w:color w:val="FFFFFF"/>
    </w:rPr>
  </w:style>
  <w:style w:type="character" w:customStyle="1" w:styleId="31">
    <w:name w:val="w32"/>
    <w:basedOn w:val="8"/>
    <w:qFormat/>
    <w:uiPriority w:val="0"/>
  </w:style>
  <w:style w:type="character" w:customStyle="1" w:styleId="32">
    <w:name w:val="hilite"/>
    <w:basedOn w:val="8"/>
    <w:qFormat/>
    <w:uiPriority w:val="0"/>
    <w:rPr>
      <w:color w:val="FFFFFF"/>
      <w:shd w:val="clear" w:fill="666666"/>
    </w:rPr>
  </w:style>
  <w:style w:type="character" w:customStyle="1" w:styleId="33">
    <w:name w:val="layui-layer-tabnow"/>
    <w:basedOn w:val="8"/>
    <w:qFormat/>
    <w:uiPriority w:val="0"/>
    <w:rPr>
      <w:bdr w:val="single" w:color="CCCCCC" w:sz="6" w:space="0"/>
      <w:shd w:val="clear" w:fill="FFFFFF"/>
    </w:rPr>
  </w:style>
  <w:style w:type="character" w:customStyle="1" w:styleId="34">
    <w:name w:val="icontext1"/>
    <w:basedOn w:val="8"/>
    <w:qFormat/>
    <w:uiPriority w:val="0"/>
  </w:style>
  <w:style w:type="character" w:customStyle="1" w:styleId="35">
    <w:name w:val="icontext11"/>
    <w:basedOn w:val="8"/>
    <w:qFormat/>
    <w:uiPriority w:val="0"/>
  </w:style>
  <w:style w:type="character" w:customStyle="1" w:styleId="36">
    <w:name w:val="icontext12"/>
    <w:basedOn w:val="8"/>
    <w:qFormat/>
    <w:uiPriority w:val="0"/>
  </w:style>
  <w:style w:type="character" w:customStyle="1" w:styleId="37">
    <w:name w:val="pagechatarealistclose_box"/>
    <w:basedOn w:val="8"/>
    <w:qFormat/>
    <w:uiPriority w:val="0"/>
  </w:style>
  <w:style w:type="character" w:customStyle="1" w:styleId="38">
    <w:name w:val="pagechatarealistclose_box1"/>
    <w:basedOn w:val="8"/>
    <w:qFormat/>
    <w:uiPriority w:val="0"/>
  </w:style>
  <w:style w:type="character" w:customStyle="1" w:styleId="39">
    <w:name w:val="cy"/>
    <w:basedOn w:val="8"/>
    <w:qFormat/>
    <w:uiPriority w:val="0"/>
  </w:style>
  <w:style w:type="character" w:customStyle="1" w:styleId="40">
    <w:name w:val="cdropleft"/>
    <w:basedOn w:val="8"/>
    <w:qFormat/>
    <w:uiPriority w:val="0"/>
  </w:style>
  <w:style w:type="character" w:customStyle="1" w:styleId="41">
    <w:name w:val="design_class"/>
    <w:basedOn w:val="8"/>
    <w:qFormat/>
    <w:uiPriority w:val="0"/>
  </w:style>
  <w:style w:type="character" w:customStyle="1" w:styleId="42">
    <w:name w:val="active7"/>
    <w:basedOn w:val="8"/>
    <w:qFormat/>
    <w:uiPriority w:val="0"/>
    <w:rPr>
      <w:color w:val="00FF00"/>
      <w:shd w:val="clear" w:fill="111111"/>
    </w:rPr>
  </w:style>
  <w:style w:type="character" w:customStyle="1" w:styleId="43">
    <w:name w:val="active8"/>
    <w:basedOn w:val="8"/>
    <w:qFormat/>
    <w:uiPriority w:val="0"/>
    <w:rPr>
      <w:shd w:val="clear" w:fill="EC3535"/>
    </w:rPr>
  </w:style>
  <w:style w:type="character" w:customStyle="1" w:styleId="44">
    <w:name w:val="biggerthanmax"/>
    <w:basedOn w:val="8"/>
    <w:qFormat/>
    <w:uiPriority w:val="0"/>
    <w:rPr>
      <w:shd w:val="clear" w:fill="FFFF00"/>
    </w:rPr>
  </w:style>
  <w:style w:type="character" w:customStyle="1" w:styleId="45">
    <w:name w:val="cdropright"/>
    <w:basedOn w:val="8"/>
    <w:qFormat/>
    <w:uiPriority w:val="0"/>
  </w:style>
  <w:style w:type="character" w:customStyle="1" w:styleId="46">
    <w:name w:val="button4"/>
    <w:basedOn w:val="8"/>
    <w:qFormat/>
    <w:uiPriority w:val="0"/>
  </w:style>
  <w:style w:type="character" w:customStyle="1" w:styleId="47">
    <w:name w:val="tmpztreemove_arrow"/>
    <w:basedOn w:val="8"/>
    <w:qFormat/>
    <w:uiPriority w:val="0"/>
  </w:style>
  <w:style w:type="character" w:customStyle="1" w:styleId="48">
    <w:name w:val="associateddata"/>
    <w:basedOn w:val="8"/>
    <w:qFormat/>
    <w:uiPriority w:val="0"/>
    <w:rPr>
      <w:shd w:val="clear" w:fill="50A6F9"/>
    </w:rPr>
  </w:style>
  <w:style w:type="character" w:customStyle="1" w:styleId="49">
    <w:name w:val="icontext3"/>
    <w:basedOn w:val="8"/>
    <w:qFormat/>
    <w:uiPriority w:val="0"/>
  </w:style>
  <w:style w:type="character" w:customStyle="1" w:styleId="50">
    <w:name w:val="after"/>
    <w:basedOn w:val="8"/>
    <w:qFormat/>
    <w:uiPriority w:val="0"/>
    <w:rPr>
      <w:sz w:val="0"/>
      <w:szCs w:val="0"/>
    </w:rPr>
  </w:style>
  <w:style w:type="character" w:customStyle="1" w:styleId="51">
    <w:name w:val="drapbtn"/>
    <w:basedOn w:val="8"/>
    <w:qFormat/>
    <w:uiPriority w:val="0"/>
  </w:style>
  <w:style w:type="character" w:customStyle="1" w:styleId="52">
    <w:name w:val="iconline2"/>
    <w:basedOn w:val="8"/>
    <w:qFormat/>
    <w:uiPriority w:val="0"/>
  </w:style>
  <w:style w:type="character" w:customStyle="1" w:styleId="53">
    <w:name w:val="iconline21"/>
    <w:basedOn w:val="8"/>
    <w:qFormat/>
    <w:uiPriority w:val="0"/>
  </w:style>
  <w:style w:type="character" w:customStyle="1" w:styleId="54">
    <w:name w:val="first-child"/>
    <w:basedOn w:val="8"/>
    <w:qFormat/>
    <w:uiPriority w:val="0"/>
  </w:style>
  <w:style w:type="character" w:customStyle="1" w:styleId="55">
    <w:name w:val="choosename"/>
    <w:basedOn w:val="8"/>
    <w:qFormat/>
    <w:uiPriority w:val="0"/>
  </w:style>
  <w:style w:type="character" w:customStyle="1" w:styleId="56">
    <w:name w:val="xdrichtextbox4"/>
    <w:basedOn w:val="8"/>
    <w:qFormat/>
    <w:uiPriority w:val="0"/>
  </w:style>
  <w:style w:type="character" w:customStyle="1" w:styleId="57">
    <w:name w:val="active5"/>
    <w:basedOn w:val="8"/>
    <w:qFormat/>
    <w:uiPriority w:val="0"/>
    <w:rPr>
      <w:color w:val="00FF00"/>
      <w:shd w:val="clear" w:fill="111111"/>
    </w:rPr>
  </w:style>
  <w:style w:type="character" w:customStyle="1" w:styleId="58">
    <w:name w:val="active6"/>
    <w:basedOn w:val="8"/>
    <w:qFormat/>
    <w:uiPriority w:val="0"/>
    <w:rPr>
      <w:shd w:val="clear" w:fill="EC3535"/>
    </w:rPr>
  </w:style>
  <w:style w:type="character" w:customStyle="1" w:styleId="59">
    <w:name w:val="hilite5"/>
    <w:basedOn w:val="8"/>
    <w:qFormat/>
    <w:uiPriority w:val="0"/>
    <w:rPr>
      <w:color w:val="FFFFFF"/>
      <w:shd w:val="clear" w:fill="666666"/>
    </w:rPr>
  </w:style>
  <w:style w:type="character" w:customStyle="1" w:styleId="60">
    <w:name w:val="ico1653"/>
    <w:basedOn w:val="8"/>
    <w:qFormat/>
    <w:uiPriority w:val="0"/>
  </w:style>
  <w:style w:type="character" w:customStyle="1" w:styleId="61">
    <w:name w:val="xdrichtextbox"/>
    <w:basedOn w:val="8"/>
    <w:qFormat/>
    <w:uiPriority w:val="0"/>
    <w:rPr>
      <w:color w:val="auto"/>
      <w:u w:val="none"/>
      <w:bdr w:val="single" w:color="DCDCDC" w:sz="8" w:space="0"/>
      <w:shd w:val="clear" w:fill="auto"/>
    </w:rPr>
  </w:style>
  <w:style w:type="character" w:customStyle="1" w:styleId="62">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29</TotalTime>
  <ScaleCrop>false</ScaleCrop>
  <LinksUpToDate>false</LinksUpToDate>
  <CharactersWithSpaces>5441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2023-12-04T00:46:28Z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50EE414FA02D4673A1346411D1CA3BCF_13</vt:lpwstr>
  </property>
</Properties>
</file>