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val="en-US" w:eastAsia="zh-CN"/>
        </w:rPr>
        <w:t>:</w:t>
      </w:r>
      <w:r>
        <w:rPr>
          <w:rFonts w:hint="eastAsia" w:ascii="宋体" w:hAnsi="宋体" w:cs="宋体"/>
          <w:color w:val="000000"/>
          <w:kern w:val="0"/>
          <w:sz w:val="36"/>
          <w:szCs w:val="36"/>
          <w:shd w:val="clear" w:color="auto" w:fill="FFFFFF"/>
        </w:rPr>
        <w:t>液氨（瓶装）</w:t>
      </w:r>
    </w:p>
    <w:p>
      <w:pPr>
        <w:widowControl/>
        <w:shd w:val="clear" w:color="auto" w:fill="FFFFFF"/>
        <w:jc w:val="center"/>
        <w:rPr>
          <w:rFonts w:hint="eastAsia" w:eastAsia="宋体"/>
          <w:color w:val="000000"/>
          <w:szCs w:val="21"/>
          <w:lang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w:t>
      </w:r>
      <w:r>
        <w:rPr>
          <w:rFonts w:hint="eastAsia" w:ascii="宋体" w:hAnsi="宋体" w:cs="宋体"/>
          <w:color w:val="000000"/>
          <w:kern w:val="0"/>
          <w:sz w:val="36"/>
          <w:szCs w:val="36"/>
          <w:shd w:val="clear" w:color="auto" w:fill="FFFFFF"/>
          <w:lang w:eastAsia="zh-CN"/>
        </w:rPr>
        <w:t>2023</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eastAsia="zh-CN"/>
        </w:rPr>
        <w:t>FHC</w:t>
      </w:r>
      <w:r>
        <w:rPr>
          <w:rFonts w:hint="eastAsia" w:ascii="宋体" w:hAnsi="宋体" w:cs="宋体"/>
          <w:color w:val="000000"/>
          <w:kern w:val="0"/>
          <w:sz w:val="36"/>
          <w:szCs w:val="36"/>
          <w:shd w:val="clear" w:color="auto" w:fill="FFFFFF"/>
        </w:rPr>
        <w:t>-液氨（瓶装）-</w:t>
      </w:r>
      <w:r>
        <w:rPr>
          <w:rFonts w:hint="eastAsia" w:ascii="宋体" w:hAnsi="宋体" w:cs="宋体"/>
          <w:color w:val="000000"/>
          <w:kern w:val="0"/>
          <w:sz w:val="36"/>
          <w:szCs w:val="36"/>
          <w:shd w:val="clear" w:color="auto" w:fill="FFFFFF"/>
          <w:lang w:eastAsia="zh-CN"/>
        </w:rPr>
        <w:t>1129</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腾龙芳烃（漳州）有限公司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2023</w:t>
      </w:r>
      <w:r>
        <w:rPr>
          <w:rFonts w:hint="eastAsia" w:asciiTheme="minorEastAsia" w:hAnsiTheme="minorEastAsia" w:eastAsiaTheme="minorEastAsia" w:cstheme="minorEastAsia"/>
          <w:color w:val="000000"/>
          <w:kern w:val="0"/>
          <w:sz w:val="28"/>
          <w:szCs w:val="28"/>
          <w:shd w:val="clear" w:color="auto" w:fill="FFFFFF"/>
        </w:rPr>
        <w:t>年11月</w:t>
      </w:r>
      <w:r>
        <w:rPr>
          <w:rFonts w:hint="eastAsia" w:asciiTheme="minorEastAsia" w:hAnsiTheme="minorEastAsia" w:eastAsiaTheme="minorEastAsia" w:cstheme="minorEastAsia"/>
          <w:color w:val="000000"/>
          <w:kern w:val="0"/>
          <w:sz w:val="28"/>
          <w:szCs w:val="28"/>
          <w:shd w:val="clear" w:color="auto" w:fill="FFFFFF"/>
          <w:lang w:val="en-US" w:eastAsia="zh-CN"/>
        </w:rPr>
        <w:t>29</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腾龙芳烃（漳州）有限公司</w:t>
      </w:r>
    </w:p>
    <w:p>
      <w:pPr>
        <w:jc w:val="center"/>
        <w:rPr>
          <w:b/>
          <w:bCs/>
          <w:sz w:val="32"/>
        </w:rPr>
      </w:pPr>
      <w:r>
        <w:rPr>
          <w:rFonts w:hint="eastAsia"/>
          <w:b/>
          <w:bCs/>
          <w:sz w:val="32"/>
        </w:rPr>
        <w:t>液氨（瓶装）</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“液氨（瓶装）（项目编号：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-液氨（瓶装）-</w:t>
      </w:r>
      <w:r>
        <w:rPr>
          <w:rFonts w:hint="eastAsia" w:asciiTheme="minorEastAsia" w:hAnsiTheme="minorEastAsia" w:eastAsiaTheme="minorEastAsia"/>
          <w:bCs/>
          <w:sz w:val="24"/>
          <w:u w:val="single"/>
          <w:lang w:eastAsia="zh-CN"/>
        </w:rPr>
        <w:t>1129</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液氨（瓶装）</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比选项目：液氨（瓶装）采购数量、质量、货期等详见比选文件。</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9"/>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r>
        <w:rPr>
          <w:rFonts w:hint="eastAsia" w:asciiTheme="minorEastAsia" w:hAnsiTheme="minorEastAsia" w:eastAsiaTheme="minorEastAsia"/>
          <w:bCs/>
          <w:sz w:val="24"/>
          <w:lang w:eastAsia="zh-CN"/>
        </w:rPr>
        <w:t>；</w:t>
      </w:r>
    </w:p>
    <w:p>
      <w:pPr>
        <w:pStyle w:val="9"/>
        <w:numPr>
          <w:ilvl w:val="0"/>
          <w:numId w:val="3"/>
        </w:numPr>
        <w:spacing w:before="100" w:beforeAutospacing="1" w:after="100" w:afterAutospacing="1" w:line="360" w:lineRule="auto"/>
        <w:ind w:hanging="361"/>
        <w:rPr>
          <w:rFonts w:hint="eastAsia" w:asciiTheme="minorEastAsia" w:hAnsiTheme="minorEastAsia" w:eastAsiaTheme="minorEastAsia"/>
          <w:bCs/>
          <w:sz w:val="24"/>
        </w:rPr>
      </w:pPr>
      <w:r>
        <w:rPr>
          <w:rFonts w:hint="eastAsia" w:asciiTheme="minorEastAsia" w:hAnsiTheme="minorEastAsia" w:eastAsiaTheme="minorEastAsia"/>
          <w:bCs/>
          <w:sz w:val="24"/>
        </w:rPr>
        <w:t>具备经营资质，具有生产许可证或危化品经营许可证</w:t>
      </w:r>
      <w:r>
        <w:rPr>
          <w:rFonts w:hint="eastAsia" w:asciiTheme="minorEastAsia" w:hAnsiTheme="minorEastAsia" w:eastAsiaTheme="minorEastAsia"/>
          <w:bCs/>
          <w:sz w:val="24"/>
          <w:lang w:eastAsia="zh-CN"/>
        </w:rPr>
        <w:t>；</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肆</w:t>
      </w:r>
      <w:r>
        <w:rPr>
          <w:rFonts w:hint="eastAsia" w:asciiTheme="minorEastAsia" w:hAnsiTheme="minorEastAsia" w:eastAsiaTheme="minorEastAsia"/>
          <w:bCs/>
          <w:sz w:val="24"/>
        </w:rPr>
        <w:t>仟圆整）。</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报名时间：自公告日起</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2023</w:t>
      </w:r>
      <w:r>
        <w:rPr>
          <w:rFonts w:hint="eastAsia" w:asciiTheme="majorEastAsia" w:hAnsiTheme="majorEastAsia" w:eastAsiaTheme="majorEastAsia"/>
          <w:sz w:val="24"/>
        </w:rPr>
        <w:t>年12月</w:t>
      </w:r>
      <w:r>
        <w:rPr>
          <w:rFonts w:hint="eastAsia" w:asciiTheme="majorEastAsia" w:hAnsiTheme="majorEastAsia" w:eastAsiaTheme="majorEastAsia"/>
          <w:sz w:val="24"/>
          <w:lang w:val="en-US" w:eastAsia="zh-CN"/>
        </w:rPr>
        <w:t>18</w:t>
      </w:r>
      <w:r>
        <w:rPr>
          <w:rFonts w:hint="eastAsia" w:asciiTheme="majorEastAsia" w:hAnsiTheme="majorEastAsia" w:eastAsiaTheme="majorEastAsia"/>
          <w:sz w:val="24"/>
        </w:rPr>
        <w:t>日（含当日）</w:t>
      </w:r>
    </w:p>
    <w:p>
      <w:pPr>
        <w:pStyle w:val="9"/>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以邮件附件方式发送至商务联系人邮箱wzcgb@fjpec.com.cn</w:t>
      </w:r>
      <w:r>
        <w:rPr>
          <w:rFonts w:asciiTheme="minorEastAsia" w:hAnsiTheme="minorEastAsia" w:eastAsiaTheme="minorEastAsia"/>
          <w:bCs/>
          <w:sz w:val="24"/>
        </w:rPr>
        <w:t>登记报名，登记报名时需递交以下文件：</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、开户许可证、生产许可证或危化品经营许可证等证件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（3）至少一份液氨（瓶装）业绩材料；</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（4）保证金汇款银行水单：参选单位需缴纳参选保证金：</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肆</w:t>
      </w:r>
      <w:r>
        <w:rPr>
          <w:rFonts w:hint="eastAsia" w:asciiTheme="minorEastAsia" w:hAnsiTheme="minorEastAsia" w:eastAsiaTheme="minorEastAsia"/>
          <w:bCs/>
          <w:sz w:val="24"/>
        </w:rPr>
        <w:t>仟圆整），如中选、该保证金转为履约保证金，如不中选，在比选结束后请联系商务联系人办理无息等额退款。</w:t>
      </w:r>
    </w:p>
    <w:p>
      <w:pPr>
        <w:spacing w:line="288"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r>
        <w:rPr>
          <w:rFonts w:hint="eastAsia" w:asciiTheme="minorEastAsia" w:hAnsiTheme="minorEastAsia" w:eastAsiaTheme="minorEastAsia"/>
          <w:bCs/>
          <w:color w:val="000000" w:themeColor="text1"/>
          <w:sz w:val="24"/>
          <w14:textFill>
            <w14:solidFill>
              <w14:schemeClr w14:val="tx1"/>
            </w14:solidFill>
          </w14:textFill>
        </w:rPr>
        <w:t>收款人：福建福海创石油化工有限公司</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开户银行：中国银行漳州古雷经济开发区支行</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    号：406574816628</w:t>
      </w:r>
    </w:p>
    <w:p>
      <w:pPr>
        <w:pStyle w:val="9"/>
        <w:ind w:left="0"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color w:val="000000" w:themeColor="text1"/>
          <w:sz w:val="24"/>
          <w14:textFill>
            <w14:solidFill>
              <w14:schemeClr w14:val="tx1"/>
            </w14:solidFill>
          </w14:textFill>
        </w:rPr>
        <w:t>福建福海创石油化工有限公司（地址：漳州市漳浦县杜浔镇杜昌路9号福海创办公大楼</w:t>
      </w:r>
      <w:r>
        <w:rPr>
          <w:rFonts w:hint="eastAsia" w:asciiTheme="minorEastAsia" w:hAnsiTheme="minorEastAsia" w:eastAsia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楼）。</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9"/>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130</w:t>
      </w:r>
      <w:bookmarkStart w:id="2" w:name="_GoBack"/>
      <w:bookmarkEnd w:id="2"/>
      <w:r>
        <w:rPr>
          <w:rFonts w:hint="eastAsia" w:cs="宋体" w:asciiTheme="minorEastAsia" w:hAnsiTheme="minorEastAsia"/>
          <w:bCs/>
          <w:sz w:val="24"/>
          <w:lang w:val="en-US" w:eastAsia="zh-CN"/>
        </w:rPr>
        <w:t>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0"/>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412" w:firstLine="480" w:firstLineChars="200"/>
        <w:rPr>
          <w:rFonts w:hint="eastAsia" w:asciiTheme="minorEastAsia" w:hAnsiTheme="minorEastAsia"/>
          <w:bCs/>
          <w:sz w:val="24"/>
        </w:rPr>
      </w:pPr>
      <w:r>
        <w:rPr>
          <w:rFonts w:hint="eastAsia" w:cs="宋体" w:asciiTheme="minorEastAsia" w:hAnsiTheme="minorEastAsia"/>
          <w:bCs/>
          <w:sz w:val="24"/>
        </w:rPr>
        <w:t>技术联系人：周建华 电话：13313854017  邮箱：</w:t>
      </w:r>
      <w:r>
        <w:rPr>
          <w:rFonts w:hint="eastAsia" w:asciiTheme="minorEastAsia" w:hAnsiTheme="minorEastAsia"/>
          <w:bCs/>
          <w:sz w:val="24"/>
        </w:rPr>
        <w:t>jhzhou @fhcpec.com.cn</w:t>
      </w:r>
    </w:p>
    <w:p>
      <w:pPr>
        <w:pStyle w:val="2"/>
        <w:snapToGrid w:val="0"/>
        <w:spacing w:before="100" w:beforeAutospacing="1" w:after="100" w:afterAutospacing="1" w:line="360" w:lineRule="auto"/>
        <w:ind w:left="412" w:firstLine="480" w:firstLineChars="200"/>
        <w:rPr>
          <w:rFonts w:hint="eastAsia" w:asciiTheme="minorEastAsia" w:hAnsiTheme="minorEastAsia"/>
          <w:sz w:val="24"/>
        </w:rPr>
      </w:pPr>
      <w:r>
        <w:rPr>
          <w:rFonts w:hint="eastAsia" w:cs="宋体" w:asciiTheme="minorEastAsia" w:hAnsiTheme="minorEastAsia"/>
          <w:bCs/>
          <w:sz w:val="24"/>
        </w:rPr>
        <w:t>纪检监察室电话：0596-6311774  邮箱：</w:t>
      </w:r>
      <w:r>
        <w:rPr>
          <w:rFonts w:hint="eastAsia" w:asciiTheme="minorEastAsia" w:hAnsiTheme="minorEastAsia"/>
          <w:sz w:val="24"/>
        </w:rP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color w:val="000000" w:themeColor="text1"/>
          <w:sz w:val="24"/>
          <w14:textFill>
            <w14:solidFill>
              <w14:schemeClr w14:val="tx1"/>
            </w14:solidFill>
          </w14:textFill>
        </w:rPr>
        <w:t>漳州市漳浦县杜浔镇杜昌路9号福海创办公大楼</w:t>
      </w:r>
      <w:r>
        <w:rPr>
          <w:rFonts w:hint="eastAsia" w:asciiTheme="minorEastAsia" w:hAnsiTheme="minorEastAsia"/>
          <w:bCs/>
          <w:color w:val="000000" w:themeColor="text1"/>
          <w:sz w:val="24"/>
          <w:lang w:val="en-US" w:eastAsia="zh-CN"/>
          <w14:textFill>
            <w14:solidFill>
              <w14:schemeClr w14:val="tx1"/>
            </w14:solidFill>
          </w14:textFill>
        </w:rPr>
        <w:t>3</w:t>
      </w:r>
      <w:r>
        <w:rPr>
          <w:rFonts w:hint="eastAsia" w:asciiTheme="minorEastAsia" w:hAnsiTheme="minorEastAsia"/>
          <w:bCs/>
          <w:color w:val="000000" w:themeColor="text1"/>
          <w:sz w:val="24"/>
          <w14:textFill>
            <w14:solidFill>
              <w14:schemeClr w14:val="tx1"/>
            </w14:solidFill>
          </w14:textFill>
        </w:rPr>
        <w:t>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腾龙芳烃（漳州）有限公司 </w:t>
      </w:r>
    </w:p>
    <w:p>
      <w:pPr>
        <w:spacing w:before="100" w:beforeAutospacing="1" w:after="100" w:afterAutospacing="1"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2023</w:t>
      </w:r>
      <w:r>
        <w:rPr>
          <w:rFonts w:hint="eastAsia" w:asciiTheme="minorEastAsia" w:hAnsiTheme="minorEastAsia" w:eastAsiaTheme="minorEastAsia"/>
          <w:sz w:val="24"/>
        </w:rPr>
        <w:t>年11月</w:t>
      </w:r>
      <w:r>
        <w:rPr>
          <w:rFonts w:hint="eastAsia" w:asciiTheme="minorEastAsia" w:hAnsiTheme="minorEastAsia" w:eastAsiaTheme="minorEastAsia"/>
          <w:sz w:val="24"/>
          <w:lang w:val="en-US" w:eastAsia="zh-CN"/>
        </w:rPr>
        <w:t>29</w:t>
      </w:r>
      <w:r>
        <w:rPr>
          <w:rFonts w:hint="eastAsia" w:asciiTheme="minorEastAsia" w:hAnsiTheme="minorEastAsia" w:eastAsiaTheme="minorEastAsia"/>
          <w:sz w:val="24"/>
        </w:rPr>
        <w:t>日</w:t>
      </w:r>
    </w:p>
    <w:p>
      <w:pPr>
        <w:spacing w:line="400" w:lineRule="exact"/>
        <w:jc w:val="center"/>
        <w:rPr>
          <w:rFonts w:ascii="宋体" w:hAnsi="宋体"/>
          <w:b/>
          <w:bCs/>
          <w:sz w:val="36"/>
        </w:rPr>
      </w:pPr>
    </w:p>
    <w:p>
      <w:pPr>
        <w:spacing w:line="400" w:lineRule="exact"/>
        <w:jc w:val="both"/>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rPr>
        <w:t>液氨（瓶装）</w:t>
      </w:r>
      <w:r>
        <w:rPr>
          <w:rFonts w:hint="eastAsia" w:ascii="宋体" w:hAnsi="宋体"/>
          <w:sz w:val="18"/>
          <w:szCs w:val="18"/>
        </w:rPr>
        <w:t>。</w:t>
      </w:r>
    </w:p>
    <w:p>
      <w:pPr>
        <w:pStyle w:val="12"/>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hint="eastAsia" w:ascii="宋体" w:eastAsia="宋体"/>
          <w:sz w:val="18"/>
          <w:szCs w:val="18"/>
          <w:lang w:eastAsia="zh-CN"/>
        </w:rPr>
      </w:pPr>
      <w:r>
        <w:rPr>
          <w:rFonts w:hint="eastAsia" w:ascii="宋体"/>
          <w:sz w:val="18"/>
          <w:szCs w:val="18"/>
        </w:rPr>
        <w:t>（5）具备经营资质，生产许可证或危化品经营许可证等证件</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（6）参选保证金：</w:t>
      </w:r>
      <w:r>
        <w:rPr>
          <w:rFonts w:hint="eastAsia" w:ascii="宋体"/>
          <w:sz w:val="18"/>
          <w:szCs w:val="18"/>
          <w:lang w:val="en-US" w:eastAsia="zh-CN"/>
        </w:rPr>
        <w:t>4</w:t>
      </w:r>
      <w:r>
        <w:rPr>
          <w:rFonts w:hint="eastAsia" w:ascii="宋体"/>
          <w:sz w:val="18"/>
          <w:szCs w:val="18"/>
        </w:rPr>
        <w:t>000元（</w:t>
      </w:r>
      <w:r>
        <w:rPr>
          <w:rFonts w:hint="eastAsia" w:ascii="宋体"/>
          <w:sz w:val="18"/>
          <w:szCs w:val="18"/>
          <w:lang w:val="en-US" w:eastAsia="zh-CN"/>
        </w:rPr>
        <w:t>肆</w:t>
      </w:r>
      <w:r>
        <w:rPr>
          <w:rFonts w:hint="eastAsia" w:ascii="宋体"/>
          <w:sz w:val="18"/>
          <w:szCs w:val="18"/>
        </w:rPr>
        <w:t>仟圆整）。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（7）附件1《液氨（瓶装）质量规范》</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液氨（瓶装）</w:t>
      </w:r>
      <w:r>
        <w:rPr>
          <w:rFonts w:hint="eastAsia" w:ascii="宋体" w:hAnsi="宋体"/>
          <w:sz w:val="18"/>
          <w:szCs w:val="18"/>
        </w:rPr>
        <w:t>的采购价格，最低价中选。比选会议确定价格之后：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在供货期内，数量按以下规定执行：以需方订单需求为准。</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1.公开比选会议期间，确定价格后，愿意以确定的价格供货的报价人立即或会后邮件扫描或传真《公开比选确认单》至我司，由采购部成员办理随后的订单送审手续。比选数量为总数量，以需方实际需求为准。</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若报价偏离市场行情，腾龙芳烃（漳州）有限公司有权选择废选。</w:t>
      </w: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Theme="minorEastAsia"/>
          <w:b/>
          <w:bCs/>
          <w:sz w:val="24"/>
          <w:lang w:eastAsia="zh-CN"/>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-液氨（瓶装）-</w:t>
      </w:r>
      <w:r>
        <w:rPr>
          <w:rFonts w:hint="eastAsia" w:asciiTheme="minorEastAsia" w:hAnsiTheme="minorEastAsia" w:eastAsiaTheme="minorEastAsia"/>
          <w:bCs/>
          <w:sz w:val="24"/>
          <w:u w:val="single"/>
          <w:lang w:eastAsia="zh-CN"/>
        </w:rPr>
        <w:t>1129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我公司计划采购液氨（瓶装），具体要求如下：</w:t>
      </w:r>
      <w:r>
        <w:rPr>
          <w:rFonts w:ascii="宋体"/>
          <w:sz w:val="28"/>
          <w:szCs w:val="28"/>
        </w:rPr>
        <w:tab/>
      </w:r>
    </w:p>
    <w:p>
      <w:pPr>
        <w:numPr>
          <w:ilvl w:val="0"/>
          <w:numId w:val="6"/>
        </w:numPr>
        <w:spacing w:line="360" w:lineRule="exact"/>
        <w:jc w:val="left"/>
        <w:rPr>
          <w:rFonts w:hint="eastAsia" w:ascii="宋体" w:hAnsi="宋体" w:cs="宋体"/>
          <w:sz w:val="24"/>
          <w:lang w:val="en-US" w:eastAsia="zh-CN"/>
        </w:rPr>
      </w:pPr>
      <w:r>
        <w:rPr>
          <w:rFonts w:hint="eastAsia" w:ascii="宋体" w:hAnsi="宋体" w:cs="宋体"/>
          <w:sz w:val="24"/>
        </w:rPr>
        <w:t>液氨（瓶装）采购数量</w:t>
      </w:r>
      <w:r>
        <w:rPr>
          <w:rFonts w:hint="eastAsia" w:ascii="宋体" w:hAnsi="宋体" w:cs="宋体"/>
          <w:sz w:val="24"/>
          <w:lang w:val="en-US" w:eastAsia="zh-CN"/>
        </w:rPr>
        <w:t>及要求</w:t>
      </w:r>
      <w:r>
        <w:rPr>
          <w:rFonts w:hint="eastAsia" w:ascii="宋体" w:hAnsi="宋体" w:cs="宋体"/>
          <w:sz w:val="24"/>
        </w:rPr>
        <w:t>：</w:t>
      </w:r>
      <w:r>
        <w:rPr>
          <w:rFonts w:hint="eastAsia" w:ascii="宋体" w:hAnsi="宋体" w:cs="宋体"/>
          <w:sz w:val="24"/>
          <w:lang w:val="en-US" w:eastAsia="zh-CN"/>
        </w:rPr>
        <w:t>年3.6吨。</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1.1要求：</w:t>
      </w:r>
      <w:r>
        <w:rPr>
          <w:rFonts w:hint="eastAsia" w:ascii="宋体" w:hAnsi="宋体" w:cs="宋体"/>
          <w:sz w:val="24"/>
        </w:rPr>
        <w:t>我司提</w:t>
      </w:r>
      <w:r>
        <w:rPr>
          <w:rFonts w:hint="eastAsia" w:ascii="宋体" w:hAnsi="宋体" w:cs="宋体"/>
          <w:sz w:val="24"/>
          <w:lang w:val="en-US" w:eastAsia="zh-CN"/>
        </w:rPr>
        <w:t>前</w:t>
      </w:r>
      <w:r>
        <w:rPr>
          <w:rFonts w:hint="eastAsia" w:ascii="宋体" w:hAnsi="宋体" w:cs="宋体"/>
          <w:sz w:val="24"/>
        </w:rPr>
        <w:t>三天通知</w:t>
      </w:r>
      <w:r>
        <w:rPr>
          <w:rFonts w:hint="eastAsia" w:ascii="宋体" w:hAnsi="宋体" w:cs="宋体"/>
          <w:sz w:val="24"/>
          <w:lang w:val="en-US" w:eastAsia="zh-CN"/>
        </w:rPr>
        <w:t>供应</w:t>
      </w:r>
      <w:r>
        <w:rPr>
          <w:rFonts w:hint="eastAsia" w:ascii="宋体" w:hAnsi="宋体" w:cs="宋体"/>
          <w:sz w:val="24"/>
        </w:rPr>
        <w:t>商，</w:t>
      </w:r>
      <w:r>
        <w:rPr>
          <w:rFonts w:hint="eastAsia" w:ascii="宋体" w:hAnsi="宋体" w:cs="宋体"/>
          <w:sz w:val="24"/>
          <w:lang w:val="en-US" w:eastAsia="zh-CN"/>
        </w:rPr>
        <w:t>供应</w:t>
      </w:r>
      <w:r>
        <w:rPr>
          <w:rFonts w:hint="eastAsia" w:ascii="宋体" w:hAnsi="宋体" w:cs="宋体"/>
          <w:sz w:val="24"/>
        </w:rPr>
        <w:t>商带液氨瓶来我司进行配氨</w:t>
      </w:r>
      <w:r>
        <w:rPr>
          <w:rFonts w:hint="eastAsia" w:ascii="宋体" w:hAnsi="宋体" w:cs="宋体"/>
          <w:sz w:val="24"/>
          <w:lang w:eastAsia="zh-CN"/>
        </w:rPr>
        <w:t>。</w:t>
      </w:r>
      <w:r>
        <w:rPr>
          <w:rFonts w:hint="eastAsia" w:ascii="宋体" w:hAnsi="宋体" w:cs="宋体"/>
          <w:sz w:val="24"/>
        </w:rPr>
        <w:t>每个月不超过4次，每次加氨量在40～60kg之间</w:t>
      </w:r>
      <w:r>
        <w:rPr>
          <w:rFonts w:hint="eastAsia" w:ascii="宋体" w:hAnsi="宋体" w:cs="宋体"/>
          <w:sz w:val="24"/>
          <w:lang w:eastAsia="zh-CN"/>
        </w:rPr>
        <w:t>。（</w:t>
      </w:r>
      <w:r>
        <w:rPr>
          <w:rFonts w:hint="eastAsia" w:ascii="宋体" w:hAnsi="宋体" w:cs="宋体"/>
          <w:sz w:val="24"/>
          <w:lang w:val="en-US" w:eastAsia="zh-CN"/>
        </w:rPr>
        <w:t>次数与液氨量为预估，按实际液氨量结算）</w:t>
      </w:r>
    </w:p>
    <w:p>
      <w:pPr>
        <w:spacing w:line="360" w:lineRule="exact"/>
        <w:jc w:val="left"/>
        <w:rPr>
          <w:rFonts w:ascii="宋体" w:hAnsi="宋体" w:cs="宋体"/>
          <w:sz w:val="24"/>
        </w:rPr>
      </w:pPr>
      <w:r>
        <w:rPr>
          <w:rFonts w:hint="eastAsia" w:ascii="宋体" w:hAnsi="宋体" w:cs="宋体"/>
          <w:sz w:val="24"/>
        </w:rPr>
        <w:t>2.技术参数指标及接收条款详见附件1：《液氨（瓶装）质量规范》。</w:t>
      </w:r>
    </w:p>
    <w:p>
      <w:pPr>
        <w:spacing w:line="360" w:lineRule="exact"/>
        <w:jc w:val="left"/>
        <w:rPr>
          <w:rFonts w:hint="eastAsia" w:ascii="宋体" w:eastAsia="宋体" w:cs="宋体"/>
          <w:sz w:val="24"/>
          <w:lang w:eastAsia="zh-CN"/>
        </w:rPr>
      </w:pPr>
      <w:r>
        <w:rPr>
          <w:rFonts w:hint="eastAsia" w:ascii="宋体" w:hAnsi="宋体" w:cs="宋体"/>
          <w:sz w:val="24"/>
        </w:rPr>
        <w:t>3.</w:t>
      </w:r>
      <w:r>
        <w:rPr>
          <w:rFonts w:hint="eastAsia" w:ascii="宋体" w:hAnsi="宋体"/>
          <w:sz w:val="24"/>
        </w:rPr>
        <w:t>到货时间：202</w:t>
      </w:r>
      <w:r>
        <w:rPr>
          <w:rFonts w:hint="eastAsia" w:ascii="宋体" w:hAnsi="宋体"/>
          <w:sz w:val="24"/>
          <w:lang w:val="en-US" w:eastAsia="zh-CN"/>
        </w:rPr>
        <w:t>4</w:t>
      </w:r>
      <w:r>
        <w:rPr>
          <w:rFonts w:hint="eastAsia" w:ascii="宋体" w:hAnsi="宋体"/>
          <w:sz w:val="24"/>
        </w:rPr>
        <w:t>年1月1日起，具体以需方通知为准</w:t>
      </w:r>
      <w:r>
        <w:rPr>
          <w:rFonts w:hint="eastAsia" w:ascii="宋体" w:hAnsi="宋体"/>
          <w:sz w:val="24"/>
          <w:lang w:eastAsia="zh-CN"/>
        </w:rPr>
        <w:t>。</w:t>
      </w:r>
    </w:p>
    <w:p>
      <w:pPr>
        <w:spacing w:line="350" w:lineRule="exact"/>
        <w:jc w:val="left"/>
        <w:rPr>
          <w:rFonts w:ascii="宋体" w:cs="宋体"/>
          <w:sz w:val="24"/>
        </w:rPr>
      </w:pPr>
      <w:r>
        <w:rPr>
          <w:rFonts w:hint="eastAsia" w:asciiTheme="minorEastAsia" w:hAnsiTheme="minorEastAsia" w:eastAsiaTheme="minorEastAsia"/>
          <w:bCs/>
          <w:kern w:val="0"/>
          <w:sz w:val="24"/>
        </w:rPr>
        <w:t>4.报价须知：液氨（瓶装）</w:t>
      </w:r>
      <w:r>
        <w:rPr>
          <w:rFonts w:hint="eastAsia" w:ascii="宋体" w:hAnsi="宋体" w:cs="宋体"/>
          <w:sz w:val="24"/>
        </w:rPr>
        <w:t>采用含税送到价。参选人需对全部比选</w:t>
      </w:r>
      <w:r>
        <w:rPr>
          <w:rFonts w:hint="eastAsia" w:ascii="宋体" w:hAnsi="宋体" w:cs="宋体"/>
          <w:sz w:val="24"/>
          <w:lang w:val="en-US" w:eastAsia="zh-CN"/>
        </w:rPr>
        <w:t>项目</w:t>
      </w:r>
      <w:r>
        <w:rPr>
          <w:rFonts w:hint="eastAsia" w:ascii="宋体" w:hAnsi="宋体" w:cs="宋体"/>
          <w:sz w:val="24"/>
        </w:rPr>
        <w:t>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spacing w:line="350" w:lineRule="exact"/>
        <w:jc w:val="left"/>
        <w:rPr>
          <w:rFonts w:ascii="宋体" w:hAnsi="宋体"/>
          <w:color w:val="000000"/>
          <w:sz w:val="24"/>
        </w:rPr>
      </w:pPr>
      <w:r>
        <w:rPr>
          <w:rFonts w:hint="eastAsia" w:ascii="宋体" w:hAnsi="宋体"/>
          <w:color w:val="000000"/>
          <w:sz w:val="24"/>
        </w:rPr>
        <w:t>5.3其他验收要求：</w:t>
      </w:r>
    </w:p>
    <w:p>
      <w:pPr>
        <w:spacing w:line="350" w:lineRule="exact"/>
        <w:jc w:val="left"/>
        <w:rPr>
          <w:rFonts w:ascii="宋体" w:hAnsi="宋体"/>
          <w:color w:val="000000"/>
          <w:sz w:val="24"/>
        </w:rPr>
      </w:pPr>
      <w:r>
        <w:rPr>
          <w:rFonts w:hint="eastAsia" w:ascii="宋体" w:hAnsi="宋体"/>
          <w:color w:val="000000"/>
          <w:sz w:val="24"/>
        </w:rPr>
        <w:t>5.3.1</w:t>
      </w:r>
      <w:r>
        <w:rPr>
          <w:rFonts w:ascii="宋体" w:hAnsi="宋体"/>
          <w:color w:val="000000"/>
          <w:sz w:val="24"/>
        </w:rPr>
        <w:t>质量标准执行：液体无水氨（GB/T536-2017）中的合格品。</w:t>
      </w:r>
      <w:r>
        <w:rPr>
          <w:rFonts w:ascii="宋体" w:hAnsi="宋体"/>
          <w:color w:val="000000"/>
          <w:sz w:val="24"/>
        </w:rPr>
        <w:br w:type="textWrapping"/>
      </w:r>
      <w:r>
        <w:rPr>
          <w:rFonts w:hint="eastAsia" w:ascii="宋体" w:hAnsi="宋体"/>
          <w:color w:val="000000"/>
          <w:sz w:val="24"/>
        </w:rPr>
        <w:t>5.3.</w:t>
      </w:r>
      <w:r>
        <w:rPr>
          <w:rFonts w:hint="eastAsia" w:ascii="宋体" w:hAnsi="宋体"/>
          <w:color w:val="000000"/>
          <w:sz w:val="24"/>
          <w:lang w:val="en-US" w:eastAsia="zh-CN"/>
        </w:rPr>
        <w:t>2</w:t>
      </w:r>
      <w:r>
        <w:rPr>
          <w:rFonts w:hint="eastAsia" w:ascii="宋体" w:hAnsi="宋体"/>
          <w:color w:val="000000"/>
          <w:sz w:val="24"/>
        </w:rPr>
        <w:t>配氨过程中，</w:t>
      </w:r>
      <w:r>
        <w:rPr>
          <w:rFonts w:hint="eastAsia" w:ascii="宋体" w:hAnsi="宋体"/>
          <w:color w:val="000000"/>
          <w:sz w:val="24"/>
          <w:lang w:val="en-US" w:eastAsia="zh-CN"/>
        </w:rPr>
        <w:t>供应</w:t>
      </w:r>
      <w:r>
        <w:rPr>
          <w:rFonts w:hint="eastAsia" w:ascii="宋体" w:hAnsi="宋体"/>
          <w:color w:val="000000"/>
          <w:sz w:val="24"/>
        </w:rPr>
        <w:t>商应采取相应的安全措施，遵守国家相关规范及我司相关的制度。</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运输条款：危化品</w:t>
      </w:r>
      <w:r>
        <w:rPr>
          <w:rFonts w:hint="eastAsia" w:asciiTheme="minorEastAsia" w:hAnsiTheme="minorEastAsia" w:eastAsiaTheme="minorEastAsia"/>
          <w:sz w:val="24"/>
        </w:rPr>
        <w:t>汽车运输</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7.2参选文件应密封，包含比选公告、参选规定及说明、公开比选文件、参选书、法定代表人授权书、报价单，附件1《液氨（瓶装）质量规范》上述七项文件一式两份并逐页盖公章。密封处盖章。</w:t>
      </w:r>
    </w:p>
    <w:p>
      <w:pPr>
        <w:spacing w:line="360" w:lineRule="exact"/>
        <w:jc w:val="left"/>
        <w:rPr>
          <w:rFonts w:hint="default" w:ascii="宋体" w:hAnsi="宋体" w:eastAsia="宋体" w:cs="宋体"/>
          <w:sz w:val="24"/>
          <w:lang w:val="en-US" w:eastAsia="zh-CN"/>
        </w:rPr>
      </w:pPr>
      <w:r>
        <w:rPr>
          <w:rFonts w:hint="eastAsia" w:ascii="宋体" w:hAnsi="宋体" w:cs="宋体"/>
          <w:sz w:val="24"/>
        </w:rPr>
        <w:t>7.3我公司快递联系方式：公司名称：</w:t>
      </w:r>
      <w:r>
        <w:rPr>
          <w:rFonts w:hint="eastAsia" w:ascii="宋体" w:hAnsi="宋体" w:cs="宋体"/>
          <w:sz w:val="24"/>
          <w:lang w:val="en-US" w:eastAsia="zh-CN"/>
        </w:rPr>
        <w:t>福建福海创石油化工有限公司</w:t>
      </w:r>
    </w:p>
    <w:p>
      <w:pPr>
        <w:spacing w:line="288" w:lineRule="auto"/>
        <w:jc w:val="left"/>
        <w:rPr>
          <w:rFonts w:ascii="宋体" w:hAnsi="宋体" w:cs="宋体"/>
          <w:color w:val="000000" w:themeColor="text1"/>
          <w:sz w:val="24"/>
          <w14:textFill>
            <w14:solidFill>
              <w14:schemeClr w14:val="tx1"/>
            </w14:solidFill>
          </w14:textFill>
        </w:rPr>
      </w:pPr>
      <w:r>
        <w:rPr>
          <w:rFonts w:hint="eastAsia" w:ascii="宋体" w:hAnsi="宋体" w:cs="宋体"/>
          <w:sz w:val="24"/>
        </w:rPr>
        <w:t>地址：</w:t>
      </w:r>
      <w:r>
        <w:rPr>
          <w:rFonts w:hint="eastAsia" w:ascii="宋体" w:hAnsi="宋体" w:cs="宋体"/>
          <w:color w:val="000000" w:themeColor="text1"/>
          <w:sz w:val="24"/>
          <w14:textFill>
            <w14:solidFill>
              <w14:schemeClr w14:val="tx1"/>
            </w14:solidFill>
          </w14:textFill>
        </w:rPr>
        <w:t>福建省漳州市漳浦县杜浔镇杜昌路9号福海创办公大楼</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楼</w:t>
      </w:r>
    </w:p>
    <w:p>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郑萍</w:t>
      </w:r>
      <w:r>
        <w:rPr>
          <w:rFonts w:hint="eastAsia" w:ascii="宋体" w:hAnsi="宋体" w:cs="宋体"/>
          <w:sz w:val="24"/>
        </w:rPr>
        <w:t xml:space="preserve"> 手机：1</w:t>
      </w:r>
      <w:r>
        <w:rPr>
          <w:rFonts w:hint="eastAsia" w:ascii="宋体" w:hAnsi="宋体" w:cs="宋体"/>
          <w:sz w:val="24"/>
          <w:lang w:val="en-US" w:eastAsia="zh-CN"/>
        </w:rPr>
        <w:t>3015727080</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-液氨（瓶装）-</w:t>
      </w:r>
      <w:r>
        <w:rPr>
          <w:rFonts w:hint="eastAsia" w:asciiTheme="minorEastAsia" w:hAnsiTheme="minorEastAsia" w:eastAsiaTheme="minorEastAsia"/>
          <w:bCs/>
          <w:sz w:val="24"/>
          <w:u w:val="single"/>
          <w:lang w:eastAsia="zh-CN"/>
        </w:rPr>
        <w:t>1129</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（6）附件1</w:t>
      </w:r>
      <w:r>
        <w:rPr>
          <w:rFonts w:hint="eastAsia" w:ascii="宋体" w:hAnsi="宋体" w:cs="宋体"/>
          <w:sz w:val="24"/>
        </w:rPr>
        <w:t>《液氨（瓶装）质量规范》</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w:t>
      </w:r>
      <w:r>
        <w:rPr>
          <w:rFonts w:hint="eastAsia" w:ascii="宋体" w:hAnsi="宋体"/>
          <w:sz w:val="24"/>
          <w:lang w:val="en-US" w:eastAsia="zh-CN"/>
        </w:rPr>
        <w:t>2024年12月31日</w:t>
      </w:r>
      <w:r>
        <w:rPr>
          <w:rFonts w:hint="eastAsia" w:ascii="宋体" w:hAnsi="宋体"/>
          <w:sz w:val="24"/>
        </w:rPr>
        <w:t>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-液氨（瓶装）-</w:t>
      </w:r>
      <w:r>
        <w:rPr>
          <w:rFonts w:hint="eastAsia" w:asciiTheme="minorEastAsia" w:hAnsiTheme="minorEastAsia" w:eastAsiaTheme="minorEastAsia"/>
          <w:bCs/>
          <w:sz w:val="24"/>
          <w:u w:val="single"/>
          <w:lang w:eastAsia="zh-CN"/>
        </w:rPr>
        <w:t>1129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hint="eastAsia" w:ascii="宋体" w:hAnsi="宋体"/>
          <w:b/>
          <w:bCs/>
          <w:sz w:val="36"/>
          <w:szCs w:val="36"/>
        </w:rPr>
      </w:pPr>
    </w:p>
    <w:p>
      <w:pPr>
        <w:widowControl/>
        <w:jc w:val="left"/>
        <w:rPr>
          <w:rFonts w:hint="eastAsia" w:ascii="宋体" w:hAnsi="宋体"/>
          <w:b/>
          <w:bCs/>
          <w:sz w:val="36"/>
          <w:szCs w:val="36"/>
        </w:rPr>
      </w:pPr>
    </w:p>
    <w:p>
      <w:pPr>
        <w:widowControl/>
        <w:jc w:val="left"/>
        <w:rPr>
          <w:rFonts w:hint="eastAsia" w:ascii="宋体" w:hAnsi="宋体"/>
          <w:b/>
          <w:bCs/>
          <w:sz w:val="36"/>
          <w:szCs w:val="36"/>
        </w:rPr>
      </w:pPr>
    </w:p>
    <w:p>
      <w:pPr>
        <w:widowControl/>
        <w:jc w:val="left"/>
        <w:rPr>
          <w:rFonts w:hint="eastAsia" w:ascii="宋体" w:hAnsi="宋体"/>
          <w:b/>
          <w:bCs/>
          <w:sz w:val="36"/>
          <w:szCs w:val="36"/>
        </w:rPr>
      </w:pPr>
    </w:p>
    <w:p>
      <w:pPr>
        <w:widowControl/>
        <w:jc w:val="left"/>
        <w:rPr>
          <w:rFonts w:hint="eastAsia" w:ascii="宋体" w:hAnsi="宋体"/>
          <w:b/>
          <w:bCs/>
          <w:sz w:val="36"/>
          <w:szCs w:val="36"/>
        </w:rPr>
      </w:pPr>
    </w:p>
    <w:p>
      <w:pPr>
        <w:widowControl/>
        <w:jc w:val="left"/>
        <w:rPr>
          <w:rFonts w:hint="eastAsia" w:ascii="宋体" w:hAnsi="宋体"/>
          <w:b/>
          <w:bCs/>
          <w:sz w:val="36"/>
          <w:szCs w:val="36"/>
        </w:rPr>
      </w:pPr>
    </w:p>
    <w:p>
      <w:pPr>
        <w:widowControl/>
        <w:jc w:val="both"/>
        <w:rPr>
          <w:rFonts w:hint="eastAsia" w:ascii="宋体" w:hAnsi="宋体"/>
          <w:b/>
          <w:bCs/>
          <w:sz w:val="36"/>
          <w:szCs w:val="36"/>
        </w:rPr>
      </w:pPr>
    </w:p>
    <w:p>
      <w:pPr>
        <w:widowControl/>
        <w:jc w:val="center"/>
        <w:rPr>
          <w:rFonts w:ascii="宋体" w:hAnsi="宋体"/>
          <w:sz w:val="24"/>
        </w:rPr>
      </w:pPr>
      <w:r>
        <w:rPr>
          <w:rFonts w:hint="eastAsia" w:ascii="宋体" w:hAnsi="宋体"/>
          <w:b/>
          <w:bCs/>
          <w:sz w:val="36"/>
          <w:szCs w:val="36"/>
        </w:rPr>
        <w:t>六、报价单</w:t>
      </w:r>
    </w:p>
    <w:p>
      <w:pPr>
        <w:spacing w:line="500" w:lineRule="exact"/>
        <w:rPr>
          <w:rFonts w:ascii="宋体"/>
          <w:sz w:val="24"/>
        </w:rPr>
      </w:pPr>
      <w:r>
        <w:rPr>
          <w:rFonts w:hint="eastAsia" w:ascii="宋体" w:hAnsi="宋体"/>
          <w:sz w:val="24"/>
        </w:rPr>
        <w:t>致：腾龙芳烃（漳州）有限公司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-液氨（瓶装）-</w:t>
      </w:r>
      <w:r>
        <w:rPr>
          <w:rFonts w:hint="eastAsia" w:asciiTheme="minorEastAsia" w:hAnsiTheme="minorEastAsia" w:eastAsiaTheme="minorEastAsia"/>
          <w:bCs/>
          <w:sz w:val="24"/>
          <w:u w:val="single"/>
          <w:lang w:eastAsia="zh-CN"/>
        </w:rPr>
        <w:t>1129</w:t>
      </w:r>
      <w:r>
        <w:rPr>
          <w:rFonts w:hint="eastAsia" w:ascii="宋体" w:hAnsi="宋体"/>
          <w:sz w:val="24"/>
        </w:rPr>
        <w:t>）报价如下：</w:t>
      </w:r>
    </w:p>
    <w:p>
      <w:pPr>
        <w:spacing w:line="500" w:lineRule="exact"/>
        <w:rPr>
          <w:rFonts w:hint="eastAsia" w:ascii="宋体" w:hAnsi="宋体"/>
          <w:sz w:val="24"/>
        </w:rPr>
      </w:pPr>
      <w:r>
        <w:rPr>
          <w:rFonts w:ascii="宋体" w:hAnsi="宋体"/>
          <w:sz w:val="24"/>
        </w:rPr>
        <w:t>1</w:t>
      </w:r>
      <w:r>
        <w:rPr>
          <w:rFonts w:hint="eastAsia" w:ascii="宋体" w:hAnsi="宋体"/>
          <w:sz w:val="24"/>
          <w:lang w:eastAsia="zh-CN"/>
        </w:rPr>
        <w:t>、</w:t>
      </w:r>
      <w:r>
        <w:rPr>
          <w:rFonts w:hint="eastAsia" w:ascii="宋体" w:hAnsi="宋体"/>
          <w:sz w:val="24"/>
        </w:rPr>
        <w:t>我公司可按贵司要求供应液氨（瓶装）：</w:t>
      </w:r>
    </w:p>
    <w:p>
      <w:pPr>
        <w:spacing w:line="500" w:lineRule="exact"/>
        <w:rPr>
          <w:rFonts w:ascii="宋体" w:hAnsi="宋体"/>
          <w:sz w:val="24"/>
        </w:rPr>
      </w:pPr>
      <w:r>
        <w:rPr>
          <w:rFonts w:hint="eastAsia" w:ascii="宋体" w:hAnsi="宋体"/>
          <w:sz w:val="24"/>
        </w:rPr>
        <w:t>数量：</w:t>
      </w:r>
      <w:r>
        <w:rPr>
          <w:rFonts w:hint="eastAsia" w:ascii="宋体" w:cs="宋体"/>
          <w:sz w:val="24"/>
          <w:u w:val="single"/>
          <w:lang w:val="en-US" w:eastAsia="zh-CN"/>
        </w:rPr>
        <w:t>3.6</w:t>
      </w:r>
      <w:r>
        <w:rPr>
          <w:rFonts w:hint="eastAsia" w:ascii="宋体" w:cs="宋体"/>
          <w:sz w:val="24"/>
          <w:u w:val="single"/>
        </w:rPr>
        <w:t>吨</w:t>
      </w:r>
      <w:r>
        <w:rPr>
          <w:rFonts w:hint="eastAsia" w:ascii="宋体" w:cs="宋体"/>
          <w:sz w:val="24"/>
          <w:u w:val="single"/>
          <w:lang w:val="en-US" w:eastAsia="zh-CN"/>
        </w:rPr>
        <w:t xml:space="preserve">  </w:t>
      </w:r>
      <w:r>
        <w:rPr>
          <w:rFonts w:hint="eastAsia" w:ascii="宋体" w:hAnsi="宋体"/>
          <w:sz w:val="24"/>
        </w:rPr>
        <w:t>一票含税送到单价：</w:t>
      </w:r>
      <w:r>
        <w:rPr>
          <w:rFonts w:hint="eastAsia" w:ascii="宋体" w:hAnsi="宋体"/>
          <w:sz w:val="24"/>
          <w:u w:val="single"/>
        </w:rPr>
        <w:t xml:space="preserve">      </w:t>
      </w:r>
      <w:r>
        <w:rPr>
          <w:rFonts w:hint="eastAsia" w:ascii="宋体" w:hAnsi="宋体"/>
          <w:sz w:val="24"/>
        </w:rPr>
        <w:t>元/吨，税率</w:t>
      </w:r>
      <w:r>
        <w:rPr>
          <w:rFonts w:hint="eastAsia" w:ascii="宋体" w:hAnsi="宋体"/>
          <w:sz w:val="24"/>
          <w:u w:val="single"/>
        </w:rPr>
        <w:t xml:space="preserve">  13%  </w:t>
      </w:r>
      <w:r>
        <w:rPr>
          <w:rFonts w:hint="eastAsia" w:ascii="宋体" w:hAnsi="宋体"/>
          <w:sz w:val="24"/>
        </w:rPr>
        <w:t>。</w:t>
      </w:r>
    </w:p>
    <w:p>
      <w:pPr>
        <w:spacing w:line="500" w:lineRule="exact"/>
        <w:ind w:firstLine="240" w:firstLineChars="100"/>
        <w:rPr>
          <w:rFonts w:hint="eastAsia" w:ascii="宋体" w:hAnsi="宋体"/>
          <w:sz w:val="24"/>
          <w:u w:val="single"/>
        </w:rPr>
      </w:pPr>
      <w:r>
        <w:rPr>
          <w:rFonts w:hint="eastAsia" w:ascii="宋体" w:hAnsi="宋体"/>
          <w:sz w:val="24"/>
          <w:u w:val="single"/>
        </w:rPr>
        <w:t>以上报价中的含税送到单价，对应的增值税率为13%，在合同履行期间，如遇国家的税率调整，则，调整后的含税单价=原含税送到单价/1.13*新增值税率；</w:t>
      </w:r>
    </w:p>
    <w:p>
      <w:pPr>
        <w:numPr>
          <w:ilvl w:val="0"/>
          <w:numId w:val="0"/>
        </w:numPr>
        <w:spacing w:line="360" w:lineRule="exact"/>
        <w:jc w:val="left"/>
        <w:rPr>
          <w:rFonts w:ascii="宋体" w:hAnsi="宋体" w:cs="宋体"/>
          <w:sz w:val="24"/>
        </w:rPr>
      </w:pPr>
      <w:r>
        <w:rPr>
          <w:rFonts w:hint="eastAsia" w:ascii="宋体" w:hAnsi="宋体" w:cs="宋体"/>
          <w:sz w:val="24"/>
          <w:lang w:val="en-US" w:eastAsia="zh-CN"/>
        </w:rPr>
        <w:t>1.1要求：</w:t>
      </w:r>
      <w:r>
        <w:rPr>
          <w:rFonts w:hint="eastAsia" w:ascii="宋体" w:hAnsi="宋体" w:cs="宋体"/>
          <w:sz w:val="24"/>
        </w:rPr>
        <w:t>我司提</w:t>
      </w:r>
      <w:r>
        <w:rPr>
          <w:rFonts w:hint="eastAsia" w:ascii="宋体" w:hAnsi="宋体" w:cs="宋体"/>
          <w:sz w:val="24"/>
          <w:lang w:val="en-US" w:eastAsia="zh-CN"/>
        </w:rPr>
        <w:t>前</w:t>
      </w:r>
      <w:r>
        <w:rPr>
          <w:rFonts w:hint="eastAsia" w:ascii="宋体" w:hAnsi="宋体" w:cs="宋体"/>
          <w:sz w:val="24"/>
        </w:rPr>
        <w:t>三天通知</w:t>
      </w:r>
      <w:r>
        <w:rPr>
          <w:rFonts w:hint="eastAsia" w:ascii="宋体" w:hAnsi="宋体" w:cs="宋体"/>
          <w:sz w:val="24"/>
          <w:lang w:val="en-US" w:eastAsia="zh-CN"/>
        </w:rPr>
        <w:t>供应</w:t>
      </w:r>
      <w:r>
        <w:rPr>
          <w:rFonts w:hint="eastAsia" w:ascii="宋体" w:hAnsi="宋体" w:cs="宋体"/>
          <w:sz w:val="24"/>
        </w:rPr>
        <w:t>商，</w:t>
      </w:r>
      <w:r>
        <w:rPr>
          <w:rFonts w:hint="eastAsia" w:ascii="宋体" w:hAnsi="宋体" w:cs="宋体"/>
          <w:sz w:val="24"/>
          <w:lang w:val="en-US" w:eastAsia="zh-CN"/>
        </w:rPr>
        <w:t>供应</w:t>
      </w:r>
      <w:r>
        <w:rPr>
          <w:rFonts w:hint="eastAsia" w:ascii="宋体" w:hAnsi="宋体" w:cs="宋体"/>
          <w:sz w:val="24"/>
        </w:rPr>
        <w:t>商带液氨瓶来我司进行配氨</w:t>
      </w:r>
      <w:r>
        <w:rPr>
          <w:rFonts w:hint="eastAsia" w:ascii="宋体" w:hAnsi="宋体" w:cs="宋体"/>
          <w:sz w:val="24"/>
          <w:lang w:eastAsia="zh-CN"/>
        </w:rPr>
        <w:t>。</w:t>
      </w:r>
      <w:r>
        <w:rPr>
          <w:rFonts w:hint="eastAsia" w:ascii="宋体" w:hAnsi="宋体" w:cs="宋体"/>
          <w:sz w:val="24"/>
        </w:rPr>
        <w:t>每个月不超过4次，每次加氨量在40～60kg之间</w:t>
      </w:r>
      <w:r>
        <w:rPr>
          <w:rFonts w:hint="eastAsia" w:ascii="宋体" w:hAnsi="宋体" w:cs="宋体"/>
          <w:sz w:val="24"/>
          <w:lang w:eastAsia="zh-CN"/>
        </w:rPr>
        <w:t>。（</w:t>
      </w:r>
      <w:r>
        <w:rPr>
          <w:rFonts w:hint="eastAsia" w:ascii="宋体" w:hAnsi="宋体" w:cs="宋体"/>
          <w:sz w:val="24"/>
          <w:lang w:val="en-US" w:eastAsia="zh-CN"/>
        </w:rPr>
        <w:t>次数与液氨量为预估，按实际液氨量结算）</w:t>
      </w:r>
    </w:p>
    <w:p>
      <w:pPr>
        <w:numPr>
          <w:ilvl w:val="0"/>
          <w:numId w:val="9"/>
        </w:numPr>
        <w:spacing w:line="312" w:lineRule="auto"/>
        <w:rPr>
          <w:rFonts w:ascii="宋体" w:hAnsi="宋体"/>
          <w:sz w:val="24"/>
        </w:rPr>
      </w:pPr>
      <w:r>
        <w:rPr>
          <w:rFonts w:hint="eastAsia" w:ascii="宋体" w:hAnsi="宋体"/>
          <w:sz w:val="24"/>
        </w:rPr>
        <w:t>质量验收标准 （详见附件1“液氨（瓶装）质量规范”）。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我公司同意在参选前缴纳保证金</w:t>
      </w:r>
      <w:r>
        <w:rPr>
          <w:rFonts w:hint="eastAsia" w:ascii="宋体" w:hAnsi="宋体"/>
          <w:sz w:val="24"/>
          <w:lang w:val="en-US" w:eastAsia="zh-CN"/>
        </w:rPr>
        <w:t>4</w:t>
      </w:r>
      <w:r>
        <w:rPr>
          <w:rFonts w:hint="eastAsia" w:ascii="宋体" w:hAnsi="宋体"/>
          <w:sz w:val="24"/>
        </w:rPr>
        <w:t>000元。</w:t>
      </w:r>
    </w:p>
    <w:p>
      <w:pPr>
        <w:spacing w:line="312" w:lineRule="auto"/>
        <w:jc w:val="left"/>
        <w:rPr>
          <w:rFonts w:ascii="宋体" w:hAnsi="宋体"/>
          <w:sz w:val="24"/>
        </w:rPr>
      </w:pPr>
      <w:r>
        <w:rPr>
          <w:rFonts w:hint="eastAsia" w:ascii="宋体" w:hAnsi="宋体"/>
          <w:sz w:val="24"/>
        </w:rPr>
        <w:t>二、到货期：从202</w:t>
      </w:r>
      <w:r>
        <w:rPr>
          <w:rFonts w:hint="eastAsia" w:ascii="宋体" w:hAnsi="宋体"/>
          <w:sz w:val="24"/>
          <w:lang w:val="en-US" w:eastAsia="zh-CN"/>
        </w:rPr>
        <w:t>4</w:t>
      </w:r>
      <w:r>
        <w:rPr>
          <w:rFonts w:hint="eastAsia" w:ascii="宋体" w:hAnsi="宋体"/>
          <w:sz w:val="24"/>
        </w:rPr>
        <w:t>年1日1日</w:t>
      </w:r>
      <w:r>
        <w:rPr>
          <w:rFonts w:hint="eastAsia" w:ascii="宋体" w:hAnsi="宋体" w:cs="宋体"/>
          <w:sz w:val="24"/>
        </w:rPr>
        <w:t>将货物交付需方，具体以需方通知为准。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hint="eastAsia" w:ascii="宋体" w:hAnsi="宋体" w:eastAsia="宋体"/>
          <w:color w:val="000000"/>
          <w:sz w:val="24"/>
          <w:lang w:eastAsia="zh-CN"/>
        </w:rPr>
      </w:pPr>
      <w:r>
        <w:rPr>
          <w:rFonts w:hint="eastAsia" w:ascii="宋体" w:hAnsi="宋体"/>
          <w:sz w:val="24"/>
        </w:rPr>
        <w:t>四、</w:t>
      </w:r>
      <w:r>
        <w:rPr>
          <w:rFonts w:hint="eastAsia" w:ascii="宋体" w:hAnsi="宋体"/>
          <w:color w:val="000000"/>
          <w:sz w:val="24"/>
        </w:rPr>
        <w:t>质量验收标准：以需方质量规范验收为准</w:t>
      </w:r>
      <w:r>
        <w:rPr>
          <w:rFonts w:hint="eastAsia" w:ascii="宋体" w:hAnsi="宋体"/>
          <w:color w:val="000000"/>
          <w:sz w:val="24"/>
          <w:lang w:eastAsia="zh-CN"/>
        </w:rPr>
        <w:t>，</w:t>
      </w:r>
      <w:r>
        <w:rPr>
          <w:rFonts w:hint="eastAsia" w:ascii="宋体" w:hAnsi="宋体"/>
          <w:color w:val="000000"/>
          <w:sz w:val="24"/>
        </w:rPr>
        <w:t>质量不合格需方有权作退货处理</w:t>
      </w:r>
      <w:r>
        <w:rPr>
          <w:rFonts w:hint="eastAsia" w:ascii="宋体" w:hAnsi="宋体"/>
          <w:color w:val="000000"/>
          <w:sz w:val="24"/>
          <w:lang w:eastAsia="zh-CN"/>
        </w:rPr>
        <w:t>。</w:t>
      </w:r>
      <w:r>
        <w:rPr>
          <w:rFonts w:hint="eastAsia" w:ascii="宋体" w:hAnsi="宋体"/>
          <w:color w:val="000000"/>
          <w:sz w:val="24"/>
        </w:rPr>
        <w:t>质量条款</w:t>
      </w:r>
      <w:r>
        <w:rPr>
          <w:rFonts w:hint="eastAsia" w:ascii="宋体" w:hAnsi="宋体"/>
          <w:sz w:val="24"/>
        </w:rPr>
        <w:t>详见附件1：《液氨（瓶装）质量规范》</w:t>
      </w:r>
      <w:r>
        <w:rPr>
          <w:rFonts w:hint="eastAsia" w:ascii="宋体" w:hAnsi="宋体"/>
          <w:color w:val="000000"/>
          <w:sz w:val="24"/>
          <w:lang w:eastAsia="zh-CN"/>
        </w:rPr>
        <w:t>。</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年1月1日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4</w:t>
      </w:r>
      <w:r>
        <w:rPr>
          <w:rFonts w:hint="eastAsia" w:ascii="宋体" w:hAnsi="宋体"/>
          <w:color w:val="000000"/>
          <w:sz w:val="24"/>
        </w:rPr>
        <w:t>年12月31日，其它约定以双方签订合同为准。</w:t>
      </w: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ascii="宋体" w:hAnsi="宋体"/>
          <w:sz w:val="32"/>
          <w:szCs w:val="32"/>
        </w:rPr>
      </w:pPr>
      <w:r>
        <w:rPr>
          <w:rFonts w:hint="eastAsia" w:ascii="宋体" w:hAnsi="宋体"/>
          <w:szCs w:val="21"/>
        </w:rPr>
        <w:t>注：</w:t>
      </w:r>
      <w:r>
        <w:rPr>
          <w:rFonts w:hint="eastAsia" w:ascii="宋体"/>
          <w:szCs w:val="21"/>
        </w:rPr>
        <w:t>请把报价填至“报价单”内，</w:t>
      </w:r>
      <w:r>
        <w:rPr>
          <w:rFonts w:hint="eastAsia" w:ascii="宋体"/>
          <w:b w:val="0"/>
          <w:bCs w:val="0"/>
          <w:szCs w:val="21"/>
        </w:rPr>
        <w:t>公开</w:t>
      </w:r>
      <w:r>
        <w:rPr>
          <w:rFonts w:hint="eastAsia" w:ascii="宋体"/>
          <w:b/>
          <w:bCs/>
          <w:szCs w:val="21"/>
        </w:rPr>
        <w:t>比选确认单仅作为比选结束后确认数量和价格使用</w:t>
      </w: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腾龙芳烃（漳州）有限公司：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宋体" w:hAnsi="宋体"/>
          <w:sz w:val="28"/>
          <w:szCs w:val="28"/>
          <w:lang w:eastAsia="zh-CN"/>
        </w:rPr>
        <w:t>2023</w:t>
      </w:r>
      <w:r>
        <w:rPr>
          <w:rFonts w:hint="eastAsia" w:ascii="宋体" w:hAnsi="宋体"/>
          <w:sz w:val="28"/>
          <w:szCs w:val="28"/>
        </w:rPr>
        <w:t>-</w:t>
      </w:r>
      <w:r>
        <w:rPr>
          <w:rFonts w:hint="eastAsia" w:ascii="宋体" w:hAnsi="宋体"/>
          <w:sz w:val="28"/>
          <w:szCs w:val="28"/>
          <w:lang w:eastAsia="zh-CN"/>
        </w:rPr>
        <w:t>FHC</w:t>
      </w:r>
      <w:r>
        <w:rPr>
          <w:rFonts w:hint="eastAsia" w:ascii="宋体" w:hAnsi="宋体"/>
          <w:sz w:val="28"/>
          <w:szCs w:val="28"/>
        </w:rPr>
        <w:t>-液氨（瓶装）-</w:t>
      </w:r>
      <w:r>
        <w:rPr>
          <w:rFonts w:hint="eastAsia" w:ascii="宋体" w:hAnsi="宋体"/>
          <w:sz w:val="28"/>
          <w:szCs w:val="28"/>
          <w:lang w:eastAsia="zh-CN"/>
        </w:rPr>
        <w:t>1129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（详见附件1“液氨（瓶装）质量规范”）</w:t>
      </w:r>
      <w:bookmarkEnd w:id="1"/>
      <w:r>
        <w:rPr>
          <w:rFonts w:hint="eastAsia" w:ascii="宋体" w:hAnsi="宋体"/>
          <w:sz w:val="28"/>
          <w:szCs w:val="28"/>
        </w:rPr>
        <w:t>；数量：</w:t>
      </w:r>
      <w:r>
        <w:rPr>
          <w:rFonts w:hint="eastAsia" w:ascii="宋体" w:hAnsi="宋体"/>
          <w:sz w:val="28"/>
          <w:szCs w:val="28"/>
          <w:lang w:val="en-US" w:eastAsia="zh-CN"/>
        </w:rPr>
        <w:t>3.6</w:t>
      </w:r>
      <w:r>
        <w:rPr>
          <w:rFonts w:hint="eastAsia" w:ascii="宋体" w:hAnsi="宋体"/>
          <w:sz w:val="28"/>
          <w:szCs w:val="28"/>
        </w:rPr>
        <w:t>吨，一票含税送到单价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（详见附件“液氨（瓶装）质量规范”）</w:t>
      </w:r>
      <w:r>
        <w:rPr>
          <w:rFonts w:hint="eastAsia" w:ascii="宋体" w:hAnsi="宋体"/>
          <w:sz w:val="28"/>
          <w:szCs w:val="28"/>
        </w:rPr>
        <w:t>；数量：</w:t>
      </w:r>
      <w:r>
        <w:rPr>
          <w:rFonts w:hint="eastAsia" w:ascii="宋体" w:hAnsi="宋体"/>
          <w:sz w:val="28"/>
          <w:szCs w:val="28"/>
          <w:lang w:val="en-US" w:eastAsia="zh-CN"/>
        </w:rPr>
        <w:t>3.6</w:t>
      </w:r>
      <w:r>
        <w:rPr>
          <w:rFonts w:hint="eastAsia" w:ascii="宋体" w:hAnsi="宋体"/>
          <w:sz w:val="28"/>
          <w:szCs w:val="28"/>
        </w:rPr>
        <w:t xml:space="preserve">吨，一票含税送到单价 </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元；以汽运方式送到腾龙芳烃（漳州）有限公司，根据贵公司实际需求进度安排供货。</w:t>
      </w:r>
    </w:p>
    <w:p>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4</w:t>
      </w:r>
      <w:r>
        <w:rPr>
          <w:rFonts w:hint="eastAsia" w:ascii="宋体" w:hAnsi="宋体"/>
          <w:sz w:val="28"/>
          <w:szCs w:val="28"/>
        </w:rPr>
        <w:t>年1月1日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年12月31日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rPr>
          <w:rFonts w:ascii="宋体"/>
          <w:sz w:val="28"/>
          <w:szCs w:val="28"/>
        </w:rPr>
      </w:pP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ordWrap w:val="0"/>
        <w:jc w:val="left"/>
        <w:rPr>
          <w:rFonts w:ascii="宋体" w:hAnsi="宋体"/>
          <w:sz w:val="28"/>
          <w:szCs w:val="28"/>
        </w:rPr>
      </w:pPr>
    </w:p>
    <w:p>
      <w:pPr>
        <w:wordWrap w:val="0"/>
        <w:jc w:val="left"/>
        <w:rPr>
          <w:rFonts w:ascii="宋体" w:hAnsi="宋体"/>
          <w:sz w:val="28"/>
          <w:szCs w:val="28"/>
        </w:rPr>
      </w:pPr>
    </w:p>
    <w:p>
      <w:pPr>
        <w:wordWrap w:val="0"/>
        <w:jc w:val="left"/>
        <w:rPr>
          <w:rFonts w:ascii="宋体" w:hAnsi="宋体"/>
          <w:sz w:val="28"/>
          <w:szCs w:val="28"/>
        </w:rPr>
      </w:pPr>
      <w:r>
        <w:rPr>
          <w:rFonts w:hint="eastAsia" w:ascii="宋体" w:hAnsi="宋体"/>
          <w:sz w:val="28"/>
          <w:szCs w:val="28"/>
        </w:rPr>
        <w:t>附件1、</w:t>
      </w:r>
    </w:p>
    <w:p>
      <w:pPr>
        <w:spacing w:line="360" w:lineRule="auto"/>
        <w:jc w:val="center"/>
        <w:rPr>
          <w:b/>
          <w:sz w:val="44"/>
          <w:szCs w:val="72"/>
        </w:rPr>
      </w:pPr>
      <w:r>
        <w:rPr>
          <w:rFonts w:hint="eastAsia" w:hAnsi="宋体"/>
          <w:b/>
          <w:sz w:val="44"/>
          <w:szCs w:val="72"/>
        </w:rPr>
        <w:t>液氨（瓶装）质量及送货要求</w:t>
      </w:r>
    </w:p>
    <w:p>
      <w:pPr>
        <w:rPr>
          <w:rFonts w:asciiTheme="minorEastAsia" w:hAnsiTheme="minorEastAsia"/>
          <w:sz w:val="24"/>
        </w:rPr>
      </w:pPr>
    </w:p>
    <w:p>
      <w:pPr>
        <w:widowControl/>
        <w:shd w:val="clear" w:color="auto" w:fill="FFFFFF"/>
        <w:ind w:right="300"/>
        <w:jc w:val="both"/>
        <w:rPr>
          <w:rFonts w:ascii="Arial" w:hAnsi="Arial" w:cs="Arial"/>
          <w:color w:val="111111"/>
          <w:kern w:val="0"/>
          <w:sz w:val="28"/>
          <w:szCs w:val="28"/>
        </w:rPr>
      </w:pPr>
      <w:r>
        <w:rPr>
          <w:rFonts w:hint="eastAsia" w:ascii="Arial" w:hAnsi="Arial" w:cs="Arial"/>
          <w:color w:val="111111"/>
          <w:kern w:val="0"/>
          <w:sz w:val="28"/>
          <w:szCs w:val="28"/>
        </w:rPr>
        <w:t>1、</w:t>
      </w:r>
      <w:r>
        <w:rPr>
          <w:rFonts w:ascii="Arial" w:hAnsi="Arial" w:cs="Arial"/>
          <w:color w:val="111111"/>
          <w:kern w:val="0"/>
          <w:sz w:val="28"/>
          <w:szCs w:val="28"/>
        </w:rPr>
        <w:t>预算年用量为</w:t>
      </w:r>
      <w:r>
        <w:rPr>
          <w:rFonts w:hint="eastAsia" w:ascii="Arial" w:hAnsi="Arial" w:cs="Arial"/>
          <w:color w:val="111111"/>
          <w:kern w:val="0"/>
          <w:sz w:val="28"/>
          <w:szCs w:val="28"/>
          <w:lang w:val="en-US" w:eastAsia="zh-CN"/>
        </w:rPr>
        <w:t>3.6</w:t>
      </w:r>
      <w:r>
        <w:rPr>
          <w:rFonts w:ascii="Arial" w:hAnsi="Arial" w:cs="Arial"/>
          <w:color w:val="111111"/>
          <w:kern w:val="0"/>
          <w:sz w:val="28"/>
          <w:szCs w:val="28"/>
        </w:rPr>
        <w:t>吨，质量标准执行：液体无水氨（GB/T536-2017）中的合格品。</w:t>
      </w:r>
    </w:p>
    <w:p>
      <w:pPr>
        <w:spacing w:line="500" w:lineRule="exact"/>
        <w:rPr>
          <w:rFonts w:hint="eastAsia" w:ascii="Arial" w:hAnsi="Arial" w:cs="Arial"/>
          <w:color w:val="111111"/>
          <w:kern w:val="0"/>
          <w:sz w:val="28"/>
          <w:szCs w:val="28"/>
        </w:rPr>
      </w:pPr>
      <w:r>
        <w:rPr>
          <w:rFonts w:hint="eastAsia" w:ascii="Arial" w:hAnsi="Arial" w:cs="Arial"/>
          <w:color w:val="111111"/>
          <w:kern w:val="0"/>
          <w:sz w:val="28"/>
          <w:szCs w:val="28"/>
        </w:rPr>
        <w:t>2</w:t>
      </w:r>
      <w:r>
        <w:rPr>
          <w:rFonts w:ascii="Arial" w:hAnsi="Arial" w:cs="Arial"/>
          <w:color w:val="111111"/>
          <w:kern w:val="0"/>
          <w:sz w:val="28"/>
          <w:szCs w:val="28"/>
        </w:rPr>
        <w:t>、</w:t>
      </w:r>
      <w:r>
        <w:rPr>
          <w:rFonts w:hint="eastAsia" w:ascii="Arial" w:hAnsi="Arial" w:cs="Arial"/>
          <w:color w:val="111111"/>
          <w:kern w:val="0"/>
          <w:sz w:val="28"/>
          <w:szCs w:val="28"/>
        </w:rPr>
        <w:t>我司提</w:t>
      </w:r>
      <w:r>
        <w:rPr>
          <w:rFonts w:hint="eastAsia" w:ascii="Arial" w:hAnsi="Arial" w:cs="Arial"/>
          <w:color w:val="111111"/>
          <w:kern w:val="0"/>
          <w:sz w:val="28"/>
          <w:szCs w:val="28"/>
          <w:lang w:val="en-US" w:eastAsia="zh-CN"/>
        </w:rPr>
        <w:t>前</w:t>
      </w:r>
      <w:r>
        <w:rPr>
          <w:rFonts w:hint="eastAsia" w:ascii="Arial" w:hAnsi="Arial" w:cs="Arial"/>
          <w:color w:val="111111"/>
          <w:kern w:val="0"/>
          <w:sz w:val="28"/>
          <w:szCs w:val="28"/>
        </w:rPr>
        <w:t>三天通知</w:t>
      </w:r>
      <w:r>
        <w:rPr>
          <w:rFonts w:hint="eastAsia" w:ascii="Arial" w:hAnsi="Arial" w:cs="Arial"/>
          <w:color w:val="111111"/>
          <w:kern w:val="0"/>
          <w:sz w:val="28"/>
          <w:szCs w:val="28"/>
          <w:lang w:val="en-US" w:eastAsia="zh-CN"/>
        </w:rPr>
        <w:t>供应</w:t>
      </w:r>
      <w:r>
        <w:rPr>
          <w:rFonts w:hint="eastAsia" w:ascii="Arial" w:hAnsi="Arial" w:cs="Arial"/>
          <w:color w:val="111111"/>
          <w:kern w:val="0"/>
          <w:sz w:val="28"/>
          <w:szCs w:val="28"/>
        </w:rPr>
        <w:t>商，</w:t>
      </w:r>
      <w:r>
        <w:rPr>
          <w:rFonts w:hint="eastAsia" w:ascii="Arial" w:hAnsi="Arial" w:cs="Arial"/>
          <w:color w:val="111111"/>
          <w:kern w:val="0"/>
          <w:sz w:val="28"/>
          <w:szCs w:val="28"/>
          <w:lang w:val="en-US" w:eastAsia="zh-CN"/>
        </w:rPr>
        <w:t>供应</w:t>
      </w:r>
      <w:r>
        <w:rPr>
          <w:rFonts w:hint="eastAsia" w:ascii="Arial" w:hAnsi="Arial" w:cs="Arial"/>
          <w:color w:val="111111"/>
          <w:kern w:val="0"/>
          <w:sz w:val="28"/>
          <w:szCs w:val="28"/>
        </w:rPr>
        <w:t>商带液氨瓶来我司进行配氨</w:t>
      </w:r>
      <w:r>
        <w:rPr>
          <w:rFonts w:hint="eastAsia" w:ascii="Arial" w:hAnsi="Arial" w:cs="Arial"/>
          <w:color w:val="111111"/>
          <w:kern w:val="0"/>
          <w:sz w:val="28"/>
          <w:szCs w:val="28"/>
          <w:lang w:eastAsia="zh-CN"/>
        </w:rPr>
        <w:t>。</w:t>
      </w:r>
      <w:r>
        <w:rPr>
          <w:rFonts w:hint="eastAsia" w:ascii="Arial" w:hAnsi="Arial" w:cs="Arial"/>
          <w:color w:val="111111"/>
          <w:kern w:val="0"/>
          <w:sz w:val="28"/>
          <w:szCs w:val="28"/>
        </w:rPr>
        <w:t>每个月不超过4次，每次加氨量在40～60kg之间</w:t>
      </w:r>
      <w:r>
        <w:rPr>
          <w:rFonts w:hint="eastAsia" w:ascii="Arial" w:hAnsi="Arial" w:cs="Arial"/>
          <w:color w:val="111111"/>
          <w:kern w:val="0"/>
          <w:sz w:val="28"/>
          <w:szCs w:val="28"/>
          <w:lang w:eastAsia="zh-CN"/>
        </w:rPr>
        <w:t>。（</w:t>
      </w:r>
      <w:r>
        <w:rPr>
          <w:rFonts w:hint="eastAsia" w:ascii="Arial" w:hAnsi="Arial" w:cs="Arial"/>
          <w:color w:val="111111"/>
          <w:kern w:val="0"/>
          <w:sz w:val="28"/>
          <w:szCs w:val="28"/>
          <w:lang w:val="en-US" w:eastAsia="zh-CN"/>
        </w:rPr>
        <w:t>次数与液氨量为预估，按实际液氨量结算）</w:t>
      </w:r>
      <w:r>
        <w:rPr>
          <w:rFonts w:hint="eastAsia" w:ascii="Arial" w:hAnsi="Arial" w:cs="Arial"/>
          <w:color w:val="111111"/>
          <w:kern w:val="0"/>
          <w:sz w:val="28"/>
          <w:szCs w:val="28"/>
        </w:rPr>
        <w:br w:type="textWrapping"/>
      </w:r>
      <w:r>
        <w:rPr>
          <w:rFonts w:hint="eastAsia" w:ascii="Arial" w:hAnsi="Arial" w:cs="Arial"/>
          <w:color w:val="111111"/>
          <w:kern w:val="0"/>
          <w:sz w:val="28"/>
          <w:szCs w:val="28"/>
        </w:rPr>
        <w:t>3</w:t>
      </w:r>
      <w:r>
        <w:rPr>
          <w:rFonts w:ascii="Arial" w:hAnsi="Arial" w:cs="Arial"/>
          <w:color w:val="111111"/>
          <w:kern w:val="0"/>
          <w:sz w:val="28"/>
          <w:szCs w:val="28"/>
        </w:rPr>
        <w:t>、</w:t>
      </w:r>
      <w:r>
        <w:rPr>
          <w:rFonts w:hint="eastAsia" w:ascii="Arial" w:hAnsi="Arial" w:cs="Arial"/>
          <w:color w:val="111111"/>
          <w:kern w:val="0"/>
          <w:sz w:val="28"/>
          <w:szCs w:val="28"/>
        </w:rPr>
        <w:t>配氨过程中，承包商应采取相应的安全措施，遵守国家相关规范及我司相关的制度。</w:t>
      </w:r>
    </w:p>
    <w:p>
      <w:pPr>
        <w:widowControl/>
        <w:shd w:val="clear" w:color="auto" w:fill="FFFFFF"/>
        <w:spacing w:line="330" w:lineRule="atLeast"/>
        <w:ind w:left="300" w:right="300"/>
        <w:jc w:val="left"/>
        <w:rPr>
          <w:rFonts w:ascii="Arial" w:hAnsi="Arial" w:cs="Arial"/>
          <w:color w:val="111111"/>
          <w:kern w:val="0"/>
          <w:sz w:val="28"/>
          <w:szCs w:val="28"/>
        </w:rPr>
      </w:pPr>
      <w:r>
        <w:rPr>
          <w:rFonts w:ascii="Arial" w:hAnsi="Arial" w:cs="Arial"/>
          <w:color w:val="111111"/>
          <w:kern w:val="0"/>
          <w:sz w:val="28"/>
          <w:szCs w:val="28"/>
        </w:rPr>
        <w:drawing>
          <wp:inline distT="0" distB="0" distL="114300" distR="114300">
            <wp:extent cx="5272405" cy="3644265"/>
            <wp:effectExtent l="0" t="0" r="4445" b="13335"/>
            <wp:docPr id="1" name="图片 1" descr="液氨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液氨质量规范"/>
                    <pic:cNvPicPr>
                      <a:picLocks noChangeAspect="1"/>
                    </pic:cNvPicPr>
                  </pic:nvPicPr>
                  <pic:blipFill>
                    <a:blip r:embed="rId5"/>
                    <a:stretch>
                      <a:fillRect/>
                    </a:stretch>
                  </pic:blipFill>
                  <pic:spPr>
                    <a:xfrm>
                      <a:off x="0" y="0"/>
                      <a:ext cx="5272405" cy="3644265"/>
                    </a:xfrm>
                    <a:prstGeom prst="rect">
                      <a:avLst/>
                    </a:prstGeom>
                  </pic:spPr>
                </pic:pic>
              </a:graphicData>
            </a:graphic>
          </wp:inline>
        </w:drawing>
      </w:r>
    </w:p>
    <w:p>
      <w:pPr>
        <w:widowControl/>
        <w:shd w:val="clear" w:color="auto" w:fill="FFFFFF"/>
        <w:spacing w:line="330" w:lineRule="atLeast"/>
        <w:ind w:right="300"/>
        <w:jc w:val="left"/>
        <w:rPr>
          <w:rFonts w:ascii="Arial" w:hAnsi="Arial" w:cs="Arial"/>
          <w:color w:val="111111"/>
          <w:kern w:val="0"/>
          <w:sz w:val="28"/>
          <w:szCs w:val="28"/>
        </w:rPr>
      </w:pPr>
    </w:p>
    <w:p>
      <w:pPr>
        <w:widowControl/>
        <w:shd w:val="clear" w:color="auto" w:fill="FFFFFF"/>
        <w:spacing w:line="330" w:lineRule="atLeast"/>
        <w:ind w:right="300"/>
        <w:jc w:val="left"/>
        <w:rPr>
          <w:rFonts w:ascii="Arial" w:hAnsi="Arial" w:cs="Arial"/>
          <w:color w:val="111111"/>
          <w:kern w:val="0"/>
          <w:sz w:val="28"/>
          <w:szCs w:val="28"/>
        </w:rPr>
      </w:pPr>
    </w:p>
    <w:p>
      <w:pPr>
        <w:widowControl/>
        <w:shd w:val="clear" w:color="auto" w:fill="FFFFFF"/>
        <w:spacing w:line="330" w:lineRule="atLeast"/>
        <w:ind w:right="300"/>
        <w:jc w:val="left"/>
        <w:rPr>
          <w:rFonts w:ascii="Arial" w:hAnsi="Arial" w:cs="Arial"/>
          <w:color w:val="111111"/>
          <w:kern w:val="0"/>
          <w:sz w:val="28"/>
          <w:szCs w:val="28"/>
        </w:rPr>
      </w:pPr>
    </w:p>
    <w:p>
      <w:pPr>
        <w:widowControl/>
        <w:shd w:val="clear" w:color="auto" w:fill="FFFFFF"/>
        <w:spacing w:line="330" w:lineRule="atLeast"/>
        <w:ind w:left="300" w:right="300"/>
        <w:jc w:val="left"/>
        <w:rPr>
          <w:rFonts w:ascii="Arial" w:hAnsi="Arial" w:cs="Arial"/>
          <w:color w:val="111111"/>
          <w:kern w:val="0"/>
          <w:sz w:val="28"/>
          <w:szCs w:val="28"/>
        </w:rPr>
      </w:pP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 xml:space="preserve">供方：                        </w:t>
      </w:r>
    </w:p>
    <w:p>
      <w:pPr>
        <w:spacing w:line="280" w:lineRule="exact"/>
        <w:rPr>
          <w:rFonts w:ascii="宋体" w:hAnsi="宋体"/>
          <w:b/>
          <w:color w:val="000000"/>
          <w:szCs w:val="21"/>
        </w:rPr>
      </w:pPr>
      <w:r>
        <w:rPr>
          <w:rFonts w:hint="eastAsia" w:ascii="宋体" w:hAnsi="宋体"/>
          <w:b/>
          <w:color w:val="000000"/>
          <w:szCs w:val="21"/>
        </w:rPr>
        <w:t>需方：腾龙芳烃（漳州）有限公司</w:t>
      </w:r>
      <w:r>
        <w:rPr>
          <w:rFonts w:ascii="宋体" w:hAnsi="宋体"/>
          <w:b/>
          <w:color w:val="000000"/>
          <w:szCs w:val="21"/>
        </w:rPr>
        <w:t xml:space="preserve"> </w:t>
      </w:r>
    </w:p>
    <w:p>
      <w:pPr>
        <w:spacing w:line="280" w:lineRule="exact"/>
        <w:ind w:firstLine="315" w:firstLineChars="150"/>
        <w:rPr>
          <w:rFonts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漳州  </w:t>
      </w:r>
      <w:r>
        <w:rPr>
          <w:rFonts w:hint="eastAsia" w:ascii="宋体" w:hAnsi="宋体"/>
          <w:color w:val="000000"/>
          <w:szCs w:val="21"/>
        </w:rPr>
        <w:t>签订本合同。供、需双方在协议上的签字人是供、需双方的法定代表人或委托代理人。</w:t>
      </w:r>
    </w:p>
    <w:p>
      <w:pPr>
        <w:numPr>
          <w:ilvl w:val="0"/>
          <w:numId w:val="11"/>
        </w:numPr>
        <w:spacing w:line="280" w:lineRule="exact"/>
        <w:rPr>
          <w:rFonts w:hint="eastAsia" w:ascii="宋体" w:hAnsi="宋体" w:cs="宋体"/>
          <w:b/>
          <w:color w:val="000000"/>
          <w:kern w:val="0"/>
          <w:szCs w:val="21"/>
        </w:rPr>
      </w:pPr>
      <w:r>
        <w:rPr>
          <w:rFonts w:hint="eastAsia" w:ascii="宋体" w:hAnsi="宋体"/>
          <w:b/>
          <w:color w:val="000000"/>
          <w:szCs w:val="21"/>
        </w:rPr>
        <w:t xml:space="preserve"> 产品名称</w:t>
      </w:r>
      <w:r>
        <w:rPr>
          <w:rFonts w:hint="eastAsia" w:ascii="宋体" w:hAnsi="宋体" w:cs="宋体"/>
          <w:b/>
          <w:color w:val="000000"/>
          <w:kern w:val="0"/>
          <w:szCs w:val="21"/>
        </w:rPr>
        <w:t>、生产厂家、型号规格、计量单位、数量、</w:t>
      </w:r>
      <w:r>
        <w:rPr>
          <w:rFonts w:hint="eastAsia" w:ascii="宋体" w:hAnsi="宋体" w:cs="宋体"/>
          <w:b/>
          <w:color w:val="000000"/>
          <w:kern w:val="0"/>
          <w:szCs w:val="21"/>
          <w:lang w:val="en-US" w:eastAsia="zh-CN"/>
        </w:rPr>
        <w:t>含税</w:t>
      </w:r>
      <w:r>
        <w:rPr>
          <w:rFonts w:hint="eastAsia" w:ascii="宋体" w:hAnsi="宋体" w:cs="宋体"/>
          <w:b/>
          <w:color w:val="000000"/>
          <w:kern w:val="0"/>
          <w:szCs w:val="21"/>
        </w:rPr>
        <w:t>单价、</w:t>
      </w:r>
      <w:r>
        <w:rPr>
          <w:rFonts w:hint="eastAsia" w:ascii="宋体" w:hAnsi="宋体" w:cs="宋体"/>
          <w:b/>
          <w:color w:val="000000"/>
          <w:kern w:val="0"/>
          <w:szCs w:val="21"/>
          <w:lang w:val="en-US" w:eastAsia="zh-CN"/>
        </w:rPr>
        <w:t>含税总</w:t>
      </w:r>
      <w:r>
        <w:rPr>
          <w:rFonts w:hint="eastAsia" w:ascii="宋体" w:hAnsi="宋体" w:cs="宋体"/>
          <w:b/>
          <w:color w:val="000000"/>
          <w:kern w:val="0"/>
          <w:szCs w:val="21"/>
        </w:rPr>
        <w:t>金额、</w:t>
      </w:r>
      <w:r>
        <w:rPr>
          <w:rFonts w:hint="eastAsia" w:ascii="宋体" w:hAnsi="宋体" w:cs="宋体"/>
          <w:b/>
          <w:color w:val="000000"/>
          <w:kern w:val="0"/>
          <w:szCs w:val="21"/>
          <w:lang w:val="en-US" w:eastAsia="zh-CN"/>
        </w:rPr>
        <w:t>不含税总金额、税金、</w:t>
      </w:r>
      <w:r>
        <w:rPr>
          <w:rFonts w:hint="eastAsia" w:ascii="宋体" w:hAnsi="宋体" w:cs="宋体"/>
          <w:b/>
          <w:color w:val="000000"/>
          <w:kern w:val="0"/>
          <w:szCs w:val="21"/>
        </w:rPr>
        <w:t>备注:</w:t>
      </w:r>
    </w:p>
    <w:tbl>
      <w:tblPr>
        <w:tblStyle w:val="6"/>
        <w:tblW w:w="10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952"/>
        <w:gridCol w:w="966"/>
        <w:gridCol w:w="753"/>
        <w:gridCol w:w="536"/>
        <w:gridCol w:w="1290"/>
        <w:gridCol w:w="1398"/>
        <w:gridCol w:w="118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28" w:type="dxa"/>
            <w:vAlign w:val="center"/>
          </w:tcPr>
          <w:p>
            <w:pPr>
              <w:spacing w:line="280" w:lineRule="exact"/>
              <w:jc w:val="center"/>
              <w:rPr>
                <w:rFonts w:ascii="宋体" w:hAnsi="宋体"/>
                <w:color w:val="000000"/>
                <w:szCs w:val="21"/>
              </w:rPr>
            </w:pPr>
            <w:r>
              <w:rPr>
                <w:rFonts w:hint="eastAsia" w:ascii="宋体" w:hAnsi="宋体"/>
                <w:color w:val="000000"/>
                <w:szCs w:val="21"/>
              </w:rPr>
              <w:t>产品名称</w:t>
            </w:r>
          </w:p>
        </w:tc>
        <w:tc>
          <w:tcPr>
            <w:tcW w:w="952" w:type="dxa"/>
            <w:vAlign w:val="center"/>
          </w:tcPr>
          <w:p>
            <w:pPr>
              <w:spacing w:line="280" w:lineRule="exact"/>
              <w:jc w:val="center"/>
              <w:rPr>
                <w:rFonts w:ascii="宋体" w:hAnsi="宋体"/>
                <w:color w:val="000000"/>
                <w:szCs w:val="21"/>
              </w:rPr>
            </w:pPr>
            <w:r>
              <w:rPr>
                <w:rFonts w:hint="eastAsia" w:ascii="宋体" w:hAnsi="宋体"/>
                <w:color w:val="000000"/>
                <w:szCs w:val="21"/>
              </w:rPr>
              <w:t>生产厂家</w:t>
            </w:r>
          </w:p>
        </w:tc>
        <w:tc>
          <w:tcPr>
            <w:tcW w:w="966"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753"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536"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290"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含税单价元/吨</w:t>
            </w:r>
          </w:p>
        </w:tc>
        <w:tc>
          <w:tcPr>
            <w:tcW w:w="1398"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含税总金额（元）</w:t>
            </w:r>
          </w:p>
        </w:tc>
        <w:tc>
          <w:tcPr>
            <w:tcW w:w="1184"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1184"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1184"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28"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液氨（瓶装）</w:t>
            </w:r>
          </w:p>
        </w:tc>
        <w:tc>
          <w:tcPr>
            <w:tcW w:w="95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966" w:type="dxa"/>
            <w:vAlign w:val="center"/>
          </w:tcPr>
          <w:p>
            <w:pPr>
              <w:spacing w:line="280" w:lineRule="exact"/>
              <w:jc w:val="center"/>
              <w:rPr>
                <w:rFonts w:ascii="宋体" w:hAnsi="宋体"/>
                <w:color w:val="000000"/>
                <w:sz w:val="18"/>
                <w:szCs w:val="18"/>
              </w:rPr>
            </w:pPr>
            <w:r>
              <w:rPr>
                <w:rFonts w:ascii="宋体" w:hAnsi="宋体"/>
                <w:color w:val="000000"/>
                <w:sz w:val="18"/>
                <w:szCs w:val="18"/>
              </w:rPr>
              <w:t>采用400KG瓶装</w:t>
            </w:r>
          </w:p>
        </w:tc>
        <w:tc>
          <w:tcPr>
            <w:tcW w:w="753"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吨</w:t>
            </w:r>
          </w:p>
        </w:tc>
        <w:tc>
          <w:tcPr>
            <w:tcW w:w="536"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3.6</w:t>
            </w:r>
          </w:p>
        </w:tc>
        <w:tc>
          <w:tcPr>
            <w:tcW w:w="1290" w:type="dxa"/>
            <w:tcBorders>
              <w:tr2bl w:val="nil"/>
            </w:tcBorders>
            <w:vAlign w:val="center"/>
          </w:tcPr>
          <w:p>
            <w:pPr>
              <w:spacing w:line="280" w:lineRule="exact"/>
              <w:jc w:val="center"/>
              <w:rPr>
                <w:rFonts w:ascii="宋体" w:hAnsi="宋体"/>
                <w:color w:val="000000"/>
                <w:sz w:val="18"/>
                <w:szCs w:val="18"/>
              </w:rPr>
            </w:pPr>
          </w:p>
        </w:tc>
        <w:tc>
          <w:tcPr>
            <w:tcW w:w="1398" w:type="dxa"/>
            <w:tcBorders>
              <w:tr2bl w:val="nil"/>
            </w:tcBorders>
            <w:vAlign w:val="center"/>
          </w:tcPr>
          <w:p>
            <w:pPr>
              <w:spacing w:line="280" w:lineRule="exact"/>
              <w:jc w:val="center"/>
              <w:rPr>
                <w:rFonts w:ascii="宋体" w:hAnsi="宋体"/>
                <w:color w:val="000000"/>
                <w:sz w:val="18"/>
                <w:szCs w:val="18"/>
              </w:rPr>
            </w:pPr>
          </w:p>
        </w:tc>
        <w:tc>
          <w:tcPr>
            <w:tcW w:w="1184" w:type="dxa"/>
            <w:vAlign w:val="center"/>
          </w:tcPr>
          <w:p>
            <w:pPr>
              <w:spacing w:line="280" w:lineRule="exact"/>
              <w:jc w:val="center"/>
              <w:rPr>
                <w:rFonts w:hint="eastAsia" w:ascii="宋体" w:hAnsi="宋体"/>
                <w:color w:val="000000"/>
                <w:sz w:val="18"/>
                <w:szCs w:val="18"/>
              </w:rPr>
            </w:pPr>
          </w:p>
        </w:tc>
        <w:tc>
          <w:tcPr>
            <w:tcW w:w="1184" w:type="dxa"/>
            <w:vAlign w:val="center"/>
          </w:tcPr>
          <w:p>
            <w:pPr>
              <w:spacing w:line="280" w:lineRule="exact"/>
              <w:jc w:val="center"/>
              <w:rPr>
                <w:rFonts w:hint="eastAsia" w:ascii="宋体" w:hAnsi="宋体"/>
                <w:color w:val="000000"/>
                <w:sz w:val="18"/>
                <w:szCs w:val="18"/>
              </w:rPr>
            </w:pPr>
          </w:p>
        </w:tc>
        <w:tc>
          <w:tcPr>
            <w:tcW w:w="1184"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180" w:type="dxa"/>
            <w:gridSpan w:val="2"/>
            <w:vAlign w:val="center"/>
          </w:tcPr>
          <w:p>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8495" w:type="dxa"/>
            <w:gridSpan w:val="8"/>
            <w:vAlign w:val="center"/>
          </w:tcPr>
          <w:p>
            <w:pPr>
              <w:spacing w:line="280" w:lineRule="exact"/>
              <w:rPr>
                <w:rFonts w:ascii="宋体" w:hAnsi="宋体"/>
                <w:color w:val="000000"/>
                <w:szCs w:val="21"/>
              </w:rPr>
            </w:pPr>
            <w:r>
              <w:rPr>
                <w:rFonts w:hint="eastAsia" w:ascii="宋体" w:hAnsi="宋体"/>
                <w:color w:val="000000"/>
                <w:szCs w:val="21"/>
              </w:rPr>
              <w:t>现汇，分批到货，分批付款。</w:t>
            </w:r>
          </w:p>
        </w:tc>
      </w:tr>
    </w:tbl>
    <w:p>
      <w:pPr>
        <w:numPr>
          <w:ilvl w:val="0"/>
          <w:numId w:val="0"/>
        </w:numPr>
        <w:spacing w:line="280" w:lineRule="exact"/>
        <w:rPr>
          <w:rFonts w:hint="eastAsia" w:ascii="宋体" w:hAnsi="宋体" w:cs="宋体"/>
          <w:b/>
          <w:color w:val="000000"/>
          <w:kern w:val="0"/>
          <w:szCs w:val="21"/>
        </w:rPr>
      </w:pPr>
    </w:p>
    <w:p>
      <w:pPr>
        <w:spacing w:line="500" w:lineRule="exact"/>
        <w:ind w:firstLine="210" w:firstLineChars="100"/>
        <w:rPr>
          <w:rFonts w:ascii="宋体" w:hAnsi="宋体"/>
          <w:color w:val="000000"/>
          <w:szCs w:val="21"/>
        </w:rPr>
      </w:pPr>
      <w:r>
        <w:rPr>
          <w:rFonts w:hint="eastAsia" w:ascii="宋体" w:hAnsi="宋体"/>
          <w:color w:val="000000"/>
          <w:szCs w:val="21"/>
        </w:rPr>
        <w:t>上述数量及含税总金额均为</w:t>
      </w:r>
      <w:r>
        <w:rPr>
          <w:rFonts w:hint="eastAsia" w:ascii="宋体" w:hAnsi="宋体"/>
          <w:color w:val="000000"/>
          <w:szCs w:val="21"/>
          <w:lang w:val="en-US" w:eastAsia="zh-CN"/>
        </w:rPr>
        <w:t>预估</w:t>
      </w:r>
      <w:r>
        <w:rPr>
          <w:rFonts w:hint="eastAsia" w:ascii="宋体" w:hAnsi="宋体"/>
          <w:color w:val="000000"/>
          <w:szCs w:val="21"/>
        </w:rPr>
        <w:t>，需方可根据需要通过订单形式进行调整，双方按实际交货数量及实际交易价格结算。本合同约定价格中的含税价格，对应的增值税率为13%，在合同履行期间，如遇国家的税率调整，则，调整后的含税单价=原含税送到单价/1.13*新增值税率；</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01  </w:t>
      </w:r>
      <w:r>
        <w:rPr>
          <w:rFonts w:hint="eastAsia" w:ascii="宋体" w:hAnsi="宋体"/>
          <w:color w:val="000000"/>
          <w:szCs w:val="21"/>
        </w:rPr>
        <w:t>月</w:t>
      </w:r>
      <w:r>
        <w:rPr>
          <w:rFonts w:hint="eastAsia" w:ascii="宋体" w:hAnsi="宋体"/>
          <w:color w:val="000000"/>
          <w:szCs w:val="21"/>
          <w:u w:val="single"/>
        </w:rPr>
        <w:t xml:space="preserve">  01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供方需提供所供产品质量检验证明，以需方或需方指定单位验收为准，如化验不合格，需方有权</w:t>
      </w:r>
      <w:r>
        <w:rPr>
          <w:rFonts w:hint="eastAsia" w:ascii="宋体" w:hAnsi="宋体"/>
          <w:color w:val="000000"/>
          <w:szCs w:val="21"/>
          <w:u w:val="single"/>
        </w:rPr>
        <w:t xml:space="preserve">退换货，退换货所需的各项费用由供方承担。   </w:t>
      </w:r>
      <w:r>
        <w:rPr>
          <w:rFonts w:hint="eastAsia" w:ascii="宋体" w:hAnsi="宋体"/>
          <w:color w:val="000000"/>
          <w:szCs w:val="21"/>
        </w:rPr>
        <w:t>（详见附件  ）</w:t>
      </w:r>
    </w:p>
    <w:p>
      <w:pPr>
        <w:spacing w:line="280" w:lineRule="exact"/>
        <w:ind w:firstLine="420" w:firstLineChars="200"/>
        <w:rPr>
          <w:rFonts w:ascii="宋体" w:hAnsi="宋体" w:cs="Arial"/>
          <w:color w:val="000000"/>
          <w:szCs w:val="21"/>
          <w:u w:val="single"/>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w:t>
      </w:r>
      <w:r>
        <w:rPr>
          <w:rFonts w:hint="eastAsia" w:ascii="宋体" w:hAnsi="宋体"/>
          <w:color w:val="000000"/>
          <w:szCs w:val="21"/>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w:t>
      </w:r>
      <w:r>
        <w:rPr>
          <w:rFonts w:hint="eastAsia" w:ascii="宋体" w:hAnsi="宋体" w:cs="Arial"/>
          <w:color w:val="000000"/>
          <w:szCs w:val="21"/>
        </w:rPr>
        <w:t>.</w:t>
      </w:r>
      <w:r>
        <w:rPr>
          <w:rFonts w:ascii="宋体" w:hAnsi="宋体" w:cs="Arial"/>
          <w:color w:val="000000"/>
          <w:szCs w:val="21"/>
        </w:rPr>
        <w:t>其他标准</w:t>
      </w:r>
      <w:r>
        <w:rPr>
          <w:rFonts w:hint="eastAsia" w:ascii="宋体" w:hAnsi="宋体" w:cs="Arial"/>
          <w:color w:val="000000"/>
          <w:szCs w:val="21"/>
        </w:rPr>
        <w:t>：</w:t>
      </w:r>
      <w:r>
        <w:rPr>
          <w:rFonts w:ascii="宋体" w:hAnsi="宋体" w:cs="Arial"/>
          <w:color w:val="000000"/>
          <w:szCs w:val="21"/>
          <w:u w:val="single"/>
        </w:rPr>
        <w:t>质量标准执行：液体无水氨（GB/T536-2017）中的合格品</w:t>
      </w:r>
      <w:r>
        <w:rPr>
          <w:rFonts w:hint="eastAsia" w:ascii="宋体" w:hAnsi="宋体" w:cs="Arial"/>
          <w:color w:val="000000"/>
          <w:szCs w:val="21"/>
          <w:u w:val="single"/>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瓶装</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每批订单产品全部到货后，经需方或需方指定单位：</w:t>
      </w:r>
      <w:r>
        <w:rPr>
          <w:rFonts w:hint="eastAsia" w:ascii="宋体" w:hAnsi="宋体"/>
          <w:color w:val="000000"/>
          <w:szCs w:val="21"/>
          <w:u w:val="single"/>
        </w:rPr>
        <w:t xml:space="preserve">  腾龙芳烃(漳州）有限公司   </w:t>
      </w:r>
      <w:r>
        <w:rPr>
          <w:rFonts w:hint="eastAsia" w:ascii="宋体" w:hAnsi="宋体"/>
          <w:color w:val="000000"/>
          <w:szCs w:val="21"/>
        </w:rPr>
        <w:t>（本合同中统称“需方”）根据本合同约定的质量、数量标准验收合格后，供方提供相应金额的增值税专用发票以及结算所需的各类清单，需方收到并确认无误后向供方支付货款。允许订单分批送货，分批结算，按实际到货数量结算，每批订单送货数量允许±5%溢短装。</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于需方指定   </w:t>
      </w:r>
      <w:r>
        <w:rPr>
          <w:rFonts w:hint="eastAsia" w:ascii="宋体" w:hAnsi="宋体"/>
          <w:color w:val="000000"/>
          <w:szCs w:val="21"/>
        </w:rPr>
        <w:t>日内将每批订单项下货物交付需方。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腾龙芳烃（漳州）有限公司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9943" w:type="dxa"/>
        <w:jc w:val="center"/>
        <w:tblLayout w:type="fixed"/>
        <w:tblCellMar>
          <w:top w:w="0" w:type="dxa"/>
          <w:left w:w="108" w:type="dxa"/>
          <w:bottom w:w="0" w:type="dxa"/>
          <w:right w:w="108" w:type="dxa"/>
        </w:tblCellMar>
      </w:tblPr>
      <w:tblGrid>
        <w:gridCol w:w="783"/>
        <w:gridCol w:w="192"/>
        <w:gridCol w:w="198"/>
        <w:gridCol w:w="195"/>
        <w:gridCol w:w="1170"/>
        <w:gridCol w:w="2435"/>
        <w:gridCol w:w="782"/>
        <w:gridCol w:w="195"/>
        <w:gridCol w:w="193"/>
        <w:gridCol w:w="109"/>
        <w:gridCol w:w="1258"/>
        <w:gridCol w:w="2433"/>
      </w:tblGrid>
      <w:tr>
        <w:tblPrEx>
          <w:tblCellMar>
            <w:top w:w="0" w:type="dxa"/>
            <w:left w:w="108" w:type="dxa"/>
            <w:bottom w:w="0" w:type="dxa"/>
            <w:right w:w="108" w:type="dxa"/>
          </w:tblCellMar>
        </w:tblPrEx>
        <w:trPr>
          <w:trHeight w:val="272" w:hRule="atLeast"/>
          <w:jc w:val="center"/>
        </w:trPr>
        <w:tc>
          <w:tcPr>
            <w:tcW w:w="1368" w:type="dxa"/>
            <w:gridSpan w:val="4"/>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605" w:type="dxa"/>
            <w:gridSpan w:val="2"/>
            <w:vAlign w:val="center"/>
          </w:tcPr>
          <w:p>
            <w:pPr>
              <w:spacing w:line="280" w:lineRule="exact"/>
              <w:rPr>
                <w:b/>
                <w:color w:val="000000"/>
                <w:szCs w:val="21"/>
              </w:rPr>
            </w:pPr>
          </w:p>
        </w:tc>
        <w:tc>
          <w:tcPr>
            <w:tcW w:w="1279" w:type="dxa"/>
            <w:gridSpan w:val="4"/>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691" w:type="dxa"/>
            <w:gridSpan w:val="2"/>
            <w:vAlign w:val="center"/>
          </w:tcPr>
          <w:p>
            <w:pPr>
              <w:spacing w:line="280" w:lineRule="exact"/>
              <w:rPr>
                <w:b/>
                <w:color w:val="000000"/>
                <w:szCs w:val="21"/>
              </w:rPr>
            </w:pPr>
          </w:p>
        </w:tc>
      </w:tr>
      <w:tr>
        <w:tblPrEx>
          <w:tblCellMar>
            <w:top w:w="0" w:type="dxa"/>
            <w:left w:w="108" w:type="dxa"/>
            <w:bottom w:w="0" w:type="dxa"/>
            <w:right w:w="108" w:type="dxa"/>
          </w:tblCellMar>
        </w:tblPrEx>
        <w:trPr>
          <w:trHeight w:val="272" w:hRule="atLeast"/>
          <w:jc w:val="center"/>
        </w:trPr>
        <w:tc>
          <w:tcPr>
            <w:tcW w:w="1368" w:type="dxa"/>
            <w:gridSpan w:val="4"/>
            <w:vAlign w:val="center"/>
          </w:tcPr>
          <w:p>
            <w:pPr>
              <w:spacing w:line="280" w:lineRule="exact"/>
              <w:rPr>
                <w:color w:val="000000"/>
                <w:szCs w:val="21"/>
              </w:rPr>
            </w:pPr>
            <w:r>
              <w:rPr>
                <w:rFonts w:hint="eastAsia" w:ascii="宋体" w:hAnsi="宋体"/>
                <w:color w:val="000000"/>
                <w:szCs w:val="21"/>
              </w:rPr>
              <w:t>工商注册号：</w:t>
            </w:r>
          </w:p>
        </w:tc>
        <w:tc>
          <w:tcPr>
            <w:tcW w:w="3605" w:type="dxa"/>
            <w:gridSpan w:val="2"/>
            <w:vAlign w:val="center"/>
          </w:tcPr>
          <w:p>
            <w:pPr>
              <w:spacing w:line="280" w:lineRule="exact"/>
              <w:rPr>
                <w:color w:val="000000"/>
                <w:szCs w:val="21"/>
              </w:rPr>
            </w:pPr>
          </w:p>
        </w:tc>
        <w:tc>
          <w:tcPr>
            <w:tcW w:w="1279" w:type="dxa"/>
            <w:gridSpan w:val="4"/>
            <w:vAlign w:val="center"/>
          </w:tcPr>
          <w:p>
            <w:pPr>
              <w:spacing w:line="280" w:lineRule="exact"/>
              <w:rPr>
                <w:color w:val="000000"/>
                <w:szCs w:val="21"/>
              </w:rPr>
            </w:pPr>
            <w:r>
              <w:rPr>
                <w:rFonts w:hint="eastAsia" w:ascii="宋体" w:hAnsi="宋体"/>
                <w:color w:val="000000"/>
                <w:szCs w:val="21"/>
              </w:rPr>
              <w:t>工商注册号：</w:t>
            </w:r>
          </w:p>
        </w:tc>
        <w:tc>
          <w:tcPr>
            <w:tcW w:w="3691" w:type="dxa"/>
            <w:gridSpan w:val="2"/>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地址：</w:t>
            </w:r>
          </w:p>
        </w:tc>
        <w:tc>
          <w:tcPr>
            <w:tcW w:w="4190" w:type="dxa"/>
            <w:gridSpan w:val="5"/>
            <w:vAlign w:val="center"/>
          </w:tcPr>
          <w:p>
            <w:pPr>
              <w:spacing w:line="280" w:lineRule="exact"/>
              <w:rPr>
                <w:color w:val="000000"/>
                <w:sz w:val="18"/>
                <w:szCs w:val="18"/>
              </w:rPr>
            </w:pPr>
          </w:p>
        </w:tc>
        <w:tc>
          <w:tcPr>
            <w:tcW w:w="782" w:type="dxa"/>
            <w:vAlign w:val="center"/>
          </w:tcPr>
          <w:p>
            <w:pPr>
              <w:spacing w:line="280" w:lineRule="exact"/>
              <w:rPr>
                <w:color w:val="000000"/>
                <w:szCs w:val="21"/>
              </w:rPr>
            </w:pPr>
            <w:r>
              <w:rPr>
                <w:rFonts w:hint="eastAsia" w:ascii="宋体" w:hAnsi="宋体"/>
                <w:color w:val="000000"/>
                <w:szCs w:val="21"/>
              </w:rPr>
              <w:t>地址：</w:t>
            </w:r>
          </w:p>
        </w:tc>
        <w:tc>
          <w:tcPr>
            <w:tcW w:w="4187" w:type="dxa"/>
            <w:gridSpan w:val="5"/>
            <w:vAlign w:val="center"/>
          </w:tcPr>
          <w:p>
            <w:pPr>
              <w:spacing w:line="280" w:lineRule="exact"/>
              <w:rPr>
                <w:color w:val="000000"/>
                <w:sz w:val="18"/>
                <w:szCs w:val="18"/>
              </w:rPr>
            </w:pPr>
          </w:p>
        </w:tc>
      </w:tr>
      <w:tr>
        <w:tblPrEx>
          <w:tblCellMar>
            <w:top w:w="0" w:type="dxa"/>
            <w:left w:w="108" w:type="dxa"/>
            <w:bottom w:w="0" w:type="dxa"/>
            <w:right w:w="108" w:type="dxa"/>
          </w:tblCellMar>
        </w:tblPrEx>
        <w:trPr>
          <w:trHeight w:val="272" w:hRule="atLeast"/>
          <w:jc w:val="center"/>
        </w:trPr>
        <w:tc>
          <w:tcPr>
            <w:tcW w:w="1173" w:type="dxa"/>
            <w:gridSpan w:val="3"/>
            <w:vAlign w:val="center"/>
          </w:tcPr>
          <w:p>
            <w:pPr>
              <w:spacing w:line="280" w:lineRule="exact"/>
              <w:rPr>
                <w:color w:val="000000"/>
                <w:szCs w:val="21"/>
              </w:rPr>
            </w:pPr>
            <w:r>
              <w:rPr>
                <w:rFonts w:hint="eastAsia" w:ascii="宋体" w:hAnsi="宋体"/>
                <w:color w:val="000000"/>
                <w:szCs w:val="21"/>
              </w:rPr>
              <w:t>邮政编码：</w:t>
            </w:r>
          </w:p>
        </w:tc>
        <w:tc>
          <w:tcPr>
            <w:tcW w:w="3800" w:type="dxa"/>
            <w:gridSpan w:val="3"/>
            <w:vAlign w:val="center"/>
          </w:tcPr>
          <w:p>
            <w:pPr>
              <w:spacing w:line="280" w:lineRule="exact"/>
              <w:rPr>
                <w:color w:val="000000"/>
                <w:szCs w:val="21"/>
              </w:rPr>
            </w:pPr>
          </w:p>
        </w:tc>
        <w:tc>
          <w:tcPr>
            <w:tcW w:w="1170" w:type="dxa"/>
            <w:gridSpan w:val="3"/>
            <w:vAlign w:val="center"/>
          </w:tcPr>
          <w:p>
            <w:pPr>
              <w:spacing w:line="280" w:lineRule="exact"/>
              <w:rPr>
                <w:color w:val="000000"/>
                <w:szCs w:val="21"/>
              </w:rPr>
            </w:pPr>
            <w:r>
              <w:rPr>
                <w:rFonts w:hint="eastAsia" w:ascii="宋体" w:hAnsi="宋体"/>
                <w:color w:val="000000"/>
                <w:szCs w:val="21"/>
              </w:rPr>
              <w:t>邮政编码：</w:t>
            </w:r>
          </w:p>
        </w:tc>
        <w:tc>
          <w:tcPr>
            <w:tcW w:w="3799"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58" w:hRule="atLeast"/>
          <w:jc w:val="center"/>
        </w:trPr>
        <w:tc>
          <w:tcPr>
            <w:tcW w:w="2538"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35" w:type="dxa"/>
            <w:vAlign w:val="center"/>
          </w:tcPr>
          <w:p>
            <w:pPr>
              <w:spacing w:line="280" w:lineRule="exact"/>
              <w:rPr>
                <w:color w:val="000000"/>
                <w:szCs w:val="21"/>
              </w:rPr>
            </w:pPr>
          </w:p>
        </w:tc>
        <w:tc>
          <w:tcPr>
            <w:tcW w:w="2537"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33" w:type="dxa"/>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975" w:type="dxa"/>
            <w:gridSpan w:val="2"/>
            <w:vAlign w:val="center"/>
          </w:tcPr>
          <w:p>
            <w:pPr>
              <w:spacing w:line="280" w:lineRule="exact"/>
              <w:rPr>
                <w:color w:val="000000"/>
                <w:szCs w:val="21"/>
              </w:rPr>
            </w:pPr>
            <w:r>
              <w:rPr>
                <w:rFonts w:hint="eastAsia" w:ascii="宋体" w:hAnsi="宋体"/>
                <w:color w:val="000000"/>
                <w:szCs w:val="21"/>
              </w:rPr>
              <w:t>经办人：</w:t>
            </w:r>
          </w:p>
        </w:tc>
        <w:tc>
          <w:tcPr>
            <w:tcW w:w="3998" w:type="dxa"/>
            <w:gridSpan w:val="4"/>
            <w:vAlign w:val="center"/>
          </w:tcPr>
          <w:p>
            <w:pPr>
              <w:spacing w:line="280" w:lineRule="exact"/>
              <w:rPr>
                <w:color w:val="000000"/>
                <w:szCs w:val="21"/>
              </w:rPr>
            </w:pPr>
          </w:p>
        </w:tc>
        <w:tc>
          <w:tcPr>
            <w:tcW w:w="977" w:type="dxa"/>
            <w:gridSpan w:val="2"/>
            <w:vAlign w:val="center"/>
          </w:tcPr>
          <w:p>
            <w:pPr>
              <w:spacing w:line="280" w:lineRule="exact"/>
              <w:rPr>
                <w:color w:val="000000"/>
                <w:szCs w:val="21"/>
              </w:rPr>
            </w:pPr>
            <w:r>
              <w:rPr>
                <w:rFonts w:hint="eastAsia" w:ascii="宋体" w:hAnsi="宋体"/>
                <w:color w:val="000000"/>
                <w:szCs w:val="21"/>
              </w:rPr>
              <w:t>经办人：</w:t>
            </w:r>
          </w:p>
        </w:tc>
        <w:tc>
          <w:tcPr>
            <w:tcW w:w="3992" w:type="dxa"/>
            <w:gridSpan w:val="4"/>
            <w:vAlign w:val="center"/>
          </w:tcPr>
          <w:p>
            <w:pPr>
              <w:spacing w:line="280" w:lineRule="exact"/>
              <w:rPr>
                <w:color w:val="000000"/>
                <w:szCs w:val="21"/>
              </w:rPr>
            </w:pPr>
          </w:p>
        </w:tc>
      </w:tr>
      <w:tr>
        <w:tblPrEx>
          <w:tblCellMar>
            <w:top w:w="0" w:type="dxa"/>
            <w:left w:w="108" w:type="dxa"/>
            <w:bottom w:w="0" w:type="dxa"/>
            <w:right w:w="108" w:type="dxa"/>
          </w:tblCellMar>
        </w:tblPrEx>
        <w:trPr>
          <w:trHeight w:val="106" w:hRule="atLeast"/>
          <w:jc w:val="center"/>
        </w:trPr>
        <w:tc>
          <w:tcPr>
            <w:tcW w:w="783" w:type="dxa"/>
            <w:vAlign w:val="center"/>
          </w:tcPr>
          <w:p>
            <w:pPr>
              <w:spacing w:line="280" w:lineRule="exact"/>
              <w:rPr>
                <w:color w:val="000000"/>
                <w:szCs w:val="21"/>
              </w:rPr>
            </w:pPr>
            <w:r>
              <w:rPr>
                <w:rFonts w:hint="eastAsia" w:ascii="宋体" w:hAnsi="宋体"/>
                <w:color w:val="000000"/>
                <w:szCs w:val="21"/>
              </w:rPr>
              <w:t>电话：</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电话：</w:t>
            </w:r>
          </w:p>
        </w:tc>
        <w:tc>
          <w:tcPr>
            <w:tcW w:w="4187"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传真：</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传真：</w:t>
            </w:r>
          </w:p>
        </w:tc>
        <w:tc>
          <w:tcPr>
            <w:tcW w:w="4187"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1173" w:type="dxa"/>
            <w:gridSpan w:val="3"/>
            <w:vAlign w:val="center"/>
          </w:tcPr>
          <w:p>
            <w:pPr>
              <w:spacing w:line="280" w:lineRule="exact"/>
              <w:rPr>
                <w:color w:val="000000"/>
                <w:szCs w:val="21"/>
              </w:rPr>
            </w:pPr>
            <w:r>
              <w:rPr>
                <w:rFonts w:hint="eastAsia" w:ascii="宋体" w:hAnsi="宋体"/>
                <w:color w:val="000000"/>
                <w:szCs w:val="21"/>
              </w:rPr>
              <w:t>电子邮箱：</w:t>
            </w:r>
          </w:p>
        </w:tc>
        <w:tc>
          <w:tcPr>
            <w:tcW w:w="3800" w:type="dxa"/>
            <w:gridSpan w:val="3"/>
            <w:vAlign w:val="center"/>
          </w:tcPr>
          <w:p>
            <w:pPr>
              <w:spacing w:line="280" w:lineRule="exact"/>
              <w:rPr>
                <w:color w:val="000000"/>
                <w:szCs w:val="21"/>
              </w:rPr>
            </w:pPr>
          </w:p>
        </w:tc>
        <w:tc>
          <w:tcPr>
            <w:tcW w:w="1170" w:type="dxa"/>
            <w:gridSpan w:val="3"/>
            <w:vAlign w:val="center"/>
          </w:tcPr>
          <w:p>
            <w:pPr>
              <w:spacing w:line="280" w:lineRule="exact"/>
              <w:rPr>
                <w:color w:val="000000"/>
                <w:szCs w:val="21"/>
              </w:rPr>
            </w:pPr>
            <w:r>
              <w:rPr>
                <w:rFonts w:hint="eastAsia" w:ascii="宋体" w:hAnsi="宋体"/>
                <w:color w:val="000000"/>
                <w:szCs w:val="21"/>
              </w:rPr>
              <w:t>电子邮箱：</w:t>
            </w:r>
          </w:p>
        </w:tc>
        <w:tc>
          <w:tcPr>
            <w:tcW w:w="3799" w:type="dxa"/>
            <w:gridSpan w:val="3"/>
            <w:vAlign w:val="center"/>
          </w:tcPr>
          <w:p>
            <w:pPr>
              <w:spacing w:line="280" w:lineRule="exact"/>
              <w:rPr>
                <w:color w:val="000000"/>
                <w:szCs w:val="21"/>
              </w:rPr>
            </w:pPr>
            <w:r>
              <w:rPr>
                <w:rFonts w:hint="eastAsia" w:ascii="宋体" w:hAnsi="宋体"/>
                <w:color w:val="000000"/>
                <w:sz w:val="24"/>
              </w:rPr>
              <w:t>wzcgb@fjpec.com.cn</w:t>
            </w:r>
          </w:p>
        </w:tc>
      </w:tr>
      <w:tr>
        <w:tblPrEx>
          <w:tblCellMar>
            <w:top w:w="0" w:type="dxa"/>
            <w:left w:w="108" w:type="dxa"/>
            <w:bottom w:w="0" w:type="dxa"/>
            <w:right w:w="108" w:type="dxa"/>
          </w:tblCellMar>
        </w:tblPrEx>
        <w:trPr>
          <w:trHeight w:val="258" w:hRule="atLeast"/>
          <w:jc w:val="center"/>
        </w:trPr>
        <w:tc>
          <w:tcPr>
            <w:tcW w:w="1173" w:type="dxa"/>
            <w:gridSpan w:val="3"/>
            <w:vAlign w:val="center"/>
          </w:tcPr>
          <w:p>
            <w:pPr>
              <w:spacing w:line="280" w:lineRule="exact"/>
              <w:rPr>
                <w:color w:val="000000"/>
                <w:szCs w:val="21"/>
              </w:rPr>
            </w:pPr>
            <w:r>
              <w:rPr>
                <w:rFonts w:hint="eastAsia" w:ascii="宋体" w:hAnsi="宋体"/>
                <w:color w:val="000000"/>
                <w:szCs w:val="21"/>
              </w:rPr>
              <w:t>开户银行：</w:t>
            </w:r>
          </w:p>
        </w:tc>
        <w:tc>
          <w:tcPr>
            <w:tcW w:w="3800" w:type="dxa"/>
            <w:gridSpan w:val="3"/>
            <w:vAlign w:val="center"/>
          </w:tcPr>
          <w:p>
            <w:pPr>
              <w:spacing w:line="280" w:lineRule="exact"/>
              <w:rPr>
                <w:color w:val="000000"/>
                <w:szCs w:val="21"/>
              </w:rPr>
            </w:pPr>
          </w:p>
        </w:tc>
        <w:tc>
          <w:tcPr>
            <w:tcW w:w="1170" w:type="dxa"/>
            <w:gridSpan w:val="3"/>
            <w:vAlign w:val="center"/>
          </w:tcPr>
          <w:p>
            <w:pPr>
              <w:spacing w:line="280" w:lineRule="exact"/>
              <w:rPr>
                <w:color w:val="000000"/>
                <w:szCs w:val="21"/>
              </w:rPr>
            </w:pPr>
            <w:r>
              <w:rPr>
                <w:rFonts w:hint="eastAsia" w:ascii="宋体" w:hAnsi="宋体"/>
                <w:color w:val="000000"/>
                <w:szCs w:val="21"/>
              </w:rPr>
              <w:t>开户银行：</w:t>
            </w:r>
          </w:p>
        </w:tc>
        <w:tc>
          <w:tcPr>
            <w:tcW w:w="3799"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帐号：</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帐号：</w:t>
            </w:r>
          </w:p>
        </w:tc>
        <w:tc>
          <w:tcPr>
            <w:tcW w:w="4187"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72" w:hRule="atLeast"/>
          <w:jc w:val="center"/>
        </w:trPr>
        <w:tc>
          <w:tcPr>
            <w:tcW w:w="783" w:type="dxa"/>
            <w:vAlign w:val="center"/>
          </w:tcPr>
          <w:p>
            <w:pPr>
              <w:spacing w:line="280" w:lineRule="exact"/>
              <w:rPr>
                <w:color w:val="000000"/>
                <w:szCs w:val="21"/>
              </w:rPr>
            </w:pPr>
            <w:r>
              <w:rPr>
                <w:rFonts w:hint="eastAsia" w:ascii="宋体" w:hAnsi="宋体"/>
                <w:color w:val="000000"/>
                <w:szCs w:val="21"/>
              </w:rPr>
              <w:t>税号：</w:t>
            </w:r>
          </w:p>
        </w:tc>
        <w:tc>
          <w:tcPr>
            <w:tcW w:w="4190" w:type="dxa"/>
            <w:gridSpan w:val="5"/>
            <w:vAlign w:val="center"/>
          </w:tcPr>
          <w:p>
            <w:pPr>
              <w:spacing w:line="280" w:lineRule="exact"/>
              <w:rPr>
                <w:color w:val="000000"/>
                <w:szCs w:val="21"/>
              </w:rPr>
            </w:pPr>
          </w:p>
        </w:tc>
        <w:tc>
          <w:tcPr>
            <w:tcW w:w="782" w:type="dxa"/>
            <w:vAlign w:val="center"/>
          </w:tcPr>
          <w:p>
            <w:pPr>
              <w:spacing w:line="280" w:lineRule="exact"/>
              <w:rPr>
                <w:color w:val="000000"/>
                <w:szCs w:val="21"/>
              </w:rPr>
            </w:pPr>
            <w:r>
              <w:rPr>
                <w:rFonts w:hint="eastAsia" w:ascii="宋体" w:hAnsi="宋体"/>
                <w:color w:val="000000"/>
                <w:szCs w:val="21"/>
              </w:rPr>
              <w:t>税号：</w:t>
            </w:r>
          </w:p>
        </w:tc>
        <w:tc>
          <w:tcPr>
            <w:tcW w:w="4187" w:type="dxa"/>
            <w:gridSpan w:val="5"/>
            <w:vAlign w:val="center"/>
          </w:tcPr>
          <w:p>
            <w:pPr>
              <w:spacing w:line="280" w:lineRule="exact"/>
              <w:rPr>
                <w:color w:val="000000"/>
                <w:szCs w:val="21"/>
              </w:rPr>
            </w:pPr>
          </w:p>
        </w:tc>
      </w:tr>
    </w:tbl>
    <w:p>
      <w:pPr>
        <w:spacing w:line="220" w:lineRule="exact"/>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10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3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叁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贰   </w:t>
      </w:r>
      <w:r>
        <w:rPr>
          <w:rFonts w:hint="eastAsia" w:ascii="宋体" w:hAnsi="宋体"/>
          <w:color w:val="000000"/>
          <w:szCs w:val="21"/>
        </w:rPr>
        <w:t>笔订单，需方有权解除合同。</w:t>
      </w:r>
    </w:p>
    <w:p>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pPr>
        <w:spacing w:line="300" w:lineRule="exact"/>
        <w:ind w:firstLine="420" w:firstLineChars="200"/>
        <w:rPr>
          <w:rFonts w:ascii="宋体" w:hAnsi="宋体"/>
          <w:color w:val="000000"/>
          <w:szCs w:val="21"/>
        </w:rPr>
      </w:pPr>
      <w:r>
        <w:rPr>
          <w:rFonts w:hint="eastAsia" w:ascii="宋体" w:hAnsi="宋体"/>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color w:val="000000"/>
          <w:szCs w:val="21"/>
        </w:rPr>
      </w:pPr>
      <w:r>
        <w:rPr>
          <w:rFonts w:hint="eastAsia" w:ascii="宋体" w:hAnsi="宋体"/>
          <w:color w:val="000000"/>
          <w:szCs w:val="21"/>
        </w:rPr>
        <w:t>5.其他</w:t>
      </w:r>
      <w:r>
        <w:rPr>
          <w:rFonts w:hint="eastAsia"/>
          <w:color w:val="000000"/>
          <w:szCs w:val="21"/>
        </w:rPr>
        <w:t xml:space="preserve">约定事项： </w:t>
      </w:r>
    </w:p>
    <w:p>
      <w:pPr>
        <w:ind w:firstLine="480" w:firstLineChars="200"/>
        <w:rPr>
          <w:rFonts w:ascii="宋体" w:hAnsi="宋体"/>
          <w:color w:val="000000"/>
          <w:sz w:val="24"/>
        </w:rPr>
      </w:pPr>
      <w:r>
        <w:rPr>
          <w:rFonts w:hint="eastAsia" w:ascii="宋体" w:hAnsi="宋体"/>
          <w:color w:val="000000"/>
          <w:sz w:val="24"/>
        </w:rPr>
        <w:t>（1）为规范供需双方业务交流，双方约定通过以下指定邮箱进行业务联系</w:t>
      </w:r>
    </w:p>
    <w:p>
      <w:pPr>
        <w:widowControl/>
        <w:shd w:val="clear" w:color="auto" w:fill="FFFFFF"/>
        <w:ind w:left="300" w:right="300" w:firstLine="960" w:firstLineChars="400"/>
        <w:jc w:val="left"/>
        <w:rPr>
          <w:rFonts w:ascii="宋体" w:hAnsi="宋体"/>
          <w:color w:val="000000"/>
          <w:sz w:val="24"/>
        </w:rPr>
      </w:pPr>
      <w:r>
        <w:rPr>
          <w:rFonts w:hint="eastAsia" w:ascii="宋体" w:hAnsi="宋体"/>
          <w:color w:val="000000"/>
          <w:sz w:val="24"/>
        </w:rPr>
        <w:t xml:space="preserve">供方：               </w:t>
      </w:r>
      <w:r>
        <w:rPr>
          <w:rFonts w:hint="eastAsia" w:ascii="宋体" w:hAnsi="宋体"/>
          <w:color w:val="000000"/>
          <w:sz w:val="24"/>
          <w:lang w:val="en-US" w:eastAsia="zh-CN"/>
        </w:rPr>
        <w:t xml:space="preserve">   </w:t>
      </w:r>
      <w:r>
        <w:rPr>
          <w:rFonts w:hint="eastAsia" w:ascii="宋体" w:hAnsi="宋体"/>
          <w:color w:val="000000"/>
          <w:sz w:val="24"/>
        </w:rPr>
        <w:t xml:space="preserve">需方：wzcgb@fjpec.com.cn </w:t>
      </w:r>
    </w:p>
    <w:p>
      <w:pPr>
        <w:widowControl/>
        <w:shd w:val="clear" w:color="auto" w:fill="FFFFFF"/>
        <w:ind w:right="300" w:firstLine="480" w:firstLineChars="200"/>
        <w:jc w:val="left"/>
        <w:rPr>
          <w:rFonts w:ascii="宋体" w:hAnsi="宋体"/>
          <w:color w:val="000000"/>
          <w:sz w:val="24"/>
        </w:rPr>
      </w:pPr>
      <w:r>
        <w:rPr>
          <w:rFonts w:hint="eastAsia" w:ascii="宋体" w:hAnsi="宋体"/>
          <w:color w:val="000000"/>
          <w:sz w:val="24"/>
        </w:rPr>
        <w:t>（2）含税单价含13%增值税，含送到工厂运费，一票结算。</w:t>
      </w:r>
    </w:p>
    <w:p>
      <w:pPr>
        <w:widowControl/>
        <w:shd w:val="clear" w:color="auto" w:fill="FFFFFF"/>
        <w:ind w:left="300" w:right="300"/>
        <w:jc w:val="both"/>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（3）指标要求：</w:t>
      </w:r>
    </w:p>
    <w:p>
      <w:pPr>
        <w:widowControl/>
        <w:shd w:val="clear" w:color="auto" w:fill="FFFFFF"/>
        <w:ind w:left="300" w:right="300"/>
        <w:jc w:val="both"/>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1、</w:t>
      </w:r>
      <w:r>
        <w:rPr>
          <w:rFonts w:ascii="宋体" w:hAnsi="宋体"/>
          <w:color w:val="000000"/>
          <w:sz w:val="24"/>
        </w:rPr>
        <w:t>质量标准执行：液体无水氨（GB/T536-2017）中的合格品。</w:t>
      </w:r>
    </w:p>
    <w:p>
      <w:pPr>
        <w:numPr>
          <w:ilvl w:val="0"/>
          <w:numId w:val="0"/>
        </w:numPr>
        <w:spacing w:line="360" w:lineRule="exact"/>
        <w:jc w:val="both"/>
        <w:rPr>
          <w:rFonts w:ascii="宋体" w:hAnsi="宋体" w:cs="宋体"/>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2</w:t>
      </w:r>
      <w:r>
        <w:rPr>
          <w:rFonts w:ascii="宋体" w:hAnsi="宋体"/>
          <w:color w:val="000000"/>
          <w:sz w:val="24"/>
        </w:rPr>
        <w:t>、</w:t>
      </w:r>
      <w:r>
        <w:rPr>
          <w:rFonts w:hint="eastAsia" w:ascii="宋体" w:hAnsi="宋体" w:cs="宋体"/>
          <w:sz w:val="24"/>
        </w:rPr>
        <w:t>我司提</w:t>
      </w:r>
      <w:r>
        <w:rPr>
          <w:rFonts w:hint="eastAsia" w:ascii="宋体" w:hAnsi="宋体" w:cs="宋体"/>
          <w:sz w:val="24"/>
          <w:lang w:val="en-US" w:eastAsia="zh-CN"/>
        </w:rPr>
        <w:t>前</w:t>
      </w:r>
      <w:r>
        <w:rPr>
          <w:rFonts w:hint="eastAsia" w:ascii="宋体" w:hAnsi="宋体" w:cs="宋体"/>
          <w:sz w:val="24"/>
        </w:rPr>
        <w:t>三天通知</w:t>
      </w:r>
      <w:r>
        <w:rPr>
          <w:rFonts w:hint="eastAsia" w:ascii="宋体" w:hAnsi="宋体" w:cs="宋体"/>
          <w:sz w:val="24"/>
          <w:lang w:val="en-US" w:eastAsia="zh-CN"/>
        </w:rPr>
        <w:t>供应</w:t>
      </w:r>
      <w:r>
        <w:rPr>
          <w:rFonts w:hint="eastAsia" w:ascii="宋体" w:hAnsi="宋体" w:cs="宋体"/>
          <w:sz w:val="24"/>
        </w:rPr>
        <w:t>商，</w:t>
      </w:r>
      <w:r>
        <w:rPr>
          <w:rFonts w:hint="eastAsia" w:ascii="宋体" w:hAnsi="宋体" w:cs="宋体"/>
          <w:sz w:val="24"/>
          <w:lang w:val="en-US" w:eastAsia="zh-CN"/>
        </w:rPr>
        <w:t>供应</w:t>
      </w:r>
      <w:r>
        <w:rPr>
          <w:rFonts w:hint="eastAsia" w:ascii="宋体" w:hAnsi="宋体" w:cs="宋体"/>
          <w:sz w:val="24"/>
        </w:rPr>
        <w:t>商带液氨瓶来我司进行配氨</w:t>
      </w:r>
      <w:r>
        <w:rPr>
          <w:rFonts w:hint="eastAsia" w:ascii="宋体" w:hAnsi="宋体" w:cs="宋体"/>
          <w:sz w:val="24"/>
          <w:lang w:eastAsia="zh-CN"/>
        </w:rPr>
        <w:t>。</w:t>
      </w:r>
      <w:r>
        <w:rPr>
          <w:rFonts w:hint="eastAsia" w:ascii="宋体" w:hAnsi="宋体" w:cs="宋体"/>
          <w:sz w:val="24"/>
        </w:rPr>
        <w:t>每个月不超过4次，每次加氨量在40～60kg之间</w:t>
      </w:r>
      <w:r>
        <w:rPr>
          <w:rFonts w:hint="eastAsia" w:ascii="宋体" w:hAnsi="宋体" w:cs="宋体"/>
          <w:sz w:val="24"/>
          <w:lang w:eastAsia="zh-CN"/>
        </w:rPr>
        <w:t>。（</w:t>
      </w:r>
      <w:r>
        <w:rPr>
          <w:rFonts w:hint="eastAsia" w:ascii="宋体" w:hAnsi="宋体" w:cs="宋体"/>
          <w:sz w:val="24"/>
          <w:lang w:val="en-US" w:eastAsia="zh-CN"/>
        </w:rPr>
        <w:t>次数与液氨量为预估，按实际液氨量结算）</w:t>
      </w:r>
    </w:p>
    <w:p>
      <w:pPr>
        <w:widowControl/>
        <w:shd w:val="clear" w:color="auto" w:fill="FFFFFF"/>
        <w:spacing w:line="330" w:lineRule="atLeast"/>
        <w:ind w:right="300" w:firstLine="720" w:firstLineChars="300"/>
        <w:jc w:val="both"/>
        <w:rPr>
          <w:rFonts w:ascii="宋体" w:hAnsi="宋体"/>
          <w:color w:val="000000"/>
          <w:sz w:val="24"/>
        </w:rPr>
      </w:pPr>
      <w:r>
        <w:rPr>
          <w:rFonts w:hint="eastAsia" w:ascii="宋体" w:hAnsi="宋体"/>
          <w:color w:val="000000"/>
          <w:sz w:val="24"/>
        </w:rPr>
        <w:t>3、配氨过程中，承包商应采取相应的安全措施，遵守国家相关规范及我司相关的制度。</w:t>
      </w:r>
    </w:p>
    <w:p>
      <w:pPr>
        <w:ind w:left="630" w:hanging="630" w:hangingChars="300"/>
        <w:jc w:val="both"/>
      </w:pPr>
      <w:r>
        <w:rPr>
          <w:rFonts w:hint="eastAsia"/>
        </w:rPr>
        <w:t xml:space="preserve">  </w:t>
      </w:r>
      <w:r>
        <w:rPr>
          <w:rFonts w:hint="eastAsia" w:ascii="宋体" w:hAnsi="宋体"/>
          <w:color w:val="000000"/>
          <w:sz w:val="24"/>
        </w:rPr>
        <w:t xml:space="preserve">  （4）如供方出现合同第二部分第十一条违约情形的，需方有权扣除履约保证金，履约保证金不足时，供应商应及时补足。履约保证金</w:t>
      </w:r>
      <w:r>
        <w:rPr>
          <w:rFonts w:hint="eastAsia" w:ascii="宋体" w:hAnsi="宋体"/>
          <w:color w:val="000000"/>
          <w:sz w:val="24"/>
          <w:lang w:val="en-US" w:eastAsia="zh-CN"/>
        </w:rPr>
        <w:t>4</w:t>
      </w:r>
      <w:r>
        <w:rPr>
          <w:rFonts w:hint="eastAsia" w:ascii="宋体" w:hAnsi="宋体"/>
          <w:color w:val="000000"/>
          <w:sz w:val="24"/>
        </w:rPr>
        <w:t>000元在合同履行完毕后予以无息退还保证金本金。</w:t>
      </w:r>
    </w:p>
    <w:p>
      <w:pPr>
        <w:spacing w:line="220" w:lineRule="exact"/>
        <w:ind w:firstLine="360" w:firstLineChars="200"/>
        <w:rPr>
          <w:color w:val="000000"/>
          <w:sz w:val="18"/>
          <w:szCs w:val="18"/>
        </w:rPr>
      </w:pPr>
    </w:p>
    <w:p/>
    <w:p>
      <w:pPr>
        <w:widowControl/>
        <w:shd w:val="clear" w:color="auto" w:fill="FFFFFF"/>
        <w:ind w:left="300" w:right="300"/>
        <w:jc w:val="left"/>
        <w:rPr>
          <w:rFonts w:hint="eastAsia" w:ascii="Arial" w:hAnsi="Arial" w:eastAsia="宋体" w:cs="Arial"/>
          <w:color w:val="111111"/>
          <w:kern w:val="0"/>
          <w:sz w:val="28"/>
          <w:szCs w:val="28"/>
          <w:lang w:eastAsia="zh-CN"/>
        </w:rPr>
      </w:pPr>
      <w:r>
        <w:rPr>
          <w:rFonts w:hint="eastAsia" w:ascii="Arial" w:hAnsi="Arial" w:eastAsia="宋体" w:cs="Arial"/>
          <w:color w:val="111111"/>
          <w:kern w:val="0"/>
          <w:sz w:val="28"/>
          <w:szCs w:val="28"/>
          <w:lang w:eastAsia="zh-CN"/>
        </w:rPr>
        <w:drawing>
          <wp:inline distT="0" distB="0" distL="114300" distR="114300">
            <wp:extent cx="5272405" cy="3644265"/>
            <wp:effectExtent l="0" t="0" r="4445" b="13335"/>
            <wp:docPr id="2" name="图片 2" descr="液氨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液氨质量规范"/>
                    <pic:cNvPicPr>
                      <a:picLocks noChangeAspect="1"/>
                    </pic:cNvPicPr>
                  </pic:nvPicPr>
                  <pic:blipFill>
                    <a:blip r:embed="rId5"/>
                    <a:stretch>
                      <a:fillRect/>
                    </a:stretch>
                  </pic:blipFill>
                  <pic:spPr>
                    <a:xfrm>
                      <a:off x="0" y="0"/>
                      <a:ext cx="5272405" cy="3644265"/>
                    </a:xfrm>
                    <a:prstGeom prst="rect">
                      <a:avLst/>
                    </a:prstGeom>
                  </pic:spPr>
                </pic:pic>
              </a:graphicData>
            </a:graphic>
          </wp:inline>
        </w:drawing>
      </w:r>
    </w:p>
    <w:p>
      <w:pPr>
        <w:spacing w:line="360" w:lineRule="auto"/>
        <w:jc w:val="center"/>
        <w:rPr>
          <w:rFonts w:ascii="宋体" w:hAnsi="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15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DC1F7"/>
    <w:multiLevelType w:val="singleLevel"/>
    <w:tmpl w:val="896DC1F7"/>
    <w:lvl w:ilvl="0" w:tentative="0">
      <w:start w:val="1"/>
      <w:numFmt w:val="decimal"/>
      <w:lvlText w:val="%1."/>
      <w:lvlJc w:val="left"/>
      <w:pPr>
        <w:tabs>
          <w:tab w:val="left" w:pos="312"/>
        </w:tabs>
      </w:pPr>
    </w:lvl>
  </w:abstractNum>
  <w:abstractNum w:abstractNumId="1">
    <w:nsid w:val="AD5C9141"/>
    <w:multiLevelType w:val="singleLevel"/>
    <w:tmpl w:val="AD5C9141"/>
    <w:lvl w:ilvl="0" w:tentative="0">
      <w:start w:val="6"/>
      <w:numFmt w:val="decimal"/>
      <w:lvlText w:val="%1."/>
      <w:lvlJc w:val="left"/>
      <w:pPr>
        <w:tabs>
          <w:tab w:val="left" w:pos="312"/>
        </w:tabs>
      </w:pPr>
    </w:lvl>
  </w:abstractNum>
  <w:abstractNum w:abstractNumId="2">
    <w:nsid w:val="00000014"/>
    <w:multiLevelType w:val="singleLevel"/>
    <w:tmpl w:val="00000014"/>
    <w:lvl w:ilvl="0" w:tentative="0">
      <w:start w:val="1"/>
      <w:numFmt w:val="decimal"/>
      <w:suff w:val="nothing"/>
      <w:lvlText w:val="%1."/>
      <w:lvlJc w:val="left"/>
      <w:rPr>
        <w:rFonts w:cs="Times New Roman"/>
      </w:rPr>
    </w:lvl>
  </w:abstractNum>
  <w:abstractNum w:abstractNumId="3">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0">
    <w:nsid w:val="7C1CF009"/>
    <w:multiLevelType w:val="singleLevel"/>
    <w:tmpl w:val="7C1CF009"/>
    <w:lvl w:ilvl="0" w:tentative="0">
      <w:start w:val="1"/>
      <w:numFmt w:val="chineseCounting"/>
      <w:suff w:val="space"/>
      <w:lvlText w:val="%1、"/>
      <w:lvlJc w:val="left"/>
      <w:rPr>
        <w:rFonts w:hint="eastAsia"/>
      </w:rPr>
    </w:lvl>
  </w:abstractNum>
  <w:num w:numId="1">
    <w:abstractNumId w:val="8"/>
  </w:num>
  <w:num w:numId="2">
    <w:abstractNumId w:val="3"/>
  </w:num>
  <w:num w:numId="3">
    <w:abstractNumId w:val="9"/>
  </w:num>
  <w:num w:numId="4">
    <w:abstractNumId w:val="5"/>
  </w:num>
  <w:num w:numId="5">
    <w:abstractNumId w:val="4"/>
  </w:num>
  <w:num w:numId="6">
    <w:abstractNumId w:val="0"/>
  </w:num>
  <w:num w:numId="7">
    <w:abstractNumId w:val="1"/>
  </w:num>
  <w:num w:numId="8">
    <w:abstractNumId w:val="2"/>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AD9"/>
    <w:rsid w:val="000656EF"/>
    <w:rsid w:val="000754C9"/>
    <w:rsid w:val="00082B67"/>
    <w:rsid w:val="00092647"/>
    <w:rsid w:val="000D09B7"/>
    <w:rsid w:val="000D61A2"/>
    <w:rsid w:val="00116250"/>
    <w:rsid w:val="00120905"/>
    <w:rsid w:val="00120F78"/>
    <w:rsid w:val="00135D9F"/>
    <w:rsid w:val="001874D1"/>
    <w:rsid w:val="00192C72"/>
    <w:rsid w:val="001C0D58"/>
    <w:rsid w:val="001E1D95"/>
    <w:rsid w:val="001F6D26"/>
    <w:rsid w:val="00211FD4"/>
    <w:rsid w:val="002220DC"/>
    <w:rsid w:val="00222F26"/>
    <w:rsid w:val="002243D8"/>
    <w:rsid w:val="00231DE0"/>
    <w:rsid w:val="002509CE"/>
    <w:rsid w:val="00255FEE"/>
    <w:rsid w:val="002D4525"/>
    <w:rsid w:val="00312373"/>
    <w:rsid w:val="00313BE4"/>
    <w:rsid w:val="003427A5"/>
    <w:rsid w:val="00346315"/>
    <w:rsid w:val="00385016"/>
    <w:rsid w:val="003869EF"/>
    <w:rsid w:val="00397560"/>
    <w:rsid w:val="003F15BE"/>
    <w:rsid w:val="0042075D"/>
    <w:rsid w:val="00442DFC"/>
    <w:rsid w:val="004C7BC1"/>
    <w:rsid w:val="004E674A"/>
    <w:rsid w:val="004F11C6"/>
    <w:rsid w:val="00503A59"/>
    <w:rsid w:val="005402C4"/>
    <w:rsid w:val="00556126"/>
    <w:rsid w:val="005B3F5F"/>
    <w:rsid w:val="005D2C72"/>
    <w:rsid w:val="005F34E4"/>
    <w:rsid w:val="005F756B"/>
    <w:rsid w:val="00631BC7"/>
    <w:rsid w:val="00647CA8"/>
    <w:rsid w:val="00692D55"/>
    <w:rsid w:val="00696213"/>
    <w:rsid w:val="006B0586"/>
    <w:rsid w:val="006E3113"/>
    <w:rsid w:val="006F28AA"/>
    <w:rsid w:val="006F7FBB"/>
    <w:rsid w:val="00706707"/>
    <w:rsid w:val="00734235"/>
    <w:rsid w:val="00747AAB"/>
    <w:rsid w:val="007730F9"/>
    <w:rsid w:val="0077638E"/>
    <w:rsid w:val="00785742"/>
    <w:rsid w:val="007B7244"/>
    <w:rsid w:val="007C2890"/>
    <w:rsid w:val="007C38E6"/>
    <w:rsid w:val="007D2656"/>
    <w:rsid w:val="007D4C09"/>
    <w:rsid w:val="007F1686"/>
    <w:rsid w:val="0082748B"/>
    <w:rsid w:val="00857A27"/>
    <w:rsid w:val="0086383F"/>
    <w:rsid w:val="0087235C"/>
    <w:rsid w:val="008A20B6"/>
    <w:rsid w:val="00907692"/>
    <w:rsid w:val="00923F52"/>
    <w:rsid w:val="009358BC"/>
    <w:rsid w:val="00954D39"/>
    <w:rsid w:val="00961747"/>
    <w:rsid w:val="00976A7D"/>
    <w:rsid w:val="00984C7C"/>
    <w:rsid w:val="009950AA"/>
    <w:rsid w:val="009A1584"/>
    <w:rsid w:val="009B70FB"/>
    <w:rsid w:val="009C2A92"/>
    <w:rsid w:val="009C7655"/>
    <w:rsid w:val="009D0428"/>
    <w:rsid w:val="00A04B37"/>
    <w:rsid w:val="00A13872"/>
    <w:rsid w:val="00A45A68"/>
    <w:rsid w:val="00A52ED3"/>
    <w:rsid w:val="00A56685"/>
    <w:rsid w:val="00A80D47"/>
    <w:rsid w:val="00AA544F"/>
    <w:rsid w:val="00AE3651"/>
    <w:rsid w:val="00B028EF"/>
    <w:rsid w:val="00B30CE7"/>
    <w:rsid w:val="00B46103"/>
    <w:rsid w:val="00B5040B"/>
    <w:rsid w:val="00B53948"/>
    <w:rsid w:val="00B724AA"/>
    <w:rsid w:val="00B74C6D"/>
    <w:rsid w:val="00B7777F"/>
    <w:rsid w:val="00B8204D"/>
    <w:rsid w:val="00B95564"/>
    <w:rsid w:val="00BB18F6"/>
    <w:rsid w:val="00BC05E9"/>
    <w:rsid w:val="00BD12E9"/>
    <w:rsid w:val="00BD38E6"/>
    <w:rsid w:val="00BE7F05"/>
    <w:rsid w:val="00BF5353"/>
    <w:rsid w:val="00C055C7"/>
    <w:rsid w:val="00C16757"/>
    <w:rsid w:val="00C62ADD"/>
    <w:rsid w:val="00C8724E"/>
    <w:rsid w:val="00C87717"/>
    <w:rsid w:val="00C94F75"/>
    <w:rsid w:val="00CB2C55"/>
    <w:rsid w:val="00CD1453"/>
    <w:rsid w:val="00D1381D"/>
    <w:rsid w:val="00D35986"/>
    <w:rsid w:val="00D436FD"/>
    <w:rsid w:val="00D577E0"/>
    <w:rsid w:val="00D679C0"/>
    <w:rsid w:val="00DB6F49"/>
    <w:rsid w:val="00DC6865"/>
    <w:rsid w:val="00DD1B37"/>
    <w:rsid w:val="00DF6F3A"/>
    <w:rsid w:val="00E25B0E"/>
    <w:rsid w:val="00E3679F"/>
    <w:rsid w:val="00E54E6F"/>
    <w:rsid w:val="00E55980"/>
    <w:rsid w:val="00E9190E"/>
    <w:rsid w:val="00EB32DE"/>
    <w:rsid w:val="00EC5BC5"/>
    <w:rsid w:val="00EF050E"/>
    <w:rsid w:val="00EF5988"/>
    <w:rsid w:val="00F22388"/>
    <w:rsid w:val="00F2653D"/>
    <w:rsid w:val="00F30784"/>
    <w:rsid w:val="00F564F6"/>
    <w:rsid w:val="00F70768"/>
    <w:rsid w:val="00F7626A"/>
    <w:rsid w:val="00F84C4A"/>
    <w:rsid w:val="00FB5EC1"/>
    <w:rsid w:val="00FE6E7A"/>
    <w:rsid w:val="016047F1"/>
    <w:rsid w:val="02ED11C2"/>
    <w:rsid w:val="046E24C0"/>
    <w:rsid w:val="04B935D9"/>
    <w:rsid w:val="065A3ABE"/>
    <w:rsid w:val="09BE1086"/>
    <w:rsid w:val="0DC42DE3"/>
    <w:rsid w:val="128D65FD"/>
    <w:rsid w:val="12DA6A3F"/>
    <w:rsid w:val="14D41D3A"/>
    <w:rsid w:val="19A01C25"/>
    <w:rsid w:val="22EA5E96"/>
    <w:rsid w:val="23065924"/>
    <w:rsid w:val="2496308D"/>
    <w:rsid w:val="2705681B"/>
    <w:rsid w:val="27295DF1"/>
    <w:rsid w:val="29AB7060"/>
    <w:rsid w:val="2A1C1569"/>
    <w:rsid w:val="2B334B90"/>
    <w:rsid w:val="2BB530D5"/>
    <w:rsid w:val="2F01153B"/>
    <w:rsid w:val="2F39477D"/>
    <w:rsid w:val="2F851524"/>
    <w:rsid w:val="30071591"/>
    <w:rsid w:val="32173910"/>
    <w:rsid w:val="35C03701"/>
    <w:rsid w:val="36DB0308"/>
    <w:rsid w:val="3856677A"/>
    <w:rsid w:val="3E6C54AA"/>
    <w:rsid w:val="3F5B575D"/>
    <w:rsid w:val="427E23AB"/>
    <w:rsid w:val="46AA57A4"/>
    <w:rsid w:val="479A005B"/>
    <w:rsid w:val="49114A90"/>
    <w:rsid w:val="497038CD"/>
    <w:rsid w:val="499A66C3"/>
    <w:rsid w:val="4CA84651"/>
    <w:rsid w:val="4D1F0E18"/>
    <w:rsid w:val="4ED445C9"/>
    <w:rsid w:val="4FD25CA0"/>
    <w:rsid w:val="508E6504"/>
    <w:rsid w:val="50FA6B69"/>
    <w:rsid w:val="518A6C52"/>
    <w:rsid w:val="51C17A2A"/>
    <w:rsid w:val="5393499D"/>
    <w:rsid w:val="542A50A2"/>
    <w:rsid w:val="55F36BED"/>
    <w:rsid w:val="56732B47"/>
    <w:rsid w:val="567355E1"/>
    <w:rsid w:val="58DA20C8"/>
    <w:rsid w:val="59C41AA5"/>
    <w:rsid w:val="5A066883"/>
    <w:rsid w:val="5A555D82"/>
    <w:rsid w:val="5B090F54"/>
    <w:rsid w:val="5B500161"/>
    <w:rsid w:val="5C8B0489"/>
    <w:rsid w:val="5E727DD7"/>
    <w:rsid w:val="61A00737"/>
    <w:rsid w:val="62024F58"/>
    <w:rsid w:val="63D52D78"/>
    <w:rsid w:val="64060447"/>
    <w:rsid w:val="651A5C4B"/>
    <w:rsid w:val="651C2DC8"/>
    <w:rsid w:val="6567306B"/>
    <w:rsid w:val="65B31BCC"/>
    <w:rsid w:val="65D606DA"/>
    <w:rsid w:val="67421F81"/>
    <w:rsid w:val="682E1F85"/>
    <w:rsid w:val="690A31E2"/>
    <w:rsid w:val="69F628F4"/>
    <w:rsid w:val="6A0D6288"/>
    <w:rsid w:val="6BC26511"/>
    <w:rsid w:val="6C693B68"/>
    <w:rsid w:val="6DCA619E"/>
    <w:rsid w:val="6E124A97"/>
    <w:rsid w:val="6F457884"/>
    <w:rsid w:val="7119579E"/>
    <w:rsid w:val="715537EE"/>
    <w:rsid w:val="72E24278"/>
    <w:rsid w:val="74A25915"/>
    <w:rsid w:val="75940C8C"/>
    <w:rsid w:val="777562CF"/>
    <w:rsid w:val="793377A2"/>
    <w:rsid w:val="7AE163FC"/>
    <w:rsid w:val="7B5C1973"/>
    <w:rsid w:val="7C1E3C2F"/>
    <w:rsid w:val="7E8902FA"/>
    <w:rsid w:val="7EC85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34"/>
    <w:pPr>
      <w:spacing w:before="206"/>
      <w:ind w:left="959" w:hanging="361"/>
    </w:pPr>
  </w:style>
  <w:style w:type="character" w:customStyle="1" w:styleId="10">
    <w:name w:val="cd_message"/>
    <w:basedOn w:val="8"/>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列出段落1"/>
    <w:basedOn w:val="1"/>
    <w:qFormat/>
    <w:uiPriority w:val="99"/>
    <w:pPr>
      <w:ind w:firstLine="420" w:firstLineChars="200"/>
    </w:pPr>
  </w:style>
  <w:style w:type="character" w:customStyle="1" w:styleId="13">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1651</Words>
  <Characters>9415</Characters>
  <Lines>78</Lines>
  <Paragraphs>22</Paragraphs>
  <TotalTime>20</TotalTime>
  <ScaleCrop>false</ScaleCrop>
  <LinksUpToDate>false</LinksUpToDate>
  <CharactersWithSpaces>11044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2023-12-05T03:10:33Z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4301300B046C4407A62C56C28E4BEBA8_13</vt:lpwstr>
  </property>
</Properties>
</file>