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b/>
          <w:sz w:val="32"/>
          <w:szCs w:val="32"/>
          <w:shd w:val="clear" w:color="auto" w:fill="FFFFFF"/>
          <w:lang w:eastAsia="zh-CN"/>
        </w:rPr>
        <w:t>环保气样、水样、土壤、热电厂油样</w:t>
      </w:r>
      <w:r>
        <w:rPr>
          <w:rFonts w:hint="eastAsia"/>
          <w:b/>
          <w:sz w:val="32"/>
          <w:szCs w:val="32"/>
          <w:shd w:val="clear" w:color="auto" w:fill="FFFFFF"/>
          <w:lang w:val="en-US" w:eastAsia="zh-CN"/>
        </w:rPr>
        <w:t>及</w:t>
      </w:r>
      <w:r>
        <w:rPr>
          <w:rFonts w:hint="eastAsia"/>
          <w:b/>
          <w:sz w:val="32"/>
          <w:szCs w:val="32"/>
          <w:shd w:val="clear" w:color="auto" w:fill="FFFFFF"/>
          <w:lang w:eastAsia="zh-CN"/>
        </w:rPr>
        <w:t>公用水气三剂分析</w:t>
      </w:r>
      <w:r>
        <w:rPr>
          <w:rFonts w:hint="eastAsia" w:ascii="微软雅黑" w:eastAsia="微软雅黑"/>
          <w:b/>
          <w:sz w:val="36"/>
          <w:szCs w:val="36"/>
          <w:lang w:eastAsia="zh-CN"/>
        </w:rPr>
        <w:t>年度检测项目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FHC-PTCG20231116001</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三</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pgBorders>
            <w:top w:val="none" w:sz="0" w:space="0"/>
            <w:left w:val="none" w:sz="0" w:space="0"/>
            <w:bottom w:val="none" w:sz="0" w:space="0"/>
            <w:right w:val="none" w:sz="0" w:space="0"/>
          </w:pgBorders>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6"/>
        <w:numPr>
          <w:ilvl w:val="0"/>
          <w:numId w:val="1"/>
        </w:numPr>
        <w:tabs>
          <w:tab w:val="left" w:pos="1272"/>
        </w:tabs>
        <w:spacing w:before="0" w:line="360" w:lineRule="auto"/>
        <w:ind w:left="0"/>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2024~2025年度</w:t>
      </w:r>
      <w:r>
        <w:rPr>
          <w:rFonts w:hint="eastAsia" w:asciiTheme="majorEastAsia" w:hAnsiTheme="majorEastAsia" w:eastAsiaTheme="majorEastAsia"/>
          <w:u w:val="single"/>
          <w:lang w:eastAsia="zh-CN"/>
        </w:rPr>
        <w:t>环保</w:t>
      </w:r>
      <w:r>
        <w:rPr>
          <w:rFonts w:hint="eastAsia"/>
          <w:u w:val="single"/>
          <w:shd w:val="clear" w:color="auto" w:fill="FFFFFF"/>
          <w:lang w:eastAsia="zh-CN"/>
        </w:rPr>
        <w:t>气样、水样、土壤、热电厂油样</w:t>
      </w:r>
      <w:r>
        <w:rPr>
          <w:rFonts w:hint="eastAsia"/>
          <w:u w:val="single"/>
          <w:shd w:val="clear" w:color="auto" w:fill="FFFFFF"/>
          <w:lang w:val="en-US" w:eastAsia="zh-CN"/>
        </w:rPr>
        <w:t>及</w:t>
      </w:r>
      <w:r>
        <w:rPr>
          <w:rFonts w:hint="eastAsia"/>
          <w:u w:val="single"/>
          <w:shd w:val="clear" w:color="auto" w:fill="FFFFFF"/>
          <w:lang w:eastAsia="zh-CN"/>
        </w:rPr>
        <w:t>公用水气三剂分析年度检测</w:t>
      </w:r>
      <w:r>
        <w:rPr>
          <w:rFonts w:hint="eastAsia" w:asciiTheme="majorEastAsia" w:hAnsiTheme="majorEastAsia" w:eastAsiaTheme="majorEastAsia"/>
          <w:u w:val="single"/>
          <w:lang w:eastAsia="zh-CN"/>
        </w:rPr>
        <w:t>项目（项目编号：FHC-PTCG20231116001）</w:t>
      </w:r>
      <w:r>
        <w:rPr>
          <w:lang w:eastAsia="zh-CN"/>
        </w:rPr>
        <w:t>进行</w:t>
      </w:r>
      <w:r>
        <w:rPr>
          <w:rFonts w:hint="eastAsia"/>
          <w:lang w:eastAsia="zh-CN"/>
        </w:rPr>
        <w:t>国内</w:t>
      </w:r>
      <w:r>
        <w:rPr>
          <w:lang w:eastAsia="zh-CN"/>
        </w:rPr>
        <w:t>公开比选。为了“公开、公平、公正、透明”，引导参选人进行正确参选，制定本规定文件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环保</w:t>
      </w:r>
      <w:r>
        <w:rPr>
          <w:rFonts w:hint="eastAsia"/>
          <w:sz w:val="24"/>
          <w:szCs w:val="24"/>
          <w:u w:val="single"/>
          <w:shd w:val="clear" w:color="auto" w:fill="FFFFFF"/>
          <w:lang w:eastAsia="zh-CN"/>
        </w:rPr>
        <w:t>气样、水样、土壤、热电厂油样</w:t>
      </w:r>
      <w:r>
        <w:rPr>
          <w:rFonts w:hint="eastAsia"/>
          <w:sz w:val="24"/>
          <w:szCs w:val="24"/>
          <w:u w:val="single"/>
          <w:shd w:val="clear" w:color="auto" w:fill="FFFFFF"/>
          <w:lang w:val="en-US" w:eastAsia="zh-CN"/>
        </w:rPr>
        <w:t>及</w:t>
      </w:r>
      <w:r>
        <w:rPr>
          <w:rFonts w:hint="eastAsia"/>
          <w:sz w:val="24"/>
          <w:szCs w:val="24"/>
          <w:u w:val="single"/>
          <w:shd w:val="clear" w:color="auto" w:fill="FFFFFF"/>
          <w:lang w:eastAsia="zh-CN"/>
        </w:rPr>
        <w:t>公用水气三剂</w:t>
      </w:r>
      <w:r>
        <w:rPr>
          <w:rFonts w:hint="eastAsia"/>
          <w:sz w:val="24"/>
          <w:szCs w:val="24"/>
          <w:u w:val="single"/>
          <w:shd w:val="clear" w:color="auto" w:fill="FFFFFF"/>
          <w:lang w:val="en-US" w:eastAsia="zh-CN"/>
        </w:rPr>
        <w:t>分析</w:t>
      </w:r>
      <w:r>
        <w:rPr>
          <w:rFonts w:hint="eastAsia"/>
          <w:sz w:val="24"/>
          <w:szCs w:val="24"/>
          <w:u w:val="single"/>
          <w:shd w:val="clear" w:color="auto" w:fill="FFFFFF"/>
          <w:lang w:eastAsia="zh-CN"/>
        </w:rPr>
        <w:t>年度检测</w:t>
      </w:r>
      <w:r>
        <w:rPr>
          <w:rFonts w:hint="eastAsia" w:asciiTheme="majorEastAsia" w:hAnsiTheme="majorEastAsia" w:eastAsiaTheme="majorEastAsia"/>
          <w:bCs/>
          <w:sz w:val="24"/>
          <w:szCs w:val="24"/>
          <w:u w:val="single"/>
          <w:lang w:eastAsia="zh-CN"/>
        </w:rPr>
        <w:t xml:space="preserve">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依据本项目需要，本项目分为</w:t>
      </w:r>
      <w:r>
        <w:rPr>
          <w:rFonts w:hint="eastAsia"/>
          <w:b w:val="0"/>
          <w:shd w:val="clear" w:color="auto" w:fill="FFFFFF"/>
          <w:lang w:val="en-US" w:eastAsia="zh-CN"/>
        </w:rPr>
        <w:t>四</w:t>
      </w:r>
      <w:r>
        <w:rPr>
          <w:rFonts w:hint="eastAsia"/>
          <w:b w:val="0"/>
          <w:shd w:val="clear" w:color="auto" w:fill="FFFFFF"/>
          <w:lang w:eastAsia="zh-CN"/>
        </w:rPr>
        <w:t>个包段。</w:t>
      </w:r>
    </w:p>
    <w:p>
      <w:pPr>
        <w:spacing w:line="360" w:lineRule="auto"/>
        <w:ind w:left="2400" w:hanging="2400" w:hangingChars="1000"/>
        <w:rPr>
          <w:sz w:val="24"/>
          <w:szCs w:val="24"/>
          <w:highlight w:val="none"/>
          <w:lang w:eastAsia="zh-CN"/>
        </w:rPr>
      </w:pPr>
      <w:r>
        <w:rPr>
          <w:rFonts w:hint="eastAsia"/>
          <w:sz w:val="24"/>
          <w:szCs w:val="24"/>
          <w:highlight w:val="none"/>
          <w:lang w:eastAsia="zh-CN"/>
        </w:rPr>
        <w:t xml:space="preserve">       包段I（环保气样、水样检测部分）：</w:t>
      </w:r>
    </w:p>
    <w:p>
      <w:pPr>
        <w:pStyle w:val="2"/>
        <w:spacing w:line="360" w:lineRule="auto"/>
        <w:rPr>
          <w:sz w:val="24"/>
          <w:szCs w:val="24"/>
          <w:highlight w:val="none"/>
        </w:rPr>
      </w:pPr>
      <w:r>
        <w:rPr>
          <w:rFonts w:hint="eastAsia"/>
          <w:sz w:val="24"/>
          <w:szCs w:val="24"/>
          <w:highlight w:val="none"/>
        </w:rPr>
        <w:t xml:space="preserve">             包括废气、废水等；</w:t>
      </w:r>
    </w:p>
    <w:p>
      <w:pPr>
        <w:spacing w:line="360" w:lineRule="auto"/>
        <w:ind w:left="2407" w:leftChars="385" w:hanging="1560" w:hangingChars="650"/>
        <w:rPr>
          <w:sz w:val="24"/>
          <w:szCs w:val="24"/>
          <w:highlight w:val="none"/>
          <w:lang w:eastAsia="zh-CN"/>
        </w:rPr>
      </w:pPr>
      <w:r>
        <w:rPr>
          <w:rFonts w:hint="eastAsia"/>
          <w:sz w:val="24"/>
          <w:szCs w:val="24"/>
          <w:highlight w:val="none"/>
          <w:lang w:eastAsia="zh-CN"/>
        </w:rPr>
        <w:t>包段II</w:t>
      </w:r>
      <w:r>
        <w:rPr>
          <w:sz w:val="24"/>
          <w:szCs w:val="24"/>
          <w:highlight w:val="none"/>
          <w:lang w:eastAsia="zh-CN"/>
        </w:rPr>
        <w:t>（</w:t>
      </w:r>
      <w:r>
        <w:rPr>
          <w:rFonts w:hint="eastAsia"/>
          <w:sz w:val="24"/>
          <w:szCs w:val="24"/>
          <w:highlight w:val="none"/>
          <w:lang w:eastAsia="zh-CN"/>
        </w:rPr>
        <w:t>热电厂油样检测</w:t>
      </w:r>
      <w:r>
        <w:rPr>
          <w:sz w:val="24"/>
          <w:szCs w:val="24"/>
          <w:highlight w:val="none"/>
          <w:lang w:eastAsia="zh-CN"/>
        </w:rPr>
        <w:t>部分）：</w:t>
      </w:r>
    </w:p>
    <w:p>
      <w:pPr>
        <w:spacing w:line="360" w:lineRule="auto"/>
        <w:ind w:left="2413" w:leftChars="715" w:hanging="840" w:hangingChars="350"/>
        <w:rPr>
          <w:sz w:val="24"/>
          <w:szCs w:val="24"/>
          <w:highlight w:val="none"/>
          <w:lang w:eastAsia="zh-CN"/>
        </w:rPr>
      </w:pPr>
      <w:r>
        <w:rPr>
          <w:sz w:val="24"/>
          <w:szCs w:val="24"/>
          <w:highlight w:val="none"/>
          <w:lang w:eastAsia="zh-CN"/>
        </w:rPr>
        <w:t>包括</w:t>
      </w:r>
      <w:r>
        <w:rPr>
          <w:rFonts w:hint="eastAsia"/>
          <w:sz w:val="24"/>
          <w:szCs w:val="24"/>
          <w:highlight w:val="none"/>
          <w:lang w:eastAsia="zh-CN"/>
        </w:rPr>
        <w:t>汽轮机EH油、汽轮机油、给水泵油、变压器油等；</w:t>
      </w:r>
    </w:p>
    <w:p>
      <w:pPr>
        <w:spacing w:line="360" w:lineRule="auto"/>
        <w:ind w:left="2313" w:leftChars="397" w:hanging="1440" w:hangingChars="600"/>
        <w:rPr>
          <w:sz w:val="24"/>
          <w:szCs w:val="24"/>
          <w:highlight w:val="none"/>
          <w:lang w:eastAsia="zh-CN"/>
        </w:rPr>
      </w:pPr>
      <w:r>
        <w:rPr>
          <w:rFonts w:hint="eastAsia"/>
          <w:sz w:val="24"/>
          <w:szCs w:val="24"/>
          <w:highlight w:val="none"/>
          <w:lang w:eastAsia="zh-CN"/>
        </w:rPr>
        <w:t>包段I</w:t>
      </w:r>
      <w:r>
        <w:rPr>
          <w:sz w:val="24"/>
          <w:szCs w:val="24"/>
          <w:highlight w:val="none"/>
          <w:lang w:eastAsia="zh-CN"/>
        </w:rPr>
        <w:t>II（</w:t>
      </w:r>
      <w:r>
        <w:rPr>
          <w:rFonts w:hint="eastAsia"/>
          <w:sz w:val="24"/>
          <w:szCs w:val="24"/>
          <w:highlight w:val="none"/>
          <w:lang w:eastAsia="zh-CN"/>
        </w:rPr>
        <w:t>土壤环境检测、</w:t>
      </w:r>
      <w:r>
        <w:rPr>
          <w:rFonts w:hint="eastAsia"/>
          <w:sz w:val="24"/>
          <w:szCs w:val="24"/>
          <w:highlight w:val="none"/>
        </w:rPr>
        <w:t>地下水</w:t>
      </w:r>
      <w:r>
        <w:rPr>
          <w:sz w:val="24"/>
          <w:szCs w:val="24"/>
          <w:highlight w:val="none"/>
          <w:lang w:eastAsia="zh-CN"/>
        </w:rPr>
        <w:t>部分）：</w:t>
      </w:r>
    </w:p>
    <w:p>
      <w:pPr>
        <w:spacing w:line="360" w:lineRule="auto"/>
        <w:ind w:left="2315" w:leftChars="725" w:hanging="720" w:hangingChars="300"/>
        <w:rPr>
          <w:rFonts w:hint="eastAsia"/>
          <w:sz w:val="24"/>
          <w:szCs w:val="24"/>
          <w:lang w:eastAsia="zh-CN"/>
        </w:rPr>
      </w:pPr>
      <w:r>
        <w:rPr>
          <w:rFonts w:hint="eastAsia"/>
          <w:sz w:val="24"/>
          <w:szCs w:val="24"/>
          <w:lang w:eastAsia="zh-CN"/>
        </w:rPr>
        <w:t>依据国标相关规定，含基本项和其他项。</w:t>
      </w:r>
    </w:p>
    <w:p>
      <w:pPr>
        <w:spacing w:line="360" w:lineRule="auto"/>
        <w:ind w:left="2313" w:leftChars="397" w:hanging="1440" w:hangingChars="600"/>
        <w:rPr>
          <w:sz w:val="24"/>
          <w:szCs w:val="24"/>
          <w:lang w:eastAsia="zh-CN"/>
        </w:rPr>
      </w:pPr>
      <w:r>
        <w:rPr>
          <w:rFonts w:hint="eastAsia"/>
          <w:sz w:val="24"/>
          <w:szCs w:val="24"/>
          <w:lang w:eastAsia="zh-CN"/>
        </w:rPr>
        <w:t>包段I</w:t>
      </w:r>
      <w:r>
        <w:rPr>
          <w:rFonts w:hint="eastAsia"/>
          <w:sz w:val="24"/>
          <w:szCs w:val="24"/>
          <w:lang w:val="en-US" w:eastAsia="zh-CN"/>
        </w:rPr>
        <w:t>V</w:t>
      </w:r>
      <w:r>
        <w:rPr>
          <w:rFonts w:hint="eastAsia"/>
          <w:sz w:val="24"/>
          <w:szCs w:val="24"/>
          <w:lang w:eastAsia="zh-CN"/>
        </w:rPr>
        <w:t>（公用水气三剂分析）：</w:t>
      </w:r>
    </w:p>
    <w:p>
      <w:pPr>
        <w:spacing w:line="360" w:lineRule="auto"/>
        <w:rPr>
          <w:rFonts w:hint="eastAsia"/>
          <w:sz w:val="21"/>
          <w:szCs w:val="21"/>
        </w:rPr>
      </w:pPr>
      <w:r>
        <w:rPr>
          <w:rFonts w:hint="eastAsia"/>
          <w:sz w:val="24"/>
          <w:szCs w:val="24"/>
        </w:rPr>
        <w:t xml:space="preserve"> </w:t>
      </w:r>
      <w:r>
        <w:rPr>
          <w:rFonts w:hint="eastAsia"/>
          <w:sz w:val="24"/>
          <w:szCs w:val="24"/>
          <w:lang w:val="en-US" w:eastAsia="zh-CN"/>
        </w:rPr>
        <w:t xml:space="preserve">          </w:t>
      </w:r>
      <w:r>
        <w:rPr>
          <w:rFonts w:hint="eastAsia"/>
          <w:sz w:val="21"/>
          <w:szCs w:val="21"/>
          <w:lang w:val="en-US" w:eastAsia="zh-CN"/>
        </w:rPr>
        <w:t xml:space="preserve"> </w:t>
      </w:r>
      <w:r>
        <w:rPr>
          <w:rFonts w:hint="eastAsia"/>
          <w:sz w:val="24"/>
          <w:szCs w:val="24"/>
          <w:lang w:eastAsia="zh-CN"/>
        </w:rPr>
        <w:t>包括聚丙烯酰胺（阳离子、阴离子）、离子交换树脂、除盐水石英砂、活性炭等。</w:t>
      </w:r>
    </w:p>
    <w:p>
      <w:pPr>
        <w:spacing w:line="360" w:lineRule="auto"/>
        <w:rPr>
          <w:sz w:val="24"/>
          <w:szCs w:val="24"/>
          <w:lang w:eastAsia="zh-CN"/>
        </w:rPr>
      </w:pPr>
      <w:r>
        <w:rPr>
          <w:rFonts w:hint="eastAsia"/>
          <w:sz w:val="24"/>
          <w:szCs w:val="24"/>
          <w:lang w:eastAsia="zh-CN"/>
        </w:rPr>
        <w:t xml:space="preserve">     3. 项目控制价格（</w:t>
      </w:r>
      <w:r>
        <w:rPr>
          <w:rFonts w:hint="eastAsia"/>
          <w:sz w:val="24"/>
          <w:szCs w:val="24"/>
          <w:lang w:val="en-US" w:eastAsia="zh-CN"/>
        </w:rPr>
        <w:t>2年）</w:t>
      </w:r>
      <w:r>
        <w:rPr>
          <w:rFonts w:hint="eastAsia"/>
          <w:sz w:val="24"/>
          <w:szCs w:val="24"/>
          <w:lang w:eastAsia="zh-CN"/>
        </w:rPr>
        <w:t>：包段I：人民币</w:t>
      </w:r>
      <w:r>
        <w:rPr>
          <w:rFonts w:hint="eastAsia"/>
          <w:sz w:val="24"/>
          <w:szCs w:val="24"/>
          <w:lang w:val="en-US" w:eastAsia="zh-CN"/>
        </w:rPr>
        <w:t>8</w:t>
      </w:r>
      <w:r>
        <w:rPr>
          <w:rFonts w:hint="eastAsia"/>
          <w:sz w:val="24"/>
          <w:szCs w:val="24"/>
          <w:lang w:eastAsia="zh-CN"/>
        </w:rPr>
        <w:t>0</w:t>
      </w:r>
      <w:r>
        <w:rPr>
          <w:rFonts w:hint="eastAsia"/>
          <w:sz w:val="24"/>
          <w:szCs w:val="24"/>
          <w:lang w:val="en-US" w:eastAsia="zh-CN"/>
        </w:rPr>
        <w:t>,</w:t>
      </w:r>
      <w:r>
        <w:rPr>
          <w:rFonts w:hint="eastAsia"/>
          <w:sz w:val="24"/>
          <w:szCs w:val="24"/>
          <w:lang w:eastAsia="zh-CN"/>
        </w:rPr>
        <w:t>000.00元</w:t>
      </w:r>
    </w:p>
    <w:p>
      <w:pPr>
        <w:pStyle w:val="2"/>
        <w:spacing w:line="360" w:lineRule="auto"/>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包段II：人民币</w:t>
      </w:r>
      <w:r>
        <w:rPr>
          <w:rFonts w:hint="eastAsia"/>
          <w:sz w:val="24"/>
          <w:szCs w:val="24"/>
          <w:lang w:val="en-US" w:eastAsia="zh-CN"/>
        </w:rPr>
        <w:t>70,</w:t>
      </w:r>
      <w:r>
        <w:rPr>
          <w:rFonts w:hint="eastAsia"/>
          <w:sz w:val="24"/>
          <w:szCs w:val="24"/>
        </w:rPr>
        <w:t>000.00元</w:t>
      </w:r>
    </w:p>
    <w:p>
      <w:pPr>
        <w:pStyle w:val="2"/>
        <w:spacing w:line="360" w:lineRule="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包段III：人民币</w:t>
      </w:r>
      <w:r>
        <w:rPr>
          <w:rFonts w:hint="eastAsia"/>
          <w:sz w:val="24"/>
          <w:szCs w:val="24"/>
          <w:lang w:val="en-US" w:eastAsia="zh-CN"/>
        </w:rPr>
        <w:t>120,</w:t>
      </w:r>
      <w:r>
        <w:rPr>
          <w:rFonts w:hint="eastAsia"/>
          <w:sz w:val="24"/>
          <w:szCs w:val="24"/>
        </w:rPr>
        <w:t>000.00元</w:t>
      </w:r>
    </w:p>
    <w:p>
      <w:pPr>
        <w:pStyle w:val="2"/>
        <w:spacing w:line="360" w:lineRule="auto"/>
        <w:ind w:left="0" w:leftChars="0" w:firstLine="3499" w:firstLineChars="1458"/>
        <w:rPr>
          <w:rFonts w:hint="eastAsia"/>
          <w:sz w:val="24"/>
          <w:szCs w:val="24"/>
        </w:rPr>
      </w:pPr>
      <w:r>
        <w:rPr>
          <w:rFonts w:hint="eastAsia"/>
          <w:sz w:val="24"/>
          <w:szCs w:val="24"/>
        </w:rPr>
        <w:t>包段I</w:t>
      </w:r>
      <w:r>
        <w:rPr>
          <w:rFonts w:hint="eastAsia"/>
          <w:sz w:val="24"/>
          <w:szCs w:val="24"/>
          <w:lang w:val="en-US" w:eastAsia="zh-CN"/>
        </w:rPr>
        <w:t>V</w:t>
      </w:r>
      <w:r>
        <w:rPr>
          <w:rFonts w:hint="eastAsia"/>
          <w:sz w:val="24"/>
          <w:szCs w:val="24"/>
        </w:rPr>
        <w:t>：人民币</w:t>
      </w:r>
      <w:r>
        <w:rPr>
          <w:rFonts w:hint="eastAsia"/>
          <w:sz w:val="24"/>
          <w:szCs w:val="24"/>
          <w:lang w:val="en-US" w:eastAsia="zh-CN"/>
        </w:rPr>
        <w:t>80,</w:t>
      </w:r>
      <w:r>
        <w:rPr>
          <w:rFonts w:hint="eastAsia"/>
          <w:sz w:val="24"/>
          <w:szCs w:val="24"/>
        </w:rPr>
        <w:t>000.00元</w:t>
      </w:r>
    </w:p>
    <w:p>
      <w:pPr>
        <w:pStyle w:val="2"/>
        <w:numPr>
          <w:ilvl w:val="0"/>
          <w:numId w:val="2"/>
        </w:numPr>
        <w:spacing w:line="360" w:lineRule="auto"/>
        <w:ind w:firstLine="720" w:firstLineChars="300"/>
        <w:rPr>
          <w:rFonts w:hint="default" w:eastAsia="宋体"/>
          <w:sz w:val="24"/>
          <w:szCs w:val="24"/>
          <w:lang w:val="en-US" w:eastAsia="zh-CN"/>
        </w:rPr>
      </w:pPr>
      <w:r>
        <w:rPr>
          <w:rFonts w:hint="eastAsia"/>
          <w:sz w:val="24"/>
          <w:szCs w:val="24"/>
          <w:lang w:val="en-US" w:eastAsia="zh-CN"/>
        </w:rPr>
        <w:t>服务期：24个月。</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参选人具备独立的企业法人资格、具备有效的企业法人营业执照，信誉良好；</w:t>
      </w:r>
    </w:p>
    <w:p>
      <w:pPr>
        <w:autoSpaceDE/>
        <w:autoSpaceDN/>
        <w:spacing w:line="360" w:lineRule="auto"/>
        <w:ind w:firstLine="480" w:firstLineChars="200"/>
        <w:jc w:val="both"/>
        <w:rPr>
          <w:rFonts w:hAnsi="宋体"/>
          <w:snapToGrid w:val="0"/>
          <w:sz w:val="24"/>
          <w:szCs w:val="24"/>
        </w:rPr>
      </w:pPr>
      <w:r>
        <w:rPr>
          <w:rFonts w:hint="eastAsia"/>
          <w:sz w:val="24"/>
          <w:szCs w:val="24"/>
          <w:lang w:eastAsia="zh-CN"/>
        </w:rPr>
        <w:t>2.</w:t>
      </w:r>
      <w:r>
        <w:rPr>
          <w:sz w:val="24"/>
          <w:szCs w:val="24"/>
          <w:lang w:eastAsia="zh-CN"/>
        </w:rPr>
        <w:t xml:space="preserve"> </w:t>
      </w:r>
      <w:r>
        <w:rPr>
          <w:rFonts w:hint="eastAsia"/>
          <w:sz w:val="24"/>
          <w:szCs w:val="24"/>
        </w:rPr>
        <w:t>参选人</w:t>
      </w:r>
      <w:r>
        <w:rPr>
          <w:rFonts w:hint="eastAsia" w:hAnsi="宋体"/>
          <w:snapToGrid w:val="0"/>
          <w:sz w:val="24"/>
          <w:szCs w:val="24"/>
        </w:rPr>
        <w:t>须具有</w:t>
      </w:r>
      <w:r>
        <w:rPr>
          <w:rFonts w:hAnsi="宋体"/>
          <w:snapToGrid w:val="0"/>
          <w:sz w:val="24"/>
          <w:szCs w:val="24"/>
        </w:rPr>
        <w:t>CMA检验检测机构资质认证书</w:t>
      </w:r>
    </w:p>
    <w:p>
      <w:pPr>
        <w:autoSpaceDE/>
        <w:autoSpaceDN/>
        <w:spacing w:line="360" w:lineRule="auto"/>
        <w:ind w:firstLine="480" w:firstLineChars="200"/>
        <w:jc w:val="both"/>
        <w:rPr>
          <w:sz w:val="24"/>
          <w:lang w:eastAsia="zh-CN"/>
        </w:rPr>
      </w:pPr>
      <w:r>
        <w:rPr>
          <w:rFonts w:hint="eastAsia"/>
          <w:sz w:val="24"/>
          <w:lang w:val="en-US" w:eastAsia="zh-CN"/>
        </w:rPr>
        <w:t>3</w:t>
      </w:r>
      <w:r>
        <w:rPr>
          <w:rFonts w:hint="eastAsia"/>
          <w:sz w:val="24"/>
          <w:lang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lang w:val="en-US" w:eastAsia="zh-CN"/>
        </w:rPr>
        <w:t>4</w:t>
      </w:r>
      <w:r>
        <w:rPr>
          <w:rFonts w:hint="eastAsia"/>
          <w:sz w:val="24"/>
          <w:lang w:eastAsia="zh-CN"/>
        </w:rPr>
        <w:t>.</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rPr>
          <w:sz w:val="24"/>
          <w:szCs w:val="24"/>
        </w:rPr>
      </w:pPr>
      <w:r>
        <w:rPr>
          <w:rFonts w:hint="eastAsia"/>
          <w:sz w:val="24"/>
          <w:szCs w:val="24"/>
        </w:rPr>
        <w:t xml:space="preserve">   </w:t>
      </w:r>
      <w:r>
        <w:rPr>
          <w:rFonts w:hint="eastAsia"/>
          <w:sz w:val="24"/>
          <w:szCs w:val="24"/>
          <w:lang w:val="en-US" w:eastAsia="zh-CN"/>
        </w:rPr>
        <w:t xml:space="preserve"> 5</w:t>
      </w:r>
      <w:r>
        <w:rPr>
          <w:rFonts w:hint="eastAsia"/>
          <w:sz w:val="24"/>
          <w:szCs w:val="24"/>
        </w:rPr>
        <w:t xml:space="preserve">. </w:t>
      </w:r>
      <w:r>
        <w:rPr>
          <w:rFonts w:hint="eastAsia" w:asciiTheme="majorEastAsia" w:hAnsiTheme="majorEastAsia" w:eastAsiaTheme="majorEastAsia"/>
          <w:sz w:val="24"/>
          <w:szCs w:val="24"/>
        </w:rPr>
        <w:t>本项目不接受联合体参选</w:t>
      </w:r>
      <w:r>
        <w:rPr>
          <w:rFonts w:hint="eastAsia"/>
          <w:sz w:val="24"/>
          <w:szCs w:val="24"/>
        </w:rPr>
        <w:t>。</w:t>
      </w:r>
    </w:p>
    <w:p>
      <w:pPr>
        <w:pStyle w:val="2"/>
        <w:spacing w:line="360" w:lineRule="auto"/>
        <w:rPr>
          <w:rFonts w:asciiTheme="majorEastAsia" w:hAnsiTheme="majorEastAsia" w:eastAsiaTheme="majorEastAsia"/>
          <w:b/>
          <w:bCs/>
          <w:sz w:val="24"/>
          <w:szCs w:val="24"/>
        </w:rPr>
      </w:pPr>
      <w:r>
        <w:rPr>
          <w:rFonts w:hint="eastAsia"/>
          <w:sz w:val="24"/>
          <w:szCs w:val="24"/>
        </w:rPr>
        <w:t xml:space="preserve">    </w:t>
      </w:r>
      <w:r>
        <w:rPr>
          <w:rFonts w:hint="eastAsia" w:asciiTheme="majorEastAsia" w:hAnsiTheme="majorEastAsia" w:eastAsiaTheme="majorEastAsia"/>
          <w:b/>
          <w:bCs/>
          <w:sz w:val="24"/>
          <w:szCs w:val="24"/>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年1</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27</w:t>
      </w:r>
      <w:r>
        <w:rPr>
          <w:rFonts w:hint="eastAsia" w:asciiTheme="majorEastAsia" w:hAnsiTheme="majorEastAsia" w:eastAsiaTheme="majorEastAsia"/>
          <w:sz w:val="24"/>
          <w:szCs w:val="24"/>
          <w:lang w:eastAsia="zh-CN"/>
        </w:rPr>
        <w:t>日1</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:30时（共10天）</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4"/>
          <w:rFonts w:hint="eastAsia" w:asciiTheme="majorEastAsia" w:hAnsiTheme="majorEastAsia" w:eastAsiaTheme="majorEastAsia"/>
          <w:bCs/>
          <w:sz w:val="24"/>
          <w:szCs w:val="24"/>
          <w:lang w:val="en-US" w:eastAsia="zh-CN"/>
        </w:rPr>
        <w:t>huangmq</w:t>
      </w:r>
      <w:r>
        <w:rPr>
          <w:rStyle w:val="24"/>
          <w:rFonts w:hint="eastAsia" w:asciiTheme="majorEastAsia" w:hAnsiTheme="majorEastAsia" w:eastAsiaTheme="majorEastAsia"/>
          <w:bCs/>
          <w:sz w:val="24"/>
          <w:szCs w:val="24"/>
          <w:lang w:eastAsia="zh-CN"/>
        </w:rPr>
        <w:t>@f</w:t>
      </w:r>
      <w:r>
        <w:rPr>
          <w:rStyle w:val="24"/>
          <w:rFonts w:hint="eastAsia" w:asciiTheme="majorEastAsia" w:hAnsiTheme="majorEastAsia" w:eastAsiaTheme="majorEastAsia"/>
          <w:bCs/>
          <w:sz w:val="24"/>
          <w:szCs w:val="24"/>
          <w:lang w:val="en-US" w:eastAsia="zh-CN"/>
        </w:rPr>
        <w:t>j</w:t>
      </w:r>
      <w:r>
        <w:rPr>
          <w:rStyle w:val="24"/>
          <w:rFonts w:hint="eastAsia" w:asciiTheme="majorEastAsia" w:hAnsiTheme="majorEastAsia" w:eastAsiaTheme="majorEastAsia"/>
          <w:bCs/>
          <w:sz w:val="24"/>
          <w:szCs w:val="24"/>
          <w:lang w:eastAsia="zh-CN"/>
        </w:rPr>
        <w:t>pec.com.cn</w:t>
      </w:r>
      <w:r>
        <w:rPr>
          <w:rStyle w:val="2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w:t>
      </w:r>
      <w:r>
        <w:rPr>
          <w:rFonts w:hint="eastAsia" w:asciiTheme="majorEastAsia" w:hAnsiTheme="majorEastAsia" w:eastAsiaTheme="majorEastAsia"/>
          <w:bCs/>
          <w:sz w:val="24"/>
          <w:szCs w:val="24"/>
          <w:lang w:val="en-US" w:eastAsia="zh-CN"/>
        </w:rPr>
        <w:t>四</w:t>
      </w:r>
      <w:r>
        <w:rPr>
          <w:rFonts w:hint="eastAsia" w:asciiTheme="majorEastAsia" w:hAnsiTheme="majorEastAsia" w:eastAsiaTheme="majorEastAsia"/>
          <w:bCs/>
          <w:sz w:val="24"/>
          <w:szCs w:val="24"/>
          <w:lang w:eastAsia="zh-CN"/>
        </w:rPr>
        <w:t>个包段可以分别报名参选。</w:t>
      </w:r>
    </w:p>
    <w:p>
      <w:pPr>
        <w:pStyle w:val="3"/>
        <w:spacing w:line="360"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黄女士</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@fhcpec.com.cn</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tabs>
          <w:tab w:val="left" w:pos="1272"/>
        </w:tabs>
        <w:spacing w:line="360" w:lineRule="auto"/>
        <w:jc w:val="center"/>
        <w:rPr>
          <w:rFonts w:hint="eastAsia"/>
          <w:sz w:val="24"/>
          <w:szCs w:val="24"/>
          <w:lang w:eastAsia="zh-CN"/>
        </w:rPr>
      </w:pPr>
      <w:r>
        <w:rPr>
          <w:rFonts w:hint="eastAsia"/>
          <w:sz w:val="24"/>
          <w:szCs w:val="24"/>
          <w:lang w:eastAsia="zh-CN"/>
        </w:rPr>
        <w:t xml:space="preserve">                                 福建福海创石油化工有限公司</w:t>
      </w:r>
    </w:p>
    <w:p>
      <w:pPr>
        <w:pStyle w:val="2"/>
        <w:ind w:left="0" w:leftChars="0" w:firstLine="5940" w:firstLineChars="2475"/>
        <w:rPr>
          <w:rFonts w:hint="default"/>
          <w:lang w:val="en-US" w:eastAsia="zh-CN"/>
        </w:rPr>
      </w:pPr>
      <w:r>
        <w:rPr>
          <w:rFonts w:hint="eastAsia"/>
          <w:sz w:val="24"/>
          <w:szCs w:val="24"/>
          <w:lang w:val="en-US" w:eastAsia="zh-CN"/>
        </w:rPr>
        <w:t>2023年12月18日</w:t>
      </w:r>
    </w:p>
    <w:p>
      <w:pPr>
        <w:pStyle w:val="2"/>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p>
    <w:p>
      <w:pPr>
        <w:pStyle w:val="3"/>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val="en-US" w:eastAsia="zh-CN"/>
        </w:rPr>
        <w:t>2024~2025年度</w:t>
      </w:r>
      <w:r>
        <w:rPr>
          <w:rFonts w:hint="eastAsia" w:asciiTheme="majorEastAsia" w:hAnsiTheme="majorEastAsia" w:eastAsiaTheme="majorEastAsia"/>
          <w:u w:val="single"/>
          <w:lang w:eastAsia="zh-CN"/>
        </w:rPr>
        <w:t>环保</w:t>
      </w:r>
      <w:r>
        <w:rPr>
          <w:rFonts w:hint="eastAsia"/>
          <w:u w:val="single"/>
          <w:shd w:val="clear" w:color="auto" w:fill="FFFFFF"/>
          <w:lang w:eastAsia="zh-CN"/>
        </w:rPr>
        <w:t>气样、水样、土壤、热电厂油样</w:t>
      </w:r>
      <w:r>
        <w:rPr>
          <w:rFonts w:hint="eastAsia"/>
          <w:u w:val="single"/>
          <w:shd w:val="clear" w:color="auto" w:fill="FFFFFF"/>
          <w:lang w:val="en-US" w:eastAsia="zh-CN"/>
        </w:rPr>
        <w:t>及</w:t>
      </w:r>
      <w:r>
        <w:rPr>
          <w:rFonts w:hint="eastAsia"/>
          <w:u w:val="single"/>
          <w:shd w:val="clear" w:color="auto" w:fill="FFFFFF"/>
          <w:lang w:eastAsia="zh-CN"/>
        </w:rPr>
        <w:t>公用水气三剂分析年度检测</w:t>
      </w:r>
      <w:r>
        <w:rPr>
          <w:rFonts w:hint="eastAsia" w:asciiTheme="majorEastAsia" w:hAnsiTheme="majorEastAsia" w:eastAsiaTheme="majorEastAsia"/>
          <w:u w:val="single"/>
          <w:lang w:eastAsia="zh-CN"/>
        </w:rPr>
        <w:t>项目</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环保</w:t>
      </w:r>
      <w:r>
        <w:rPr>
          <w:rFonts w:hint="eastAsia"/>
          <w:sz w:val="24"/>
          <w:szCs w:val="24"/>
          <w:u w:val="single"/>
          <w:shd w:val="clear" w:color="auto" w:fill="FFFFFF"/>
          <w:lang w:eastAsia="zh-CN"/>
        </w:rPr>
        <w:t>气样、水样、土壤、热电厂油样</w:t>
      </w:r>
      <w:r>
        <w:rPr>
          <w:rFonts w:hint="eastAsia"/>
          <w:sz w:val="24"/>
          <w:szCs w:val="24"/>
          <w:u w:val="single"/>
          <w:shd w:val="clear" w:color="auto" w:fill="FFFFFF"/>
          <w:lang w:val="en-US" w:eastAsia="zh-CN"/>
        </w:rPr>
        <w:t>及</w:t>
      </w:r>
      <w:r>
        <w:rPr>
          <w:rFonts w:hint="eastAsia"/>
          <w:sz w:val="24"/>
          <w:szCs w:val="24"/>
          <w:u w:val="single"/>
          <w:shd w:val="clear" w:color="auto" w:fill="FFFFFF"/>
          <w:lang w:eastAsia="zh-CN"/>
        </w:rPr>
        <w:t xml:space="preserve">公用水气三剂分析年度检测项目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p>
    <w:p>
      <w:pPr>
        <w:spacing w:line="360" w:lineRule="auto"/>
        <w:ind w:left="2407" w:leftChars="385" w:hanging="1560" w:hangingChars="650"/>
        <w:rPr>
          <w:sz w:val="24"/>
          <w:szCs w:val="24"/>
          <w:highlight w:val="yellow"/>
          <w:lang w:eastAsia="zh-CN"/>
        </w:rPr>
      </w:pPr>
      <w:r>
        <w:rPr>
          <w:rFonts w:hint="eastAsia"/>
          <w:sz w:val="24"/>
          <w:szCs w:val="24"/>
          <w:lang w:eastAsia="zh-CN"/>
        </w:rPr>
        <w:t>包段I</w:t>
      </w:r>
      <w:r>
        <w:rPr>
          <w:rFonts w:hint="eastAsia"/>
          <w:sz w:val="24"/>
          <w:szCs w:val="24"/>
          <w:highlight w:val="yellow"/>
          <w:lang w:eastAsia="zh-CN"/>
        </w:rPr>
        <w:t>（环保气样、水样检测部分）：</w:t>
      </w:r>
    </w:p>
    <w:p>
      <w:pPr>
        <w:pStyle w:val="2"/>
        <w:spacing w:line="360" w:lineRule="auto"/>
        <w:rPr>
          <w:sz w:val="24"/>
          <w:szCs w:val="24"/>
          <w:highlight w:val="yellow"/>
        </w:rPr>
      </w:pPr>
      <w:r>
        <w:rPr>
          <w:rFonts w:hint="eastAsia"/>
          <w:sz w:val="24"/>
          <w:szCs w:val="24"/>
        </w:rPr>
        <w:t xml:space="preserve">            </w:t>
      </w:r>
      <w:r>
        <w:rPr>
          <w:rFonts w:hint="eastAsia"/>
          <w:sz w:val="24"/>
          <w:szCs w:val="24"/>
          <w:highlight w:val="yellow"/>
        </w:rPr>
        <w:t xml:space="preserve"> 包括废气、废水等；</w:t>
      </w:r>
    </w:p>
    <w:p>
      <w:pPr>
        <w:spacing w:line="360" w:lineRule="auto"/>
        <w:ind w:left="2407" w:leftChars="385" w:hanging="1560" w:hangingChars="650"/>
        <w:rPr>
          <w:sz w:val="24"/>
          <w:szCs w:val="24"/>
          <w:lang w:eastAsia="zh-CN"/>
        </w:rPr>
      </w:pPr>
      <w:r>
        <w:rPr>
          <w:rFonts w:hint="eastAsia"/>
          <w:sz w:val="24"/>
          <w:szCs w:val="24"/>
          <w:lang w:eastAsia="zh-CN"/>
        </w:rPr>
        <w:t>包段II</w:t>
      </w:r>
      <w:r>
        <w:rPr>
          <w:sz w:val="24"/>
          <w:szCs w:val="24"/>
          <w:lang w:eastAsia="zh-CN"/>
        </w:rPr>
        <w:t>（</w:t>
      </w:r>
      <w:r>
        <w:rPr>
          <w:rFonts w:hint="eastAsia"/>
          <w:sz w:val="24"/>
          <w:szCs w:val="24"/>
          <w:lang w:eastAsia="zh-CN"/>
        </w:rPr>
        <w:t>热电厂油样检测</w:t>
      </w:r>
      <w:r>
        <w:rPr>
          <w:sz w:val="24"/>
          <w:szCs w:val="24"/>
          <w:lang w:eastAsia="zh-CN"/>
        </w:rPr>
        <w:t>部分）：</w:t>
      </w:r>
    </w:p>
    <w:p>
      <w:pPr>
        <w:spacing w:line="360" w:lineRule="auto"/>
        <w:ind w:left="2413" w:leftChars="715" w:hanging="840" w:hangingChars="350"/>
        <w:rPr>
          <w:sz w:val="24"/>
          <w:szCs w:val="24"/>
          <w:lang w:eastAsia="zh-CN"/>
        </w:rPr>
      </w:pPr>
      <w:r>
        <w:rPr>
          <w:sz w:val="24"/>
          <w:szCs w:val="24"/>
          <w:lang w:eastAsia="zh-CN"/>
        </w:rPr>
        <w:t>包括</w:t>
      </w:r>
      <w:r>
        <w:rPr>
          <w:rFonts w:hint="eastAsia"/>
          <w:sz w:val="24"/>
          <w:szCs w:val="24"/>
          <w:lang w:eastAsia="zh-CN"/>
        </w:rPr>
        <w:t>汽轮机EH油、汽轮机油、给水泵油、变压器油等；</w:t>
      </w:r>
    </w:p>
    <w:p>
      <w:pPr>
        <w:spacing w:line="360" w:lineRule="auto"/>
        <w:ind w:left="2313" w:leftChars="397" w:hanging="1440" w:hangingChars="600"/>
        <w:rPr>
          <w:sz w:val="24"/>
          <w:szCs w:val="24"/>
          <w:highlight w:val="yellow"/>
          <w:lang w:eastAsia="zh-CN"/>
        </w:rPr>
      </w:pPr>
      <w:r>
        <w:rPr>
          <w:rFonts w:hint="eastAsia"/>
          <w:sz w:val="24"/>
          <w:szCs w:val="24"/>
          <w:lang w:eastAsia="zh-CN"/>
        </w:rPr>
        <w:t>包段I</w:t>
      </w:r>
      <w:r>
        <w:rPr>
          <w:sz w:val="24"/>
          <w:szCs w:val="24"/>
          <w:lang w:eastAsia="zh-CN"/>
        </w:rPr>
        <w:t>II</w:t>
      </w:r>
      <w:r>
        <w:rPr>
          <w:sz w:val="24"/>
          <w:szCs w:val="24"/>
          <w:highlight w:val="yellow"/>
          <w:lang w:eastAsia="zh-CN"/>
        </w:rPr>
        <w:t>（</w:t>
      </w:r>
      <w:r>
        <w:rPr>
          <w:rFonts w:hint="eastAsia"/>
          <w:sz w:val="24"/>
          <w:szCs w:val="24"/>
          <w:highlight w:val="yellow"/>
          <w:lang w:eastAsia="zh-CN"/>
        </w:rPr>
        <w:t>土壤环境检测、</w:t>
      </w:r>
      <w:r>
        <w:rPr>
          <w:rFonts w:hint="eastAsia"/>
          <w:sz w:val="24"/>
          <w:szCs w:val="24"/>
          <w:highlight w:val="yellow"/>
        </w:rPr>
        <w:t>地下水</w:t>
      </w:r>
      <w:r>
        <w:rPr>
          <w:sz w:val="24"/>
          <w:szCs w:val="24"/>
          <w:highlight w:val="yellow"/>
          <w:lang w:eastAsia="zh-CN"/>
        </w:rPr>
        <w:t>部分）：</w:t>
      </w:r>
    </w:p>
    <w:p>
      <w:pPr>
        <w:spacing w:line="360" w:lineRule="auto"/>
        <w:ind w:left="2412" w:leftChars="660" w:hanging="960" w:hangingChars="400"/>
        <w:rPr>
          <w:rFonts w:hint="eastAsia"/>
          <w:sz w:val="24"/>
          <w:szCs w:val="24"/>
          <w:lang w:eastAsia="zh-CN"/>
        </w:rPr>
      </w:pPr>
      <w:r>
        <w:rPr>
          <w:rFonts w:hint="eastAsia"/>
          <w:sz w:val="24"/>
          <w:szCs w:val="24"/>
          <w:lang w:eastAsia="zh-CN"/>
        </w:rPr>
        <w:t>依据国标相关规定，含基本项和其他项。</w:t>
      </w:r>
    </w:p>
    <w:p>
      <w:pPr>
        <w:spacing w:line="360" w:lineRule="auto"/>
        <w:ind w:left="2313" w:leftChars="397" w:hanging="1440" w:hangingChars="600"/>
        <w:rPr>
          <w:sz w:val="24"/>
          <w:szCs w:val="24"/>
          <w:lang w:eastAsia="zh-CN"/>
        </w:rPr>
      </w:pPr>
      <w:r>
        <w:rPr>
          <w:rFonts w:hint="eastAsia"/>
          <w:sz w:val="24"/>
          <w:szCs w:val="24"/>
          <w:lang w:eastAsia="zh-CN"/>
        </w:rPr>
        <w:t>包段I</w:t>
      </w:r>
      <w:r>
        <w:rPr>
          <w:rFonts w:hint="eastAsia"/>
          <w:sz w:val="24"/>
          <w:szCs w:val="24"/>
          <w:lang w:val="en-US" w:eastAsia="zh-CN"/>
        </w:rPr>
        <w:t>V</w:t>
      </w:r>
      <w:r>
        <w:rPr>
          <w:rFonts w:hint="eastAsia"/>
          <w:sz w:val="24"/>
          <w:szCs w:val="24"/>
          <w:lang w:eastAsia="zh-CN"/>
        </w:rPr>
        <w:t>（公用水气三剂分析）：</w:t>
      </w:r>
    </w:p>
    <w:p>
      <w:pPr>
        <w:spacing w:line="360" w:lineRule="auto"/>
        <w:rPr>
          <w:rFonts w:hint="eastAsia"/>
          <w:sz w:val="24"/>
          <w:szCs w:val="24"/>
          <w:lang w:eastAsia="zh-CN"/>
        </w:rPr>
      </w:pP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包括聚丙烯酰胺（阳离子、阴离子）、离子交换树脂、除盐水石英砂、活性炭等；</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pStyle w:val="2"/>
        <w:spacing w:line="360" w:lineRule="auto"/>
        <w:rPr>
          <w:sz w:val="24"/>
          <w:szCs w:val="24"/>
        </w:rPr>
      </w:pPr>
      <w:r>
        <w:rPr>
          <w:rFonts w:hint="eastAsia"/>
          <w:sz w:val="24"/>
          <w:szCs w:val="24"/>
        </w:rPr>
        <w:t xml:space="preserve">    4.服务期限：</w:t>
      </w:r>
      <w:r>
        <w:rPr>
          <w:rFonts w:hint="eastAsia"/>
          <w:sz w:val="24"/>
          <w:szCs w:val="24"/>
          <w:lang w:val="en-US" w:eastAsia="zh-CN"/>
        </w:rPr>
        <w:t>24</w:t>
      </w:r>
      <w:r>
        <w:rPr>
          <w:rFonts w:hint="eastAsia"/>
          <w:sz w:val="24"/>
          <w:szCs w:val="24"/>
        </w:rPr>
        <w:t>个月</w:t>
      </w:r>
    </w:p>
    <w:p>
      <w:pPr>
        <w:pStyle w:val="8"/>
        <w:spacing w:line="360" w:lineRule="auto"/>
        <w:ind w:right="222" w:firstLine="352" w:firstLineChars="146"/>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备注：参选人可以对各包段分别报名参选，但必须对同一个包段中的全部货物与服务进行投标，不得仅对同一包段中的部分货物或服务进行投标，否则其投标文件将被拒绝。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spacing w:line="360" w:lineRule="auto"/>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参选人具备独立的企业法人资格、具备有效的企业法人营业执照，信誉良好；</w:t>
      </w:r>
    </w:p>
    <w:p>
      <w:pPr>
        <w:autoSpaceDE/>
        <w:autoSpaceDN/>
        <w:spacing w:line="360" w:lineRule="auto"/>
        <w:ind w:firstLine="480" w:firstLineChars="200"/>
        <w:jc w:val="both"/>
        <w:rPr>
          <w:sz w:val="24"/>
          <w:szCs w:val="24"/>
        </w:rPr>
      </w:pPr>
      <w:r>
        <w:rPr>
          <w:rFonts w:hint="eastAsia"/>
          <w:sz w:val="24"/>
          <w:szCs w:val="24"/>
          <w:highlight w:val="none"/>
          <w:lang w:eastAsia="zh-CN"/>
        </w:rPr>
        <w:t>2.</w:t>
      </w:r>
      <w:r>
        <w:rPr>
          <w:sz w:val="24"/>
          <w:szCs w:val="24"/>
          <w:highlight w:val="none"/>
          <w:lang w:eastAsia="zh-CN"/>
        </w:rPr>
        <w:t xml:space="preserve"> </w:t>
      </w:r>
      <w:r>
        <w:rPr>
          <w:rFonts w:hint="eastAsia"/>
          <w:sz w:val="24"/>
          <w:szCs w:val="24"/>
        </w:rPr>
        <w:t>参选人</w:t>
      </w:r>
      <w:r>
        <w:rPr>
          <w:rFonts w:hint="eastAsia" w:hAnsi="宋体"/>
          <w:snapToGrid w:val="0"/>
          <w:sz w:val="24"/>
          <w:szCs w:val="24"/>
        </w:rPr>
        <w:t>须具有</w:t>
      </w:r>
      <w:r>
        <w:rPr>
          <w:rFonts w:hAnsi="宋体"/>
          <w:snapToGrid w:val="0"/>
          <w:sz w:val="24"/>
          <w:szCs w:val="24"/>
        </w:rPr>
        <w:t>CMA检验检测机构资质认证书</w:t>
      </w:r>
    </w:p>
    <w:p>
      <w:pPr>
        <w:autoSpaceDE/>
        <w:autoSpaceDN/>
        <w:spacing w:line="360" w:lineRule="auto"/>
        <w:ind w:firstLine="480" w:firstLineChars="200"/>
        <w:jc w:val="both"/>
        <w:rPr>
          <w:sz w:val="24"/>
          <w:lang w:eastAsia="zh-CN"/>
        </w:rPr>
      </w:pPr>
      <w:r>
        <w:rPr>
          <w:rFonts w:hint="eastAsia"/>
          <w:sz w:val="24"/>
          <w:lang w:val="en-US" w:eastAsia="zh-CN"/>
        </w:rPr>
        <w:t>3</w:t>
      </w:r>
      <w:r>
        <w:rPr>
          <w:rFonts w:hint="eastAsia"/>
          <w:sz w:val="24"/>
          <w:lang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lang w:val="en-US" w:eastAsia="zh-CN"/>
        </w:rPr>
        <w:t>4</w:t>
      </w:r>
      <w:r>
        <w:rPr>
          <w:rFonts w:hint="eastAsia"/>
          <w:sz w:val="24"/>
          <w:lang w:eastAsia="zh-CN"/>
        </w:rPr>
        <w:t>.</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szCs w:val="24"/>
          <w:lang w:eastAsia="zh-CN"/>
        </w:rPr>
      </w:pPr>
      <w:r>
        <w:rPr>
          <w:rFonts w:hint="eastAsia"/>
          <w:sz w:val="24"/>
          <w:szCs w:val="24"/>
          <w:lang w:val="en-US" w:eastAsia="zh-CN"/>
        </w:rPr>
        <w:t>5</w:t>
      </w:r>
      <w:r>
        <w:rPr>
          <w:rFonts w:hint="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柒仟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7</w:t>
      </w:r>
      <w:r>
        <w:rPr>
          <w:rFonts w:hint="eastAsia" w:cs="Arial" w:asciiTheme="majorEastAsia" w:hAnsiTheme="majorEastAsia" w:eastAsiaTheme="majorEastAsia"/>
          <w:color w:val="333333"/>
          <w:sz w:val="24"/>
          <w:szCs w:val="24"/>
          <w:lang w:eastAsia="zh-CN"/>
        </w:rPr>
        <w:t>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pStyle w:val="8"/>
        <w:spacing w:line="360" w:lineRule="auto"/>
        <w:ind w:firstLine="480" w:firstLineChars="200"/>
        <w:rPr>
          <w:rFonts w:asciiTheme="majorEastAsia" w:hAnsiTheme="majorEastAsia" w:eastAsiaTheme="majorEastAsia"/>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u w:val="single"/>
          <w:lang w:eastAsia="zh-CN"/>
        </w:rPr>
        <w:t>环保</w:t>
      </w:r>
      <w:r>
        <w:rPr>
          <w:rFonts w:hint="eastAsia"/>
          <w:u w:val="single"/>
          <w:shd w:val="clear" w:color="auto" w:fill="FFFFFF"/>
          <w:lang w:eastAsia="zh-CN"/>
        </w:rPr>
        <w:t>气样、水样、土壤、热电厂油样</w:t>
      </w:r>
      <w:r>
        <w:rPr>
          <w:rFonts w:hint="eastAsia"/>
          <w:u w:val="single"/>
          <w:shd w:val="clear" w:color="auto" w:fill="FFFFFF"/>
          <w:lang w:val="en-US" w:eastAsia="zh-CN"/>
        </w:rPr>
        <w:t>及</w:t>
      </w:r>
      <w:r>
        <w:rPr>
          <w:rFonts w:hint="eastAsia"/>
          <w:u w:val="single"/>
          <w:shd w:val="clear" w:color="auto" w:fill="FFFFFF"/>
          <w:lang w:eastAsia="zh-CN"/>
        </w:rPr>
        <w:t>公用水气三剂分析</w:t>
      </w:r>
      <w:r>
        <w:rPr>
          <w:rFonts w:hint="eastAsia"/>
          <w:u w:val="single"/>
          <w:shd w:val="clear" w:color="auto" w:fill="FFFFFF"/>
          <w:lang w:val="en-US" w:eastAsia="zh-CN"/>
        </w:rPr>
        <w:t>等</w:t>
      </w:r>
      <w:r>
        <w:rPr>
          <w:rFonts w:hint="eastAsia"/>
          <w:u w:val="single"/>
          <w:shd w:val="clear" w:color="auto" w:fill="FFFFFF"/>
          <w:lang w:eastAsia="zh-CN"/>
        </w:rPr>
        <w:t>年度检测</w:t>
      </w:r>
      <w:r>
        <w:rPr>
          <w:rFonts w:hint="eastAsia" w:asciiTheme="majorEastAsia" w:hAnsiTheme="majorEastAsia" w:eastAsiaTheme="majorEastAsia"/>
          <w:u w:val="single"/>
          <w:lang w:eastAsia="zh-CN"/>
        </w:rPr>
        <w:t>项目</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黄 梅 钦</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073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技术联系人：何  欣     电话：0596-6311226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1、本项目最高限价：包段I为人民币</w:t>
      </w:r>
      <w:r>
        <w:rPr>
          <w:rFonts w:hint="eastAsia"/>
          <w:b/>
          <w:sz w:val="24"/>
          <w:szCs w:val="24"/>
          <w:lang w:val="en-US" w:eastAsia="zh-CN"/>
        </w:rPr>
        <w:t>8</w:t>
      </w:r>
      <w:r>
        <w:rPr>
          <w:rFonts w:hint="eastAsia"/>
          <w:b/>
          <w:sz w:val="24"/>
          <w:szCs w:val="24"/>
          <w:lang w:eastAsia="zh-CN"/>
        </w:rPr>
        <w:t>0</w:t>
      </w:r>
      <w:r>
        <w:rPr>
          <w:rFonts w:hint="eastAsia"/>
          <w:b/>
          <w:sz w:val="24"/>
          <w:szCs w:val="24"/>
          <w:lang w:val="en-US" w:eastAsia="zh-CN"/>
        </w:rPr>
        <w:t>,</w:t>
      </w:r>
      <w:r>
        <w:rPr>
          <w:rFonts w:hint="eastAsia"/>
          <w:b/>
          <w:sz w:val="24"/>
          <w:szCs w:val="24"/>
          <w:lang w:eastAsia="zh-CN"/>
        </w:rPr>
        <w:t>000.00元</w:t>
      </w:r>
      <w:r>
        <w:rPr>
          <w:rFonts w:hint="eastAsia" w:asciiTheme="majorEastAsia" w:hAnsiTheme="majorEastAsia" w:eastAsiaTheme="majorEastAsia"/>
          <w:bCs/>
          <w:sz w:val="24"/>
          <w:szCs w:val="24"/>
          <w:lang w:eastAsia="zh-CN"/>
        </w:rPr>
        <w:t>，包段II为人民币</w:t>
      </w:r>
      <w:r>
        <w:rPr>
          <w:rFonts w:hint="eastAsia"/>
          <w:b/>
          <w:sz w:val="24"/>
          <w:szCs w:val="24"/>
          <w:lang w:val="en-US" w:eastAsia="zh-CN"/>
        </w:rPr>
        <w:t>70,</w:t>
      </w:r>
      <w:r>
        <w:rPr>
          <w:rFonts w:hint="eastAsia"/>
          <w:b/>
          <w:sz w:val="24"/>
          <w:szCs w:val="24"/>
          <w:lang w:eastAsia="zh-CN"/>
        </w:rPr>
        <w:t>000.00元，</w:t>
      </w:r>
      <w:r>
        <w:rPr>
          <w:rFonts w:hint="eastAsia"/>
          <w:sz w:val="24"/>
          <w:szCs w:val="24"/>
          <w:lang w:eastAsia="zh-CN"/>
        </w:rPr>
        <w:t>包段III为人民币</w:t>
      </w:r>
      <w:r>
        <w:rPr>
          <w:rFonts w:hint="eastAsia"/>
          <w:b/>
          <w:sz w:val="24"/>
          <w:szCs w:val="24"/>
          <w:lang w:val="en-US" w:eastAsia="zh-CN"/>
        </w:rPr>
        <w:t>120,</w:t>
      </w:r>
      <w:r>
        <w:rPr>
          <w:rFonts w:hint="eastAsia"/>
          <w:b/>
          <w:sz w:val="24"/>
          <w:szCs w:val="24"/>
          <w:lang w:eastAsia="zh-CN"/>
        </w:rPr>
        <w:t>000.00元，</w:t>
      </w:r>
      <w:r>
        <w:rPr>
          <w:rFonts w:hint="eastAsia"/>
          <w:sz w:val="24"/>
          <w:szCs w:val="24"/>
          <w:lang w:eastAsia="zh-CN"/>
        </w:rPr>
        <w:t>包段I</w:t>
      </w:r>
      <w:r>
        <w:rPr>
          <w:rFonts w:hint="eastAsia"/>
          <w:sz w:val="24"/>
          <w:szCs w:val="24"/>
          <w:lang w:val="en-US" w:eastAsia="zh-CN"/>
        </w:rPr>
        <w:t>V</w:t>
      </w:r>
      <w:r>
        <w:rPr>
          <w:rFonts w:hint="eastAsia"/>
          <w:sz w:val="24"/>
          <w:szCs w:val="24"/>
          <w:lang w:eastAsia="zh-CN"/>
        </w:rPr>
        <w:t>为人民</w:t>
      </w:r>
      <w:r>
        <w:rPr>
          <w:rFonts w:hint="eastAsia"/>
          <w:b w:val="0"/>
          <w:bCs/>
          <w:sz w:val="24"/>
          <w:szCs w:val="24"/>
          <w:lang w:eastAsia="zh-CN"/>
        </w:rPr>
        <w:t>币</w:t>
      </w:r>
      <w:r>
        <w:rPr>
          <w:rFonts w:hint="eastAsia"/>
          <w:b/>
          <w:sz w:val="24"/>
          <w:szCs w:val="24"/>
          <w:lang w:val="en-US" w:eastAsia="zh-CN"/>
        </w:rPr>
        <w:t>80,</w:t>
      </w:r>
      <w:r>
        <w:rPr>
          <w:rFonts w:hint="eastAsia"/>
          <w:b/>
          <w:sz w:val="24"/>
          <w:szCs w:val="24"/>
          <w:lang w:eastAsia="zh-CN"/>
        </w:rPr>
        <w:t>000.00元</w:t>
      </w:r>
      <w:r>
        <w:rPr>
          <w:rFonts w:hint="eastAsia" w:asciiTheme="majorEastAsia" w:hAnsiTheme="majorEastAsia" w:eastAsiaTheme="majorEastAsia"/>
          <w:bCs/>
          <w:sz w:val="24"/>
          <w:szCs w:val="24"/>
          <w:lang w:eastAsia="zh-CN"/>
        </w:rPr>
        <w:t>。参选人所填报的各包段参选总价高于各包段最高限价的，其参选将被评标委员会予以否决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各包段内容涉及的全部费用进行报价，各包段分开独立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6"/>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3套（一正二副）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177186249"/>
      <w:bookmarkStart w:id="2" w:name="_Toc430488858"/>
      <w:bookmarkStart w:id="3" w:name="_Toc415567504"/>
      <w:bookmarkStart w:id="4" w:name="_Toc430422420"/>
      <w:bookmarkStart w:id="5" w:name="_Toc430490619"/>
      <w:bookmarkStart w:id="6" w:name="_Toc304357904"/>
      <w:bookmarkStart w:id="7" w:name="_Toc430492133"/>
      <w:bookmarkStart w:id="8" w:name="_Toc430489126"/>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参选文件正本应按要求由经正式授权的参选人代表签字并加盖参选人公章。副本可用复印件。</w:t>
      </w:r>
    </w:p>
    <w:p>
      <w:pPr>
        <w:pStyle w:val="3"/>
        <w:tabs>
          <w:tab w:val="left" w:pos="1488"/>
        </w:tabs>
        <w:spacing w:line="360" w:lineRule="auto"/>
        <w:ind w:left="0"/>
        <w:jc w:val="center"/>
        <w:rPr>
          <w:lang w:eastAsia="zh-CN"/>
        </w:rPr>
      </w:pPr>
    </w:p>
    <w:p>
      <w:pPr>
        <w:pStyle w:val="3"/>
        <w:tabs>
          <w:tab w:val="left" w:pos="1488"/>
        </w:tabs>
        <w:spacing w:line="360" w:lineRule="auto"/>
        <w:ind w:left="0"/>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line="440" w:lineRule="atLeast"/>
        <w:ind w:firstLine="458" w:firstLineChars="200"/>
        <w:rPr>
          <w:b/>
          <w:w w:val="95"/>
          <w:sz w:val="24"/>
          <w:szCs w:val="24"/>
          <w:lang w:eastAsia="zh-CN"/>
        </w:rPr>
      </w:pPr>
      <w:r>
        <w:rPr>
          <w:b/>
          <w:w w:val="95"/>
          <w:sz w:val="24"/>
          <w:szCs w:val="24"/>
          <w:lang w:eastAsia="zh-CN"/>
        </w:rPr>
        <w:t>二、资格审查</w:t>
      </w:r>
    </w:p>
    <w:p>
      <w:pPr>
        <w:pStyle w:val="8"/>
        <w:spacing w:line="440" w:lineRule="atLeas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40" w:lineRule="atLeast"/>
        <w:ind w:firstLine="458" w:firstLineChars="200"/>
        <w:rPr>
          <w:b/>
          <w:w w:val="95"/>
          <w:sz w:val="24"/>
          <w:szCs w:val="24"/>
          <w:lang w:eastAsia="zh-CN"/>
        </w:rPr>
      </w:pPr>
      <w:r>
        <w:rPr>
          <w:b/>
          <w:w w:val="95"/>
          <w:sz w:val="24"/>
          <w:szCs w:val="24"/>
          <w:lang w:eastAsia="zh-CN"/>
        </w:rPr>
        <w:t>三、评选办法</w:t>
      </w:r>
    </w:p>
    <w:p>
      <w:pPr>
        <w:pStyle w:val="8"/>
        <w:spacing w:line="440" w:lineRule="atLeast"/>
        <w:ind w:right="121" w:firstLine="480" w:firstLineChars="200"/>
        <w:jc w:val="both"/>
        <w:rPr>
          <w:lang w:eastAsia="zh-CN"/>
        </w:rPr>
      </w:pPr>
      <w:r>
        <w:rPr>
          <w:rFonts w:hint="eastAsia"/>
          <w:lang w:eastAsia="zh-CN"/>
        </w:rPr>
        <w:t>本项目设置最高控制价：</w:t>
      </w:r>
      <w:r>
        <w:rPr>
          <w:rFonts w:hint="eastAsia" w:asciiTheme="majorEastAsia" w:hAnsiTheme="majorEastAsia" w:eastAsiaTheme="majorEastAsia"/>
          <w:bCs/>
          <w:lang w:eastAsia="zh-CN"/>
        </w:rPr>
        <w:t>包段I为人民币</w:t>
      </w:r>
      <w:r>
        <w:rPr>
          <w:rFonts w:hint="eastAsia"/>
          <w:b/>
          <w:lang w:val="en-US" w:eastAsia="zh-CN"/>
        </w:rPr>
        <w:t>8</w:t>
      </w:r>
      <w:r>
        <w:rPr>
          <w:rFonts w:hint="eastAsia"/>
          <w:b/>
          <w:lang w:eastAsia="zh-CN"/>
        </w:rPr>
        <w:t>0000.00元</w:t>
      </w:r>
      <w:r>
        <w:rPr>
          <w:rFonts w:hint="eastAsia" w:asciiTheme="majorEastAsia" w:hAnsiTheme="majorEastAsia" w:eastAsiaTheme="majorEastAsia"/>
          <w:bCs/>
          <w:lang w:eastAsia="zh-CN"/>
        </w:rPr>
        <w:t>，包段II为人民币</w:t>
      </w:r>
      <w:r>
        <w:rPr>
          <w:rFonts w:hint="eastAsia"/>
          <w:b/>
          <w:lang w:val="en-US" w:eastAsia="zh-CN"/>
        </w:rPr>
        <w:t>70</w:t>
      </w:r>
      <w:r>
        <w:rPr>
          <w:rFonts w:hint="eastAsia"/>
          <w:b/>
          <w:lang w:eastAsia="zh-CN"/>
        </w:rPr>
        <w:t>000.00元，</w:t>
      </w:r>
      <w:r>
        <w:rPr>
          <w:rFonts w:hint="eastAsia"/>
          <w:lang w:eastAsia="zh-CN"/>
        </w:rPr>
        <w:t>包段III为人民币</w:t>
      </w:r>
      <w:r>
        <w:rPr>
          <w:rFonts w:hint="eastAsia"/>
          <w:b/>
          <w:lang w:val="en-US" w:eastAsia="zh-CN"/>
        </w:rPr>
        <w:t>120</w:t>
      </w:r>
      <w:r>
        <w:rPr>
          <w:rFonts w:hint="eastAsia"/>
          <w:b/>
          <w:lang w:eastAsia="zh-CN"/>
        </w:rPr>
        <w:t>000.00元（含税价）</w:t>
      </w:r>
      <w:r>
        <w:rPr>
          <w:rFonts w:hint="eastAsia"/>
          <w:lang w:val="en-US" w:eastAsia="zh-CN"/>
        </w:rPr>
        <w:t>,</w:t>
      </w:r>
      <w:r>
        <w:rPr>
          <w:rFonts w:hint="eastAsia"/>
          <w:sz w:val="24"/>
          <w:szCs w:val="24"/>
          <w:lang w:eastAsia="zh-CN"/>
        </w:rPr>
        <w:t>包段I</w:t>
      </w:r>
      <w:r>
        <w:rPr>
          <w:rFonts w:hint="eastAsia"/>
          <w:sz w:val="24"/>
          <w:szCs w:val="24"/>
          <w:lang w:val="en-US" w:eastAsia="zh-CN"/>
        </w:rPr>
        <w:t>V</w:t>
      </w:r>
      <w:r>
        <w:rPr>
          <w:rFonts w:hint="eastAsia"/>
          <w:sz w:val="24"/>
          <w:szCs w:val="24"/>
          <w:lang w:eastAsia="zh-CN"/>
        </w:rPr>
        <w:t>为人民</w:t>
      </w:r>
      <w:r>
        <w:rPr>
          <w:rFonts w:hint="eastAsia"/>
          <w:b w:val="0"/>
          <w:bCs/>
          <w:sz w:val="24"/>
          <w:szCs w:val="24"/>
          <w:lang w:eastAsia="zh-CN"/>
        </w:rPr>
        <w:t>币</w:t>
      </w:r>
      <w:r>
        <w:rPr>
          <w:rFonts w:hint="eastAsia"/>
          <w:b/>
          <w:sz w:val="24"/>
          <w:szCs w:val="24"/>
          <w:lang w:val="en-US" w:eastAsia="zh-CN"/>
        </w:rPr>
        <w:t>80</w:t>
      </w:r>
      <w:r>
        <w:rPr>
          <w:rFonts w:hint="eastAsia"/>
          <w:b/>
          <w:sz w:val="24"/>
          <w:szCs w:val="24"/>
          <w:lang w:eastAsia="zh-CN"/>
        </w:rPr>
        <w:t>000.00元</w:t>
      </w:r>
      <w:r>
        <w:rPr>
          <w:rFonts w:hint="eastAsia" w:asciiTheme="majorEastAsia" w:hAnsiTheme="majorEastAsia" w:eastAsiaTheme="majorEastAsia"/>
          <w:bCs/>
          <w:sz w:val="24"/>
          <w:szCs w:val="24"/>
          <w:lang w:eastAsia="zh-CN"/>
        </w:rPr>
        <w:t>。</w:t>
      </w:r>
      <w:r>
        <w:rPr>
          <w:rFonts w:hint="eastAsia"/>
          <w:lang w:eastAsia="zh-CN"/>
        </w:rPr>
        <w:t>参选人所填报的报价高于本项目各包段最高限价的，其参选将被否决。</w:t>
      </w:r>
    </w:p>
    <w:p>
      <w:pPr>
        <w:pStyle w:val="8"/>
        <w:spacing w:line="440" w:lineRule="atLeast"/>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分别对</w:t>
      </w:r>
      <w:r>
        <w:rPr>
          <w:rFonts w:hint="eastAsia"/>
          <w:lang w:val="en-US" w:eastAsia="zh-CN"/>
        </w:rPr>
        <w:t>四</w:t>
      </w:r>
      <w:r>
        <w:rPr>
          <w:rFonts w:hint="eastAsia"/>
          <w:lang w:eastAsia="zh-CN"/>
        </w:rPr>
        <w:t>个包段进行商务报价的评选，未税总价最低者作为中选单位</w:t>
      </w:r>
      <w:r>
        <w:rPr>
          <w:lang w:eastAsia="zh-CN"/>
        </w:rPr>
        <w:t>。</w:t>
      </w:r>
    </w:p>
    <w:p>
      <w:pPr>
        <w:spacing w:line="440" w:lineRule="atLeast"/>
        <w:ind w:firstLine="458" w:firstLineChars="200"/>
        <w:rPr>
          <w:b/>
          <w:w w:val="95"/>
          <w:sz w:val="24"/>
          <w:szCs w:val="24"/>
          <w:lang w:eastAsia="zh-CN"/>
        </w:rPr>
      </w:pPr>
      <w:r>
        <w:rPr>
          <w:b/>
          <w:w w:val="95"/>
          <w:sz w:val="24"/>
          <w:szCs w:val="24"/>
          <w:lang w:eastAsia="zh-CN"/>
        </w:rPr>
        <w:t>四、以下情况作废选处理</w:t>
      </w:r>
    </w:p>
    <w:p>
      <w:pPr>
        <w:pStyle w:val="8"/>
        <w:spacing w:line="440" w:lineRule="atLeast"/>
        <w:ind w:right="121" w:firstLine="480" w:firstLineChars="200"/>
        <w:jc w:val="both"/>
        <w:rPr>
          <w:lang w:eastAsia="zh-CN"/>
        </w:rPr>
      </w:pPr>
      <w:r>
        <w:rPr>
          <w:lang w:eastAsia="zh-CN"/>
        </w:rPr>
        <w:t>1.对比选文件提出的实质性要求和条件，参选文件未能在实质上响应的。</w:t>
      </w:r>
    </w:p>
    <w:p>
      <w:pPr>
        <w:pStyle w:val="8"/>
        <w:spacing w:line="440" w:lineRule="atLeast"/>
        <w:ind w:right="121" w:firstLine="480" w:firstLineChars="200"/>
        <w:jc w:val="both"/>
        <w:rPr>
          <w:lang w:eastAsia="zh-CN"/>
        </w:rPr>
      </w:pPr>
      <w:r>
        <w:rPr>
          <w:lang w:eastAsia="zh-CN"/>
        </w:rPr>
        <w:t>2.参选文件存在重大偏差的。</w:t>
      </w:r>
    </w:p>
    <w:p>
      <w:pPr>
        <w:pStyle w:val="8"/>
        <w:spacing w:line="440" w:lineRule="atLeas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440" w:lineRule="atLeas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line="440" w:lineRule="atLeast"/>
        <w:ind w:firstLine="458" w:firstLineChars="200"/>
        <w:rPr>
          <w:b/>
          <w:w w:val="95"/>
          <w:sz w:val="24"/>
          <w:szCs w:val="24"/>
          <w:lang w:eastAsia="zh-CN"/>
        </w:rPr>
      </w:pPr>
      <w:r>
        <w:rPr>
          <w:b/>
          <w:w w:val="95"/>
          <w:sz w:val="24"/>
          <w:szCs w:val="24"/>
          <w:lang w:eastAsia="zh-CN"/>
        </w:rPr>
        <w:t>五、评选</w:t>
      </w:r>
    </w:p>
    <w:p>
      <w:pPr>
        <w:pStyle w:val="8"/>
        <w:spacing w:line="440" w:lineRule="atLeast"/>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440" w:lineRule="atLeast"/>
        <w:ind w:right="121" w:firstLine="480" w:firstLineChars="200"/>
        <w:jc w:val="both"/>
        <w:rPr>
          <w:lang w:eastAsia="zh-CN"/>
        </w:rPr>
      </w:pPr>
      <w:r>
        <w:rPr>
          <w:lang w:eastAsia="zh-CN"/>
        </w:rPr>
        <w:t>2.在开选时没有启封和读出的参选文件，在评选时将不予考虑。</w:t>
      </w:r>
    </w:p>
    <w:p>
      <w:pPr>
        <w:pStyle w:val="8"/>
        <w:spacing w:line="440" w:lineRule="atLeast"/>
        <w:ind w:right="121" w:firstLine="480" w:firstLineChars="200"/>
        <w:jc w:val="both"/>
        <w:rPr>
          <w:lang w:eastAsia="zh-CN"/>
        </w:rPr>
      </w:pPr>
      <w:r>
        <w:rPr>
          <w:lang w:eastAsia="zh-CN"/>
        </w:rPr>
        <w:t>3.比选人将做开选记录。</w:t>
      </w:r>
    </w:p>
    <w:p>
      <w:pPr>
        <w:pStyle w:val="2"/>
        <w:spacing w:line="440" w:lineRule="atLeast"/>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line="360" w:lineRule="auto"/>
        <w:ind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
        <w:tabs>
          <w:tab w:val="left" w:pos="4344"/>
        </w:tabs>
        <w:spacing w:line="360" w:lineRule="auto"/>
        <w:ind w:left="0" w:firstLine="472" w:firstLineChars="196"/>
        <w:rPr>
          <w:b w:val="0"/>
          <w:sz w:val="24"/>
          <w:szCs w:val="24"/>
          <w:lang w:eastAsia="zh-CN"/>
        </w:rPr>
      </w:pPr>
      <w:r>
        <w:rPr>
          <w:rFonts w:hint="eastAsia"/>
          <w:sz w:val="24"/>
          <w:szCs w:val="24"/>
          <w:lang w:eastAsia="zh-CN"/>
        </w:rPr>
        <w:t>9.</w:t>
      </w:r>
      <w:r>
        <w:rPr>
          <w:rStyle w:val="46"/>
          <w:rFonts w:hint="eastAsia"/>
          <w:szCs w:val="24"/>
          <w:lang w:eastAsia="zh-CN"/>
        </w:rPr>
        <w:t xml:space="preserve"> </w:t>
      </w:r>
      <w:r>
        <w:rPr>
          <w:rStyle w:val="23"/>
          <w:rFonts w:hint="eastAsia"/>
          <w:b/>
          <w:bCs w:val="0"/>
          <w:sz w:val="24"/>
          <w:szCs w:val="24"/>
          <w:lang w:eastAsia="zh-CN"/>
        </w:rPr>
        <w:t>福建福海创石油化工有限公司的权属子公司“腾龙芳烃（漳州）有限公司” 和“翔鹭石化（漳州）有限公司”作为合同执行主体，将于中选通知书发出之日起30日内与中选人完成合同签订事宜。</w:t>
      </w:r>
    </w:p>
    <w:p>
      <w:pPr>
        <w:pStyle w:val="3"/>
        <w:tabs>
          <w:tab w:val="left" w:pos="4344"/>
        </w:tabs>
        <w:spacing w:line="360" w:lineRule="auto"/>
        <w:ind w:left="0" w:firstLine="3064" w:firstLineChars="1090"/>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snapToGrid w:val="0"/>
          <w:spacing w:val="8"/>
          <w:u w:val="single"/>
          <w:lang w:eastAsia="zh-CN"/>
        </w:rPr>
        <w:t>环保</w:t>
      </w:r>
      <w:r>
        <w:rPr>
          <w:rFonts w:hint="eastAsia"/>
          <w:u w:val="single"/>
          <w:shd w:val="clear" w:color="auto" w:fill="FFFFFF"/>
          <w:lang w:eastAsia="zh-CN"/>
        </w:rPr>
        <w:t>气样、水样、土壤、热电厂油样</w:t>
      </w:r>
      <w:r>
        <w:rPr>
          <w:rFonts w:hint="eastAsia"/>
          <w:u w:val="single"/>
          <w:shd w:val="clear" w:color="auto" w:fill="FFFFFF"/>
          <w:lang w:val="en-US" w:eastAsia="zh-CN"/>
        </w:rPr>
        <w:t>及</w:t>
      </w:r>
      <w:r>
        <w:rPr>
          <w:rFonts w:hint="eastAsia"/>
          <w:u w:val="single"/>
          <w:shd w:val="clear" w:color="auto" w:fill="FFFFFF"/>
          <w:lang w:eastAsia="zh-CN"/>
        </w:rPr>
        <w:t>公用水气三剂分析年度检测技术服务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rPr>
          <w:lang w:eastAsia="zh-CN"/>
        </w:rPr>
      </w:pPr>
    </w:p>
    <w:p>
      <w:pPr>
        <w:pStyle w:val="3"/>
        <w:tabs>
          <w:tab w:val="left" w:pos="1912"/>
        </w:tabs>
        <w:spacing w:line="355" w:lineRule="exact"/>
        <w:ind w:left="539" w:leftChars="245" w:firstLine="2502" w:firstLineChars="89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spacing w:before="12" w:line="360" w:lineRule="auto"/>
        <w:rPr>
          <w:b/>
          <w:sz w:val="33"/>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pStyle w:val="10"/>
        <w:spacing w:line="400" w:lineRule="exact"/>
        <w:jc w:val="center"/>
        <w:rPr>
          <w:rFonts w:hAnsi="宋体"/>
          <w:b/>
          <w:sz w:val="28"/>
          <w:szCs w:val="28"/>
          <w:lang w:eastAsia="zh-CN"/>
        </w:rPr>
      </w:pPr>
      <w:r>
        <w:rPr>
          <w:rFonts w:hint="eastAsia" w:hAnsi="宋体"/>
          <w:b/>
          <w:sz w:val="28"/>
          <w:szCs w:val="28"/>
          <w:lang w:eastAsia="zh-CN"/>
        </w:rPr>
        <w:t>腾龙芳烃（漳州）有限公司</w:t>
      </w:r>
    </w:p>
    <w:p>
      <w:pPr>
        <w:pStyle w:val="10"/>
        <w:spacing w:line="400" w:lineRule="exact"/>
        <w:jc w:val="center"/>
        <w:rPr>
          <w:rFonts w:hAnsi="宋体"/>
          <w:b/>
          <w:sz w:val="28"/>
          <w:szCs w:val="28"/>
          <w:lang w:eastAsia="zh-CN"/>
        </w:rPr>
      </w:pPr>
      <w:r>
        <w:rPr>
          <w:rFonts w:hint="eastAsia" w:hAnsi="宋体"/>
          <w:b/>
          <w:sz w:val="28"/>
          <w:szCs w:val="28"/>
          <w:lang w:eastAsia="zh-CN"/>
        </w:rPr>
        <w:t>翔鹭石化（漳州）有限公司</w:t>
      </w:r>
    </w:p>
    <w:p>
      <w:pPr>
        <w:pStyle w:val="10"/>
        <w:spacing w:line="400" w:lineRule="exact"/>
        <w:jc w:val="center"/>
        <w:rPr>
          <w:rFonts w:hAnsi="宋体"/>
          <w:b/>
          <w:sz w:val="28"/>
          <w:szCs w:val="28"/>
          <w:lang w:eastAsia="zh-CN"/>
        </w:rPr>
      </w:pPr>
      <w:r>
        <w:rPr>
          <w:rFonts w:hint="eastAsia" w:asciiTheme="majorEastAsia" w:hAnsiTheme="majorEastAsia" w:eastAsiaTheme="majorEastAsia"/>
          <w:b/>
          <w:snapToGrid w:val="0"/>
          <w:spacing w:val="8"/>
          <w:sz w:val="30"/>
          <w:szCs w:val="30"/>
          <w:lang w:eastAsia="zh-CN"/>
        </w:rPr>
        <w:t>环保</w:t>
      </w:r>
      <w:r>
        <w:rPr>
          <w:rFonts w:hint="eastAsia"/>
          <w:b/>
          <w:sz w:val="30"/>
          <w:szCs w:val="30"/>
          <w:shd w:val="clear" w:color="auto" w:fill="FFFFFF"/>
          <w:lang w:eastAsia="zh-CN"/>
        </w:rPr>
        <w:t>气样、水样、土壤、热电厂油样</w:t>
      </w:r>
      <w:r>
        <w:rPr>
          <w:rFonts w:hint="eastAsia"/>
          <w:b/>
          <w:sz w:val="30"/>
          <w:szCs w:val="30"/>
          <w:shd w:val="clear" w:color="auto" w:fill="FFFFFF"/>
          <w:lang w:val="en-US" w:eastAsia="zh-CN"/>
        </w:rPr>
        <w:t>及</w:t>
      </w:r>
      <w:r>
        <w:rPr>
          <w:rFonts w:hint="eastAsia"/>
          <w:b/>
          <w:sz w:val="30"/>
          <w:szCs w:val="30"/>
          <w:shd w:val="clear" w:color="auto" w:fill="FFFFFF"/>
          <w:lang w:eastAsia="zh-CN"/>
        </w:rPr>
        <w:t>公用水气三剂分析年</w:t>
      </w:r>
      <w:r>
        <w:rPr>
          <w:rFonts w:hint="eastAsia" w:hAnsi="宋体"/>
          <w:b/>
          <w:sz w:val="28"/>
          <w:szCs w:val="28"/>
          <w:lang w:eastAsia="zh-CN"/>
        </w:rPr>
        <w:t>度检测</w:t>
      </w:r>
    </w:p>
    <w:p>
      <w:pPr>
        <w:pStyle w:val="10"/>
        <w:spacing w:line="400" w:lineRule="exact"/>
        <w:jc w:val="center"/>
        <w:rPr>
          <w:rFonts w:hAnsi="宋体"/>
          <w:b/>
          <w:sz w:val="28"/>
          <w:szCs w:val="28"/>
          <w:lang w:eastAsia="zh-CN"/>
        </w:rPr>
      </w:pPr>
      <w:r>
        <w:rPr>
          <w:rFonts w:hint="eastAsia" w:hAnsi="宋体"/>
          <w:b/>
          <w:sz w:val="28"/>
          <w:szCs w:val="28"/>
          <w:lang w:eastAsia="zh-CN"/>
        </w:rPr>
        <w:t>技术服务合同</w:t>
      </w: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400" w:lineRule="exact"/>
        <w:rPr>
          <w:rFonts w:hAnsi="宋体"/>
          <w:lang w:eastAsia="zh-CN"/>
        </w:rPr>
      </w:pPr>
    </w:p>
    <w:p>
      <w:pPr>
        <w:pStyle w:val="10"/>
        <w:spacing w:line="360" w:lineRule="auto"/>
        <w:rPr>
          <w:rFonts w:hAnsi="宋体"/>
          <w:sz w:val="24"/>
          <w:szCs w:val="24"/>
          <w:lang w:eastAsia="zh-CN"/>
        </w:rPr>
      </w:pPr>
      <w:r>
        <w:rPr>
          <w:rFonts w:hAnsi="宋体"/>
          <w:sz w:val="24"/>
          <w:szCs w:val="24"/>
          <w:lang w:eastAsia="zh-CN"/>
        </w:rPr>
        <w:t>委托方（甲方）</w:t>
      </w:r>
      <w:r>
        <w:rPr>
          <w:rFonts w:hint="eastAsia" w:hAnsi="宋体"/>
          <w:sz w:val="24"/>
          <w:szCs w:val="24"/>
          <w:lang w:eastAsia="zh-CN"/>
        </w:rPr>
        <w:t>：腾龙芳烃（漳州）有限公司</w:t>
      </w:r>
      <w:r>
        <w:rPr>
          <w:rFonts w:hAnsi="宋体"/>
          <w:sz w:val="24"/>
          <w:szCs w:val="24"/>
          <w:lang w:eastAsia="zh-CN"/>
        </w:rPr>
        <w:t xml:space="preserve"> </w:t>
      </w:r>
    </w:p>
    <w:p>
      <w:pPr>
        <w:pStyle w:val="10"/>
        <w:spacing w:line="360" w:lineRule="auto"/>
        <w:rPr>
          <w:rFonts w:hAnsi="宋体"/>
          <w:sz w:val="24"/>
          <w:szCs w:val="24"/>
          <w:lang w:eastAsia="zh-CN"/>
        </w:rPr>
      </w:pPr>
      <w:r>
        <w:rPr>
          <w:rFonts w:hint="eastAsia" w:hAnsi="宋体"/>
          <w:sz w:val="24"/>
          <w:szCs w:val="24"/>
          <w:lang w:eastAsia="zh-CN"/>
        </w:rPr>
        <w:t xml:space="preserve">                翔鹭石化（漳州）有限公司</w:t>
      </w:r>
    </w:p>
    <w:p>
      <w:pPr>
        <w:pStyle w:val="10"/>
        <w:spacing w:line="360" w:lineRule="auto"/>
        <w:rPr>
          <w:rFonts w:hAnsi="宋体"/>
          <w:sz w:val="24"/>
          <w:szCs w:val="24"/>
          <w:lang w:eastAsia="zh-CN"/>
        </w:rPr>
      </w:pPr>
      <w:r>
        <w:rPr>
          <w:rFonts w:hAnsi="宋体"/>
          <w:sz w:val="24"/>
          <w:szCs w:val="24"/>
          <w:lang w:eastAsia="zh-CN"/>
        </w:rPr>
        <w:t>住  所  地：</w:t>
      </w:r>
      <w:r>
        <w:rPr>
          <w:rFonts w:hint="eastAsia" w:hAnsi="宋体"/>
          <w:sz w:val="24"/>
          <w:szCs w:val="24"/>
          <w:lang w:eastAsia="zh-CN"/>
        </w:rPr>
        <w:t>福建省漳州市古雷经济开发区腾龙路86号</w:t>
      </w:r>
    </w:p>
    <w:p>
      <w:pPr>
        <w:pStyle w:val="10"/>
        <w:spacing w:line="360" w:lineRule="auto"/>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项目联系人</w:t>
      </w:r>
      <w:r>
        <w:rPr>
          <w:rFonts w:hint="eastAsia" w:hAnsi="宋体"/>
          <w:sz w:val="24"/>
          <w:szCs w:val="24"/>
          <w:lang w:eastAsia="zh-CN"/>
        </w:rPr>
        <w:t>：何欣</w:t>
      </w:r>
    </w:p>
    <w:p>
      <w:pPr>
        <w:pStyle w:val="10"/>
        <w:spacing w:line="360" w:lineRule="auto"/>
        <w:rPr>
          <w:rFonts w:hAnsi="宋体"/>
          <w:sz w:val="24"/>
          <w:szCs w:val="24"/>
          <w:lang w:eastAsia="zh-CN"/>
        </w:rPr>
      </w:pPr>
      <w:r>
        <w:rPr>
          <w:rFonts w:hAnsi="宋体"/>
          <w:sz w:val="24"/>
          <w:szCs w:val="24"/>
          <w:lang w:eastAsia="zh-CN"/>
        </w:rPr>
        <w:t>通讯地址</w:t>
      </w:r>
      <w:r>
        <w:rPr>
          <w:rFonts w:hint="eastAsia" w:hAnsi="宋体"/>
          <w:sz w:val="24"/>
          <w:szCs w:val="24"/>
          <w:lang w:eastAsia="zh-CN"/>
        </w:rPr>
        <w:t>：福建省漳州市古雷经济开发区腾龙路86号</w:t>
      </w:r>
    </w:p>
    <w:p>
      <w:pPr>
        <w:pStyle w:val="10"/>
        <w:spacing w:line="360" w:lineRule="auto"/>
        <w:rPr>
          <w:rFonts w:hAnsi="宋体"/>
          <w:sz w:val="24"/>
          <w:szCs w:val="24"/>
          <w:lang w:eastAsia="zh-CN"/>
        </w:rPr>
      </w:pPr>
      <w:r>
        <w:rPr>
          <w:rFonts w:hAnsi="宋体"/>
          <w:sz w:val="24"/>
          <w:szCs w:val="24"/>
          <w:lang w:eastAsia="zh-CN"/>
        </w:rPr>
        <w:t>电    话</w:t>
      </w:r>
      <w:r>
        <w:rPr>
          <w:rFonts w:hint="eastAsia" w:hAnsi="宋体"/>
          <w:sz w:val="24"/>
          <w:szCs w:val="24"/>
          <w:lang w:eastAsia="zh-CN"/>
        </w:rPr>
        <w:t>：0596-6311226</w:t>
      </w:r>
    </w:p>
    <w:p>
      <w:pPr>
        <w:pStyle w:val="10"/>
        <w:spacing w:line="360" w:lineRule="auto"/>
        <w:rPr>
          <w:rFonts w:hAnsi="宋体"/>
          <w:sz w:val="24"/>
          <w:szCs w:val="24"/>
          <w:lang w:eastAsia="zh-CN"/>
        </w:rPr>
      </w:pPr>
      <w:r>
        <w:rPr>
          <w:rFonts w:hAnsi="宋体"/>
          <w:sz w:val="24"/>
          <w:szCs w:val="24"/>
          <w:lang w:eastAsia="zh-CN"/>
        </w:rPr>
        <w:t>电子信箱</w:t>
      </w:r>
      <w:r>
        <w:rPr>
          <w:rFonts w:hint="eastAsia" w:hAnsi="宋体"/>
          <w:sz w:val="24"/>
          <w:szCs w:val="24"/>
          <w:lang w:eastAsia="zh-CN"/>
        </w:rPr>
        <w:t>：xhe@fhcpec.com.cn</w:t>
      </w:r>
    </w:p>
    <w:p>
      <w:pPr>
        <w:pStyle w:val="10"/>
        <w:spacing w:line="360" w:lineRule="auto"/>
        <w:rPr>
          <w:rFonts w:hAnsi="宋体"/>
          <w:sz w:val="24"/>
          <w:szCs w:val="24"/>
          <w:lang w:eastAsia="zh-CN"/>
        </w:rPr>
      </w:pPr>
    </w:p>
    <w:p>
      <w:pPr>
        <w:pStyle w:val="10"/>
        <w:spacing w:line="360" w:lineRule="auto"/>
        <w:rPr>
          <w:rFonts w:hAnsi="宋体"/>
          <w:sz w:val="24"/>
          <w:szCs w:val="24"/>
          <w:lang w:eastAsia="zh-CN"/>
        </w:rPr>
      </w:pPr>
    </w:p>
    <w:p>
      <w:pPr>
        <w:pStyle w:val="10"/>
        <w:spacing w:line="360" w:lineRule="auto"/>
        <w:rPr>
          <w:rFonts w:hAnsi="宋体"/>
          <w:sz w:val="24"/>
          <w:szCs w:val="24"/>
          <w:lang w:eastAsia="zh-CN"/>
        </w:rPr>
      </w:pPr>
    </w:p>
    <w:p>
      <w:pPr>
        <w:pStyle w:val="10"/>
        <w:spacing w:line="360" w:lineRule="auto"/>
        <w:rPr>
          <w:rFonts w:hAnsi="宋体"/>
          <w:sz w:val="24"/>
          <w:szCs w:val="24"/>
          <w:lang w:eastAsia="zh-CN"/>
        </w:rPr>
      </w:pPr>
    </w:p>
    <w:p>
      <w:pPr>
        <w:pStyle w:val="10"/>
        <w:spacing w:line="360" w:lineRule="auto"/>
        <w:rPr>
          <w:rFonts w:hAnsi="宋体"/>
          <w:sz w:val="24"/>
          <w:szCs w:val="24"/>
          <w:lang w:eastAsia="zh-CN"/>
        </w:rPr>
      </w:pPr>
    </w:p>
    <w:p>
      <w:pPr>
        <w:pStyle w:val="10"/>
        <w:spacing w:line="360" w:lineRule="auto"/>
        <w:rPr>
          <w:rFonts w:hAnsi="宋体"/>
          <w:sz w:val="24"/>
          <w:szCs w:val="24"/>
          <w:lang w:eastAsia="zh-CN"/>
        </w:rPr>
      </w:pPr>
      <w:r>
        <w:rPr>
          <w:rFonts w:hAnsi="宋体"/>
          <w:sz w:val="24"/>
          <w:szCs w:val="24"/>
          <w:lang w:eastAsia="zh-CN"/>
        </w:rPr>
        <w:t>受托方（乙方）</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住  所  地</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10"/>
        <w:spacing w:line="360" w:lineRule="auto"/>
        <w:rPr>
          <w:rFonts w:hAnsi="宋体"/>
          <w:sz w:val="24"/>
          <w:szCs w:val="24"/>
          <w:lang w:eastAsia="zh-CN"/>
        </w:rPr>
      </w:pPr>
      <w:r>
        <w:rPr>
          <w:rFonts w:hint="eastAsia" w:hAnsi="宋体"/>
          <w:sz w:val="24"/>
          <w:szCs w:val="24"/>
          <w:lang w:eastAsia="zh-CN"/>
        </w:rPr>
        <w:t>项目联系人:</w:t>
      </w:r>
    </w:p>
    <w:p>
      <w:pPr>
        <w:pStyle w:val="10"/>
        <w:spacing w:line="360" w:lineRule="auto"/>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电    话</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电子信箱</w:t>
      </w:r>
      <w:r>
        <w:rPr>
          <w:rFonts w:hint="eastAsia" w:hAnsi="宋体"/>
          <w:sz w:val="24"/>
          <w:szCs w:val="24"/>
          <w:lang w:eastAsia="zh-CN"/>
        </w:rPr>
        <w:t>：</w:t>
      </w:r>
    </w:p>
    <w:p>
      <w:pPr>
        <w:pStyle w:val="10"/>
        <w:spacing w:line="360" w:lineRule="auto"/>
        <w:rPr>
          <w:rFonts w:hint="eastAsia" w:hAnsi="宋体"/>
          <w:sz w:val="24"/>
          <w:szCs w:val="24"/>
          <w:lang w:eastAsia="zh-CN"/>
        </w:rPr>
      </w:pPr>
      <w:r>
        <w:rPr>
          <w:rFonts w:hint="eastAsia" w:hAnsi="宋体"/>
          <w:sz w:val="24"/>
          <w:szCs w:val="24"/>
          <w:lang w:eastAsia="zh-CN"/>
        </w:rPr>
        <w:t xml:space="preserve">   </w:t>
      </w:r>
    </w:p>
    <w:p>
      <w:pPr>
        <w:pStyle w:val="10"/>
        <w:spacing w:line="360" w:lineRule="auto"/>
        <w:rPr>
          <w:rFonts w:hint="eastAsia" w:hAnsi="宋体"/>
          <w:sz w:val="24"/>
          <w:szCs w:val="24"/>
          <w:lang w:eastAsia="zh-CN"/>
        </w:rPr>
      </w:pPr>
    </w:p>
    <w:p>
      <w:pPr>
        <w:pStyle w:val="10"/>
        <w:spacing w:line="360" w:lineRule="auto"/>
        <w:rPr>
          <w:rFonts w:hint="eastAsia" w:hAnsi="宋体"/>
          <w:sz w:val="24"/>
          <w:szCs w:val="24"/>
          <w:lang w:eastAsia="zh-CN"/>
        </w:rPr>
      </w:pPr>
    </w:p>
    <w:p>
      <w:pPr>
        <w:pStyle w:val="10"/>
        <w:spacing w:line="360" w:lineRule="auto"/>
        <w:rPr>
          <w:rFonts w:hAnsi="宋体"/>
          <w:sz w:val="24"/>
          <w:szCs w:val="24"/>
          <w:lang w:eastAsia="zh-CN"/>
        </w:rPr>
      </w:pPr>
      <w:r>
        <w:rPr>
          <w:rFonts w:hint="eastAsia" w:hAnsi="宋体"/>
          <w:sz w:val="24"/>
          <w:szCs w:val="24"/>
          <w:lang w:eastAsia="zh-CN"/>
        </w:rPr>
        <w:t xml:space="preserve">    本合同由甲方委托乙方就</w:t>
      </w:r>
      <w:r>
        <w:rPr>
          <w:rFonts w:hint="eastAsia" w:asciiTheme="majorEastAsia" w:hAnsiTheme="majorEastAsia" w:eastAsiaTheme="majorEastAsia"/>
          <w:u w:val="single"/>
          <w:lang w:val="en-US" w:eastAsia="zh-CN"/>
        </w:rPr>
        <w:t>2024~2025年度</w:t>
      </w:r>
      <w:r>
        <w:rPr>
          <w:rFonts w:hint="eastAsia" w:asciiTheme="majorEastAsia" w:hAnsiTheme="majorEastAsia" w:eastAsiaTheme="majorEastAsia"/>
          <w:snapToGrid w:val="0"/>
          <w:spacing w:val="8"/>
          <w:sz w:val="24"/>
          <w:szCs w:val="24"/>
          <w:u w:val="single"/>
          <w:lang w:eastAsia="zh-CN"/>
        </w:rPr>
        <w:t>环保</w:t>
      </w:r>
      <w:r>
        <w:rPr>
          <w:rFonts w:hint="eastAsia"/>
          <w:sz w:val="24"/>
          <w:szCs w:val="24"/>
          <w:u w:val="single"/>
          <w:shd w:val="clear" w:color="auto" w:fill="FFFFFF"/>
          <w:lang w:eastAsia="zh-CN"/>
        </w:rPr>
        <w:t>气样、水样、土壤、热电厂油样</w:t>
      </w:r>
      <w:r>
        <w:rPr>
          <w:rFonts w:hint="eastAsia"/>
          <w:sz w:val="24"/>
          <w:szCs w:val="24"/>
          <w:u w:val="single"/>
          <w:shd w:val="clear" w:color="auto" w:fill="FFFFFF"/>
          <w:lang w:val="en-US" w:eastAsia="zh-CN"/>
        </w:rPr>
        <w:t>及</w:t>
      </w:r>
      <w:r>
        <w:rPr>
          <w:rFonts w:hint="eastAsia"/>
          <w:sz w:val="24"/>
          <w:szCs w:val="24"/>
          <w:u w:val="single"/>
          <w:shd w:val="clear" w:color="auto" w:fill="FFFFFF"/>
          <w:lang w:eastAsia="zh-CN"/>
        </w:rPr>
        <w:t>公用水气三剂分析</w:t>
      </w:r>
      <w:r>
        <w:rPr>
          <w:rFonts w:hint="eastAsia" w:hAnsi="宋体"/>
          <w:sz w:val="24"/>
          <w:szCs w:val="24"/>
          <w:u w:val="single"/>
          <w:lang w:eastAsia="zh-CN"/>
        </w:rPr>
        <w:t xml:space="preserve">年度检测 </w:t>
      </w:r>
      <w:r>
        <w:rPr>
          <w:rFonts w:hint="eastAsia" w:hAnsi="宋体"/>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10"/>
        <w:spacing w:line="360" w:lineRule="auto"/>
        <w:ind w:firstLine="472" w:firstLineChars="196"/>
        <w:rPr>
          <w:rFonts w:hAnsi="宋体"/>
          <w:sz w:val="24"/>
          <w:szCs w:val="24"/>
          <w:lang w:eastAsia="zh-CN"/>
        </w:rPr>
      </w:pPr>
      <w:r>
        <w:rPr>
          <w:rFonts w:hint="eastAsia" w:hAnsi="宋体"/>
          <w:b/>
          <w:sz w:val="24"/>
          <w:szCs w:val="24"/>
          <w:lang w:eastAsia="zh-CN"/>
        </w:rPr>
        <w:t>第一条</w:t>
      </w:r>
      <w:r>
        <w:rPr>
          <w:rFonts w:hint="eastAsia" w:hAnsi="宋体"/>
          <w:sz w:val="24"/>
          <w:szCs w:val="24"/>
          <w:lang w:eastAsia="zh-CN"/>
        </w:rPr>
        <w:t>　乙方进行技术咨询的内容、要求、方式：</w:t>
      </w:r>
    </w:p>
    <w:p>
      <w:pPr>
        <w:spacing w:line="360" w:lineRule="auto"/>
        <w:ind w:firstLine="480" w:firstLineChars="200"/>
        <w:rPr>
          <w:sz w:val="24"/>
          <w:szCs w:val="24"/>
          <w:u w:val="single"/>
          <w:lang w:eastAsia="zh-CN"/>
        </w:rPr>
      </w:pPr>
      <w:r>
        <w:rPr>
          <w:rFonts w:hint="eastAsia"/>
          <w:sz w:val="24"/>
          <w:szCs w:val="24"/>
          <w:lang w:eastAsia="zh-CN"/>
        </w:rPr>
        <w:t>1.技术服务及咨询内容：</w:t>
      </w:r>
      <w:r>
        <w:rPr>
          <w:rFonts w:hint="eastAsia"/>
          <w:sz w:val="24"/>
          <w:szCs w:val="24"/>
          <w:u w:val="single"/>
          <w:lang w:eastAsia="zh-CN"/>
        </w:rPr>
        <w:t>见附件1《招标说明书》</w:t>
      </w:r>
    </w:p>
    <w:p>
      <w:pPr>
        <w:spacing w:line="360" w:lineRule="auto"/>
        <w:rPr>
          <w:rFonts w:cs="Courier New"/>
          <w:sz w:val="24"/>
          <w:szCs w:val="24"/>
          <w:u w:val="single"/>
          <w:lang w:eastAsia="zh-CN"/>
        </w:rPr>
      </w:pPr>
      <w:r>
        <w:rPr>
          <w:rFonts w:hint="eastAsia"/>
          <w:sz w:val="24"/>
          <w:szCs w:val="24"/>
          <w:lang w:eastAsia="zh-CN"/>
        </w:rPr>
        <w:t xml:space="preserve">    2.技术服务及咨询要求：</w:t>
      </w:r>
      <w:r>
        <w:rPr>
          <w:rFonts w:hint="eastAsia"/>
          <w:sz w:val="24"/>
          <w:szCs w:val="24"/>
          <w:u w:val="single"/>
          <w:lang w:eastAsia="zh-CN"/>
        </w:rPr>
        <w:t xml:space="preserve"> 完成各项年度检测，出具的检测报告通过主管部门审批。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第二条</w:t>
      </w:r>
      <w:r>
        <w:rPr>
          <w:rFonts w:hint="eastAsia" w:hAnsi="宋体"/>
          <w:sz w:val="24"/>
          <w:szCs w:val="24"/>
          <w:lang w:eastAsia="zh-CN"/>
        </w:rPr>
        <w:t xml:space="preserve"> 乙方按照下列要求进行本合同项目的技术咨询工作：</w:t>
      </w:r>
    </w:p>
    <w:p>
      <w:pPr>
        <w:pStyle w:val="10"/>
        <w:spacing w:line="360" w:lineRule="auto"/>
        <w:rPr>
          <w:rFonts w:hAnsi="宋体"/>
          <w:sz w:val="24"/>
          <w:szCs w:val="24"/>
          <w:lang w:eastAsia="zh-CN"/>
        </w:rPr>
      </w:pPr>
      <w:r>
        <w:rPr>
          <w:rFonts w:hint="eastAsia" w:hAnsi="宋体"/>
          <w:sz w:val="24"/>
          <w:szCs w:val="24"/>
          <w:lang w:eastAsia="zh-CN"/>
        </w:rPr>
        <w:t xml:space="preserve">    1.技术服务及咨询地点：</w:t>
      </w:r>
      <w:r>
        <w:rPr>
          <w:rFonts w:hint="eastAsia" w:hAnsi="宋体"/>
          <w:sz w:val="24"/>
          <w:szCs w:val="24"/>
          <w:u w:val="single"/>
          <w:lang w:eastAsia="zh-CN"/>
        </w:rPr>
        <w:t xml:space="preserve">  甲方所在地  </w:t>
      </w:r>
    </w:p>
    <w:p>
      <w:pPr>
        <w:pStyle w:val="10"/>
        <w:spacing w:line="360" w:lineRule="auto"/>
        <w:rPr>
          <w:rFonts w:hAnsi="宋体"/>
          <w:sz w:val="24"/>
          <w:szCs w:val="24"/>
          <w:lang w:eastAsia="zh-CN"/>
        </w:rPr>
      </w:pPr>
      <w:r>
        <w:rPr>
          <w:rFonts w:hint="eastAsia" w:hAnsi="宋体"/>
          <w:sz w:val="24"/>
          <w:szCs w:val="24"/>
          <w:lang w:eastAsia="zh-CN"/>
        </w:rPr>
        <w:t xml:space="preserve">    2.技术服务及咨询期限：</w:t>
      </w:r>
      <w:r>
        <w:rPr>
          <w:rFonts w:hint="eastAsia" w:hAnsi="宋体"/>
          <w:sz w:val="24"/>
          <w:szCs w:val="24"/>
          <w:u w:val="single"/>
          <w:lang w:eastAsia="zh-CN"/>
        </w:rPr>
        <w:t xml:space="preserve">   </w:t>
      </w:r>
      <w:r>
        <w:rPr>
          <w:rFonts w:hint="eastAsia" w:hAnsi="宋体"/>
          <w:sz w:val="24"/>
          <w:szCs w:val="24"/>
          <w:u w:val="single"/>
          <w:lang w:val="en-US" w:eastAsia="zh-CN"/>
        </w:rPr>
        <w:t>24</w:t>
      </w:r>
      <w:r>
        <w:rPr>
          <w:rFonts w:hint="eastAsia" w:hAnsi="宋体"/>
          <w:sz w:val="24"/>
          <w:szCs w:val="24"/>
          <w:u w:val="single"/>
          <w:lang w:eastAsia="zh-CN"/>
        </w:rPr>
        <w:t xml:space="preserve">个月  </w:t>
      </w:r>
    </w:p>
    <w:p>
      <w:pPr>
        <w:spacing w:line="360" w:lineRule="auto"/>
        <w:ind w:firstLine="480" w:firstLineChars="200"/>
        <w:rPr>
          <w:rFonts w:cs="Courier New"/>
          <w:sz w:val="24"/>
          <w:szCs w:val="24"/>
          <w:u w:val="single"/>
          <w:lang w:eastAsia="zh-CN"/>
        </w:rPr>
      </w:pPr>
      <w:r>
        <w:rPr>
          <w:rFonts w:hint="eastAsia"/>
          <w:sz w:val="24"/>
          <w:szCs w:val="24"/>
          <w:lang w:eastAsia="zh-CN"/>
        </w:rPr>
        <w:t>3.技术服务及咨询进度：</w:t>
      </w:r>
      <w:r>
        <w:rPr>
          <w:rFonts w:hint="eastAsia"/>
          <w:sz w:val="24"/>
          <w:szCs w:val="24"/>
          <w:u w:val="single"/>
          <w:lang w:eastAsia="zh-CN"/>
        </w:rPr>
        <w:t xml:space="preserve">   按月或季度执行 </w:t>
      </w:r>
    </w:p>
    <w:p>
      <w:pPr>
        <w:pStyle w:val="10"/>
        <w:spacing w:line="360" w:lineRule="auto"/>
        <w:rPr>
          <w:rFonts w:hAnsi="宋体"/>
          <w:sz w:val="24"/>
          <w:szCs w:val="24"/>
          <w:lang w:eastAsia="zh-CN"/>
        </w:rPr>
      </w:pPr>
      <w:r>
        <w:rPr>
          <w:rFonts w:hint="eastAsia" w:hAnsi="宋体"/>
          <w:sz w:val="24"/>
          <w:szCs w:val="24"/>
          <w:lang w:eastAsia="zh-CN"/>
        </w:rPr>
        <w:t xml:space="preserve">    4、技术服务及咨询质量要求：</w:t>
      </w:r>
      <w:r>
        <w:rPr>
          <w:rFonts w:hint="eastAsia" w:hAnsi="宋体"/>
          <w:sz w:val="24"/>
          <w:szCs w:val="24"/>
          <w:u w:val="single"/>
          <w:lang w:eastAsia="zh-CN"/>
        </w:rPr>
        <w:t xml:space="preserve">检测报告通过主管部门审批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第三条</w:t>
      </w:r>
      <w:r>
        <w:rPr>
          <w:rFonts w:hint="eastAsia" w:hAnsi="宋体"/>
          <w:sz w:val="24"/>
          <w:szCs w:val="24"/>
          <w:lang w:eastAsia="zh-CN"/>
        </w:rPr>
        <w:t xml:space="preserve"> 为保证乙方有效进行技术咨询工作，甲方应当向乙方提供下列协作事项：</w:t>
      </w:r>
    </w:p>
    <w:p>
      <w:pPr>
        <w:pStyle w:val="10"/>
        <w:spacing w:line="360" w:lineRule="auto"/>
        <w:ind w:firstLine="480" w:firstLineChars="200"/>
        <w:rPr>
          <w:rFonts w:hAnsi="宋体"/>
          <w:sz w:val="24"/>
          <w:szCs w:val="24"/>
          <w:lang w:eastAsia="zh-CN"/>
        </w:rPr>
      </w:pPr>
      <w:r>
        <w:rPr>
          <w:rFonts w:hint="eastAsia" w:hAnsi="宋体"/>
          <w:sz w:val="24"/>
          <w:szCs w:val="24"/>
          <w:lang w:eastAsia="zh-CN"/>
        </w:rPr>
        <w:t>提供技术资料：</w:t>
      </w:r>
      <w:r>
        <w:rPr>
          <w:rFonts w:hint="eastAsia" w:hAnsi="宋体"/>
          <w:sz w:val="24"/>
          <w:szCs w:val="24"/>
          <w:u w:val="single"/>
          <w:lang w:eastAsia="zh-CN"/>
        </w:rPr>
        <w:t xml:space="preserve">   完成技术服务所需相关资料   </w:t>
      </w:r>
      <w:r>
        <w:rPr>
          <w:rFonts w:hint="eastAsia" w:hAnsi="宋体"/>
          <w:sz w:val="24"/>
          <w:szCs w:val="24"/>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w:t>
      </w:r>
      <w:r>
        <w:rPr>
          <w:rFonts w:hint="eastAsia" w:asciiTheme="majorEastAsia" w:hAnsiTheme="majorEastAsia" w:eastAsiaTheme="majorEastAsia"/>
          <w:sz w:val="24"/>
          <w:szCs w:val="24"/>
          <w:u w:val="single"/>
          <w:lang w:eastAsia="zh-CN"/>
        </w:rPr>
        <w:t>负责办理入厂通行证、工作票等</w:t>
      </w:r>
      <w:r>
        <w:rPr>
          <w:rFonts w:hint="eastAsia" w:asciiTheme="minorEastAsia" w:hAnsiTheme="minorEastAsia" w:eastAsiaTheme="minorEastAsia"/>
          <w:sz w:val="24"/>
          <w:szCs w:val="24"/>
          <w:u w:val="single"/>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甲方确定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第四条</w:t>
      </w:r>
      <w:r>
        <w:rPr>
          <w:rFonts w:hint="eastAsia" w:hAnsi="宋体"/>
          <w:sz w:val="24"/>
          <w:szCs w:val="24"/>
          <w:lang w:eastAsia="zh-CN"/>
        </w:rPr>
        <w:t xml:space="preserve"> 甲方向乙方支付技术服务及咨询报酬及支付方式为：</w:t>
      </w:r>
    </w:p>
    <w:p>
      <w:pPr>
        <w:pStyle w:val="10"/>
        <w:spacing w:line="360" w:lineRule="auto"/>
        <w:ind w:firstLine="480" w:firstLineChars="200"/>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eastAsia="zh-CN"/>
        </w:rPr>
        <w:t xml:space="preserve">           </w:t>
      </w:r>
      <w:r>
        <w:rPr>
          <w:rFonts w:hint="eastAsia" w:hAnsi="宋体"/>
          <w:sz w:val="24"/>
          <w:szCs w:val="24"/>
          <w:lang w:eastAsia="zh-CN"/>
        </w:rPr>
        <w:t>元（含税价，税率</w:t>
      </w:r>
      <w:r>
        <w:rPr>
          <w:rFonts w:hint="eastAsia" w:hAnsi="宋体"/>
          <w:sz w:val="24"/>
          <w:szCs w:val="24"/>
          <w:u w:val="single"/>
          <w:lang w:eastAsia="zh-CN"/>
        </w:rPr>
        <w:t xml:space="preserve">    </w:t>
      </w:r>
      <w:r>
        <w:rPr>
          <w:rFonts w:hint="eastAsia" w:hAnsi="宋体"/>
          <w:sz w:val="24"/>
          <w:szCs w:val="24"/>
          <w:lang w:eastAsia="zh-CN"/>
        </w:rPr>
        <w:t>%）</w:t>
      </w:r>
    </w:p>
    <w:p>
      <w:pPr>
        <w:pStyle w:val="10"/>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 xml:space="preserve">    具体支付方式和时间分配如下：</w:t>
      </w:r>
    </w:p>
    <w:p>
      <w:pPr>
        <w:pStyle w:val="10"/>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w:t>
      </w:r>
      <w:r>
        <w:rPr>
          <w:rFonts w:hAnsi="宋体"/>
          <w:sz w:val="24"/>
          <w:szCs w:val="24"/>
          <w:lang w:eastAsia="zh-CN"/>
        </w:rPr>
        <w:t>1</w:t>
      </w:r>
      <w:r>
        <w:rPr>
          <w:rFonts w:hint="eastAsia" w:hAnsi="宋体"/>
          <w:sz w:val="24"/>
          <w:szCs w:val="24"/>
          <w:lang w:eastAsia="zh-CN"/>
        </w:rPr>
        <w:t>）出具检测报告后</w:t>
      </w:r>
      <w:r>
        <w:rPr>
          <w:rFonts w:hint="eastAsia" w:hAnsi="宋体"/>
          <w:sz w:val="24"/>
          <w:szCs w:val="24"/>
          <w:u w:val="single"/>
          <w:lang w:eastAsia="zh-CN"/>
        </w:rPr>
        <w:t xml:space="preserve">  15  </w:t>
      </w:r>
      <w:r>
        <w:rPr>
          <w:rFonts w:hint="eastAsia" w:hAnsi="宋体"/>
          <w:sz w:val="24"/>
          <w:szCs w:val="24"/>
          <w:lang w:eastAsia="zh-CN"/>
        </w:rPr>
        <w:t>个工作日内,甲方支付总价款的</w:t>
      </w:r>
      <w:r>
        <w:rPr>
          <w:rFonts w:hint="eastAsia" w:hAnsi="宋体"/>
          <w:sz w:val="24"/>
          <w:szCs w:val="24"/>
          <w:u w:val="single"/>
          <w:lang w:eastAsia="zh-CN"/>
        </w:rPr>
        <w:t xml:space="preserve">  60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元整（￥</w:t>
      </w:r>
      <w:r>
        <w:rPr>
          <w:rFonts w:hint="eastAsia" w:hAnsi="宋体"/>
          <w:sz w:val="24"/>
          <w:szCs w:val="24"/>
          <w:u w:val="single"/>
          <w:lang w:eastAsia="zh-CN"/>
        </w:rPr>
        <w:t xml:space="preserve">    </w:t>
      </w:r>
      <w:r>
        <w:rPr>
          <w:rFonts w:hint="eastAsia" w:hAnsi="宋体"/>
          <w:sz w:val="24"/>
          <w:szCs w:val="24"/>
          <w:lang w:eastAsia="zh-CN"/>
        </w:rPr>
        <w:t>元）。</w:t>
      </w:r>
    </w:p>
    <w:p>
      <w:pPr>
        <w:pStyle w:val="10"/>
        <w:spacing w:line="360" w:lineRule="auto"/>
        <w:rPr>
          <w:rFonts w:hAnsi="宋体"/>
          <w:sz w:val="24"/>
          <w:szCs w:val="24"/>
          <w:lang w:eastAsia="zh-CN"/>
        </w:rPr>
      </w:pPr>
      <w:r>
        <w:rPr>
          <w:rFonts w:hAnsi="宋体"/>
          <w:sz w:val="24"/>
          <w:szCs w:val="24"/>
          <w:lang w:eastAsia="zh-CN"/>
        </w:rPr>
        <w:t xml:space="preserve">   </w:t>
      </w:r>
      <w:r>
        <w:rPr>
          <w:rFonts w:hint="eastAsia" w:hAnsi="宋体"/>
          <w:sz w:val="24"/>
          <w:szCs w:val="24"/>
          <w:lang w:eastAsia="zh-CN"/>
        </w:rPr>
        <w:t>（</w:t>
      </w:r>
      <w:r>
        <w:rPr>
          <w:rFonts w:hAnsi="宋体"/>
          <w:sz w:val="24"/>
          <w:szCs w:val="24"/>
          <w:lang w:eastAsia="zh-CN"/>
        </w:rPr>
        <w:t>2</w:t>
      </w:r>
      <w:r>
        <w:rPr>
          <w:rFonts w:hint="eastAsia" w:hAnsi="宋体"/>
          <w:sz w:val="24"/>
          <w:szCs w:val="24"/>
          <w:lang w:eastAsia="zh-CN"/>
        </w:rPr>
        <w:t>）检测报告通过主管部门审批后</w:t>
      </w:r>
      <w:r>
        <w:rPr>
          <w:rFonts w:hint="eastAsia" w:hAnsi="宋体"/>
          <w:sz w:val="24"/>
          <w:szCs w:val="24"/>
          <w:u w:val="single"/>
          <w:lang w:eastAsia="zh-CN"/>
        </w:rPr>
        <w:t xml:space="preserve"> 15 个</w:t>
      </w:r>
      <w:r>
        <w:rPr>
          <w:rFonts w:hint="eastAsia" w:hAnsi="宋体"/>
          <w:sz w:val="24"/>
          <w:szCs w:val="24"/>
          <w:lang w:eastAsia="zh-CN"/>
        </w:rPr>
        <w:t>工作日内，甲方支付剩余款，即人民币</w:t>
      </w:r>
      <w:r>
        <w:rPr>
          <w:rFonts w:hint="eastAsia" w:hAnsi="宋体"/>
          <w:sz w:val="24"/>
          <w:szCs w:val="24"/>
          <w:u w:val="single"/>
          <w:lang w:eastAsia="zh-CN"/>
        </w:rPr>
        <w:t xml:space="preserve">    </w:t>
      </w:r>
      <w:r>
        <w:rPr>
          <w:rFonts w:hint="eastAsia" w:hAnsi="宋体"/>
          <w:sz w:val="24"/>
          <w:szCs w:val="24"/>
          <w:lang w:eastAsia="zh-CN"/>
        </w:rPr>
        <w:t>元</w:t>
      </w:r>
      <w:r>
        <w:rPr>
          <w:rFonts w:hint="eastAsia" w:hAnsi="宋体"/>
          <w:sz w:val="24"/>
          <w:szCs w:val="24"/>
          <w:u w:val="single"/>
          <w:lang w:eastAsia="zh-CN"/>
        </w:rPr>
        <w:t>整</w:t>
      </w:r>
      <w:r>
        <w:rPr>
          <w:rFonts w:hint="eastAsia" w:hAnsi="宋体"/>
          <w:sz w:val="24"/>
          <w:szCs w:val="24"/>
          <w:lang w:eastAsia="zh-CN"/>
        </w:rPr>
        <w:t>（￥</w:t>
      </w:r>
      <w:r>
        <w:rPr>
          <w:rFonts w:hint="eastAsia" w:hAnsi="宋体"/>
          <w:sz w:val="24"/>
          <w:szCs w:val="24"/>
          <w:u w:val="single"/>
          <w:lang w:eastAsia="zh-CN"/>
        </w:rPr>
        <w:t xml:space="preserve">    </w:t>
      </w:r>
      <w:r>
        <w:rPr>
          <w:rFonts w:hint="eastAsia" w:hAnsi="宋体"/>
          <w:sz w:val="24"/>
          <w:szCs w:val="24"/>
          <w:lang w:eastAsia="zh-CN"/>
        </w:rPr>
        <w:t>元）。</w:t>
      </w:r>
    </w:p>
    <w:p>
      <w:pPr>
        <w:pStyle w:val="10"/>
        <w:spacing w:line="360" w:lineRule="auto"/>
        <w:rPr>
          <w:rFonts w:hAnsi="宋体"/>
          <w:sz w:val="24"/>
          <w:szCs w:val="24"/>
          <w:lang w:eastAsia="zh-CN"/>
        </w:rPr>
      </w:pPr>
      <w:r>
        <w:rPr>
          <w:rFonts w:hint="eastAsia" w:hAnsi="宋体"/>
          <w:sz w:val="24"/>
          <w:szCs w:val="24"/>
          <w:lang w:eastAsia="zh-CN"/>
        </w:rPr>
        <w:t xml:space="preserve">    2. 乙方应在甲方付款期限届满</w:t>
      </w:r>
      <w:r>
        <w:rPr>
          <w:rFonts w:hint="eastAsia" w:hAnsi="宋体"/>
          <w:sz w:val="24"/>
          <w:szCs w:val="24"/>
          <w:u w:val="single"/>
          <w:lang w:eastAsia="zh-CN"/>
        </w:rPr>
        <w:t xml:space="preserve"> 15个工作</w:t>
      </w:r>
      <w:r>
        <w:rPr>
          <w:rFonts w:hAnsi="宋体"/>
          <w:sz w:val="24"/>
          <w:szCs w:val="24"/>
          <w:u w:val="single"/>
          <w:lang w:eastAsia="zh-CN"/>
        </w:rPr>
        <w:t xml:space="preserve"> </w:t>
      </w:r>
      <w:r>
        <w:rPr>
          <w:rFonts w:hint="eastAsia" w:hAnsi="宋体"/>
          <w:sz w:val="24"/>
          <w:szCs w:val="24"/>
          <w:lang w:eastAsia="zh-CN"/>
        </w:rPr>
        <w:t>日前提供正式税务发票，否则甲方有权顺延付款。上述技术服务及咨询报酬直接支付至乙方指定的下列账号：</w:t>
      </w:r>
    </w:p>
    <w:p>
      <w:pPr>
        <w:pStyle w:val="10"/>
        <w:spacing w:line="360" w:lineRule="auto"/>
        <w:ind w:firstLine="480" w:firstLineChars="200"/>
        <w:rPr>
          <w:rFonts w:hAnsi="宋体"/>
          <w:sz w:val="24"/>
          <w:szCs w:val="24"/>
          <w:lang w:eastAsia="zh-CN"/>
        </w:rPr>
      </w:pPr>
      <w:r>
        <w:rPr>
          <w:rFonts w:hint="eastAsia" w:hAnsi="宋体"/>
          <w:sz w:val="24"/>
          <w:szCs w:val="24"/>
          <w:lang w:eastAsia="zh-CN"/>
        </w:rPr>
        <w:t>公司名称：</w:t>
      </w:r>
      <w:r>
        <w:rPr>
          <w:rFonts w:hint="eastAsia" w:hAnsi="宋体"/>
          <w:sz w:val="24"/>
          <w:szCs w:val="24"/>
          <w:u w:val="single"/>
          <w:lang w:eastAsia="zh-CN"/>
        </w:rPr>
        <w:t xml:space="preserve">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hAnsi="宋体"/>
          <w:sz w:val="24"/>
          <w:szCs w:val="24"/>
          <w:u w:val="single"/>
          <w:lang w:eastAsia="zh-CN"/>
        </w:rPr>
        <w:t xml:space="preserve">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账号：</w:t>
      </w:r>
      <w:r>
        <w:rPr>
          <w:rFonts w:hint="eastAsia" w:hAnsi="宋体"/>
          <w:sz w:val="24"/>
          <w:szCs w:val="24"/>
          <w:u w:val="single"/>
          <w:lang w:eastAsia="zh-CN"/>
        </w:rPr>
        <w:t xml:space="preserve">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3.</w:t>
      </w:r>
      <w:r>
        <w:rPr>
          <w:rFonts w:hint="eastAsia"/>
          <w:sz w:val="24"/>
          <w:szCs w:val="24"/>
          <w:lang w:eastAsia="zh-CN"/>
        </w:rPr>
        <w:t xml:space="preserve"> 合同签订生效后15个工作日内，乙方提交履约保证金贰仟元整，保证金缴纳后，由收款方财务部门出具收款收据。保证金将于合同周期内完成维保及检测工作后15个工作日内，甲方无息退还履约保证金贰仟元整（因服务质量问题及无故拒绝委托等，根据合同约定按比例扣除履约保证金）。</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第五条</w:t>
      </w:r>
      <w:r>
        <w:rPr>
          <w:rFonts w:hint="eastAsia" w:hAnsi="宋体"/>
          <w:sz w:val="24"/>
          <w:szCs w:val="24"/>
          <w:lang w:eastAsia="zh-CN"/>
        </w:rPr>
        <w:t xml:space="preserve"> 双方确定因履行本合同应遵守的保密义务如下：</w:t>
      </w:r>
    </w:p>
    <w:p>
      <w:pPr>
        <w:pStyle w:val="10"/>
        <w:spacing w:line="360" w:lineRule="auto"/>
        <w:ind w:firstLine="480" w:firstLineChars="200"/>
        <w:rPr>
          <w:rFonts w:hAnsi="宋体"/>
          <w:sz w:val="24"/>
          <w:szCs w:val="24"/>
          <w:lang w:eastAsia="zh-CN"/>
        </w:rPr>
      </w:pPr>
      <w:r>
        <w:rPr>
          <w:rFonts w:hint="eastAsia" w:hAnsi="宋体"/>
          <w:sz w:val="24"/>
          <w:szCs w:val="24"/>
          <w:lang w:eastAsia="zh-CN"/>
        </w:rPr>
        <w:t>甲方：</w:t>
      </w:r>
    </w:p>
    <w:p>
      <w:pPr>
        <w:pStyle w:val="10"/>
        <w:spacing w:line="360" w:lineRule="auto"/>
        <w:ind w:firstLine="480" w:firstLineChars="200"/>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2.涉密人员范围：甲方及甲方工作人员 </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3.泄密责任：  按本合同约定及国家有关保密法的规定执行 </w:t>
      </w:r>
    </w:p>
    <w:p>
      <w:pPr>
        <w:pStyle w:val="10"/>
        <w:spacing w:line="360" w:lineRule="auto"/>
        <w:ind w:firstLine="480" w:firstLineChars="200"/>
        <w:rPr>
          <w:rFonts w:hAnsi="宋体"/>
          <w:sz w:val="24"/>
          <w:szCs w:val="24"/>
          <w:lang w:eastAsia="zh-CN"/>
        </w:rPr>
      </w:pPr>
      <w:r>
        <w:rPr>
          <w:rFonts w:hint="eastAsia" w:hAnsi="宋体"/>
          <w:sz w:val="24"/>
          <w:szCs w:val="24"/>
          <w:lang w:eastAsia="zh-CN"/>
        </w:rPr>
        <w:t>乙方：</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2.涉密人员范围：乙方及乙方工作人员 </w:t>
      </w:r>
    </w:p>
    <w:p>
      <w:pPr>
        <w:pStyle w:val="10"/>
        <w:spacing w:line="360" w:lineRule="auto"/>
        <w:ind w:firstLine="480" w:firstLineChars="200"/>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第六条</w:t>
      </w:r>
      <w:r>
        <w:rPr>
          <w:rFonts w:hint="eastAsia" w:hAnsi="宋体"/>
          <w:sz w:val="24"/>
          <w:szCs w:val="24"/>
          <w:lang w:eastAsia="zh-CN"/>
        </w:rPr>
        <w:t xml:space="preserve"> 本合同的变更必须由双方协商一致，并以书面形式确定。</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第七条</w:t>
      </w:r>
      <w:r>
        <w:rPr>
          <w:rFonts w:hint="eastAsia" w:hAnsi="宋体"/>
          <w:sz w:val="24"/>
          <w:szCs w:val="24"/>
          <w:lang w:eastAsia="zh-CN"/>
        </w:rPr>
        <w:t xml:space="preserve"> 双方确定，按以下标准和方式对乙方提交的技术咨询工作成果进行验收：</w:t>
      </w:r>
    </w:p>
    <w:p>
      <w:pPr>
        <w:pStyle w:val="10"/>
        <w:spacing w:line="360" w:lineRule="auto"/>
        <w:ind w:firstLine="480" w:firstLineChars="200"/>
        <w:rPr>
          <w:rFonts w:hAnsi="宋体"/>
          <w:sz w:val="24"/>
          <w:szCs w:val="24"/>
          <w:lang w:eastAsia="zh-CN"/>
        </w:rPr>
      </w:pPr>
      <w:r>
        <w:rPr>
          <w:rFonts w:hint="eastAsia" w:hAnsi="宋体"/>
          <w:sz w:val="24"/>
          <w:szCs w:val="24"/>
          <w:lang w:eastAsia="zh-CN"/>
        </w:rPr>
        <w:t>1、乙方提交技术</w:t>
      </w:r>
      <w:r>
        <w:rPr>
          <w:rFonts w:hint="eastAsia" w:hAnsi="宋体"/>
          <w:sz w:val="24"/>
          <w:szCs w:val="24"/>
          <w:u w:val="single"/>
          <w:lang w:eastAsia="zh-CN"/>
        </w:rPr>
        <w:t xml:space="preserve"> 检测</w:t>
      </w:r>
      <w:r>
        <w:rPr>
          <w:rFonts w:hAnsi="宋体"/>
          <w:sz w:val="24"/>
          <w:szCs w:val="24"/>
          <w:u w:val="single"/>
          <w:lang w:eastAsia="zh-CN"/>
        </w:rPr>
        <w:t xml:space="preserve"> </w:t>
      </w:r>
      <w:r>
        <w:rPr>
          <w:rFonts w:hint="eastAsia" w:hAnsi="宋体"/>
          <w:sz w:val="24"/>
          <w:szCs w:val="24"/>
          <w:lang w:eastAsia="zh-CN"/>
        </w:rPr>
        <w:t>工作成果的形式：</w:t>
      </w:r>
      <w:r>
        <w:rPr>
          <w:rFonts w:hint="eastAsia" w:hAnsi="宋体"/>
          <w:sz w:val="24"/>
          <w:szCs w:val="24"/>
          <w:u w:val="single"/>
          <w:lang w:eastAsia="zh-CN"/>
        </w:rPr>
        <w:t xml:space="preserve">  书面报告 </w:t>
      </w:r>
      <w:r>
        <w:rPr>
          <w:rFonts w:hAnsi="宋体"/>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2、技术</w:t>
      </w:r>
      <w:r>
        <w:rPr>
          <w:rFonts w:hint="eastAsia" w:hAnsi="宋体"/>
          <w:sz w:val="24"/>
          <w:szCs w:val="24"/>
          <w:u w:val="single"/>
          <w:lang w:eastAsia="zh-CN"/>
        </w:rPr>
        <w:t xml:space="preserve"> 检测</w:t>
      </w:r>
      <w:r>
        <w:rPr>
          <w:rFonts w:hAnsi="宋体"/>
          <w:sz w:val="24"/>
          <w:szCs w:val="24"/>
          <w:u w:val="single"/>
          <w:lang w:eastAsia="zh-CN"/>
        </w:rPr>
        <w:t xml:space="preserve"> </w:t>
      </w:r>
      <w:r>
        <w:rPr>
          <w:rFonts w:hint="eastAsia" w:hAnsi="宋体"/>
          <w:sz w:val="24"/>
          <w:szCs w:val="24"/>
          <w:lang w:eastAsia="zh-CN"/>
        </w:rPr>
        <w:t>工作成果的验收标准：</w:t>
      </w:r>
      <w:r>
        <w:rPr>
          <w:rFonts w:hint="eastAsia" w:asciiTheme="minorEastAsia" w:hAnsiTheme="minorEastAsia" w:eastAsiaTheme="minorEastAsia"/>
          <w:sz w:val="24"/>
          <w:szCs w:val="24"/>
          <w:u w:val="single"/>
          <w:lang w:eastAsia="zh-CN"/>
        </w:rPr>
        <w:t xml:space="preserve">达到国标、行业标准及招标说明书要求 </w:t>
      </w:r>
    </w:p>
    <w:p>
      <w:pPr>
        <w:pStyle w:val="10"/>
        <w:spacing w:line="360" w:lineRule="auto"/>
        <w:ind w:firstLine="480" w:firstLineChars="200"/>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 xml:space="preserve">  甲方所在地 </w:t>
      </w:r>
      <w:r>
        <w:rPr>
          <w:rFonts w:hAnsi="宋体"/>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第八条</w:t>
      </w:r>
      <w:r>
        <w:rPr>
          <w:rFonts w:hint="eastAsia" w:hAnsi="宋体"/>
          <w:sz w:val="24"/>
          <w:szCs w:val="24"/>
          <w:lang w:eastAsia="zh-CN"/>
        </w:rPr>
        <w:t xml:space="preserve"> 双方确定，甲方指定</w:t>
      </w:r>
      <w:r>
        <w:rPr>
          <w:rFonts w:hint="eastAsia" w:hAnsi="宋体"/>
          <w:sz w:val="24"/>
          <w:szCs w:val="24"/>
          <w:u w:val="single"/>
          <w:lang w:eastAsia="zh-CN"/>
        </w:rPr>
        <w:t xml:space="preserve"> 何欣0592-6311226 </w:t>
      </w:r>
      <w:r>
        <w:rPr>
          <w:rFonts w:hAnsi="宋体"/>
          <w:sz w:val="24"/>
          <w:szCs w:val="24"/>
          <w:u w:val="single"/>
          <w:lang w:eastAsia="zh-CN"/>
        </w:rPr>
        <w:t xml:space="preserve"> </w:t>
      </w:r>
      <w:r>
        <w:rPr>
          <w:rFonts w:hint="eastAsia" w:hAnsi="宋体"/>
          <w:sz w:val="24"/>
          <w:szCs w:val="24"/>
          <w:lang w:eastAsia="zh-CN"/>
        </w:rPr>
        <w:t>为甲方项目联系人，乙方指定</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为乙方项目联系人。项目联系人承担以下责任：</w:t>
      </w:r>
    </w:p>
    <w:p>
      <w:pPr>
        <w:pStyle w:val="10"/>
        <w:spacing w:line="360" w:lineRule="auto"/>
        <w:ind w:firstLine="480" w:firstLineChars="200"/>
        <w:rPr>
          <w:rFonts w:asciiTheme="minorEastAsia" w:hAnsiTheme="minorEastAsia" w:eastAsiaTheme="minorEastAsia"/>
          <w:sz w:val="24"/>
          <w:szCs w:val="24"/>
          <w:u w:val="single"/>
          <w:lang w:eastAsia="zh-CN"/>
        </w:rPr>
      </w:pPr>
      <w:r>
        <w:rPr>
          <w:rFonts w:hint="eastAsia" w:cs="宋体" w:asciiTheme="majorEastAsia" w:hAnsiTheme="majorEastAsia" w:eastAsiaTheme="majorEastAsia"/>
          <w:sz w:val="24"/>
          <w:szCs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0"/>
        <w:spacing w:line="360" w:lineRule="auto"/>
        <w:ind w:firstLine="480" w:firstLineChars="200"/>
        <w:rPr>
          <w:rFonts w:hAnsi="宋体"/>
          <w:sz w:val="24"/>
          <w:szCs w:val="24"/>
          <w:lang w:eastAsia="zh-CN"/>
        </w:rPr>
      </w:pPr>
      <w:r>
        <w:rPr>
          <w:rFonts w:hint="eastAsia" w:hAnsi="宋体"/>
          <w:sz w:val="24"/>
          <w:szCs w:val="24"/>
          <w:lang w:eastAsia="zh-CN"/>
        </w:rPr>
        <w:t>一方变更项目联系人的，应当及时以书面形式通知另一方。未及时通知并影响本合同履行或造成损失的，应承担相应的责任。</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第九条</w:t>
      </w:r>
      <w:r>
        <w:rPr>
          <w:rFonts w:hint="eastAsia" w:hAnsi="宋体"/>
          <w:sz w:val="24"/>
          <w:szCs w:val="24"/>
          <w:lang w:eastAsia="zh-CN"/>
        </w:rPr>
        <w:t xml:space="preserve">  违约责任</w:t>
      </w:r>
    </w:p>
    <w:p>
      <w:pPr>
        <w:spacing w:line="360" w:lineRule="auto"/>
        <w:ind w:firstLine="480" w:firstLineChars="200"/>
        <w:rPr>
          <w:rStyle w:val="36"/>
          <w:color w:val="000000"/>
          <w:sz w:val="24"/>
          <w:szCs w:val="24"/>
          <w:lang w:eastAsia="zh-CN"/>
        </w:rPr>
      </w:pPr>
      <w:r>
        <w:rPr>
          <w:rStyle w:val="36"/>
          <w:rFonts w:hint="eastAsia"/>
          <w:color w:val="000000"/>
          <w:sz w:val="24"/>
          <w:szCs w:val="24"/>
          <w:lang w:eastAsia="zh-CN"/>
        </w:rPr>
        <w:t>1．乙方逾期提交服务咨询报告的，每日应向甲方支付违约金人民币</w:t>
      </w:r>
      <w:r>
        <w:rPr>
          <w:rFonts w:hint="eastAsia"/>
          <w:sz w:val="24"/>
          <w:szCs w:val="24"/>
          <w:u w:val="single"/>
          <w:lang w:eastAsia="zh-CN"/>
        </w:rPr>
        <w:t xml:space="preserve">  1000.00</w:t>
      </w:r>
      <w:r>
        <w:rPr>
          <w:sz w:val="24"/>
          <w:szCs w:val="24"/>
          <w:u w:val="single"/>
          <w:lang w:eastAsia="zh-CN"/>
        </w:rPr>
        <w:t xml:space="preserve"> </w:t>
      </w:r>
      <w:r>
        <w:rPr>
          <w:rStyle w:val="36"/>
          <w:rFonts w:hint="eastAsia"/>
          <w:color w:val="000000"/>
          <w:sz w:val="24"/>
          <w:szCs w:val="24"/>
          <w:lang w:eastAsia="zh-CN"/>
        </w:rPr>
        <w:t>元，逾期超过</w:t>
      </w:r>
      <w:r>
        <w:rPr>
          <w:rFonts w:hint="eastAsia"/>
          <w:sz w:val="24"/>
          <w:szCs w:val="24"/>
          <w:u w:val="single"/>
          <w:lang w:eastAsia="zh-CN"/>
        </w:rPr>
        <w:t xml:space="preserve"> 15</w:t>
      </w:r>
      <w:r>
        <w:rPr>
          <w:sz w:val="24"/>
          <w:szCs w:val="24"/>
          <w:u w:val="single"/>
          <w:lang w:eastAsia="zh-CN"/>
        </w:rPr>
        <w:t xml:space="preserve"> </w:t>
      </w:r>
      <w:r>
        <w:rPr>
          <w:rStyle w:val="36"/>
          <w:rFonts w:hint="eastAsia"/>
          <w:color w:val="000000"/>
          <w:sz w:val="24"/>
          <w:szCs w:val="24"/>
          <w:lang w:eastAsia="zh-CN"/>
        </w:rPr>
        <w:t>日的，甲方还有权解除本合同并要求乙方退还已经收取的费用。</w:t>
      </w:r>
    </w:p>
    <w:p>
      <w:pPr>
        <w:pStyle w:val="10"/>
        <w:spacing w:line="360" w:lineRule="auto"/>
        <w:ind w:firstLine="480" w:firstLineChars="200"/>
        <w:rPr>
          <w:rStyle w:val="36"/>
          <w:color w:val="000000"/>
          <w:sz w:val="24"/>
          <w:szCs w:val="24"/>
          <w:lang w:eastAsia="zh-CN"/>
        </w:rPr>
      </w:pPr>
      <w:r>
        <w:rPr>
          <w:rStyle w:val="36"/>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10"/>
        <w:spacing w:line="360" w:lineRule="auto"/>
        <w:ind w:firstLine="480" w:firstLineChars="200"/>
        <w:rPr>
          <w:rStyle w:val="36"/>
          <w:color w:val="000000"/>
          <w:sz w:val="24"/>
          <w:szCs w:val="24"/>
          <w:lang w:eastAsia="zh-CN"/>
        </w:rPr>
      </w:pPr>
      <w:r>
        <w:rPr>
          <w:rStyle w:val="36"/>
          <w:rFonts w:hint="eastAsia"/>
          <w:color w:val="000000"/>
          <w:sz w:val="24"/>
          <w:szCs w:val="24"/>
          <w:lang w:eastAsia="zh-CN"/>
        </w:rPr>
        <w:t>3．任何一方违反保密义务，应向对方支付合同总价</w:t>
      </w:r>
      <w:r>
        <w:rPr>
          <w:rStyle w:val="36"/>
          <w:rFonts w:hint="eastAsia"/>
          <w:color w:val="000000"/>
          <w:sz w:val="24"/>
          <w:szCs w:val="24"/>
          <w:u w:val="single"/>
          <w:lang w:eastAsia="zh-CN"/>
        </w:rPr>
        <w:t>20%</w:t>
      </w:r>
      <w:r>
        <w:rPr>
          <w:rStyle w:val="36"/>
          <w:rFonts w:hint="eastAsia"/>
          <w:color w:val="000000"/>
          <w:sz w:val="24"/>
          <w:szCs w:val="24"/>
          <w:lang w:eastAsia="zh-CN"/>
        </w:rPr>
        <w:t>的违约金，赔偿由此给对方造成的损失。</w:t>
      </w:r>
    </w:p>
    <w:p>
      <w:pPr>
        <w:spacing w:line="360" w:lineRule="auto"/>
        <w:ind w:firstLine="480" w:firstLineChars="200"/>
        <w:rPr>
          <w:sz w:val="24"/>
          <w:szCs w:val="24"/>
          <w:lang w:eastAsia="zh-CN"/>
        </w:rPr>
      </w:pPr>
      <w:r>
        <w:rPr>
          <w:rFonts w:hint="eastAsia"/>
          <w:color w:val="000000"/>
          <w:sz w:val="24"/>
          <w:szCs w:val="24"/>
          <w:lang w:eastAsia="zh-CN"/>
        </w:rPr>
        <w:t xml:space="preserve">4. </w:t>
      </w:r>
      <w:r>
        <w:rPr>
          <w:rFonts w:hint="eastAsia"/>
          <w:sz w:val="24"/>
          <w:szCs w:val="24"/>
          <w:lang w:eastAsia="zh-CN"/>
        </w:rPr>
        <w:t>甲方无正当理由未按本合同规定履行向乙方支付技术服务费的，应按照全国银行间同业拆借中心公布的贷款市场报价利率计算利息。</w:t>
      </w:r>
    </w:p>
    <w:p>
      <w:pPr>
        <w:pStyle w:val="10"/>
        <w:spacing w:line="360" w:lineRule="auto"/>
        <w:ind w:firstLine="480" w:firstLineChars="200"/>
        <w:rPr>
          <w:rFonts w:hAnsi="宋体"/>
          <w:sz w:val="24"/>
          <w:szCs w:val="24"/>
          <w:lang w:eastAsia="zh-CN"/>
        </w:rPr>
      </w:pPr>
      <w:r>
        <w:rPr>
          <w:rFonts w:hint="eastAsia"/>
          <w:sz w:val="24"/>
          <w:szCs w:val="24"/>
          <w:lang w:eastAsia="zh-CN"/>
        </w:rPr>
        <w:t>5.甲方已就本合同项下涉及乙方重大利害关系的条款向乙方作出详细说明，乙方充分理解上述条款含义，并自愿签订本合同。</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第十条</w:t>
      </w:r>
      <w:r>
        <w:rPr>
          <w:rFonts w:hint="eastAsia" w:hAnsi="宋体"/>
          <w:sz w:val="24"/>
          <w:szCs w:val="24"/>
          <w:lang w:eastAsia="zh-CN"/>
        </w:rPr>
        <w:t xml:space="preserve"> 双方因履行本合同而发生的争议，可协商、调解解决，也可直接采取下列第</w:t>
      </w:r>
      <w:r>
        <w:rPr>
          <w:rFonts w:hint="eastAsia" w:hAnsi="宋体"/>
          <w:sz w:val="24"/>
          <w:szCs w:val="24"/>
          <w:u w:val="single"/>
          <w:lang w:eastAsia="zh-CN"/>
        </w:rPr>
        <w:t xml:space="preserve"> 2</w:t>
      </w:r>
      <w:r>
        <w:rPr>
          <w:rFonts w:hAnsi="宋体"/>
          <w:sz w:val="24"/>
          <w:szCs w:val="24"/>
          <w:u w:val="single"/>
          <w:lang w:eastAsia="zh-CN"/>
        </w:rPr>
        <w:t xml:space="preserve"> </w:t>
      </w:r>
      <w:r>
        <w:rPr>
          <w:rFonts w:hint="eastAsia" w:hAnsi="宋体"/>
          <w:sz w:val="24"/>
          <w:szCs w:val="24"/>
          <w:lang w:eastAsia="zh-CN"/>
        </w:rPr>
        <w:t>种方式解决：</w:t>
      </w:r>
    </w:p>
    <w:p>
      <w:pPr>
        <w:pStyle w:val="10"/>
        <w:spacing w:line="360" w:lineRule="auto"/>
        <w:ind w:firstLine="480" w:firstLineChars="200"/>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10"/>
        <w:spacing w:line="360" w:lineRule="auto"/>
        <w:ind w:firstLine="480" w:firstLineChars="200"/>
        <w:rPr>
          <w:rFonts w:hAnsi="宋体"/>
          <w:sz w:val="24"/>
          <w:szCs w:val="24"/>
          <w:lang w:eastAsia="zh-CN"/>
        </w:rPr>
      </w:pPr>
      <w:r>
        <w:rPr>
          <w:rFonts w:hint="eastAsia" w:hAnsi="宋体"/>
          <w:sz w:val="24"/>
          <w:szCs w:val="24"/>
          <w:lang w:eastAsia="zh-CN"/>
        </w:rPr>
        <w:t>2．向甲方所在地人民法院提起诉讼。</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第十一条</w:t>
      </w:r>
      <w:r>
        <w:rPr>
          <w:rFonts w:hint="eastAsia" w:hAnsi="宋体"/>
          <w:sz w:val="24"/>
          <w:szCs w:val="24"/>
          <w:lang w:eastAsia="zh-CN"/>
        </w:rPr>
        <w:t xml:space="preserve"> 其他</w:t>
      </w:r>
    </w:p>
    <w:p>
      <w:pPr>
        <w:pStyle w:val="10"/>
        <w:spacing w:line="360" w:lineRule="auto"/>
        <w:ind w:firstLine="480" w:firstLineChars="200"/>
        <w:rPr>
          <w:rStyle w:val="36"/>
          <w:color w:val="000000"/>
          <w:sz w:val="24"/>
          <w:szCs w:val="24"/>
          <w:lang w:eastAsia="zh-CN"/>
        </w:rPr>
      </w:pPr>
      <w:r>
        <w:rPr>
          <w:rStyle w:val="36"/>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spacing w:line="360" w:lineRule="auto"/>
        <w:ind w:firstLine="480" w:firstLineChars="200"/>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10"/>
        <w:spacing w:line="360" w:lineRule="auto"/>
        <w:ind w:firstLine="482" w:firstLineChars="200"/>
        <w:rPr>
          <w:rFonts w:hAnsi="宋体"/>
          <w:sz w:val="24"/>
          <w:szCs w:val="24"/>
          <w:lang w:eastAsia="zh-CN"/>
        </w:rPr>
      </w:pPr>
      <w:r>
        <w:rPr>
          <w:rFonts w:hint="eastAsia" w:hAnsi="宋体"/>
          <w:b/>
          <w:sz w:val="24"/>
          <w:szCs w:val="24"/>
          <w:lang w:eastAsia="zh-CN"/>
        </w:rPr>
        <w:t>第十二条</w:t>
      </w:r>
      <w:r>
        <w:rPr>
          <w:rFonts w:hint="eastAsia" w:hAnsi="宋体"/>
          <w:sz w:val="24"/>
          <w:szCs w:val="24"/>
          <w:lang w:eastAsia="zh-CN"/>
        </w:rPr>
        <w:t xml:space="preserve"> 本合同经双方签订后生效。本合同一式</w:t>
      </w:r>
      <w:r>
        <w:rPr>
          <w:rFonts w:hint="eastAsia" w:hAnsi="宋体"/>
          <w:sz w:val="24"/>
          <w:szCs w:val="24"/>
          <w:u w:val="single"/>
          <w:lang w:eastAsia="zh-CN"/>
        </w:rPr>
        <w:t xml:space="preserve"> 6</w:t>
      </w:r>
      <w:r>
        <w:rPr>
          <w:rFonts w:hAnsi="宋体"/>
          <w:sz w:val="24"/>
          <w:szCs w:val="24"/>
          <w:u w:val="single"/>
          <w:lang w:eastAsia="zh-CN"/>
        </w:rPr>
        <w:t xml:space="preserve"> </w:t>
      </w:r>
      <w:r>
        <w:rPr>
          <w:rFonts w:hint="eastAsia" w:hAnsi="宋体"/>
          <w:sz w:val="24"/>
          <w:szCs w:val="24"/>
          <w:lang w:eastAsia="zh-CN"/>
        </w:rPr>
        <w:t>份，甲方执</w:t>
      </w:r>
      <w:r>
        <w:rPr>
          <w:rFonts w:hint="eastAsia" w:hAnsi="宋体"/>
          <w:sz w:val="24"/>
          <w:szCs w:val="24"/>
          <w:u w:val="single"/>
          <w:lang w:eastAsia="zh-CN"/>
        </w:rPr>
        <w:t xml:space="preserve"> 4</w:t>
      </w:r>
      <w:r>
        <w:rPr>
          <w:rFonts w:hAnsi="宋体"/>
          <w:sz w:val="24"/>
          <w:szCs w:val="24"/>
          <w:u w:val="single"/>
          <w:lang w:eastAsia="zh-CN"/>
        </w:rPr>
        <w:t xml:space="preserve"> </w:t>
      </w:r>
      <w:r>
        <w:rPr>
          <w:rFonts w:hint="eastAsia" w:hAnsi="宋体"/>
          <w:sz w:val="24"/>
          <w:szCs w:val="24"/>
          <w:lang w:eastAsia="zh-CN"/>
        </w:rPr>
        <w:t>份，乙方执</w:t>
      </w:r>
      <w:r>
        <w:rPr>
          <w:rFonts w:hint="eastAsia" w:hAnsi="宋体"/>
          <w:sz w:val="24"/>
          <w:szCs w:val="24"/>
          <w:u w:val="single"/>
          <w:lang w:eastAsia="zh-CN"/>
        </w:rPr>
        <w:t xml:space="preserve"> 2</w:t>
      </w:r>
      <w:r>
        <w:rPr>
          <w:rFonts w:hAnsi="宋体"/>
          <w:sz w:val="24"/>
          <w:szCs w:val="24"/>
          <w:u w:val="single"/>
          <w:lang w:eastAsia="zh-CN"/>
        </w:rPr>
        <w:t xml:space="preserve"> </w:t>
      </w:r>
      <w:r>
        <w:rPr>
          <w:rFonts w:hint="eastAsia" w:hAnsi="宋体"/>
          <w:sz w:val="24"/>
          <w:szCs w:val="24"/>
          <w:lang w:eastAsia="zh-CN"/>
        </w:rPr>
        <w:t>份，具有同等法律效力。</w:t>
      </w:r>
    </w:p>
    <w:p>
      <w:pPr>
        <w:pStyle w:val="10"/>
        <w:spacing w:line="360" w:lineRule="auto"/>
        <w:rPr>
          <w:rFonts w:hAnsi="宋体"/>
          <w:sz w:val="24"/>
          <w:szCs w:val="24"/>
          <w:lang w:eastAsia="zh-CN"/>
        </w:rPr>
      </w:pPr>
      <w:r>
        <w:rPr>
          <w:rFonts w:hint="eastAsia" w:hAnsi="宋体"/>
          <w:sz w:val="24"/>
          <w:szCs w:val="24"/>
          <w:lang w:eastAsia="zh-CN"/>
        </w:rPr>
        <w:t xml:space="preserve">    </w:t>
      </w:r>
      <w:r>
        <w:rPr>
          <w:rFonts w:hint="eastAsia" w:hAnsi="宋体"/>
          <w:b/>
          <w:sz w:val="24"/>
          <w:szCs w:val="24"/>
          <w:lang w:eastAsia="zh-CN"/>
        </w:rPr>
        <w:t>第十三条</w:t>
      </w:r>
      <w:r>
        <w:rPr>
          <w:rFonts w:hint="eastAsia" w:hAnsi="宋体"/>
          <w:sz w:val="24"/>
          <w:szCs w:val="24"/>
          <w:lang w:eastAsia="zh-CN"/>
        </w:rPr>
        <w:t xml:space="preserve">  附件</w:t>
      </w:r>
    </w:p>
    <w:p>
      <w:pPr>
        <w:pStyle w:val="10"/>
        <w:spacing w:line="360" w:lineRule="auto"/>
        <w:ind w:firstLine="480" w:firstLineChars="200"/>
        <w:rPr>
          <w:rFonts w:hAnsi="宋体"/>
          <w:sz w:val="24"/>
          <w:szCs w:val="24"/>
          <w:lang w:eastAsia="zh-CN"/>
        </w:rPr>
      </w:pPr>
      <w:r>
        <w:rPr>
          <w:rFonts w:hint="eastAsia" w:hAnsi="宋体"/>
          <w:sz w:val="24"/>
          <w:szCs w:val="24"/>
          <w:lang w:eastAsia="zh-CN"/>
        </w:rPr>
        <w:t>1.招标说明书</w:t>
      </w:r>
    </w:p>
    <w:p>
      <w:pPr>
        <w:pStyle w:val="10"/>
        <w:spacing w:line="360" w:lineRule="auto"/>
        <w:ind w:firstLine="480" w:firstLineChars="200"/>
        <w:rPr>
          <w:rFonts w:hAnsi="宋体"/>
          <w:sz w:val="24"/>
          <w:szCs w:val="24"/>
          <w:lang w:eastAsia="zh-CN"/>
        </w:rPr>
      </w:pPr>
      <w:r>
        <w:rPr>
          <w:rFonts w:hint="eastAsia" w:hAnsi="宋体"/>
          <w:sz w:val="24"/>
          <w:szCs w:val="24"/>
          <w:lang w:eastAsia="zh-CN"/>
        </w:rPr>
        <w:t>2.安全环保协议书</w:t>
      </w:r>
    </w:p>
    <w:p>
      <w:pPr>
        <w:pStyle w:val="10"/>
        <w:spacing w:line="360" w:lineRule="auto"/>
        <w:ind w:firstLine="480" w:firstLineChars="200"/>
        <w:rPr>
          <w:rFonts w:hAnsi="宋体"/>
          <w:sz w:val="24"/>
          <w:szCs w:val="24"/>
          <w:lang w:eastAsia="zh-CN"/>
        </w:rPr>
      </w:pPr>
      <w:r>
        <w:rPr>
          <w:rFonts w:hint="eastAsia" w:hAnsi="宋体"/>
          <w:sz w:val="24"/>
          <w:szCs w:val="24"/>
          <w:lang w:eastAsia="zh-CN"/>
        </w:rPr>
        <w:t>3.价格清单</w:t>
      </w:r>
    </w:p>
    <w:p>
      <w:pPr>
        <w:spacing w:line="360" w:lineRule="auto"/>
        <w:rPr>
          <w:rFonts w:hint="eastAsia" w:cs="Arial"/>
          <w:b/>
          <w:sz w:val="24"/>
          <w:szCs w:val="24"/>
          <w:lang w:eastAsia="zh-CN"/>
        </w:rPr>
      </w:pPr>
    </w:p>
    <w:p>
      <w:pPr>
        <w:spacing w:line="360" w:lineRule="auto"/>
        <w:rPr>
          <w:rFonts w:cs="Arial"/>
          <w:b/>
          <w:sz w:val="24"/>
          <w:szCs w:val="24"/>
          <w:lang w:eastAsia="zh-CN"/>
        </w:rPr>
      </w:pPr>
      <w:r>
        <w:rPr>
          <w:rFonts w:hint="eastAsia" w:cs="Arial"/>
          <w:b/>
          <w:sz w:val="24"/>
          <w:szCs w:val="24"/>
          <w:lang w:eastAsia="zh-CN"/>
        </w:rPr>
        <w:t>（本页为签署栏，无正文）</w:t>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b/>
          <w:sz w:val="28"/>
          <w:szCs w:val="28"/>
        </w:rPr>
      </w:pPr>
      <w:r>
        <w:rPr>
          <w:rFonts w:hint="eastAsia"/>
          <w:b/>
          <w:sz w:val="28"/>
          <w:szCs w:val="28"/>
        </w:rPr>
        <w:t>甲方：</w:t>
      </w:r>
    </w:p>
    <w:p>
      <w:pPr>
        <w:spacing w:line="360" w:lineRule="auto"/>
        <w:ind w:right="-147" w:rightChars="-67"/>
        <w:rPr>
          <w:b/>
          <w:sz w:val="24"/>
          <w:lang w:eastAsia="zh-CN"/>
        </w:rPr>
      </w:pPr>
      <w:r>
        <w:rPr>
          <w:rFonts w:hint="eastAsia"/>
          <w:b/>
          <w:spacing w:val="20"/>
          <w:sz w:val="24"/>
          <w:lang w:eastAsia="zh-CN"/>
        </w:rPr>
        <w:t>腾龙芳烃（漳州）有限公司              翔鹭石化（漳州）有限公司</w:t>
      </w:r>
    </w:p>
    <w:p>
      <w:pPr>
        <w:spacing w:line="360" w:lineRule="auto"/>
        <w:ind w:right="-147" w:rightChars="-67"/>
        <w:rPr>
          <w:rFonts w:cs="Courier New" w:asciiTheme="majorEastAsia" w:hAnsiTheme="majorEastAsia" w:eastAsiaTheme="majorEastAsia"/>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rFonts w:hint="eastAsia" w:cs="Courier New" w:asciiTheme="majorEastAsia" w:hAnsiTheme="majorEastAsia" w:eastAsiaTheme="majorEastAsia"/>
          <w:lang w:eastAsia="zh-CN"/>
        </w:rPr>
        <w:t>福建省漳州市漳州古雷经济</w:t>
      </w:r>
    </w:p>
    <w:p>
      <w:pPr>
        <w:pStyle w:val="2"/>
        <w:spacing w:line="360" w:lineRule="auto"/>
        <w:rPr>
          <w:sz w:val="22"/>
        </w:rPr>
      </w:pPr>
      <w:r>
        <w:rPr>
          <w:rFonts w:hint="eastAsia"/>
          <w:sz w:val="22"/>
        </w:rPr>
        <w:t xml:space="preserve">        </w:t>
      </w:r>
      <w:r>
        <w:rPr>
          <w:rFonts w:hint="eastAsia" w:hAnsi="Courier New" w:cs="Courier New"/>
          <w:sz w:val="21"/>
          <w:szCs w:val="21"/>
        </w:rPr>
        <w:t>腾龙路84号</w:t>
      </w:r>
      <w:r>
        <w:rPr>
          <w:rFonts w:hint="eastAsia"/>
          <w:sz w:val="22"/>
        </w:rPr>
        <w:t xml:space="preserve">                                    </w:t>
      </w:r>
      <w:r>
        <w:rPr>
          <w:rFonts w:hint="eastAsia" w:cs="Courier New" w:asciiTheme="majorEastAsia" w:hAnsiTheme="majorEastAsia" w:eastAsiaTheme="majorEastAsia"/>
          <w:sz w:val="22"/>
        </w:rPr>
        <w:t>开发区腾龙路86号</w:t>
      </w:r>
    </w:p>
    <w:p>
      <w:pPr>
        <w:spacing w:line="360" w:lineRule="auto"/>
        <w:ind w:left="1038" w:right="-147" w:rightChars="-67" w:hanging="1038" w:hangingChars="472"/>
        <w:rPr>
          <w:szCs w:val="21"/>
          <w:lang w:eastAsia="zh-CN"/>
        </w:rPr>
      </w:pPr>
      <w:r>
        <w:rPr>
          <w:rFonts w:hint="eastAsia"/>
          <w:szCs w:val="21"/>
          <w:lang w:eastAsia="zh-CN"/>
        </w:rPr>
        <w:t>开户行：</w:t>
      </w:r>
      <w:r>
        <w:rPr>
          <w:rFonts w:hint="eastAsia" w:asciiTheme="majorEastAsia" w:hAnsiTheme="majorEastAsia" w:eastAsiaTheme="majorEastAsia"/>
          <w:lang w:eastAsia="zh-CN"/>
        </w:rPr>
        <w:t>兴业银行漳州古雷支行</w:t>
      </w:r>
      <w:r>
        <w:rPr>
          <w:rFonts w:hint="eastAsia"/>
          <w:szCs w:val="21"/>
          <w:lang w:eastAsia="zh-CN"/>
        </w:rPr>
        <w:t xml:space="preserve">                  开户行：</w:t>
      </w:r>
      <w:r>
        <w:rPr>
          <w:rFonts w:hint="eastAsia" w:asciiTheme="majorEastAsia" w:hAnsiTheme="majorEastAsia" w:eastAsiaTheme="majorEastAsia"/>
          <w:lang w:eastAsia="zh-CN"/>
        </w:rPr>
        <w:t>中国银行漳州分行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r>
        <w:rPr>
          <w:rFonts w:asciiTheme="majorEastAsia" w:hAnsiTheme="majorEastAsia" w:eastAsiaTheme="majorEastAsia"/>
          <w:lang w:eastAsia="zh-CN"/>
        </w:rPr>
        <w:t>162070100100021071</w:t>
      </w:r>
      <w:r>
        <w:rPr>
          <w:rFonts w:hint="eastAsia"/>
          <w:szCs w:val="21"/>
          <w:lang w:eastAsia="zh-CN"/>
        </w:rPr>
        <w:t xml:space="preserve">                   帐</w:t>
      </w:r>
      <w:r>
        <w:rPr>
          <w:szCs w:val="21"/>
          <w:lang w:eastAsia="zh-CN"/>
        </w:rPr>
        <w:t xml:space="preserve">  </w:t>
      </w:r>
      <w:r>
        <w:rPr>
          <w:rFonts w:hint="eastAsia"/>
          <w:szCs w:val="21"/>
          <w:lang w:eastAsia="zh-CN"/>
        </w:rPr>
        <w:t xml:space="preserve">号： </w:t>
      </w:r>
      <w:r>
        <w:rPr>
          <w:rFonts w:hint="eastAsia"/>
          <w:lang w:eastAsia="zh-CN"/>
        </w:rPr>
        <w:t>416958369985</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r>
        <w:rPr>
          <w:rFonts w:hint="eastAsia" w:asciiTheme="majorEastAsia" w:hAnsiTheme="majorEastAsia" w:eastAsiaTheme="majorEastAsia"/>
          <w:lang w:eastAsia="zh-CN"/>
        </w:rPr>
        <w:t>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r>
        <w:rPr>
          <w:rFonts w:hint="eastAsia"/>
          <w:lang w:eastAsia="zh-CN"/>
        </w:rPr>
        <w:t>913506006765392255</w:t>
      </w:r>
    </w:p>
    <w:p>
      <w:pPr>
        <w:spacing w:line="360" w:lineRule="auto"/>
        <w:ind w:right="-147" w:rightChars="-67"/>
        <w:rPr>
          <w:rFonts w:hint="eastAsia" w:asciiTheme="majorEastAsia" w:hAnsiTheme="majorEastAsia" w:eastAsiaTheme="majorEastAsia"/>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r>
        <w:rPr>
          <w:rFonts w:hint="eastAsia" w:asciiTheme="majorEastAsia" w:hAnsiTheme="majorEastAsia" w:eastAsiaTheme="majorEastAsia"/>
        </w:rPr>
        <w:t>0596-6311083</w:t>
      </w:r>
      <w:r>
        <w:rPr>
          <w:rFonts w:hint="eastAsia"/>
          <w:szCs w:val="21"/>
          <w:lang w:eastAsia="zh-CN"/>
        </w:rPr>
        <w:t xml:space="preserve">                         电</w:t>
      </w:r>
      <w:r>
        <w:rPr>
          <w:szCs w:val="21"/>
          <w:lang w:eastAsia="zh-CN"/>
        </w:rPr>
        <w:t xml:space="preserve">  </w:t>
      </w:r>
      <w:r>
        <w:rPr>
          <w:rFonts w:hint="eastAsia"/>
          <w:szCs w:val="21"/>
          <w:lang w:eastAsia="zh-CN"/>
        </w:rPr>
        <w:t>话：</w:t>
      </w:r>
      <w:r>
        <w:rPr>
          <w:rFonts w:hint="eastAsia"/>
          <w:bCs/>
          <w:szCs w:val="21"/>
          <w:lang w:eastAsia="zh-CN"/>
        </w:rPr>
        <w:t xml:space="preserve"> </w:t>
      </w:r>
      <w:r>
        <w:rPr>
          <w:rFonts w:hint="eastAsia" w:asciiTheme="majorEastAsia" w:hAnsiTheme="majorEastAsia" w:eastAsiaTheme="majorEastAsia"/>
          <w:lang w:eastAsia="zh-CN"/>
        </w:rPr>
        <w:t>0592-6808888</w:t>
      </w:r>
    </w:p>
    <w:p>
      <w:pPr>
        <w:pStyle w:val="2"/>
        <w:rPr>
          <w:lang w:eastAsia="zh-CN"/>
        </w:rPr>
      </w:pPr>
    </w:p>
    <w:tbl>
      <w:tblPr>
        <w:tblStyle w:val="21"/>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9781" w:type="dxa"/>
            <w:vAlign w:val="center"/>
          </w:tcPr>
          <w:p>
            <w:pPr>
              <w:spacing w:line="360" w:lineRule="auto"/>
              <w:ind w:firstLine="720" w:firstLineChars="300"/>
              <w:jc w:val="both"/>
              <w:rPr>
                <w:rFonts w:asciiTheme="majorEastAsia" w:hAnsiTheme="majorEastAsia" w:eastAsiaTheme="majorEastAsia"/>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781" w:type="dxa"/>
            <w:vAlign w:val="center"/>
          </w:tcPr>
          <w:p>
            <w:pPr>
              <w:spacing w:line="360" w:lineRule="auto"/>
              <w:ind w:right="-147" w:rightChars="-67"/>
              <w:jc w:val="both"/>
              <w:rPr>
                <w:rFonts w:cs="Arial"/>
                <w:b/>
                <w:sz w:val="28"/>
                <w:szCs w:val="28"/>
                <w:lang w:eastAsia="zh-CN"/>
              </w:rPr>
            </w:pPr>
            <w:r>
              <w:rPr>
                <w:rFonts w:hint="eastAsia" w:cs="Arial"/>
                <w:b/>
                <w:sz w:val="28"/>
                <w:szCs w:val="28"/>
                <w:lang w:eastAsia="zh-CN"/>
              </w:rPr>
              <w:t>乙方</w:t>
            </w:r>
            <w:r>
              <w:rPr>
                <w:rFonts w:cs="Arial"/>
                <w:b/>
                <w:sz w:val="28"/>
                <w:szCs w:val="28"/>
                <w:lang w:eastAsia="zh-CN"/>
              </w:rPr>
              <w:t>：</w:t>
            </w:r>
            <w:r>
              <w:rPr>
                <w:rFonts w:hint="eastAsia" w:cs="Arial"/>
                <w:b/>
                <w:sz w:val="28"/>
                <w:szCs w:val="28"/>
                <w:lang w:eastAsia="zh-CN"/>
              </w:rPr>
              <w:t xml:space="preserve">                                    </w:t>
            </w:r>
          </w:p>
          <w:p>
            <w:pPr>
              <w:spacing w:line="360" w:lineRule="auto"/>
              <w:ind w:right="-147" w:rightChars="-67"/>
              <w:jc w:val="both"/>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pPr>
              <w:spacing w:line="360" w:lineRule="auto"/>
              <w:ind w:left="1038" w:right="-147" w:rightChars="-67" w:hanging="1038" w:hangingChars="472"/>
              <w:jc w:val="both"/>
              <w:rPr>
                <w:szCs w:val="21"/>
                <w:lang w:eastAsia="zh-CN"/>
              </w:rPr>
            </w:pPr>
            <w:r>
              <w:rPr>
                <w:rFonts w:hint="eastAsia"/>
                <w:szCs w:val="21"/>
                <w:lang w:eastAsia="zh-CN"/>
              </w:rPr>
              <w:t>开户行：</w:t>
            </w:r>
          </w:p>
          <w:p>
            <w:pPr>
              <w:spacing w:line="360" w:lineRule="auto"/>
              <w:ind w:right="-147" w:rightChars="-67"/>
              <w:jc w:val="both"/>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p>
          <w:p>
            <w:pPr>
              <w:spacing w:line="360" w:lineRule="auto"/>
              <w:ind w:right="-147" w:rightChars="-67"/>
              <w:jc w:val="both"/>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p>
          <w:p>
            <w:pPr>
              <w:spacing w:line="360" w:lineRule="auto"/>
              <w:ind w:right="-147" w:rightChars="-67"/>
              <w:jc w:val="both"/>
              <w:rPr>
                <w:rFonts w:asciiTheme="majorEastAsia" w:hAnsiTheme="majorEastAsia" w:eastAsiaTheme="majorEastAsia"/>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p>
        </w:tc>
      </w:tr>
    </w:tbl>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rFonts w:hint="eastAsia"/>
          <w:b/>
          <w:bCs/>
          <w:sz w:val="32"/>
          <w:szCs w:val="32"/>
        </w:rPr>
      </w:pPr>
    </w:p>
    <w:p>
      <w:pPr>
        <w:pStyle w:val="2"/>
        <w:spacing w:line="360" w:lineRule="auto"/>
        <w:rPr>
          <w:b/>
          <w:bCs/>
          <w:sz w:val="32"/>
          <w:szCs w:val="32"/>
        </w:rPr>
      </w:pPr>
      <w:r>
        <w:rPr>
          <w:rFonts w:hint="eastAsia"/>
          <w:b/>
          <w:bCs/>
          <w:sz w:val="32"/>
          <w:szCs w:val="32"/>
        </w:rPr>
        <w:t>附件1：招标说明书</w:t>
      </w:r>
    </w:p>
    <w:p>
      <w:pPr>
        <w:pStyle w:val="2"/>
      </w:pPr>
    </w:p>
    <w:p>
      <w:pPr>
        <w:pStyle w:val="2"/>
      </w:pPr>
    </w:p>
    <w:p>
      <w:pPr>
        <w:jc w:val="center"/>
        <w:rPr>
          <w:rFonts w:hint="eastAsia" w:ascii="宋体" w:hAnsi="宋体" w:cs="宋体"/>
          <w:b/>
          <w:bCs/>
          <w:sz w:val="36"/>
          <w:szCs w:val="36"/>
        </w:rPr>
      </w:pPr>
      <w:r>
        <w:rPr>
          <w:rFonts w:hint="eastAsia"/>
          <w:b/>
          <w:sz w:val="36"/>
        </w:rPr>
        <w:t>腾龙芳烃（漳州）有限公司</w:t>
      </w:r>
    </w:p>
    <w:p>
      <w:pPr>
        <w:jc w:val="center"/>
        <w:rPr>
          <w:rFonts w:hint="eastAsia" w:ascii="宋体" w:hAnsi="宋体" w:cs="宋体"/>
          <w:bCs/>
          <w:sz w:val="36"/>
          <w:szCs w:val="36"/>
        </w:rPr>
      </w:pPr>
    </w:p>
    <w:p>
      <w:pPr>
        <w:jc w:val="center"/>
        <w:rPr>
          <w:rFonts w:hint="eastAsia" w:ascii="宋体" w:hAnsi="宋体" w:cs="宋体"/>
          <w:b/>
          <w:bCs/>
          <w:sz w:val="36"/>
          <w:szCs w:val="36"/>
        </w:rPr>
      </w:pPr>
      <w:r>
        <w:rPr>
          <w:rFonts w:ascii="宋体" w:hAnsi="宋体" w:cs="宋体"/>
          <w:b/>
          <w:bCs/>
          <w:sz w:val="36"/>
          <w:szCs w:val="36"/>
        </w:rPr>
        <w:t>160</w:t>
      </w:r>
      <w:r>
        <w:rPr>
          <w:rFonts w:hint="eastAsia" w:ascii="宋体" w:hAnsi="宋体" w:cs="宋体"/>
          <w:b/>
          <w:bCs/>
          <w:sz w:val="36"/>
          <w:szCs w:val="36"/>
        </w:rPr>
        <w:t>万吨/年对二甲苯</w:t>
      </w:r>
      <w:r>
        <w:rPr>
          <w:rFonts w:ascii="宋体" w:hAnsi="宋体" w:cs="宋体"/>
          <w:b/>
          <w:bCs/>
          <w:sz w:val="36"/>
          <w:szCs w:val="36"/>
        </w:rPr>
        <w:t>项目</w:t>
      </w:r>
    </w:p>
    <w:p>
      <w:pPr>
        <w:jc w:val="center"/>
        <w:rPr>
          <w:rFonts w:hint="eastAsia" w:ascii="宋体" w:hAnsi="宋体" w:cs="宋体"/>
          <w:bCs/>
          <w:sz w:val="36"/>
          <w:szCs w:val="36"/>
        </w:rPr>
      </w:pPr>
    </w:p>
    <w:p>
      <w:pPr>
        <w:jc w:val="center"/>
        <w:rPr>
          <w:rFonts w:hint="eastAsia" w:ascii="微软雅黑" w:hAnsi="微软雅黑" w:eastAsia="微软雅黑"/>
          <w:b/>
          <w:sz w:val="32"/>
          <w:szCs w:val="32"/>
        </w:rPr>
      </w:pPr>
      <w:r>
        <w:rPr>
          <w:rFonts w:hint="eastAsia" w:ascii="微软雅黑" w:hAnsi="微软雅黑" w:eastAsia="微软雅黑"/>
          <w:b/>
          <w:sz w:val="32"/>
          <w:szCs w:val="32"/>
        </w:rPr>
        <w:t>土壤环境、地下水检测服务</w:t>
      </w:r>
      <w:r>
        <w:rPr>
          <w:rFonts w:hint="eastAsia" w:ascii="微软雅黑" w:hAnsi="微软雅黑" w:eastAsia="微软雅黑"/>
          <w:b/>
          <w:snapToGrid w:val="0"/>
          <w:sz w:val="32"/>
          <w:szCs w:val="32"/>
        </w:rPr>
        <w:t>招标说明书</w:t>
      </w: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ascii="宋体" w:hAnsi="宋体" w:cs="宋体"/>
          <w:b/>
          <w:bCs/>
          <w:sz w:val="36"/>
          <w:szCs w:val="36"/>
        </w:rPr>
      </w:pPr>
      <w:r>
        <w:rPr>
          <w:rFonts w:hint="eastAsia" w:ascii="宋体" w:hAnsi="宋体" w:cs="宋体"/>
          <w:b/>
          <w:sz w:val="30"/>
          <w:szCs w:val="30"/>
        </w:rPr>
        <w:t>发包方：腾龙芳烃（漳州</w:t>
      </w:r>
      <w:r>
        <w:rPr>
          <w:rFonts w:ascii="宋体" w:hAnsi="宋体" w:cs="宋体"/>
          <w:b/>
          <w:sz w:val="30"/>
          <w:szCs w:val="30"/>
        </w:rPr>
        <w:t>）</w:t>
      </w:r>
      <w:r>
        <w:rPr>
          <w:rFonts w:hint="eastAsia" w:ascii="宋体" w:hAnsi="宋体" w:cs="宋体"/>
          <w:b/>
          <w:sz w:val="30"/>
          <w:szCs w:val="30"/>
        </w:rPr>
        <w:t>有限公司</w:t>
      </w:r>
    </w:p>
    <w:p>
      <w:pPr>
        <w:jc w:val="center"/>
        <w:rPr>
          <w:b/>
          <w:sz w:val="30"/>
          <w:szCs w:val="30"/>
          <w:highlight w:val="none"/>
        </w:rPr>
      </w:pPr>
      <w:r>
        <w:rPr>
          <w:rFonts w:hint="eastAsia" w:ascii="宋体" w:hAnsi="宋体" w:cs="宋体"/>
          <w:b/>
          <w:sz w:val="30"/>
          <w:szCs w:val="30"/>
          <w:highlight w:val="none"/>
        </w:rPr>
        <w:t>202</w:t>
      </w:r>
      <w:r>
        <w:rPr>
          <w:rFonts w:hint="eastAsia" w:ascii="宋体" w:hAnsi="宋体" w:cs="宋体"/>
          <w:b/>
          <w:sz w:val="30"/>
          <w:szCs w:val="30"/>
          <w:highlight w:val="none"/>
          <w:lang w:val="en-US" w:eastAsia="zh-CN"/>
        </w:rPr>
        <w:t>3</w:t>
      </w:r>
      <w:r>
        <w:rPr>
          <w:rFonts w:hint="eastAsia" w:ascii="宋体" w:hAnsi="宋体" w:cs="宋体"/>
          <w:b/>
          <w:sz w:val="30"/>
          <w:szCs w:val="30"/>
          <w:highlight w:val="none"/>
        </w:rPr>
        <w:t>年11月</w:t>
      </w:r>
      <w:r>
        <w:rPr>
          <w:rFonts w:hint="eastAsia" w:cs="宋体"/>
          <w:b/>
          <w:sz w:val="30"/>
          <w:szCs w:val="30"/>
          <w:highlight w:val="none"/>
          <w:lang w:val="en-US" w:eastAsia="zh-CN"/>
        </w:rPr>
        <w:t>29</w:t>
      </w:r>
      <w:r>
        <w:rPr>
          <w:rFonts w:hint="eastAsia" w:ascii="宋体" w:hAnsi="宋体" w:cs="宋体"/>
          <w:b/>
          <w:sz w:val="30"/>
          <w:szCs w:val="30"/>
          <w:highlight w:val="none"/>
        </w:rPr>
        <w:t>日</w:t>
      </w:r>
    </w:p>
    <w:p>
      <w:pPr>
        <w:pStyle w:val="53"/>
        <w:spacing w:line="440" w:lineRule="exact"/>
        <w:ind w:firstLine="600" w:firstLineChars="200"/>
        <w:jc w:val="center"/>
        <w:rPr>
          <w:rFonts w:ascii="Times New Roman" w:eastAsia="宋体" w:cs="Times New Roman"/>
          <w:color w:val="auto"/>
          <w:kern w:val="2"/>
          <w:sz w:val="30"/>
          <w:szCs w:val="30"/>
        </w:rPr>
      </w:pPr>
    </w:p>
    <w:p>
      <w:pPr>
        <w:pStyle w:val="53"/>
        <w:spacing w:line="360" w:lineRule="auto"/>
        <w:jc w:val="both"/>
        <w:rPr>
          <w:rFonts w:hint="eastAsia" w:ascii="宋体" w:hAnsi="宋体" w:eastAsia="宋体"/>
          <w:b/>
          <w:snapToGrid w:val="0"/>
          <w:color w:val="auto"/>
          <w:sz w:val="28"/>
          <w:szCs w:val="28"/>
        </w:rPr>
      </w:pPr>
    </w:p>
    <w:p>
      <w:pPr>
        <w:pStyle w:val="53"/>
        <w:spacing w:line="360" w:lineRule="auto"/>
        <w:jc w:val="both"/>
        <w:rPr>
          <w:rFonts w:hint="eastAsia" w:ascii="宋体" w:hAnsi="宋体" w:eastAsia="宋体"/>
          <w:b/>
          <w:snapToGrid w:val="0"/>
          <w:color w:val="auto"/>
          <w:sz w:val="28"/>
          <w:szCs w:val="28"/>
        </w:rPr>
      </w:pPr>
    </w:p>
    <w:p>
      <w:pPr>
        <w:pStyle w:val="53"/>
        <w:spacing w:line="360" w:lineRule="auto"/>
        <w:jc w:val="both"/>
        <w:rPr>
          <w:rFonts w:hint="eastAsia" w:ascii="宋体" w:hAnsi="宋体" w:eastAsia="宋体"/>
          <w:b/>
          <w:snapToGrid w:val="0"/>
          <w:color w:val="auto"/>
          <w:sz w:val="28"/>
          <w:szCs w:val="28"/>
        </w:rPr>
      </w:pPr>
    </w:p>
    <w:p>
      <w:pPr>
        <w:pStyle w:val="53"/>
        <w:spacing w:line="360" w:lineRule="auto"/>
        <w:jc w:val="both"/>
        <w:rPr>
          <w:rFonts w:hint="eastAsia" w:ascii="宋体" w:hAnsi="宋体" w:eastAsia="宋体"/>
          <w:b/>
          <w:snapToGrid w:val="0"/>
          <w:color w:val="auto"/>
          <w:sz w:val="28"/>
          <w:szCs w:val="28"/>
        </w:rPr>
      </w:pPr>
      <w:r>
        <w:rPr>
          <w:rFonts w:hint="eastAsia" w:ascii="宋体" w:hAnsi="宋体" w:eastAsia="宋体"/>
          <w:b/>
          <w:snapToGrid w:val="0"/>
          <w:color w:val="auto"/>
          <w:sz w:val="28"/>
          <w:szCs w:val="28"/>
        </w:rPr>
        <w:t>一、项目概况</w:t>
      </w:r>
    </w:p>
    <w:p>
      <w:pPr>
        <w:pStyle w:val="53"/>
        <w:spacing w:line="360" w:lineRule="auto"/>
        <w:ind w:firstLine="360" w:firstLineChars="150"/>
        <w:rPr>
          <w:rFonts w:ascii="宋体" w:hAnsi="宋体" w:eastAsia="宋体"/>
          <w:snapToGrid w:val="0"/>
        </w:rPr>
      </w:pPr>
      <w:r>
        <w:rPr>
          <w:rFonts w:hint="eastAsia" w:ascii="宋体" w:hAnsi="宋体" w:eastAsia="宋体"/>
          <w:snapToGrid w:val="0"/>
        </w:rPr>
        <w:t>腾龙芳烃(漳州)有限公司位于漳州市古雷经济开发区，占地面积164.722公顷，规模为160万吨/年对二甲苯。共建有17套生产装置，另有储运罐区及四炉三机的自备热电站。</w:t>
      </w:r>
    </w:p>
    <w:p>
      <w:pPr>
        <w:pStyle w:val="53"/>
        <w:spacing w:line="360" w:lineRule="auto"/>
        <w:ind w:firstLine="360" w:firstLineChars="150"/>
        <w:rPr>
          <w:rFonts w:ascii="宋体" w:hAnsi="宋体" w:eastAsia="宋体"/>
          <w:snapToGrid w:val="0"/>
        </w:rPr>
      </w:pPr>
      <w:r>
        <w:rPr>
          <w:rFonts w:hint="eastAsia" w:ascii="宋体" w:hAnsi="宋体" w:eastAsia="宋体"/>
          <w:snapToGrid w:val="0"/>
        </w:rPr>
        <w:t>公司以凝析油（CO）和常渣油（AR）为原料。主要产品对二甲苯（PX）和邻二甲苯（OX），同时副产苯、甲苯、液化气、燃料气、C5、抽余油、重芳烃等。</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主装置有500万吨凝析油加氢装置、300万吨减压蒸馏装置、130万吨减粘裂化装置、500万吨凝析油分离装置、8万吨硫磺回收装置、316万吨加氢裂化装置、270万吨连续重整装置、300万吨抽提歧化装置、160万年对二甲苯装置等；配套设施有4x670t/h锅炉+3x150MW供热机组热电厂、公用能源部分、储运罐区。</w:t>
      </w:r>
    </w:p>
    <w:p>
      <w:pPr>
        <w:pStyle w:val="53"/>
        <w:spacing w:line="360" w:lineRule="auto"/>
        <w:jc w:val="both"/>
        <w:rPr>
          <w:rFonts w:hint="eastAsia" w:ascii="宋体" w:hAnsi="宋体" w:eastAsia="宋体"/>
          <w:b/>
          <w:snapToGrid w:val="0"/>
          <w:color w:val="auto"/>
          <w:sz w:val="28"/>
          <w:szCs w:val="28"/>
        </w:rPr>
      </w:pPr>
      <w:r>
        <w:rPr>
          <w:rFonts w:hint="eastAsia" w:ascii="宋体" w:hAnsi="宋体" w:eastAsia="宋体"/>
          <w:b/>
          <w:snapToGrid w:val="0"/>
          <w:color w:val="auto"/>
          <w:sz w:val="28"/>
          <w:szCs w:val="28"/>
        </w:rPr>
        <w:t>二、</w:t>
      </w:r>
      <w:r>
        <w:rPr>
          <w:rFonts w:ascii="宋体" w:hAnsi="宋体" w:eastAsia="宋体"/>
          <w:b/>
          <w:snapToGrid w:val="0"/>
          <w:color w:val="auto"/>
          <w:sz w:val="28"/>
          <w:szCs w:val="28"/>
        </w:rPr>
        <w:t xml:space="preserve"> </w:t>
      </w:r>
      <w:r>
        <w:rPr>
          <w:rFonts w:hint="eastAsia" w:ascii="宋体" w:hAnsi="宋体" w:eastAsia="宋体"/>
          <w:b/>
          <w:snapToGrid w:val="0"/>
          <w:color w:val="auto"/>
          <w:sz w:val="28"/>
          <w:szCs w:val="28"/>
        </w:rPr>
        <w:t>招标说明</w:t>
      </w:r>
    </w:p>
    <w:p>
      <w:pPr>
        <w:pStyle w:val="53"/>
        <w:spacing w:line="360" w:lineRule="auto"/>
        <w:rPr>
          <w:rFonts w:ascii="宋体" w:hAnsi="宋体" w:eastAsia="宋体"/>
          <w:b/>
          <w:snapToGrid w:val="0"/>
        </w:rPr>
      </w:pPr>
      <w:r>
        <w:rPr>
          <w:rFonts w:hint="eastAsia" w:ascii="宋体" w:hAnsi="宋体" w:eastAsia="宋体"/>
          <w:b/>
          <w:snapToGrid w:val="0"/>
        </w:rPr>
        <w:t>1、招标内容</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（1）、承揽单位应根据《土壤环境质量建设用地土壤污染风险管控标准（试行）》（GB36600-2018）要求、《HJ 1209-2021 工业企业土壤和地下水自行监测技术指南（试行）》及结合我司场地污染识别结果确定检测方案；</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（2）、样品采集、保存和流转工作按照《场地环境监测技术导则》（HJ25.2-2014）、《土壤环境监察技术规范（HJ/T164）》、《地下水环境监测技术规范 HJ/T 164》要求开展。</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（3）、样品的分析测试方法选用《土壤环境质量建设用地土壤污染风险管控标准（试行）》（GB36600-2018）、《HJ 1209-2021 工业企业土壤和地下水自行监测技术指南（试行）》所提供的方法。GB36600标准中未涉及到的测试项目在方法选择上应优先选用国家或行业标准分析方法，尚无国家或行业标准分析方法的监测项目可选用行业统一分析方法或行业规范；</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（4）、承揽单位应严格执行《场地环境监测技术导则》（HJ25.2-2014）、《土壤环境监察技术规范（HJ/T164）》、《HJ 1209-2021 工业企业土壤和地下水自行监测技术指南（试行）》相关质控要求，确保监测结果的准确可靠。监测报告应包含相应的质控数据，相关监测的质量由承揽单位负责；</w:t>
      </w:r>
    </w:p>
    <w:p>
      <w:pPr>
        <w:pStyle w:val="53"/>
        <w:spacing w:line="360" w:lineRule="auto"/>
        <w:ind w:firstLine="360" w:firstLineChars="150"/>
        <w:rPr>
          <w:rFonts w:ascii="宋体" w:hAnsi="宋体" w:eastAsia="宋体"/>
          <w:snapToGrid w:val="0"/>
        </w:rPr>
      </w:pPr>
      <w:r>
        <w:rPr>
          <w:rFonts w:hint="eastAsia" w:ascii="宋体" w:hAnsi="宋体" w:eastAsia="宋体"/>
          <w:snapToGrid w:val="0"/>
        </w:rPr>
        <w:t>（5）、承揽单位应按照《土壤环境质量建设用地土壤污染风险管控标准（试行）》（GB36300-2018）对监测结果进行评价，并按照《HJ 1209-2021 工业企业土壤和地下水自行监测技术指南（试行）》相关内容</w:t>
      </w:r>
      <w:r>
        <w:rPr>
          <w:rFonts w:hint="eastAsia" w:ascii="宋体" w:hAnsi="宋体" w:eastAsia="宋体"/>
          <w:snapToGrid w:val="0"/>
          <w:highlight w:val="none"/>
        </w:rPr>
        <w:t>、格式</w:t>
      </w:r>
      <w:r>
        <w:rPr>
          <w:rFonts w:hint="eastAsia" w:ascii="宋体" w:hAnsi="宋体" w:eastAsia="宋体"/>
          <w:snapToGrid w:val="0"/>
        </w:rPr>
        <w:t>要求进行编制技术服务报告，至少包括1、企业执行的自行监测方案描述（至少涵盖重点监测单元清单、标记有重点单元及监测点/监测井位置的企业总平面布置图，重点单元识别与分类过程描述，监测点位置、数量和深度的描述，各点位监测指标与频次及其选取原因描述，样品采集、保存、流转、制备等方法描述等）；2、监测结果及分析，各监测指标选取的分析方法及检出限应在报告中明确；3、质量保证与质量控制；4、企业针对监测结果拟采取的主要措施。合同签订后按我司需求日期完成相关采样监测工作，并提供3份土壤、地下水检测技术服务报告，电子版1份。</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（6）、投标报价采用包干形式，价格包括土壤采样费用、分析费用、报告编制、印刷费用及工作人员来往交通费、住宿费、伙食费等全过程中产生的费用。</w:t>
      </w:r>
    </w:p>
    <w:p>
      <w:pPr>
        <w:pStyle w:val="53"/>
        <w:spacing w:line="360" w:lineRule="auto"/>
        <w:ind w:firstLine="360" w:firstLineChars="150"/>
        <w:rPr>
          <w:rFonts w:hint="default" w:ascii="宋体" w:hAnsi="宋体" w:eastAsia="宋体"/>
          <w:snapToGrid w:val="0"/>
          <w:highlight w:val="none"/>
          <w:lang w:val="en-US" w:eastAsia="zh-CN"/>
        </w:rPr>
      </w:pPr>
      <w:r>
        <w:rPr>
          <w:rFonts w:hint="eastAsia" w:ascii="宋体" w:hAnsi="宋体" w:eastAsia="宋体"/>
          <w:snapToGrid w:val="0"/>
          <w:highlight w:val="none"/>
          <w:lang w:eastAsia="zh-CN"/>
        </w:rPr>
        <w:t>（</w:t>
      </w:r>
      <w:r>
        <w:rPr>
          <w:rFonts w:hint="eastAsia" w:ascii="宋体" w:hAnsi="宋体" w:eastAsia="宋体"/>
          <w:snapToGrid w:val="0"/>
          <w:highlight w:val="none"/>
          <w:lang w:val="en-US" w:eastAsia="zh-CN"/>
        </w:rPr>
        <w:t>7</w:t>
      </w:r>
      <w:r>
        <w:rPr>
          <w:rFonts w:hint="eastAsia" w:ascii="宋体" w:hAnsi="宋体" w:eastAsia="宋体"/>
          <w:snapToGrid w:val="0"/>
          <w:highlight w:val="none"/>
          <w:lang w:eastAsia="zh-CN"/>
        </w:rPr>
        <w:t>）、</w:t>
      </w:r>
      <w:r>
        <w:rPr>
          <w:rFonts w:hint="eastAsia" w:ascii="宋体" w:hAnsi="宋体" w:eastAsia="宋体"/>
          <w:snapToGrid w:val="0"/>
          <w:highlight w:val="none"/>
          <w:lang w:val="en-US" w:eastAsia="zh-CN"/>
        </w:rPr>
        <w:t>招标方发生突发环境事件，需要监测，</w:t>
      </w:r>
      <w:r>
        <w:rPr>
          <w:rFonts w:hint="eastAsia" w:ascii="宋体" w:hAnsi="宋体" w:eastAsia="宋体"/>
          <w:snapToGrid w:val="0"/>
          <w:highlight w:val="none"/>
        </w:rPr>
        <w:t>承揽单位</w:t>
      </w:r>
      <w:r>
        <w:rPr>
          <w:rFonts w:hint="eastAsia" w:ascii="宋体" w:hAnsi="宋体" w:eastAsia="宋体"/>
          <w:snapToGrid w:val="0"/>
          <w:highlight w:val="none"/>
          <w:lang w:val="en-US" w:eastAsia="zh-CN"/>
        </w:rPr>
        <w:t>应接到通知后第一时间开展监测，监测要求和监测因子、点位和频次情况根据具体发生的事故确定，具体费用根据实际监测情况双方友好协商确定。</w:t>
      </w:r>
    </w:p>
    <w:p>
      <w:pPr>
        <w:pStyle w:val="53"/>
        <w:spacing w:line="360" w:lineRule="auto"/>
        <w:rPr>
          <w:rFonts w:hint="eastAsia" w:ascii="宋体" w:hAnsi="宋体" w:eastAsia="宋体"/>
          <w:b/>
          <w:snapToGrid w:val="0"/>
        </w:rPr>
      </w:pPr>
      <w:r>
        <w:rPr>
          <w:rFonts w:hint="eastAsia" w:ascii="宋体" w:hAnsi="宋体" w:eastAsia="宋体"/>
          <w:b/>
          <w:snapToGrid w:val="0"/>
        </w:rPr>
        <w:t>2、其它要求</w:t>
      </w:r>
    </w:p>
    <w:p>
      <w:pPr>
        <w:pStyle w:val="53"/>
        <w:spacing w:line="360" w:lineRule="auto"/>
        <w:ind w:firstLine="480" w:firstLineChars="200"/>
        <w:rPr>
          <w:rFonts w:ascii="宋体" w:hAnsi="宋体" w:eastAsia="宋体"/>
          <w:snapToGrid w:val="0"/>
        </w:rPr>
      </w:pPr>
      <w:r>
        <w:rPr>
          <w:rFonts w:hint="eastAsia" w:ascii="宋体" w:hAnsi="宋体" w:eastAsia="宋体"/>
          <w:snapToGrid w:val="0"/>
        </w:rPr>
        <w:t>招标书未尽事宜，待技术澄清阶段进一步确定。</w:t>
      </w:r>
    </w:p>
    <w:p>
      <w:pPr>
        <w:pStyle w:val="53"/>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三、双方</w:t>
      </w:r>
      <w:r>
        <w:rPr>
          <w:rFonts w:ascii="宋体" w:hAnsi="宋体" w:eastAsia="宋体"/>
          <w:b/>
          <w:snapToGrid w:val="0"/>
          <w:color w:val="auto"/>
          <w:sz w:val="28"/>
          <w:szCs w:val="28"/>
        </w:rPr>
        <w:t>职责</w:t>
      </w:r>
    </w:p>
    <w:p>
      <w:pPr>
        <w:pStyle w:val="53"/>
        <w:spacing w:line="360" w:lineRule="auto"/>
        <w:rPr>
          <w:rFonts w:hint="eastAsia" w:ascii="宋体" w:hAnsi="宋体" w:eastAsia="宋体"/>
          <w:b/>
          <w:snapToGrid w:val="0"/>
        </w:rPr>
      </w:pPr>
      <w:r>
        <w:rPr>
          <w:rFonts w:hint="eastAsia" w:ascii="宋体" w:hAnsi="宋体" w:eastAsia="宋体"/>
          <w:b/>
          <w:snapToGrid w:val="0"/>
        </w:rPr>
        <w:t>1、招标</w:t>
      </w:r>
      <w:r>
        <w:rPr>
          <w:rFonts w:ascii="宋体" w:hAnsi="宋体" w:eastAsia="宋体"/>
          <w:b/>
          <w:snapToGrid w:val="0"/>
        </w:rPr>
        <w:t>方职责</w:t>
      </w:r>
    </w:p>
    <w:p>
      <w:pPr>
        <w:pStyle w:val="53"/>
        <w:spacing w:line="360" w:lineRule="auto"/>
        <w:ind w:firstLine="360" w:firstLineChars="150"/>
        <w:rPr>
          <w:rFonts w:hint="eastAsia" w:ascii="宋体" w:hAnsi="宋体" w:eastAsia="宋体"/>
          <w:snapToGrid w:val="0"/>
          <w:color w:val="auto"/>
          <w:highlight w:val="none"/>
        </w:rPr>
      </w:pPr>
      <w:r>
        <w:rPr>
          <w:rFonts w:hint="eastAsia" w:ascii="宋体" w:hAnsi="宋体" w:eastAsia="宋体"/>
          <w:snapToGrid w:val="0"/>
        </w:rPr>
        <w:t>（1）提供承揽商需要的与土</w:t>
      </w:r>
      <w:r>
        <w:rPr>
          <w:rFonts w:hint="eastAsia" w:ascii="宋体" w:hAnsi="宋体" w:eastAsia="宋体"/>
          <w:snapToGrid w:val="0"/>
          <w:highlight w:val="none"/>
        </w:rPr>
        <w:t>壤、地下水监测有关的相关说明文件；</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highlight w:val="none"/>
        </w:rPr>
        <w:t>（2）协助承揽商办理入厂安全环保培训、入场证件</w:t>
      </w:r>
      <w:r>
        <w:rPr>
          <w:rFonts w:hint="eastAsia" w:ascii="宋体" w:hAnsi="宋体" w:eastAsia="宋体"/>
          <w:snapToGrid w:val="0"/>
        </w:rPr>
        <w:t>等，为现场工作的实施提供便利，以</w:t>
      </w:r>
      <w:r>
        <w:rPr>
          <w:rFonts w:ascii="宋体" w:hAnsi="宋体" w:eastAsia="宋体"/>
          <w:snapToGrid w:val="0"/>
        </w:rPr>
        <w:t>保证及时完成样品采集；</w:t>
      </w:r>
    </w:p>
    <w:p>
      <w:pPr>
        <w:pStyle w:val="53"/>
        <w:spacing w:line="360" w:lineRule="auto"/>
        <w:rPr>
          <w:rFonts w:ascii="宋体" w:hAnsi="宋体" w:eastAsia="宋体"/>
          <w:snapToGrid w:val="0"/>
          <w:color w:val="auto"/>
        </w:rPr>
      </w:pPr>
      <w:r>
        <w:rPr>
          <w:rFonts w:hint="eastAsia" w:ascii="宋体" w:hAnsi="宋体" w:eastAsia="宋体"/>
          <w:b/>
          <w:snapToGrid w:val="0"/>
        </w:rPr>
        <w:t>2、承接商</w:t>
      </w:r>
      <w:r>
        <w:rPr>
          <w:rFonts w:ascii="宋体" w:hAnsi="宋体" w:eastAsia="宋体"/>
          <w:b/>
          <w:snapToGrid w:val="0"/>
        </w:rPr>
        <w:t>职责</w:t>
      </w:r>
    </w:p>
    <w:p>
      <w:pPr>
        <w:pStyle w:val="53"/>
        <w:spacing w:line="360" w:lineRule="auto"/>
        <w:ind w:firstLine="360" w:firstLineChars="150"/>
        <w:rPr>
          <w:rFonts w:hint="eastAsia" w:ascii="宋体" w:hAnsi="宋体" w:eastAsia="宋体"/>
          <w:snapToGrid w:val="0"/>
          <w:highlight w:val="none"/>
        </w:rPr>
      </w:pPr>
      <w:r>
        <w:rPr>
          <w:rFonts w:hint="eastAsia" w:ascii="宋体" w:hAnsi="宋体" w:eastAsia="宋体"/>
          <w:snapToGrid w:val="0"/>
          <w:highlight w:val="none"/>
        </w:rPr>
        <w:t>（1）提供具有从事土壤及地下水检测能力的相关证明及国家计量资格认定CMA证书；</w:t>
      </w:r>
    </w:p>
    <w:p>
      <w:pPr>
        <w:pStyle w:val="53"/>
        <w:spacing w:line="360" w:lineRule="auto"/>
        <w:ind w:firstLine="360" w:firstLineChars="150"/>
        <w:rPr>
          <w:rFonts w:ascii="宋体" w:hAnsi="宋体" w:eastAsia="宋体"/>
          <w:snapToGrid w:val="0"/>
          <w:highlight w:val="none"/>
        </w:rPr>
      </w:pPr>
      <w:r>
        <w:rPr>
          <w:rFonts w:hint="eastAsia" w:ascii="宋体" w:hAnsi="宋体" w:eastAsia="宋体"/>
          <w:snapToGrid w:val="0"/>
          <w:highlight w:val="none"/>
        </w:rPr>
        <w:t>（2）提供2017年以来行业内及行业外同类型服务业绩表；</w:t>
      </w:r>
    </w:p>
    <w:p>
      <w:pPr>
        <w:pStyle w:val="53"/>
        <w:spacing w:line="360" w:lineRule="auto"/>
        <w:ind w:firstLine="360" w:firstLineChars="150"/>
        <w:rPr>
          <w:rFonts w:hint="eastAsia" w:ascii="宋体" w:hAnsi="宋体" w:eastAsia="宋体"/>
          <w:snapToGrid w:val="0"/>
          <w:highlight w:val="none"/>
        </w:rPr>
      </w:pPr>
      <w:r>
        <w:rPr>
          <w:rFonts w:hint="eastAsia" w:ascii="宋体" w:hAnsi="宋体" w:eastAsia="宋体"/>
          <w:snapToGrid w:val="0"/>
          <w:highlight w:val="none"/>
        </w:rPr>
        <w:t>（3）按照《HJ 1209-2021 工业企业土壤和地下水自行监测技术指南（试行）》相关内容、格式要求编制土壤、地下水检测技术服务</w:t>
      </w:r>
      <w:r>
        <w:rPr>
          <w:rFonts w:ascii="宋体" w:hAnsi="宋体" w:eastAsia="宋体"/>
          <w:snapToGrid w:val="0"/>
          <w:highlight w:val="none"/>
        </w:rPr>
        <w:t>报告，</w:t>
      </w:r>
      <w:r>
        <w:rPr>
          <w:rFonts w:hint="eastAsia" w:ascii="宋体" w:hAnsi="宋体" w:eastAsia="宋体"/>
          <w:snapToGrid w:val="0"/>
          <w:highlight w:val="none"/>
        </w:rPr>
        <w:t>并对检测报告的真实性负责，合同签订后</w:t>
      </w:r>
      <w:r>
        <w:rPr>
          <w:rFonts w:hint="eastAsia" w:ascii="宋体" w:hAnsi="宋体" w:eastAsia="宋体" w:cs="微软雅黑"/>
          <w:highlight w:val="none"/>
        </w:rPr>
        <w:t>按我司需求日期完成相关采样监测工作</w:t>
      </w:r>
      <w:r>
        <w:rPr>
          <w:rFonts w:hint="eastAsia" w:cs="微软雅黑"/>
          <w:highlight w:val="none"/>
        </w:rPr>
        <w:t>，</w:t>
      </w:r>
      <w:r>
        <w:rPr>
          <w:rFonts w:hint="eastAsia" w:ascii="宋体" w:hAnsi="宋体" w:eastAsia="宋体" w:cs="微软雅黑"/>
          <w:highlight w:val="none"/>
          <w:lang w:val="en-US" w:eastAsia="zh-CN"/>
        </w:rPr>
        <w:t>采样结束后30日内</w:t>
      </w:r>
      <w:r>
        <w:rPr>
          <w:rFonts w:hint="eastAsia" w:ascii="宋体" w:hAnsi="宋体" w:eastAsia="宋体"/>
          <w:snapToGrid w:val="0"/>
          <w:highlight w:val="none"/>
        </w:rPr>
        <w:t>提供3份土壤及地下水检测技术服务报告，电子版1份，纸质档报告要求正式裱装版本；</w:t>
      </w:r>
    </w:p>
    <w:p>
      <w:pPr>
        <w:pStyle w:val="53"/>
        <w:spacing w:line="360" w:lineRule="auto"/>
        <w:ind w:firstLine="360" w:firstLineChars="150"/>
        <w:rPr>
          <w:rFonts w:ascii="宋体" w:hAnsi="宋体" w:eastAsia="宋体"/>
          <w:snapToGrid w:val="0"/>
        </w:rPr>
      </w:pPr>
      <w:r>
        <w:rPr>
          <w:rFonts w:hint="eastAsia" w:ascii="宋体" w:hAnsi="宋体" w:eastAsia="宋体"/>
          <w:snapToGrid w:val="0"/>
        </w:rPr>
        <w:t>（4）在招标方工厂内</w:t>
      </w:r>
      <w:r>
        <w:rPr>
          <w:rFonts w:ascii="宋体" w:hAnsi="宋体" w:eastAsia="宋体"/>
          <w:snapToGrid w:val="0"/>
        </w:rPr>
        <w:t>采样</w:t>
      </w:r>
      <w:r>
        <w:rPr>
          <w:rFonts w:hint="eastAsia" w:ascii="宋体" w:hAnsi="宋体" w:eastAsia="宋体"/>
          <w:snapToGrid w:val="0"/>
        </w:rPr>
        <w:t>及服务</w:t>
      </w:r>
      <w:r>
        <w:rPr>
          <w:rFonts w:ascii="宋体" w:hAnsi="宋体" w:eastAsia="宋体"/>
          <w:snapToGrid w:val="0"/>
        </w:rPr>
        <w:t>时，应遵守</w:t>
      </w:r>
      <w:r>
        <w:rPr>
          <w:rFonts w:hint="eastAsia" w:ascii="宋体" w:hAnsi="宋体" w:eastAsia="宋体"/>
          <w:snapToGrid w:val="0"/>
        </w:rPr>
        <w:t>相关</w:t>
      </w:r>
      <w:r>
        <w:rPr>
          <w:rFonts w:ascii="宋体" w:hAnsi="宋体" w:eastAsia="宋体"/>
          <w:snapToGrid w:val="0"/>
        </w:rPr>
        <w:t>安全</w:t>
      </w:r>
      <w:r>
        <w:rPr>
          <w:rFonts w:hint="eastAsia" w:ascii="宋体" w:hAnsi="宋体" w:eastAsia="宋体"/>
          <w:snapToGrid w:val="0"/>
        </w:rPr>
        <w:t>环保</w:t>
      </w:r>
      <w:r>
        <w:rPr>
          <w:rFonts w:ascii="宋体" w:hAnsi="宋体" w:eastAsia="宋体"/>
          <w:snapToGrid w:val="0"/>
        </w:rPr>
        <w:t>管理规定</w:t>
      </w:r>
      <w:r>
        <w:rPr>
          <w:rFonts w:hint="eastAsia" w:ascii="宋体" w:hAnsi="宋体" w:eastAsia="宋体"/>
          <w:snapToGrid w:val="0"/>
        </w:rPr>
        <w:t>；</w:t>
      </w:r>
    </w:p>
    <w:p>
      <w:pPr>
        <w:pStyle w:val="53"/>
        <w:spacing w:line="360" w:lineRule="auto"/>
        <w:ind w:firstLine="360" w:firstLineChars="150"/>
        <w:rPr>
          <w:rFonts w:hint="eastAsia" w:ascii="宋体" w:hAnsi="宋体" w:eastAsia="宋体"/>
          <w:snapToGrid w:val="0"/>
          <w:lang w:eastAsia="zh-CN"/>
        </w:rPr>
      </w:pPr>
      <w:r>
        <w:rPr>
          <w:rFonts w:hint="eastAsia" w:ascii="宋体" w:hAnsi="宋体" w:eastAsia="宋体"/>
          <w:snapToGrid w:val="0"/>
        </w:rPr>
        <w:t>（5）采样、采样材料或器材、</w:t>
      </w:r>
      <w:r>
        <w:rPr>
          <w:rFonts w:ascii="宋体" w:hAnsi="宋体" w:eastAsia="宋体"/>
          <w:snapToGrid w:val="0"/>
        </w:rPr>
        <w:t>样品保存</w:t>
      </w:r>
      <w:r>
        <w:rPr>
          <w:rFonts w:hint="eastAsia" w:ascii="宋体" w:hAnsi="宋体" w:eastAsia="宋体"/>
          <w:snapToGrid w:val="0"/>
        </w:rPr>
        <w:t>、</w:t>
      </w:r>
      <w:r>
        <w:rPr>
          <w:rFonts w:ascii="宋体" w:hAnsi="宋体" w:eastAsia="宋体"/>
          <w:snapToGrid w:val="0"/>
        </w:rPr>
        <w:t>送检等工作由</w:t>
      </w:r>
      <w:r>
        <w:rPr>
          <w:rFonts w:hint="eastAsia" w:ascii="宋体" w:hAnsi="宋体" w:eastAsia="宋体"/>
          <w:snapToGrid w:val="0"/>
        </w:rPr>
        <w:t>承揽商自行负责</w:t>
      </w:r>
      <w:r>
        <w:rPr>
          <w:rFonts w:hint="eastAsia" w:ascii="宋体" w:hAnsi="宋体" w:eastAsia="宋体"/>
          <w:snapToGrid w:val="0"/>
          <w:lang w:eastAsia="zh-CN"/>
        </w:rPr>
        <w:t>；</w:t>
      </w:r>
    </w:p>
    <w:p>
      <w:pPr>
        <w:pStyle w:val="53"/>
        <w:spacing w:line="360" w:lineRule="auto"/>
        <w:ind w:firstLine="360" w:firstLineChars="150"/>
        <w:rPr>
          <w:rFonts w:hint="eastAsia" w:ascii="宋体" w:hAnsi="宋体" w:eastAsia="宋体"/>
          <w:snapToGrid w:val="0"/>
          <w:lang w:eastAsia="zh-CN"/>
        </w:rPr>
      </w:pPr>
      <w:r>
        <w:rPr>
          <w:rFonts w:hint="eastAsia" w:ascii="宋体" w:hAnsi="宋体" w:eastAsia="宋体"/>
          <w:snapToGrid w:val="0"/>
        </w:rPr>
        <w:t>（6）报告书交货方式，由承揽商通过邮寄等方式提交招标方，产生的费用由承揽商承担；交货地点为漳州市古雷港经济开发区腾龙路8</w:t>
      </w:r>
      <w:r>
        <w:rPr>
          <w:rFonts w:ascii="宋体" w:hAnsi="宋体" w:eastAsia="宋体"/>
          <w:snapToGrid w:val="0"/>
        </w:rPr>
        <w:t>4</w:t>
      </w:r>
      <w:r>
        <w:rPr>
          <w:rFonts w:hint="eastAsia" w:ascii="宋体" w:hAnsi="宋体" w:eastAsia="宋体"/>
          <w:snapToGrid w:val="0"/>
        </w:rPr>
        <w:t>号，腾龙芳烃（漳州）有限公司</w:t>
      </w:r>
      <w:r>
        <w:rPr>
          <w:rFonts w:hint="eastAsia" w:ascii="宋体" w:hAnsi="宋体" w:eastAsia="宋体"/>
          <w:snapToGrid w:val="0"/>
          <w:lang w:eastAsia="zh-CN"/>
        </w:rPr>
        <w:t>。</w:t>
      </w:r>
    </w:p>
    <w:p>
      <w:pPr>
        <w:pStyle w:val="53"/>
        <w:spacing w:line="360" w:lineRule="auto"/>
        <w:rPr>
          <w:rFonts w:ascii="宋体" w:hAnsi="宋体" w:eastAsia="宋体"/>
          <w:b/>
          <w:snapToGrid w:val="0"/>
        </w:rPr>
      </w:pPr>
      <w:r>
        <w:rPr>
          <w:rFonts w:hint="eastAsia" w:ascii="宋体" w:hAnsi="宋体" w:eastAsia="宋体"/>
          <w:b/>
          <w:snapToGrid w:val="0"/>
        </w:rPr>
        <w:t>3、保密</w:t>
      </w:r>
      <w:r>
        <w:rPr>
          <w:rFonts w:ascii="宋体" w:hAnsi="宋体" w:eastAsia="宋体"/>
          <w:b/>
          <w:snapToGrid w:val="0"/>
        </w:rPr>
        <w:t>责任</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（1）双方都有义务尊重对方知识产权和资料信息的保密性，双方均应约束其参与项目的雇员遵守保密义务、尊重商业道德。任何第三方要获得该项目的任何信息，均需获得双方的书面授权。</w:t>
      </w: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（2）双方对本方案内容及执行过程中涉及的合作方式、工作思路、服务报价、合同金额以及其它技术或商业信息负有保密的责任，任何一方未经对方书面许可不得将上述内容泄露给任何第三方。</w:t>
      </w:r>
    </w:p>
    <w:p>
      <w:pPr>
        <w:pStyle w:val="53"/>
        <w:spacing w:line="360" w:lineRule="auto"/>
        <w:ind w:firstLine="360" w:firstLineChars="150"/>
        <w:rPr>
          <w:rFonts w:hint="eastAsia" w:ascii="宋体" w:hAnsi="宋体" w:eastAsia="宋体"/>
          <w:snapToGrid w:val="0"/>
        </w:rPr>
      </w:pPr>
    </w:p>
    <w:p>
      <w:pPr>
        <w:pStyle w:val="53"/>
        <w:spacing w:line="360" w:lineRule="auto"/>
        <w:ind w:firstLine="4920" w:firstLineChars="2050"/>
        <w:rPr>
          <w:rFonts w:hint="eastAsia" w:ascii="宋体" w:hAnsi="宋体" w:eastAsia="宋体"/>
          <w:snapToGrid w:val="0"/>
          <w:highlight w:val="none"/>
        </w:rPr>
      </w:pPr>
      <w:r>
        <w:rPr>
          <w:rFonts w:hint="eastAsia" w:ascii="宋体" w:hAnsi="宋体" w:eastAsia="宋体"/>
          <w:snapToGrid w:val="0"/>
          <w:highlight w:val="none"/>
        </w:rPr>
        <w:t xml:space="preserve"> </w:t>
      </w:r>
      <w:r>
        <w:rPr>
          <w:rFonts w:ascii="宋体" w:hAnsi="宋体" w:eastAsia="宋体"/>
          <w:snapToGrid w:val="0"/>
          <w:highlight w:val="none"/>
        </w:rPr>
        <w:t xml:space="preserve"> </w:t>
      </w:r>
      <w:r>
        <w:rPr>
          <w:rFonts w:hint="eastAsia" w:ascii="宋体" w:hAnsi="宋体" w:eastAsia="宋体"/>
          <w:snapToGrid w:val="0"/>
          <w:highlight w:val="none"/>
        </w:rPr>
        <w:t>腾龙芳烃（漳州）有限公司</w:t>
      </w:r>
    </w:p>
    <w:p>
      <w:pPr>
        <w:pStyle w:val="53"/>
        <w:spacing w:line="360" w:lineRule="auto"/>
        <w:ind w:firstLine="360" w:firstLineChars="150"/>
        <w:rPr>
          <w:rFonts w:ascii="宋体" w:hAnsi="宋体" w:eastAsia="宋体"/>
          <w:snapToGrid w:val="0"/>
          <w:highlight w:val="none"/>
        </w:rPr>
      </w:pPr>
      <w:r>
        <w:rPr>
          <w:rFonts w:hint="eastAsia" w:ascii="宋体" w:hAnsi="宋体" w:eastAsia="宋体"/>
          <w:snapToGrid w:val="0"/>
          <w:highlight w:val="none"/>
        </w:rPr>
        <w:t xml:space="preserve">                                      </w:t>
      </w:r>
      <w:r>
        <w:rPr>
          <w:rFonts w:hint="eastAsia" w:ascii="宋体" w:hAnsi="宋体" w:eastAsia="宋体"/>
          <w:snapToGrid w:val="0"/>
          <w:highlight w:val="none"/>
          <w:lang w:val="en-US" w:eastAsia="zh-CN"/>
        </w:rPr>
        <w:t xml:space="preserve">    </w:t>
      </w:r>
      <w:r>
        <w:rPr>
          <w:rFonts w:hint="eastAsia" w:ascii="宋体" w:hAnsi="宋体" w:eastAsia="宋体"/>
          <w:snapToGrid w:val="0"/>
          <w:highlight w:val="none"/>
        </w:rPr>
        <w:t xml:space="preserve"> </w:t>
      </w:r>
      <w:r>
        <w:rPr>
          <w:rFonts w:ascii="宋体" w:hAnsi="宋体" w:eastAsia="宋体"/>
          <w:snapToGrid w:val="0"/>
          <w:highlight w:val="none"/>
        </w:rPr>
        <w:t xml:space="preserve">  </w:t>
      </w:r>
      <w:r>
        <w:rPr>
          <w:rFonts w:hint="eastAsia" w:ascii="宋体" w:hAnsi="宋体" w:eastAsia="宋体"/>
          <w:snapToGrid w:val="0"/>
          <w:highlight w:val="none"/>
        </w:rPr>
        <w:t>202</w:t>
      </w:r>
      <w:r>
        <w:rPr>
          <w:rFonts w:hint="eastAsia" w:ascii="宋体" w:hAnsi="宋体" w:eastAsia="宋体"/>
          <w:snapToGrid w:val="0"/>
          <w:highlight w:val="none"/>
          <w:lang w:val="en-US" w:eastAsia="zh-CN"/>
        </w:rPr>
        <w:t>3</w:t>
      </w:r>
      <w:r>
        <w:rPr>
          <w:rFonts w:hint="eastAsia" w:ascii="宋体" w:hAnsi="宋体" w:eastAsia="宋体"/>
          <w:snapToGrid w:val="0"/>
          <w:highlight w:val="none"/>
        </w:rPr>
        <w:t>年11月</w:t>
      </w:r>
      <w:r>
        <w:rPr>
          <w:rFonts w:hint="eastAsia" w:ascii="宋体" w:hAnsi="宋体" w:eastAsia="宋体"/>
          <w:snapToGrid w:val="0"/>
          <w:highlight w:val="none"/>
          <w:lang w:val="en-US" w:eastAsia="zh-CN"/>
        </w:rPr>
        <w:t>29</w:t>
      </w:r>
      <w:r>
        <w:rPr>
          <w:rFonts w:hint="eastAsia" w:ascii="宋体" w:hAnsi="宋体" w:eastAsia="宋体"/>
          <w:snapToGrid w:val="0"/>
          <w:highlight w:val="none"/>
        </w:rPr>
        <w:t>日</w:t>
      </w:r>
    </w:p>
    <w:p>
      <w:pPr>
        <w:pStyle w:val="53"/>
        <w:spacing w:line="360" w:lineRule="auto"/>
        <w:ind w:firstLine="360" w:firstLineChars="150"/>
        <w:rPr>
          <w:rFonts w:hint="eastAsia" w:ascii="宋体" w:hAnsi="宋体" w:eastAsia="宋体"/>
          <w:snapToGrid w:val="0"/>
        </w:rPr>
      </w:pPr>
    </w:p>
    <w:p>
      <w:pPr>
        <w:jc w:val="center"/>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pStyle w:val="2"/>
        <w:rPr>
          <w:rFonts w:hint="eastAsia" w:ascii="宋体" w:hAnsi="宋体" w:eastAsia="宋体"/>
          <w:b/>
          <w:snapToGrid w:val="0"/>
          <w:sz w:val="30"/>
          <w:szCs w:val="30"/>
        </w:rPr>
      </w:pPr>
    </w:p>
    <w:p>
      <w:pPr>
        <w:jc w:val="center"/>
        <w:rPr>
          <w:rFonts w:ascii="Times New Roman" w:hAnsi="Times New Roman" w:cs="Times New Roman"/>
          <w:b/>
          <w:bCs/>
          <w:sz w:val="32"/>
          <w:szCs w:val="36"/>
        </w:rPr>
      </w:pPr>
      <w:r>
        <w:rPr>
          <w:rFonts w:hint="eastAsia" w:ascii="宋体" w:hAnsi="宋体" w:eastAsia="宋体"/>
          <w:b/>
          <w:snapToGrid w:val="0"/>
          <w:sz w:val="30"/>
          <w:szCs w:val="30"/>
        </w:rPr>
        <w:t>腾龙芳烃（漳州）有限公司</w:t>
      </w:r>
      <w:r>
        <w:rPr>
          <w:rFonts w:hint="eastAsia" w:ascii="Times New Roman" w:hAnsi="Times New Roman" w:cs="Times New Roman"/>
          <w:b/>
          <w:bCs/>
          <w:sz w:val="30"/>
          <w:szCs w:val="30"/>
        </w:rPr>
        <w:t>土壤、地下水环境监测</w:t>
      </w:r>
      <w:r>
        <w:rPr>
          <w:rFonts w:hint="eastAsia" w:ascii="Times New Roman" w:hAnsi="Times New Roman" w:cs="Times New Roman"/>
          <w:b/>
          <w:bCs/>
          <w:sz w:val="32"/>
          <w:szCs w:val="36"/>
        </w:rPr>
        <w:t>方案</w:t>
      </w:r>
    </w:p>
    <w:p>
      <w:pPr>
        <w:pStyle w:val="53"/>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一、企业概况</w:t>
      </w:r>
    </w:p>
    <w:p>
      <w:pPr>
        <w:pStyle w:val="53"/>
        <w:spacing w:line="360" w:lineRule="auto"/>
        <w:ind w:firstLine="360" w:firstLineChars="150"/>
        <w:rPr>
          <w:rFonts w:ascii="宋体" w:hAnsi="宋体" w:eastAsia="宋体"/>
          <w:snapToGrid w:val="0"/>
        </w:rPr>
      </w:pPr>
      <w:r>
        <w:rPr>
          <w:rFonts w:hint="eastAsia" w:ascii="宋体" w:hAnsi="宋体" w:eastAsia="宋体"/>
          <w:snapToGrid w:val="0"/>
        </w:rPr>
        <w:t>腾龙芳烃(漳州)有限公司位于漳州市古雷经济开发区，占地面积164.722公顷，规模为160万吨/年对二甲苯。共建有17套生产装置，另有储运罐区及四炉三机的自备热电站。</w:t>
      </w:r>
    </w:p>
    <w:p>
      <w:pPr>
        <w:pStyle w:val="53"/>
        <w:spacing w:line="360" w:lineRule="auto"/>
        <w:ind w:firstLine="360" w:firstLineChars="150"/>
        <w:rPr>
          <w:rFonts w:ascii="宋体" w:hAnsi="宋体" w:eastAsia="宋体"/>
          <w:snapToGrid w:val="0"/>
        </w:rPr>
      </w:pPr>
      <w:r>
        <w:rPr>
          <w:rFonts w:hint="eastAsia" w:ascii="宋体" w:hAnsi="宋体" w:eastAsia="宋体"/>
          <w:snapToGrid w:val="0"/>
        </w:rPr>
        <w:t>公司以凝析油（CO）和常渣油（AR）为原料。主要产品对二甲苯（PX）和邻二甲苯（OX），同时副产苯、甲苯、液化气、燃料气、C5、抽余油、重芳烃等。</w:t>
      </w:r>
    </w:p>
    <w:p>
      <w:pPr>
        <w:pStyle w:val="53"/>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二、点位布设方案</w:t>
      </w:r>
    </w:p>
    <w:p>
      <w:pPr>
        <w:pStyle w:val="53"/>
        <w:spacing w:line="360" w:lineRule="auto"/>
        <w:ind w:firstLine="480" w:firstLineChars="200"/>
        <w:rPr>
          <w:rFonts w:ascii="宋体" w:hAnsi="宋体" w:eastAsia="宋体"/>
          <w:snapToGrid w:val="0"/>
        </w:rPr>
      </w:pPr>
      <w:r>
        <w:rPr>
          <w:rFonts w:hint="eastAsia" w:ascii="宋体" w:hAnsi="宋体" w:eastAsia="宋体"/>
          <w:snapToGrid w:val="0"/>
        </w:rPr>
        <w:t>土壤及地下水监测点位布设详见下图</w:t>
      </w:r>
    </w:p>
    <w:p>
      <w:pPr>
        <w:jc w:val="center"/>
        <w:rPr>
          <w:rFonts w:ascii="Times New Roman" w:hAnsi="Times New Roman" w:cs="Times New Roman"/>
          <w:b/>
          <w:bCs/>
          <w:sz w:val="32"/>
          <w:szCs w:val="36"/>
        </w:rPr>
      </w:pPr>
      <w:r>
        <w:rPr>
          <w:rFonts w:hint="eastAsia" w:ascii="Times New Roman" w:hAnsi="Times New Roman" w:cs="Times New Roman"/>
          <w:b/>
          <w:bCs/>
          <w:sz w:val="32"/>
          <w:szCs w:val="36"/>
        </w:rPr>
        <w:drawing>
          <wp:inline distT="0" distB="0" distL="114300" distR="114300">
            <wp:extent cx="4305300" cy="5995035"/>
            <wp:effectExtent l="0" t="0" r="0" b="5715"/>
            <wp:docPr id="3" name="图片 3" descr="b99e733299f48676fa495461e9b0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9e733299f48676fa495461e9b010d"/>
                    <pic:cNvPicPr>
                      <a:picLocks noChangeAspect="1"/>
                    </pic:cNvPicPr>
                  </pic:nvPicPr>
                  <pic:blipFill>
                    <a:blip r:embed="rId5" cstate="print"/>
                    <a:stretch>
                      <a:fillRect/>
                    </a:stretch>
                  </pic:blipFill>
                  <pic:spPr>
                    <a:xfrm>
                      <a:off x="0" y="0"/>
                      <a:ext cx="4305300" cy="5995035"/>
                    </a:xfrm>
                    <a:prstGeom prst="rect">
                      <a:avLst/>
                    </a:prstGeom>
                  </pic:spPr>
                </pic:pic>
              </a:graphicData>
            </a:graphic>
          </wp:inline>
        </w:drawing>
      </w:r>
    </w:p>
    <w:p>
      <w:pPr>
        <w:tabs>
          <w:tab w:val="left" w:pos="6326"/>
        </w:tabs>
        <w:jc w:val="center"/>
        <w:rPr>
          <w:rFonts w:ascii="Times New Roman" w:hAnsi="Times New Roman" w:cs="Times New Roman"/>
          <w:b/>
          <w:bCs/>
          <w:sz w:val="28"/>
          <w:szCs w:val="36"/>
        </w:rPr>
      </w:pPr>
      <w:r>
        <w:rPr>
          <w:rFonts w:ascii="Times New Roman" w:hAnsi="Times New Roman" w:cs="Times New Roman"/>
          <w:b/>
          <w:bCs/>
          <w:sz w:val="28"/>
          <w:szCs w:val="36"/>
        </w:rPr>
        <w:t>监测点位布置图</w:t>
      </w:r>
    </w:p>
    <w:p>
      <w:pPr>
        <w:tabs>
          <w:tab w:val="left" w:pos="6326"/>
        </w:tabs>
        <w:rPr>
          <w:rFonts w:ascii="Times New Roman" w:hAnsi="Times New Roman" w:cs="Times New Roman"/>
          <w:b/>
          <w:bCs/>
          <w:sz w:val="28"/>
          <w:szCs w:val="36"/>
        </w:rPr>
      </w:pPr>
      <w:r>
        <w:rPr>
          <w:rFonts w:hint="eastAsia" w:ascii="Times New Roman" w:hAnsi="Times New Roman" w:cs="Times New Roman"/>
          <w:b/>
          <w:bCs/>
          <w:sz w:val="28"/>
          <w:szCs w:val="36"/>
        </w:rPr>
        <w:t>三、</w:t>
      </w:r>
      <w:r>
        <w:rPr>
          <w:rFonts w:ascii="Times New Roman" w:hAnsi="Times New Roman" w:cs="Times New Roman"/>
          <w:b/>
          <w:bCs/>
          <w:sz w:val="28"/>
          <w:szCs w:val="36"/>
        </w:rPr>
        <w:t>监测项目</w:t>
      </w:r>
      <w:r>
        <w:rPr>
          <w:rFonts w:hint="eastAsia" w:ascii="Times New Roman" w:hAnsi="Times New Roman" w:cs="Times New Roman"/>
          <w:b/>
          <w:bCs/>
          <w:sz w:val="28"/>
          <w:szCs w:val="36"/>
        </w:rPr>
        <w:t>、频次及点位</w:t>
      </w:r>
    </w:p>
    <w:p>
      <w:pPr>
        <w:tabs>
          <w:tab w:val="left" w:pos="6326"/>
        </w:tabs>
        <w:ind w:firstLine="281" w:firstLineChars="100"/>
        <w:rPr>
          <w:rFonts w:ascii="Times New Roman" w:hAnsi="Times New Roman" w:cs="Times New Roman"/>
          <w:b/>
          <w:bCs/>
          <w:sz w:val="28"/>
          <w:szCs w:val="36"/>
        </w:rPr>
      </w:pPr>
      <w:r>
        <w:rPr>
          <w:rFonts w:hint="eastAsia" w:ascii="Times New Roman" w:hAnsi="Times New Roman" w:cs="Times New Roman"/>
          <w:b/>
          <w:bCs/>
          <w:sz w:val="28"/>
          <w:szCs w:val="36"/>
          <w:lang w:val="en-US" w:eastAsia="zh-CN"/>
        </w:rPr>
        <w:t xml:space="preserve">3.1 </w:t>
      </w:r>
      <w:r>
        <w:rPr>
          <w:rFonts w:hint="eastAsia" w:ascii="Times New Roman" w:hAnsi="Times New Roman" w:cs="Times New Roman"/>
          <w:b/>
          <w:bCs/>
          <w:sz w:val="28"/>
          <w:szCs w:val="36"/>
        </w:rPr>
        <w:t>土壤检测</w:t>
      </w:r>
    </w:p>
    <w:tbl>
      <w:tblPr>
        <w:tblStyle w:val="20"/>
        <w:tblW w:w="9919"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224"/>
        <w:gridCol w:w="5271"/>
        <w:gridCol w:w="10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trPr>
        <w:tc>
          <w:tcPr>
            <w:tcW w:w="687"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hint="eastAsia" w:ascii="Times New Roman" w:hAnsi="Times New Roman" w:cs="Times New Roman"/>
                <w:b/>
                <w:sz w:val="24"/>
                <w:szCs w:val="22"/>
              </w:rPr>
              <w:t>样品类型</w:t>
            </w:r>
          </w:p>
        </w:tc>
        <w:tc>
          <w:tcPr>
            <w:tcW w:w="6495"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hint="eastAsia" w:ascii="Times New Roman" w:hAnsi="Times New Roman" w:cs="Times New Roman"/>
                <w:b/>
                <w:sz w:val="24"/>
                <w:szCs w:val="22"/>
              </w:rPr>
              <w:t>监测项目</w:t>
            </w:r>
          </w:p>
        </w:tc>
        <w:tc>
          <w:tcPr>
            <w:tcW w:w="1036"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Times New Roman" w:hAnsi="Times New Roman" w:cs="Times New Roman"/>
                <w:b/>
                <w:sz w:val="24"/>
                <w:szCs w:val="22"/>
              </w:rPr>
            </w:pPr>
            <w:r>
              <w:rPr>
                <w:rFonts w:hint="eastAsia" w:ascii="Times New Roman" w:hAnsi="Times New Roman" w:cs="Times New Roman"/>
                <w:b/>
                <w:sz w:val="24"/>
                <w:szCs w:val="22"/>
              </w:rPr>
              <w:t>监测</w:t>
            </w:r>
          </w:p>
          <w:p>
            <w:pPr>
              <w:jc w:val="center"/>
              <w:rPr>
                <w:rFonts w:ascii="Times New Roman" w:hAnsi="Times New Roman" w:cs="Times New Roman"/>
                <w:b/>
                <w:sz w:val="24"/>
                <w:szCs w:val="22"/>
              </w:rPr>
            </w:pPr>
            <w:r>
              <w:rPr>
                <w:rFonts w:hint="eastAsia" w:ascii="Times New Roman" w:hAnsi="Times New Roman" w:cs="Times New Roman"/>
                <w:b/>
                <w:sz w:val="24"/>
                <w:szCs w:val="22"/>
              </w:rPr>
              <w:t>频率</w:t>
            </w:r>
          </w:p>
        </w:tc>
        <w:tc>
          <w:tcPr>
            <w:tcW w:w="1701"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hint="eastAsia" w:ascii="Times New Roman" w:hAnsi="Times New Roman" w:cs="Times New Roman"/>
                <w:b/>
                <w:sz w:val="24"/>
                <w:szCs w:val="22"/>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687"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土壤</w:t>
            </w: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NewRomanPSMT" w:hAnsi="Times New Roman" w:eastAsia="TimesNewRomanPSMT" w:cs="TimesNewRomanPSMT"/>
                <w:kern w:val="0"/>
                <w:szCs w:val="21"/>
              </w:rPr>
              <w:t xml:space="preserve">GB 36600-2018 </w:t>
            </w:r>
            <w:r>
              <w:rPr>
                <w:rFonts w:hint="eastAsia" w:ascii="宋体" w:hAnsi="Times New Roman" w:eastAsia="宋体" w:cs="宋体"/>
                <w:kern w:val="0"/>
                <w:szCs w:val="21"/>
              </w:rPr>
              <w:t>中</w:t>
            </w:r>
            <w:r>
              <w:rPr>
                <w:rFonts w:ascii="TimesNewRomanPSMT" w:hAnsi="Times New Roman" w:eastAsia="TimesNewRomanPSMT" w:cs="TimesNewRomanPSMT"/>
                <w:kern w:val="0"/>
                <w:szCs w:val="21"/>
              </w:rPr>
              <w:t xml:space="preserve">45 </w:t>
            </w:r>
            <w:r>
              <w:rPr>
                <w:rFonts w:hint="eastAsia" w:ascii="宋体" w:hAnsi="Times New Roman" w:eastAsia="宋体" w:cs="宋体"/>
                <w:kern w:val="0"/>
                <w:szCs w:val="21"/>
              </w:rPr>
              <w:t>项基本项目</w:t>
            </w:r>
          </w:p>
        </w:tc>
        <w:tc>
          <w:tcPr>
            <w:tcW w:w="527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rPr>
            </w:pPr>
            <w:r>
              <w:rPr>
                <w:rFonts w:hint="eastAsia" w:ascii="Times New Roman" w:hAnsi="Times New Roman" w:cs="Times New Roman"/>
              </w:rPr>
              <w:t>砷、镉、铬（六价）、铜、铅、汞、镍、</w:t>
            </w:r>
            <w:r>
              <w:rPr>
                <w:rFonts w:ascii="Times New Roman" w:hAnsi="Times New Roman" w:cs="Times New Roman"/>
              </w:rPr>
              <w:t>四氯化碳</w:t>
            </w:r>
            <w:r>
              <w:rPr>
                <w:rFonts w:hint="eastAsia" w:ascii="Times New Roman" w:hAnsi="Times New Roman" w:cs="Times New Roman"/>
              </w:rPr>
              <w:t>、</w:t>
            </w:r>
            <w:r>
              <w:rPr>
                <w:rFonts w:ascii="Times New Roman" w:hAnsi="Times New Roman" w:cs="Times New Roman"/>
              </w:rPr>
              <w:t>氯仿</w:t>
            </w:r>
            <w:r>
              <w:rPr>
                <w:rFonts w:hint="eastAsia" w:ascii="Times New Roman" w:hAnsi="Times New Roman" w:cs="Times New Roman"/>
              </w:rPr>
              <w:t>、</w:t>
            </w:r>
            <w:r>
              <w:rPr>
                <w:rFonts w:ascii="Times New Roman" w:hAnsi="Times New Roman" w:cs="Times New Roman"/>
              </w:rPr>
              <w:t>氯甲烷</w:t>
            </w:r>
            <w:r>
              <w:rPr>
                <w:rFonts w:hint="eastAsia" w:ascii="Times New Roman" w:hAnsi="Times New Roman" w:cs="Times New Roman"/>
              </w:rPr>
              <w:t>、</w:t>
            </w:r>
            <w:r>
              <w:rPr>
                <w:rFonts w:ascii="Times New Roman" w:hAnsi="Times New Roman" w:cs="Times New Roman"/>
              </w:rPr>
              <w:t>1,1-二氯乙烷</w:t>
            </w:r>
            <w:r>
              <w:rPr>
                <w:rFonts w:hint="eastAsia" w:ascii="Times New Roman" w:hAnsi="Times New Roman" w:cs="Times New Roman"/>
              </w:rPr>
              <w:t>、</w:t>
            </w:r>
            <w:r>
              <w:rPr>
                <w:rFonts w:ascii="Times New Roman" w:hAnsi="Times New Roman" w:cs="Times New Roman"/>
              </w:rPr>
              <w:t>1,2-二氯乙烷</w:t>
            </w:r>
            <w:r>
              <w:rPr>
                <w:rFonts w:hint="eastAsia" w:ascii="Times New Roman" w:hAnsi="Times New Roman" w:cs="Times New Roman"/>
              </w:rPr>
              <w:t>、</w:t>
            </w:r>
            <w:r>
              <w:rPr>
                <w:rFonts w:ascii="Times New Roman" w:hAnsi="Times New Roman" w:cs="Times New Roman"/>
              </w:rPr>
              <w:t>1,1-二氯乙烯</w:t>
            </w:r>
            <w:r>
              <w:rPr>
                <w:rFonts w:hint="eastAsia" w:ascii="Times New Roman" w:hAnsi="Times New Roman" w:cs="Times New Roman"/>
              </w:rPr>
              <w:t>、</w:t>
            </w:r>
            <w:r>
              <w:rPr>
                <w:rFonts w:ascii="Times New Roman" w:hAnsi="Times New Roman" w:cs="Times New Roman"/>
              </w:rPr>
              <w:t>顺-1,2-二氯乙烯</w:t>
            </w:r>
            <w:r>
              <w:rPr>
                <w:rFonts w:hint="eastAsia" w:ascii="Times New Roman" w:hAnsi="Times New Roman" w:cs="Times New Roman"/>
              </w:rPr>
              <w:t>、</w:t>
            </w:r>
            <w:r>
              <w:rPr>
                <w:rFonts w:ascii="Times New Roman" w:hAnsi="Times New Roman" w:cs="Times New Roman"/>
              </w:rPr>
              <w:t>反-1,2-二氯乙烯</w:t>
            </w:r>
            <w:r>
              <w:rPr>
                <w:rFonts w:hint="eastAsia" w:ascii="Times New Roman" w:hAnsi="Times New Roman" w:cs="Times New Roman"/>
              </w:rPr>
              <w:t>、</w:t>
            </w:r>
            <w:r>
              <w:rPr>
                <w:rFonts w:ascii="Times New Roman" w:hAnsi="Times New Roman" w:cs="Times New Roman"/>
              </w:rPr>
              <w:t>二氯甲烷</w:t>
            </w:r>
            <w:r>
              <w:rPr>
                <w:rFonts w:hint="eastAsia" w:ascii="Times New Roman" w:hAnsi="Times New Roman" w:cs="Times New Roman"/>
              </w:rPr>
              <w:t>、</w:t>
            </w:r>
            <w:r>
              <w:rPr>
                <w:rFonts w:ascii="Times New Roman" w:hAnsi="Times New Roman" w:cs="Times New Roman"/>
              </w:rPr>
              <w:t>1,2-二氯丙烷</w:t>
            </w:r>
            <w:r>
              <w:rPr>
                <w:rFonts w:hint="eastAsia" w:ascii="Times New Roman" w:hAnsi="Times New Roman" w:cs="Times New Roman"/>
              </w:rPr>
              <w:t>、</w:t>
            </w:r>
            <w:r>
              <w:rPr>
                <w:rFonts w:ascii="Times New Roman" w:hAnsi="Times New Roman" w:cs="Times New Roman"/>
              </w:rPr>
              <w:t>1,1,1,2-四氯乙烷</w:t>
            </w:r>
            <w:r>
              <w:rPr>
                <w:rFonts w:hint="eastAsia" w:ascii="Times New Roman" w:hAnsi="Times New Roman" w:cs="Times New Roman"/>
              </w:rPr>
              <w:t>、</w:t>
            </w:r>
            <w:r>
              <w:rPr>
                <w:rFonts w:ascii="Times New Roman" w:hAnsi="Times New Roman" w:cs="Times New Roman"/>
              </w:rPr>
              <w:t>1,1,2,2-四氯乙烷</w:t>
            </w:r>
            <w:r>
              <w:rPr>
                <w:rFonts w:hint="eastAsia" w:ascii="Times New Roman" w:hAnsi="Times New Roman" w:cs="Times New Roman"/>
              </w:rPr>
              <w:t>、</w:t>
            </w:r>
            <w:r>
              <w:rPr>
                <w:rFonts w:ascii="Times New Roman" w:hAnsi="Times New Roman" w:cs="Times New Roman"/>
              </w:rPr>
              <w:t>四氯乙烯</w:t>
            </w:r>
            <w:r>
              <w:rPr>
                <w:rFonts w:hint="eastAsia" w:ascii="Times New Roman" w:hAnsi="Times New Roman" w:cs="Times New Roman"/>
              </w:rPr>
              <w:t>、</w:t>
            </w:r>
            <w:r>
              <w:rPr>
                <w:rFonts w:ascii="Times New Roman" w:hAnsi="Times New Roman" w:cs="Times New Roman"/>
              </w:rPr>
              <w:t>1,1,1-三氯乙烷</w:t>
            </w:r>
            <w:r>
              <w:rPr>
                <w:rFonts w:hint="eastAsia" w:ascii="Times New Roman" w:hAnsi="Times New Roman" w:cs="Times New Roman"/>
              </w:rPr>
              <w:t>、</w:t>
            </w:r>
            <w:r>
              <w:rPr>
                <w:rFonts w:ascii="Times New Roman" w:hAnsi="Times New Roman" w:cs="Times New Roman"/>
              </w:rPr>
              <w:t>1,1,2-三氯乙烷</w:t>
            </w:r>
            <w:r>
              <w:rPr>
                <w:rFonts w:hint="eastAsia" w:ascii="Times New Roman" w:hAnsi="Times New Roman" w:cs="Times New Roman"/>
              </w:rPr>
              <w:t>、</w:t>
            </w:r>
            <w:r>
              <w:rPr>
                <w:rFonts w:ascii="Times New Roman" w:hAnsi="Times New Roman" w:cs="Times New Roman"/>
              </w:rPr>
              <w:t>三氯乙烯</w:t>
            </w:r>
            <w:r>
              <w:rPr>
                <w:rFonts w:hint="eastAsia" w:ascii="Times New Roman" w:hAnsi="Times New Roman" w:cs="Times New Roman"/>
              </w:rPr>
              <w:t>、</w:t>
            </w:r>
            <w:r>
              <w:rPr>
                <w:rFonts w:ascii="Times New Roman" w:hAnsi="Times New Roman" w:cs="Times New Roman"/>
              </w:rPr>
              <w:t>1,2,3-三氯丙烷</w:t>
            </w:r>
            <w:r>
              <w:rPr>
                <w:rFonts w:hint="eastAsia" w:ascii="Times New Roman" w:hAnsi="Times New Roman" w:cs="Times New Roman"/>
              </w:rPr>
              <w:t>、</w:t>
            </w:r>
            <w:r>
              <w:rPr>
                <w:rFonts w:ascii="Times New Roman" w:hAnsi="Times New Roman" w:cs="Times New Roman"/>
              </w:rPr>
              <w:t>氯乙烯</w:t>
            </w:r>
            <w:r>
              <w:rPr>
                <w:rFonts w:hint="eastAsia" w:ascii="Times New Roman" w:hAnsi="Times New Roman" w:cs="Times New Roman"/>
              </w:rPr>
              <w:t>、</w:t>
            </w:r>
            <w:r>
              <w:rPr>
                <w:rFonts w:ascii="Times New Roman" w:hAnsi="Times New Roman" w:cs="Times New Roman"/>
              </w:rPr>
              <w:t>苯</w:t>
            </w:r>
            <w:r>
              <w:rPr>
                <w:rFonts w:hint="eastAsia" w:ascii="Times New Roman" w:hAnsi="Times New Roman" w:cs="Times New Roman"/>
              </w:rPr>
              <w:t>、</w:t>
            </w:r>
            <w:r>
              <w:rPr>
                <w:rFonts w:ascii="Times New Roman" w:hAnsi="Times New Roman" w:cs="Times New Roman"/>
              </w:rPr>
              <w:t>氯苯</w:t>
            </w:r>
            <w:r>
              <w:rPr>
                <w:rFonts w:hint="eastAsia" w:ascii="Times New Roman" w:hAnsi="Times New Roman" w:cs="Times New Roman"/>
              </w:rPr>
              <w:t>、</w:t>
            </w:r>
            <w:r>
              <w:rPr>
                <w:rFonts w:ascii="Times New Roman" w:hAnsi="Times New Roman" w:cs="Times New Roman"/>
              </w:rPr>
              <w:t>1,2-二氯苯</w:t>
            </w:r>
            <w:r>
              <w:rPr>
                <w:rFonts w:hint="eastAsia" w:ascii="Times New Roman" w:hAnsi="Times New Roman" w:cs="Times New Roman"/>
              </w:rPr>
              <w:t>、</w:t>
            </w:r>
            <w:r>
              <w:rPr>
                <w:rFonts w:ascii="Times New Roman" w:hAnsi="Times New Roman" w:cs="Times New Roman"/>
              </w:rPr>
              <w:t>1,4-二氯苯</w:t>
            </w:r>
            <w:r>
              <w:rPr>
                <w:rFonts w:hint="eastAsia" w:ascii="Times New Roman" w:hAnsi="Times New Roman" w:cs="Times New Roman"/>
              </w:rPr>
              <w:t>、</w:t>
            </w:r>
            <w:r>
              <w:rPr>
                <w:rFonts w:ascii="Times New Roman" w:hAnsi="Times New Roman" w:cs="Times New Roman"/>
              </w:rPr>
              <w:t>乙苯</w:t>
            </w:r>
            <w:r>
              <w:rPr>
                <w:rFonts w:hint="eastAsia" w:ascii="Times New Roman" w:hAnsi="Times New Roman" w:cs="Times New Roman"/>
              </w:rPr>
              <w:t>、</w:t>
            </w:r>
            <w:r>
              <w:rPr>
                <w:rFonts w:ascii="Times New Roman" w:hAnsi="Times New Roman" w:cs="Times New Roman"/>
              </w:rPr>
              <w:t>苯乙烯</w:t>
            </w:r>
            <w:r>
              <w:rPr>
                <w:rFonts w:hint="eastAsia" w:ascii="Times New Roman" w:hAnsi="Times New Roman" w:cs="Times New Roman"/>
              </w:rPr>
              <w:t>、</w:t>
            </w:r>
            <w:r>
              <w:rPr>
                <w:rFonts w:ascii="Times New Roman" w:hAnsi="Times New Roman" w:cs="Times New Roman"/>
              </w:rPr>
              <w:t>甲苯</w:t>
            </w:r>
            <w:r>
              <w:rPr>
                <w:rFonts w:hint="eastAsia" w:ascii="Times New Roman" w:hAnsi="Times New Roman" w:cs="Times New Roman"/>
              </w:rPr>
              <w:t>、</w:t>
            </w:r>
            <w:r>
              <w:rPr>
                <w:rFonts w:ascii="Times New Roman" w:hAnsi="Times New Roman" w:cs="Times New Roman"/>
              </w:rPr>
              <w:t>间二甲苯+对二甲苯</w:t>
            </w:r>
            <w:r>
              <w:rPr>
                <w:rFonts w:hint="eastAsia" w:ascii="Times New Roman" w:hAnsi="Times New Roman" w:cs="Times New Roman"/>
              </w:rPr>
              <w:t>、</w:t>
            </w:r>
            <w:r>
              <w:rPr>
                <w:rFonts w:ascii="Times New Roman" w:hAnsi="Times New Roman" w:cs="Times New Roman"/>
              </w:rPr>
              <w:t>邻二甲苯</w:t>
            </w:r>
            <w:r>
              <w:rPr>
                <w:rFonts w:hint="eastAsia" w:ascii="Times New Roman" w:hAnsi="Times New Roman" w:cs="Times New Roman"/>
              </w:rPr>
              <w:t>、硝基苯、苯胺、</w:t>
            </w:r>
            <w:r>
              <w:rPr>
                <w:rFonts w:ascii="Times New Roman" w:hAnsi="Times New Roman" w:cs="Times New Roman"/>
              </w:rPr>
              <w:t>2-</w:t>
            </w:r>
            <w:r>
              <w:rPr>
                <w:rFonts w:hint="eastAsia" w:ascii="Times New Roman" w:hAnsi="Times New Roman" w:cs="Times New Roman"/>
              </w:rPr>
              <w:t>氯酚、苯并</w:t>
            </w:r>
            <w:r>
              <w:rPr>
                <w:rFonts w:ascii="Times New Roman" w:hAnsi="Times New Roman" w:cs="Times New Roman"/>
              </w:rPr>
              <w:t>[a]</w:t>
            </w:r>
            <w:r>
              <w:rPr>
                <w:rFonts w:hint="eastAsia" w:ascii="Times New Roman" w:hAnsi="Times New Roman" w:cs="Times New Roman"/>
              </w:rPr>
              <w:t>蒽、苯并</w:t>
            </w:r>
            <w:r>
              <w:rPr>
                <w:rFonts w:ascii="Times New Roman" w:hAnsi="Times New Roman" w:cs="Times New Roman"/>
              </w:rPr>
              <w:t>[a]</w:t>
            </w:r>
            <w:r>
              <w:rPr>
                <w:rFonts w:hint="eastAsia" w:ascii="Times New Roman" w:hAnsi="Times New Roman" w:cs="Times New Roman"/>
              </w:rPr>
              <w:t>芘、苯并</w:t>
            </w:r>
            <w:r>
              <w:rPr>
                <w:rFonts w:ascii="Times New Roman" w:hAnsi="Times New Roman" w:cs="Times New Roman"/>
              </w:rPr>
              <w:t>[b]</w:t>
            </w:r>
            <w:r>
              <w:rPr>
                <w:rFonts w:hint="eastAsia" w:ascii="Times New Roman" w:hAnsi="Times New Roman" w:cs="Times New Roman"/>
              </w:rPr>
              <w:t>荧蒽、苯并</w:t>
            </w:r>
            <w:r>
              <w:rPr>
                <w:rFonts w:ascii="Times New Roman" w:hAnsi="Times New Roman" w:cs="Times New Roman"/>
              </w:rPr>
              <w:t>[k]</w:t>
            </w:r>
            <w:r>
              <w:rPr>
                <w:rFonts w:hint="eastAsia" w:ascii="Times New Roman" w:hAnsi="Times New Roman" w:cs="Times New Roman"/>
              </w:rPr>
              <w:t>荧蒽、䓛、二苯并</w:t>
            </w:r>
            <w:r>
              <w:rPr>
                <w:rFonts w:ascii="Times New Roman" w:hAnsi="Times New Roman" w:cs="Times New Roman"/>
              </w:rPr>
              <w:t>[a, h]</w:t>
            </w:r>
            <w:r>
              <w:rPr>
                <w:rFonts w:hint="eastAsia" w:ascii="Times New Roman" w:hAnsi="Times New Roman" w:cs="Times New Roman"/>
              </w:rPr>
              <w:t>蒽、茚并</w:t>
            </w:r>
            <w:r>
              <w:rPr>
                <w:rFonts w:ascii="Times New Roman" w:hAnsi="Times New Roman" w:cs="Times New Roman"/>
              </w:rPr>
              <w:t>[1,2,3-cd]</w:t>
            </w:r>
            <w:r>
              <w:rPr>
                <w:rFonts w:hint="eastAsia" w:ascii="Times New Roman" w:hAnsi="Times New Roman" w:cs="Times New Roman"/>
              </w:rPr>
              <w:t>芘、萘</w:t>
            </w:r>
          </w:p>
        </w:tc>
        <w:tc>
          <w:tcPr>
            <w:tcW w:w="103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snapToGrid w:val="0"/>
                <w:highlight w:val="none"/>
              </w:rPr>
            </w:pPr>
            <w:r>
              <w:rPr>
                <w:rFonts w:hint="eastAsia" w:ascii="宋体" w:hAnsi="宋体" w:eastAsia="宋体"/>
                <w:snapToGrid w:val="0"/>
                <w:highlight w:val="none"/>
              </w:rPr>
              <w:t>表层土</w:t>
            </w:r>
          </w:p>
          <w:p>
            <w:pPr>
              <w:jc w:val="center"/>
              <w:rPr>
                <w:rFonts w:ascii="宋体" w:hAnsi="宋体" w:eastAsia="宋体"/>
                <w:snapToGrid w:val="0"/>
              </w:rPr>
            </w:pPr>
            <w:r>
              <w:rPr>
                <w:rFonts w:hint="eastAsia" w:ascii="宋体" w:hAnsi="宋体" w:eastAsia="宋体"/>
                <w:snapToGrid w:val="0"/>
                <w:highlight w:val="none"/>
              </w:rPr>
              <w:t>1次/年</w:t>
            </w:r>
          </w:p>
        </w:tc>
        <w:tc>
          <w:tcPr>
            <w:tcW w:w="1701" w:type="dxa"/>
            <w:vMerge w:val="restart"/>
            <w:tcBorders>
              <w:top w:val="single" w:color="auto" w:sz="4" w:space="0"/>
              <w:left w:val="single" w:color="auto" w:sz="4" w:space="0"/>
              <w:right w:val="single" w:color="auto" w:sz="4" w:space="0"/>
            </w:tcBorders>
            <w:vAlign w:val="center"/>
          </w:tcPr>
          <w:p>
            <w:pPr>
              <w:jc w:val="center"/>
            </w:pPr>
            <w:r>
              <w:rPr>
                <w:rFonts w:hint="eastAsia" w:ascii="宋体" w:hAnsi="宋体" w:eastAsia="宋体"/>
                <w:snapToGrid w:val="0"/>
              </w:rPr>
              <w:t>GB36600-2018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687"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p>
        </w:tc>
        <w:tc>
          <w:tcPr>
            <w:tcW w:w="12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其他项目</w:t>
            </w:r>
          </w:p>
        </w:tc>
        <w:tc>
          <w:tcPr>
            <w:tcW w:w="5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20" w:firstLineChars="100"/>
              <w:jc w:val="left"/>
              <w:rPr>
                <w:rFonts w:hint="eastAsia" w:ascii="宋体" w:hAnsi="Times New Roman" w:eastAsia="宋体" w:cs="宋体"/>
                <w:kern w:val="0"/>
                <w:szCs w:val="21"/>
              </w:rPr>
            </w:pPr>
            <w:r>
              <w:rPr>
                <w:rFonts w:ascii="TimesNewRomanPSMT" w:hAnsi="Times New Roman" w:eastAsia="TimesNewRomanPSMT" w:cs="TimesNewRomanPSMT"/>
                <w:kern w:val="0"/>
                <w:szCs w:val="21"/>
              </w:rPr>
              <w:t>pH</w:t>
            </w:r>
            <w:r>
              <w:rPr>
                <w:rFonts w:hint="eastAsia" w:ascii="宋体" w:hAnsi="Times New Roman" w:eastAsia="宋体" w:cs="宋体"/>
                <w:kern w:val="0"/>
                <w:szCs w:val="21"/>
              </w:rPr>
              <w:t>、锌、钼、钴、钒、铬、苯酚、</w:t>
            </w:r>
          </w:p>
          <w:p>
            <w:pPr>
              <w:autoSpaceDE w:val="0"/>
              <w:autoSpaceDN w:val="0"/>
              <w:adjustRightInd w:val="0"/>
              <w:ind w:firstLine="220" w:firstLineChars="100"/>
              <w:jc w:val="left"/>
              <w:rPr>
                <w:rFonts w:ascii="宋体" w:hAnsi="Times New Roman" w:eastAsia="宋体" w:cs="宋体"/>
                <w:kern w:val="0"/>
                <w:szCs w:val="21"/>
              </w:rPr>
            </w:pPr>
            <w:r>
              <w:rPr>
                <w:rFonts w:hint="eastAsia" w:ascii="宋体" w:hAnsi="Times New Roman" w:eastAsia="宋体" w:cs="宋体"/>
                <w:kern w:val="0"/>
                <w:szCs w:val="21"/>
              </w:rPr>
              <w:t>石油烃（</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10</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40</w:t>
            </w:r>
            <w:r>
              <w:rPr>
                <w:rFonts w:hint="eastAsia" w:ascii="宋体" w:hAnsi="Times New Roman" w:eastAsia="宋体" w:cs="宋体"/>
                <w:kern w:val="0"/>
                <w:szCs w:val="21"/>
              </w:rPr>
              <w:t>）、石油烃（</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6</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9</w:t>
            </w:r>
            <w:r>
              <w:rPr>
                <w:rFonts w:hint="eastAsia" w:ascii="宋体" w:hAnsi="Times New Roman" w:eastAsia="宋体" w:cs="宋体"/>
                <w:kern w:val="0"/>
                <w:szCs w:val="21"/>
              </w:rPr>
              <w:t>）</w:t>
            </w:r>
          </w:p>
        </w:tc>
        <w:tc>
          <w:tcPr>
            <w:tcW w:w="1036" w:type="dxa"/>
            <w:vMerge w:val="continue"/>
            <w:tcBorders>
              <w:left w:val="single" w:color="auto" w:sz="4" w:space="0"/>
              <w:bottom w:val="single" w:color="auto" w:sz="4" w:space="0"/>
              <w:right w:val="single" w:color="auto" w:sz="4" w:space="0"/>
            </w:tcBorders>
          </w:tcPr>
          <w:p>
            <w:pPr>
              <w:jc w:val="center"/>
              <w:rPr>
                <w:rFonts w:ascii="宋体" w:hAnsi="宋体" w:eastAsia="宋体"/>
                <w:snapToGrid w:val="0"/>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napToGrid w:val="0"/>
              </w:rPr>
            </w:pPr>
          </w:p>
        </w:tc>
      </w:tr>
    </w:tbl>
    <w:p>
      <w:pPr>
        <w:jc w:val="left"/>
        <w:rPr>
          <w:rFonts w:ascii="Times New Roman" w:hAnsi="Times New Roman" w:cs="Times New Roman"/>
        </w:rPr>
      </w:pPr>
    </w:p>
    <w:tbl>
      <w:tblPr>
        <w:tblStyle w:val="20"/>
        <w:tblW w:w="9215"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5192"/>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15" w:type="dxa"/>
            <w:gridSpan w:val="3"/>
            <w:shd w:val="clear" w:color="auto" w:fill="auto"/>
            <w:vAlign w:val="center"/>
          </w:tcPr>
          <w:p>
            <w:pPr>
              <w:jc w:val="center"/>
              <w:rPr>
                <w:rFonts w:ascii="Times New Roman" w:hAnsi="Times New Roman" w:cs="Times New Roman"/>
                <w:b/>
              </w:rPr>
            </w:pPr>
            <w:r>
              <w:rPr>
                <w:rFonts w:ascii="Times New Roman" w:hAnsi="Times New Roman" w:cs="Times New Roman"/>
                <w:b/>
              </w:rPr>
              <w:t>样品信息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8" w:type="dxa"/>
            <w:shd w:val="clear" w:color="auto" w:fill="auto"/>
            <w:vAlign w:val="center"/>
          </w:tcPr>
          <w:p>
            <w:pPr>
              <w:jc w:val="center"/>
              <w:rPr>
                <w:rFonts w:ascii="Times New Roman" w:hAnsi="Times New Roman" w:cs="Times New Roman"/>
              </w:rPr>
            </w:pPr>
            <w:r>
              <w:rPr>
                <w:rFonts w:ascii="Times New Roman" w:hAnsi="Times New Roman" w:cs="Times New Roman"/>
              </w:rPr>
              <w:t>采样规范</w:t>
            </w:r>
          </w:p>
        </w:tc>
        <w:tc>
          <w:tcPr>
            <w:tcW w:w="7297"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土壤环境监测技术规范 HJ/T 166-2004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10"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采样点位</w:t>
            </w:r>
          </w:p>
        </w:tc>
        <w:tc>
          <w:tcPr>
            <w:tcW w:w="2105"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采样深度（cm）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8"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表层土13个点位</w:t>
            </w:r>
          </w:p>
        </w:tc>
        <w:tc>
          <w:tcPr>
            <w:tcW w:w="5192"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点位布设图中红色圆圈位置（以实际定位为准）</w:t>
            </w:r>
          </w:p>
        </w:tc>
        <w:tc>
          <w:tcPr>
            <w:tcW w:w="2105"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表层土0-</w:t>
            </w:r>
            <w:r>
              <w:rPr>
                <w:rFonts w:hint="eastAsia" w:ascii="Times New Roman" w:hAnsi="Times New Roman" w:cs="Times New Roman"/>
                <w:highlight w:val="none"/>
              </w:rPr>
              <w:t>5</w:t>
            </w:r>
            <w:r>
              <w:rPr>
                <w:rFonts w:ascii="Times New Roman" w:hAnsi="Times New Roman" w:cs="Times New Roman"/>
                <w:highlight w:val="none"/>
              </w:rPr>
              <w:t>0</w:t>
            </w:r>
          </w:p>
        </w:tc>
      </w:tr>
    </w:tbl>
    <w:p>
      <w:pPr>
        <w:tabs>
          <w:tab w:val="left" w:pos="6326"/>
        </w:tabs>
        <w:ind w:firstLine="281" w:firstLineChars="100"/>
        <w:rPr>
          <w:rFonts w:ascii="Times New Roman" w:hAnsi="Times New Roman" w:cs="Times New Roman"/>
          <w:b/>
          <w:sz w:val="28"/>
          <w:szCs w:val="36"/>
          <w:highlight w:val="none"/>
        </w:rPr>
      </w:pPr>
      <w:r>
        <w:rPr>
          <w:rFonts w:hint="eastAsia" w:ascii="Times New Roman" w:hAnsi="Times New Roman" w:cs="Times New Roman"/>
          <w:b/>
          <w:sz w:val="28"/>
          <w:szCs w:val="36"/>
          <w:highlight w:val="none"/>
          <w:lang w:val="en-US" w:eastAsia="zh-CN"/>
        </w:rPr>
        <w:t xml:space="preserve">3.2 </w:t>
      </w:r>
      <w:r>
        <w:rPr>
          <w:rFonts w:hint="eastAsia" w:ascii="Times New Roman" w:hAnsi="Times New Roman" w:cs="Times New Roman"/>
          <w:b/>
          <w:sz w:val="28"/>
          <w:szCs w:val="36"/>
          <w:highlight w:val="none"/>
        </w:rPr>
        <w:t>地下水检测</w:t>
      </w:r>
    </w:p>
    <w:tbl>
      <w:tblPr>
        <w:tblStyle w:val="20"/>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959"/>
        <w:gridCol w:w="5559"/>
        <w:gridCol w:w="68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blHeader/>
          <w:jc w:val="center"/>
        </w:trPr>
        <w:tc>
          <w:tcPr>
            <w:tcW w:w="899"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样品类型</w:t>
            </w:r>
          </w:p>
        </w:tc>
        <w:tc>
          <w:tcPr>
            <w:tcW w:w="6518"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监测项目</w:t>
            </w:r>
          </w:p>
        </w:tc>
        <w:tc>
          <w:tcPr>
            <w:tcW w:w="683"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hint="eastAsia" w:ascii="Times New Roman" w:hAnsi="Times New Roman" w:cs="Times New Roman"/>
                <w:b/>
                <w:sz w:val="24"/>
                <w:szCs w:val="22"/>
                <w:highlight w:val="none"/>
              </w:rPr>
            </w:pPr>
            <w:r>
              <w:rPr>
                <w:rFonts w:hint="eastAsia" w:ascii="Times New Roman" w:hAnsi="Times New Roman" w:cs="Times New Roman"/>
                <w:b/>
                <w:sz w:val="24"/>
                <w:szCs w:val="22"/>
                <w:highlight w:val="none"/>
              </w:rPr>
              <w:t>监测</w:t>
            </w:r>
          </w:p>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频率</w:t>
            </w:r>
          </w:p>
        </w:tc>
        <w:tc>
          <w:tcPr>
            <w:tcW w:w="2055"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采样/检测方法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7" w:hRule="atLeast"/>
          <w:jc w:val="center"/>
        </w:trPr>
        <w:tc>
          <w:tcPr>
            <w:tcW w:w="899"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地下水</w:t>
            </w:r>
          </w:p>
          <w:p>
            <w:pPr>
              <w:jc w:val="center"/>
              <w:rPr>
                <w:rFonts w:ascii="Times New Roman" w:hAnsi="Times New Roman" w:cs="Times New Roman"/>
                <w:highlight w:val="none"/>
              </w:rPr>
            </w:pPr>
            <w:r>
              <w:rPr>
                <w:rFonts w:hint="eastAsia" w:ascii="Times New Roman" w:hAnsi="Times New Roman" w:cs="Times New Roman"/>
                <w:highlight w:val="none"/>
              </w:rPr>
              <w:t>共5个点位</w:t>
            </w:r>
          </w:p>
          <w:p>
            <w:pPr>
              <w:jc w:val="center"/>
              <w:rPr>
                <w:rFonts w:ascii="Times New Roman" w:hAnsi="Times New Roman" w:cs="Times New Roman"/>
                <w:highlight w:val="none"/>
              </w:rPr>
            </w:pPr>
            <w:r>
              <w:rPr>
                <w:rFonts w:hint="eastAsia" w:ascii="Times New Roman" w:hAnsi="Times New Roman" w:cs="Times New Roman"/>
                <w:highlight w:val="none"/>
              </w:rPr>
              <w:t>图中蓝色圆圈位置</w:t>
            </w:r>
          </w:p>
        </w:tc>
        <w:tc>
          <w:tcPr>
            <w:tcW w:w="959"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GB/T 14848</w:t>
            </w:r>
            <w:r>
              <w:rPr>
                <w:rFonts w:hint="eastAsia" w:ascii="Times New Roman" w:hAnsi="Times New Roman" w:cs="Times New Roman"/>
                <w:highlight w:val="none"/>
              </w:rPr>
              <w:t>表</w:t>
            </w:r>
            <w:r>
              <w:rPr>
                <w:rFonts w:ascii="Times New Roman" w:hAnsi="Times New Roman" w:cs="Times New Roman"/>
                <w:highlight w:val="none"/>
              </w:rPr>
              <w:t>1</w:t>
            </w:r>
            <w:r>
              <w:rPr>
                <w:rFonts w:hint="eastAsia" w:ascii="Times New Roman" w:hAnsi="Times New Roman" w:cs="Times New Roman"/>
                <w:highlight w:val="none"/>
              </w:rPr>
              <w:t>常规指标（微生物指标、放射性指标除外）。</w:t>
            </w:r>
          </w:p>
        </w:tc>
        <w:tc>
          <w:tcPr>
            <w:tcW w:w="5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eastAsia" w:ascii="Times New Roman" w:hAnsi="Times New Roman" w:cs="Times New Roman"/>
                <w:highlight w:val="none"/>
              </w:rPr>
              <w:t>色（铂钴额度单位）、嗅和味、浑浊度、肉眼可见物、pH、总硬度、溶解性固体、硫酸盐、氯化物、铁、锰、铜、锌、铝、挥发性酚类（以苯酚计）、阴离子表面活性剂、耗氧量（COD</w:t>
            </w:r>
            <w:r>
              <w:rPr>
                <w:rFonts w:hint="eastAsia" w:ascii="Times New Roman" w:hAnsi="Times New Roman" w:cs="Times New Roman"/>
                <w:highlight w:val="none"/>
                <w:vertAlign w:val="subscript"/>
              </w:rPr>
              <w:t>Mn</w:t>
            </w:r>
            <w:r>
              <w:rPr>
                <w:rFonts w:hint="eastAsia" w:ascii="Times New Roman" w:hAnsi="Times New Roman" w:cs="Times New Roman"/>
                <w:highlight w:val="none"/>
              </w:rPr>
              <w:t>法，以O</w:t>
            </w:r>
            <w:r>
              <w:rPr>
                <w:rFonts w:hint="eastAsia" w:ascii="Times New Roman" w:hAnsi="Times New Roman" w:cs="Times New Roman"/>
                <w:highlight w:val="none"/>
                <w:vertAlign w:val="subscript"/>
              </w:rPr>
              <w:t>2</w:t>
            </w:r>
            <w:r>
              <w:rPr>
                <w:rFonts w:hint="eastAsia" w:ascii="Times New Roman" w:hAnsi="Times New Roman" w:cs="Times New Roman"/>
                <w:highlight w:val="none"/>
              </w:rPr>
              <w:t>计）、氨氮（以N计）、硫化物、钠、亚硝酸盐（以N计）、硝酸盐（以N计）、氰化物、氟化物、碘化物、汞、砷、硒、镉、铬（六价）、铅、三氯甲烷、四氯化碳、苯、甲苯</w:t>
            </w:r>
          </w:p>
        </w:tc>
        <w:tc>
          <w:tcPr>
            <w:tcW w:w="68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highlight w:val="none"/>
              </w:rPr>
            </w:pPr>
            <w:r>
              <w:rPr>
                <w:rFonts w:hint="eastAsia" w:ascii="宋体" w:hAnsi="宋体" w:eastAsia="宋体"/>
                <w:snapToGrid w:val="0"/>
                <w:highlight w:val="none"/>
              </w:rPr>
              <w:t>1次/年</w:t>
            </w:r>
          </w:p>
        </w:tc>
        <w:tc>
          <w:tcPr>
            <w:tcW w:w="205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highlight w:val="none"/>
              </w:rPr>
            </w:pPr>
            <w:r>
              <w:rPr>
                <w:rFonts w:hint="eastAsia" w:ascii="Times New Roman" w:hAnsi="Times New Roman" w:cs="Times New Roman"/>
                <w:highlight w:val="none"/>
              </w:rPr>
              <w:t>HJ164、HJ1019、GB/T14848、HJ 610监测分析方法应选用上述执行标准规定的方法，选用其他方法，需符合相关标准要求，且必须符合HJ1209所作相关要求。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899" w:type="dxa"/>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p>
        </w:tc>
        <w:tc>
          <w:tcPr>
            <w:tcW w:w="959" w:type="dxa"/>
            <w:tcBorders>
              <w:left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其它项目</w:t>
            </w:r>
          </w:p>
        </w:tc>
        <w:tc>
          <w:tcPr>
            <w:tcW w:w="5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ascii="Times New Roman" w:hAnsi="Times New Roman" w:cs="Times New Roman"/>
                <w:highlight w:val="none"/>
              </w:rPr>
              <w:t>高锰酸盐指数</w:t>
            </w:r>
            <w:r>
              <w:rPr>
                <w:rFonts w:hint="eastAsia" w:ascii="Times New Roman" w:hAnsi="Times New Roman" w:cs="Times New Roman"/>
                <w:highlight w:val="none"/>
              </w:rPr>
              <w:t>、</w:t>
            </w:r>
            <w:r>
              <w:rPr>
                <w:rFonts w:ascii="Times New Roman" w:hAnsi="Times New Roman" w:cs="Times New Roman"/>
                <w:highlight w:val="none"/>
              </w:rPr>
              <w:t>石油类</w:t>
            </w:r>
          </w:p>
        </w:tc>
        <w:tc>
          <w:tcPr>
            <w:tcW w:w="68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p>
        </w:tc>
        <w:tc>
          <w:tcPr>
            <w:tcW w:w="205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p>
        </w:tc>
      </w:tr>
    </w:tbl>
    <w:p>
      <w:pPr>
        <w:tabs>
          <w:tab w:val="left" w:pos="6326"/>
        </w:tabs>
        <w:rPr>
          <w:rFonts w:ascii="Times New Roman" w:hAnsi="Times New Roman" w:cs="Times New Roman"/>
          <w:sz w:val="28"/>
          <w:szCs w:val="36"/>
        </w:rPr>
      </w:pPr>
    </w:p>
    <w:tbl>
      <w:tblPr>
        <w:tblStyle w:val="20"/>
        <w:tblW w:w="8931"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343"/>
        <w:gridCol w:w="326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1" w:type="dxa"/>
            <w:gridSpan w:val="4"/>
            <w:shd w:val="clear" w:color="auto" w:fill="auto"/>
            <w:vAlign w:val="center"/>
          </w:tcPr>
          <w:p>
            <w:pPr>
              <w:jc w:val="center"/>
              <w:rPr>
                <w:rFonts w:ascii="Times New Roman" w:hAnsi="Times New Roman" w:cs="Times New Roman"/>
              </w:rPr>
            </w:pPr>
            <w:r>
              <w:rPr>
                <w:rFonts w:ascii="Times New Roman" w:hAnsi="Times New Roman" w:cs="Times New Roman"/>
              </w:rPr>
              <w:t>样品信息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shd w:val="clear" w:color="auto" w:fill="auto"/>
            <w:vAlign w:val="center"/>
          </w:tcPr>
          <w:p>
            <w:pPr>
              <w:jc w:val="center"/>
              <w:rPr>
                <w:rFonts w:ascii="Times New Roman" w:hAnsi="Times New Roman" w:cs="Times New Roman"/>
              </w:rPr>
            </w:pPr>
            <w:r>
              <w:rPr>
                <w:rFonts w:ascii="Times New Roman" w:hAnsi="Times New Roman" w:cs="Times New Roman"/>
              </w:rPr>
              <w:t>采样规范</w:t>
            </w:r>
          </w:p>
        </w:tc>
        <w:tc>
          <w:tcPr>
            <w:tcW w:w="7155" w:type="dxa"/>
            <w:gridSpan w:val="3"/>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w:t>
            </w:r>
            <w:r>
              <w:rPr>
                <w:rFonts w:ascii="Times New Roman" w:hAnsi="Times New Roman" w:cs="Times New Roman"/>
              </w:rPr>
              <w:t>环境监测技术规范 HJ/T 16</w:t>
            </w:r>
            <w:r>
              <w:rPr>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shd w:val="clear" w:color="auto" w:fill="auto"/>
            <w:vAlign w:val="center"/>
          </w:tcPr>
          <w:p>
            <w:pPr>
              <w:jc w:val="center"/>
              <w:rPr>
                <w:rFonts w:ascii="Times New Roman" w:hAnsi="Times New Roman" w:cs="Times New Roman"/>
              </w:rPr>
            </w:pPr>
          </w:p>
        </w:tc>
        <w:tc>
          <w:tcPr>
            <w:tcW w:w="4604" w:type="dxa"/>
            <w:gridSpan w:val="2"/>
            <w:shd w:val="clear" w:color="auto" w:fill="auto"/>
            <w:vAlign w:val="center"/>
          </w:tcPr>
          <w:p>
            <w:pPr>
              <w:jc w:val="center"/>
              <w:rPr>
                <w:rFonts w:ascii="Times New Roman" w:hAnsi="Times New Roman" w:cs="Times New Roman"/>
              </w:rPr>
            </w:pP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井深，m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restart"/>
            <w:shd w:val="clear" w:color="auto" w:fill="auto"/>
            <w:vAlign w:val="center"/>
          </w:tcPr>
          <w:p>
            <w:pPr>
              <w:jc w:val="center"/>
              <w:rPr>
                <w:rFonts w:ascii="Times New Roman" w:hAnsi="Times New Roman" w:cs="Times New Roman"/>
              </w:rPr>
            </w:pPr>
            <w:r>
              <w:rPr>
                <w:rFonts w:ascii="Times New Roman" w:hAnsi="Times New Roman" w:cs="Times New Roman"/>
              </w:rPr>
              <w:t>采样点位</w:t>
            </w: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ZK-01</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ZK-02</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ZK-03</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ZK-05</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highlight w:val="none"/>
              </w:rPr>
            </w:pPr>
          </w:p>
        </w:tc>
        <w:tc>
          <w:tcPr>
            <w:tcW w:w="1343"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ZK-13</w:t>
            </w:r>
          </w:p>
        </w:tc>
        <w:tc>
          <w:tcPr>
            <w:tcW w:w="3261" w:type="dxa"/>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地下水监测井</w:t>
            </w:r>
          </w:p>
        </w:tc>
        <w:tc>
          <w:tcPr>
            <w:tcW w:w="2551" w:type="dxa"/>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22</w:t>
            </w:r>
          </w:p>
        </w:tc>
      </w:tr>
    </w:tbl>
    <w:p>
      <w:pPr>
        <w:tabs>
          <w:tab w:val="left" w:pos="6326"/>
        </w:tabs>
        <w:ind w:firstLine="281" w:firstLineChars="100"/>
        <w:rPr>
          <w:rFonts w:ascii="Times New Roman" w:hAnsi="Times New Roman" w:cs="Times New Roman"/>
          <w:b/>
          <w:sz w:val="28"/>
          <w:szCs w:val="36"/>
          <w:highlight w:val="none"/>
        </w:rPr>
      </w:pPr>
      <w:r>
        <w:rPr>
          <w:rFonts w:hint="eastAsia" w:ascii="Times New Roman" w:hAnsi="Times New Roman" w:cs="Times New Roman"/>
          <w:b/>
          <w:sz w:val="28"/>
          <w:szCs w:val="36"/>
          <w:highlight w:val="none"/>
          <w:lang w:val="en-US" w:eastAsia="zh-CN"/>
        </w:rPr>
        <w:t xml:space="preserve">3.3 </w:t>
      </w:r>
      <w:r>
        <w:rPr>
          <w:rFonts w:hint="eastAsia" w:ascii="Times New Roman" w:hAnsi="Times New Roman" w:cs="Times New Roman"/>
          <w:b/>
          <w:sz w:val="28"/>
          <w:szCs w:val="36"/>
          <w:highlight w:val="none"/>
        </w:rPr>
        <w:t>应急监测</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5"/>
        <w:gridCol w:w="5507"/>
        <w:gridCol w:w="153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blHeader/>
          <w:jc w:val="center"/>
        </w:trPr>
        <w:tc>
          <w:tcPr>
            <w:tcW w:w="1025"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样品类型</w:t>
            </w:r>
          </w:p>
        </w:tc>
        <w:tc>
          <w:tcPr>
            <w:tcW w:w="5507"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监测项目（包括但不限于下列项目）</w:t>
            </w:r>
          </w:p>
        </w:tc>
        <w:tc>
          <w:tcPr>
            <w:tcW w:w="1537"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监测频率</w:t>
            </w:r>
          </w:p>
        </w:tc>
        <w:tc>
          <w:tcPr>
            <w:tcW w:w="1537"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highlight w:val="none"/>
              </w:rPr>
            </w:pPr>
            <w:r>
              <w:rPr>
                <w:rFonts w:hint="eastAsia" w:ascii="Times New Roman" w:hAnsi="Times New Roman" w:cs="Times New Roman"/>
                <w:b/>
                <w:sz w:val="24"/>
                <w:szCs w:val="22"/>
                <w:highlight w:val="none"/>
              </w:rPr>
              <w:t>采样/检测方法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4" w:hRule="atLeast"/>
          <w:jc w:val="center"/>
        </w:trPr>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地下水</w:t>
            </w:r>
          </w:p>
        </w:tc>
        <w:tc>
          <w:tcPr>
            <w:tcW w:w="55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hint="eastAsia" w:ascii="Times New Roman" w:hAnsi="Times New Roman" w:cs="Times New Roman"/>
                <w:highlight w:val="none"/>
              </w:rPr>
              <w:t>色（铂钴额度单位）、嗅和味、浑浊度、肉眼可见物、pH、总硬度、溶解性固体、硫酸盐、氯化物、铁、锰、铜、锌、铝、挥发性酚类（以苯酚计）、阴离子表面活性剂、耗氧量（COD</w:t>
            </w:r>
            <w:r>
              <w:rPr>
                <w:rFonts w:hint="eastAsia" w:ascii="Times New Roman" w:hAnsi="Times New Roman" w:cs="Times New Roman"/>
                <w:highlight w:val="none"/>
                <w:vertAlign w:val="subscript"/>
              </w:rPr>
              <w:t>Mn</w:t>
            </w:r>
            <w:r>
              <w:rPr>
                <w:rFonts w:hint="eastAsia" w:ascii="Times New Roman" w:hAnsi="Times New Roman" w:cs="Times New Roman"/>
                <w:highlight w:val="none"/>
              </w:rPr>
              <w:t>法，以O</w:t>
            </w:r>
            <w:r>
              <w:rPr>
                <w:rFonts w:hint="eastAsia" w:ascii="Times New Roman" w:hAnsi="Times New Roman" w:cs="Times New Roman"/>
                <w:highlight w:val="none"/>
                <w:vertAlign w:val="subscript"/>
              </w:rPr>
              <w:t>2</w:t>
            </w:r>
            <w:r>
              <w:rPr>
                <w:rFonts w:hint="eastAsia" w:ascii="Times New Roman" w:hAnsi="Times New Roman" w:cs="Times New Roman"/>
                <w:highlight w:val="none"/>
              </w:rPr>
              <w:t>计）、氨氮（以N计）、硫化物、钠、亚硝酸盐（以N计）、硝酸盐（以N计）、氰化物、氟化物、碘化物、汞、砷、硒、镉、铬（六价）、铅、三氯甲烷、四氯化碳、苯、甲苯、</w:t>
            </w:r>
            <w:r>
              <w:rPr>
                <w:rFonts w:ascii="Times New Roman" w:hAnsi="Times New Roman" w:cs="Times New Roman"/>
                <w:highlight w:val="none"/>
              </w:rPr>
              <w:t>高锰酸盐指数</w:t>
            </w:r>
            <w:r>
              <w:rPr>
                <w:rFonts w:hint="eastAsia" w:ascii="Times New Roman" w:hAnsi="Times New Roman" w:cs="Times New Roman"/>
                <w:highlight w:val="none"/>
              </w:rPr>
              <w:t>、</w:t>
            </w:r>
            <w:r>
              <w:rPr>
                <w:rFonts w:ascii="Times New Roman" w:hAnsi="Times New Roman" w:cs="Times New Roman"/>
                <w:highlight w:val="none"/>
              </w:rPr>
              <w:t>石油类</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eastAsia" w:ascii="Times New Roman" w:hAnsi="Times New Roman" w:cs="Times New Roman"/>
                <w:highlight w:val="none"/>
              </w:rPr>
              <w:t>按需(单次报价，据实结算)</w:t>
            </w:r>
          </w:p>
        </w:tc>
        <w:tc>
          <w:tcPr>
            <w:tcW w:w="15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highlight w:val="none"/>
              </w:rPr>
            </w:pPr>
            <w:r>
              <w:rPr>
                <w:rFonts w:hint="eastAsia" w:ascii="Times New Roman" w:hAnsi="Times New Roman" w:cs="Times New Roman"/>
                <w:highlight w:val="none"/>
              </w:rPr>
              <w:t>HJ164、HJ1019、GB/T14848、HJ 610监测分析方法应选用上述执行标准规定的方法，选用其他方法，需符合相关标准要求，且必须符合HJ1209所作相关要求。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4" w:hRule="atLeast"/>
          <w:jc w:val="center"/>
        </w:trPr>
        <w:tc>
          <w:tcPr>
            <w:tcW w:w="1025"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土壤</w:t>
            </w:r>
          </w:p>
        </w:tc>
        <w:tc>
          <w:tcPr>
            <w:tcW w:w="5507" w:type="dxa"/>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砷、镉、铬（六价）、铜、铅、汞、镍、</w:t>
            </w:r>
            <w:r>
              <w:rPr>
                <w:rFonts w:ascii="Times New Roman" w:hAnsi="Times New Roman" w:cs="Times New Roman"/>
              </w:rPr>
              <w:t>四氯化碳</w:t>
            </w:r>
            <w:r>
              <w:rPr>
                <w:rFonts w:hint="eastAsia" w:ascii="Times New Roman" w:hAnsi="Times New Roman" w:cs="Times New Roman"/>
              </w:rPr>
              <w:t>、</w:t>
            </w:r>
            <w:r>
              <w:rPr>
                <w:rFonts w:ascii="Times New Roman" w:hAnsi="Times New Roman" w:cs="Times New Roman"/>
              </w:rPr>
              <w:t>氯仿</w:t>
            </w:r>
            <w:r>
              <w:rPr>
                <w:rFonts w:hint="eastAsia" w:ascii="Times New Roman" w:hAnsi="Times New Roman" w:cs="Times New Roman"/>
              </w:rPr>
              <w:t>、</w:t>
            </w:r>
            <w:r>
              <w:rPr>
                <w:rFonts w:ascii="Times New Roman" w:hAnsi="Times New Roman" w:cs="Times New Roman"/>
              </w:rPr>
              <w:t>氯甲烷</w:t>
            </w:r>
            <w:r>
              <w:rPr>
                <w:rFonts w:hint="eastAsia" w:ascii="Times New Roman" w:hAnsi="Times New Roman" w:cs="Times New Roman"/>
              </w:rPr>
              <w:t>、</w:t>
            </w:r>
            <w:r>
              <w:rPr>
                <w:rFonts w:ascii="Times New Roman" w:hAnsi="Times New Roman" w:cs="Times New Roman"/>
              </w:rPr>
              <w:t>1,1-二氯乙烷</w:t>
            </w:r>
            <w:r>
              <w:rPr>
                <w:rFonts w:hint="eastAsia" w:ascii="Times New Roman" w:hAnsi="Times New Roman" w:cs="Times New Roman"/>
              </w:rPr>
              <w:t>、</w:t>
            </w:r>
            <w:r>
              <w:rPr>
                <w:rFonts w:ascii="Times New Roman" w:hAnsi="Times New Roman" w:cs="Times New Roman"/>
              </w:rPr>
              <w:t>1,2-二氯乙烷</w:t>
            </w:r>
            <w:r>
              <w:rPr>
                <w:rFonts w:hint="eastAsia" w:ascii="Times New Roman" w:hAnsi="Times New Roman" w:cs="Times New Roman"/>
              </w:rPr>
              <w:t>、</w:t>
            </w:r>
            <w:r>
              <w:rPr>
                <w:rFonts w:ascii="Times New Roman" w:hAnsi="Times New Roman" w:cs="Times New Roman"/>
              </w:rPr>
              <w:t>1,1-二氯乙烯</w:t>
            </w:r>
            <w:r>
              <w:rPr>
                <w:rFonts w:hint="eastAsia" w:ascii="Times New Roman" w:hAnsi="Times New Roman" w:cs="Times New Roman"/>
              </w:rPr>
              <w:t>、</w:t>
            </w:r>
            <w:r>
              <w:rPr>
                <w:rFonts w:ascii="Times New Roman" w:hAnsi="Times New Roman" w:cs="Times New Roman"/>
              </w:rPr>
              <w:t>顺-1,2-二氯乙烯</w:t>
            </w:r>
            <w:r>
              <w:rPr>
                <w:rFonts w:hint="eastAsia" w:ascii="Times New Roman" w:hAnsi="Times New Roman" w:cs="Times New Roman"/>
              </w:rPr>
              <w:t>、</w:t>
            </w:r>
            <w:r>
              <w:rPr>
                <w:rFonts w:ascii="Times New Roman" w:hAnsi="Times New Roman" w:cs="Times New Roman"/>
              </w:rPr>
              <w:t>反-1,2-二氯乙烯</w:t>
            </w:r>
            <w:r>
              <w:rPr>
                <w:rFonts w:hint="eastAsia" w:ascii="Times New Roman" w:hAnsi="Times New Roman" w:cs="Times New Roman"/>
              </w:rPr>
              <w:t>、</w:t>
            </w:r>
            <w:r>
              <w:rPr>
                <w:rFonts w:ascii="Times New Roman" w:hAnsi="Times New Roman" w:cs="Times New Roman"/>
              </w:rPr>
              <w:t>二氯甲烷</w:t>
            </w:r>
            <w:r>
              <w:rPr>
                <w:rFonts w:hint="eastAsia" w:ascii="Times New Roman" w:hAnsi="Times New Roman" w:cs="Times New Roman"/>
              </w:rPr>
              <w:t>、</w:t>
            </w:r>
            <w:r>
              <w:rPr>
                <w:rFonts w:ascii="Times New Roman" w:hAnsi="Times New Roman" w:cs="Times New Roman"/>
              </w:rPr>
              <w:t>1,2-二氯丙烷</w:t>
            </w:r>
            <w:r>
              <w:rPr>
                <w:rFonts w:hint="eastAsia" w:ascii="Times New Roman" w:hAnsi="Times New Roman" w:cs="Times New Roman"/>
              </w:rPr>
              <w:t>、</w:t>
            </w:r>
            <w:r>
              <w:rPr>
                <w:rFonts w:ascii="Times New Roman" w:hAnsi="Times New Roman" w:cs="Times New Roman"/>
              </w:rPr>
              <w:t>1,1,1,2-四氯乙烷</w:t>
            </w:r>
            <w:r>
              <w:rPr>
                <w:rFonts w:hint="eastAsia" w:ascii="Times New Roman" w:hAnsi="Times New Roman" w:cs="Times New Roman"/>
              </w:rPr>
              <w:t>、</w:t>
            </w:r>
            <w:r>
              <w:rPr>
                <w:rFonts w:ascii="Times New Roman" w:hAnsi="Times New Roman" w:cs="Times New Roman"/>
              </w:rPr>
              <w:t>1,1,2,2-四氯乙烷</w:t>
            </w:r>
            <w:r>
              <w:rPr>
                <w:rFonts w:hint="eastAsia" w:ascii="Times New Roman" w:hAnsi="Times New Roman" w:cs="Times New Roman"/>
              </w:rPr>
              <w:t>、</w:t>
            </w:r>
            <w:r>
              <w:rPr>
                <w:rFonts w:ascii="Times New Roman" w:hAnsi="Times New Roman" w:cs="Times New Roman"/>
              </w:rPr>
              <w:t>四氯乙烯</w:t>
            </w:r>
            <w:r>
              <w:rPr>
                <w:rFonts w:hint="eastAsia" w:ascii="Times New Roman" w:hAnsi="Times New Roman" w:cs="Times New Roman"/>
              </w:rPr>
              <w:t>、</w:t>
            </w:r>
            <w:r>
              <w:rPr>
                <w:rFonts w:ascii="Times New Roman" w:hAnsi="Times New Roman" w:cs="Times New Roman"/>
              </w:rPr>
              <w:t>1,1,1-三氯乙烷</w:t>
            </w:r>
            <w:r>
              <w:rPr>
                <w:rFonts w:hint="eastAsia" w:ascii="Times New Roman" w:hAnsi="Times New Roman" w:cs="Times New Roman"/>
              </w:rPr>
              <w:t>、</w:t>
            </w:r>
            <w:r>
              <w:rPr>
                <w:rFonts w:ascii="Times New Roman" w:hAnsi="Times New Roman" w:cs="Times New Roman"/>
              </w:rPr>
              <w:t>1,1,2-三氯乙烷</w:t>
            </w:r>
            <w:r>
              <w:rPr>
                <w:rFonts w:hint="eastAsia" w:ascii="Times New Roman" w:hAnsi="Times New Roman" w:cs="Times New Roman"/>
              </w:rPr>
              <w:t>、</w:t>
            </w:r>
            <w:r>
              <w:rPr>
                <w:rFonts w:ascii="Times New Roman" w:hAnsi="Times New Roman" w:cs="Times New Roman"/>
              </w:rPr>
              <w:t>三氯乙烯</w:t>
            </w:r>
            <w:r>
              <w:rPr>
                <w:rFonts w:hint="eastAsia" w:ascii="Times New Roman" w:hAnsi="Times New Roman" w:cs="Times New Roman"/>
              </w:rPr>
              <w:t>、</w:t>
            </w:r>
            <w:r>
              <w:rPr>
                <w:rFonts w:ascii="Times New Roman" w:hAnsi="Times New Roman" w:cs="Times New Roman"/>
              </w:rPr>
              <w:t>1,2,3-三氯丙烷</w:t>
            </w:r>
            <w:r>
              <w:rPr>
                <w:rFonts w:hint="eastAsia" w:ascii="Times New Roman" w:hAnsi="Times New Roman" w:cs="Times New Roman"/>
              </w:rPr>
              <w:t>、</w:t>
            </w:r>
            <w:r>
              <w:rPr>
                <w:rFonts w:ascii="Times New Roman" w:hAnsi="Times New Roman" w:cs="Times New Roman"/>
              </w:rPr>
              <w:t>氯乙烯</w:t>
            </w:r>
            <w:r>
              <w:rPr>
                <w:rFonts w:hint="eastAsia" w:ascii="Times New Roman" w:hAnsi="Times New Roman" w:cs="Times New Roman"/>
              </w:rPr>
              <w:t>、</w:t>
            </w:r>
            <w:r>
              <w:rPr>
                <w:rFonts w:ascii="Times New Roman" w:hAnsi="Times New Roman" w:cs="Times New Roman"/>
              </w:rPr>
              <w:t>苯</w:t>
            </w:r>
            <w:r>
              <w:rPr>
                <w:rFonts w:hint="eastAsia" w:ascii="Times New Roman" w:hAnsi="Times New Roman" w:cs="Times New Roman"/>
              </w:rPr>
              <w:t>、</w:t>
            </w:r>
            <w:r>
              <w:rPr>
                <w:rFonts w:ascii="Times New Roman" w:hAnsi="Times New Roman" w:cs="Times New Roman"/>
              </w:rPr>
              <w:t>氯苯</w:t>
            </w:r>
            <w:r>
              <w:rPr>
                <w:rFonts w:hint="eastAsia" w:ascii="Times New Roman" w:hAnsi="Times New Roman" w:cs="Times New Roman"/>
              </w:rPr>
              <w:t>、</w:t>
            </w:r>
            <w:r>
              <w:rPr>
                <w:rFonts w:ascii="Times New Roman" w:hAnsi="Times New Roman" w:cs="Times New Roman"/>
              </w:rPr>
              <w:t>1,2-二氯苯</w:t>
            </w:r>
            <w:r>
              <w:rPr>
                <w:rFonts w:hint="eastAsia" w:ascii="Times New Roman" w:hAnsi="Times New Roman" w:cs="Times New Roman"/>
              </w:rPr>
              <w:t>、</w:t>
            </w:r>
            <w:r>
              <w:rPr>
                <w:rFonts w:ascii="Times New Roman" w:hAnsi="Times New Roman" w:cs="Times New Roman"/>
              </w:rPr>
              <w:t>1,4-二氯苯</w:t>
            </w:r>
            <w:r>
              <w:rPr>
                <w:rFonts w:hint="eastAsia" w:ascii="Times New Roman" w:hAnsi="Times New Roman" w:cs="Times New Roman"/>
              </w:rPr>
              <w:t>、</w:t>
            </w:r>
            <w:r>
              <w:rPr>
                <w:rFonts w:ascii="Times New Roman" w:hAnsi="Times New Roman" w:cs="Times New Roman"/>
              </w:rPr>
              <w:t>乙苯</w:t>
            </w:r>
            <w:r>
              <w:rPr>
                <w:rFonts w:hint="eastAsia" w:ascii="Times New Roman" w:hAnsi="Times New Roman" w:cs="Times New Roman"/>
              </w:rPr>
              <w:t>、</w:t>
            </w:r>
            <w:r>
              <w:rPr>
                <w:rFonts w:ascii="Times New Roman" w:hAnsi="Times New Roman" w:cs="Times New Roman"/>
              </w:rPr>
              <w:t>苯乙烯</w:t>
            </w:r>
            <w:r>
              <w:rPr>
                <w:rFonts w:hint="eastAsia" w:ascii="Times New Roman" w:hAnsi="Times New Roman" w:cs="Times New Roman"/>
              </w:rPr>
              <w:t>、</w:t>
            </w:r>
            <w:r>
              <w:rPr>
                <w:rFonts w:ascii="Times New Roman" w:hAnsi="Times New Roman" w:cs="Times New Roman"/>
              </w:rPr>
              <w:t>甲苯</w:t>
            </w:r>
            <w:r>
              <w:rPr>
                <w:rFonts w:hint="eastAsia" w:ascii="Times New Roman" w:hAnsi="Times New Roman" w:cs="Times New Roman"/>
              </w:rPr>
              <w:t>、</w:t>
            </w:r>
            <w:r>
              <w:rPr>
                <w:rFonts w:ascii="Times New Roman" w:hAnsi="Times New Roman" w:cs="Times New Roman"/>
              </w:rPr>
              <w:t>间二甲苯+对二甲苯</w:t>
            </w:r>
            <w:r>
              <w:rPr>
                <w:rFonts w:hint="eastAsia" w:ascii="Times New Roman" w:hAnsi="Times New Roman" w:cs="Times New Roman"/>
              </w:rPr>
              <w:t>、</w:t>
            </w:r>
            <w:r>
              <w:rPr>
                <w:rFonts w:ascii="Times New Roman" w:hAnsi="Times New Roman" w:cs="Times New Roman"/>
              </w:rPr>
              <w:t>邻二甲苯</w:t>
            </w:r>
            <w:r>
              <w:rPr>
                <w:rFonts w:hint="eastAsia" w:ascii="Times New Roman" w:hAnsi="Times New Roman" w:cs="Times New Roman"/>
              </w:rPr>
              <w:t>、硝基苯、苯胺、</w:t>
            </w:r>
            <w:r>
              <w:rPr>
                <w:rFonts w:ascii="Times New Roman" w:hAnsi="Times New Roman" w:cs="Times New Roman"/>
              </w:rPr>
              <w:t>2-</w:t>
            </w:r>
            <w:r>
              <w:rPr>
                <w:rFonts w:hint="eastAsia" w:ascii="Times New Roman" w:hAnsi="Times New Roman" w:cs="Times New Roman"/>
              </w:rPr>
              <w:t>氯酚、苯并</w:t>
            </w:r>
            <w:r>
              <w:rPr>
                <w:rFonts w:ascii="Times New Roman" w:hAnsi="Times New Roman" w:cs="Times New Roman"/>
              </w:rPr>
              <w:t>[a]</w:t>
            </w:r>
            <w:r>
              <w:rPr>
                <w:rFonts w:hint="eastAsia" w:ascii="Times New Roman" w:hAnsi="Times New Roman" w:cs="Times New Roman"/>
              </w:rPr>
              <w:t>蒽、苯并</w:t>
            </w:r>
            <w:r>
              <w:rPr>
                <w:rFonts w:ascii="Times New Roman" w:hAnsi="Times New Roman" w:cs="Times New Roman"/>
              </w:rPr>
              <w:t>[a]</w:t>
            </w:r>
            <w:r>
              <w:rPr>
                <w:rFonts w:hint="eastAsia" w:ascii="Times New Roman" w:hAnsi="Times New Roman" w:cs="Times New Roman"/>
              </w:rPr>
              <w:t>芘、苯并</w:t>
            </w:r>
            <w:r>
              <w:rPr>
                <w:rFonts w:ascii="Times New Roman" w:hAnsi="Times New Roman" w:cs="Times New Roman"/>
              </w:rPr>
              <w:t>[b]</w:t>
            </w:r>
            <w:r>
              <w:rPr>
                <w:rFonts w:hint="eastAsia" w:ascii="Times New Roman" w:hAnsi="Times New Roman" w:cs="Times New Roman"/>
              </w:rPr>
              <w:t>荧蒽、苯并</w:t>
            </w:r>
            <w:r>
              <w:rPr>
                <w:rFonts w:ascii="Times New Roman" w:hAnsi="Times New Roman" w:cs="Times New Roman"/>
              </w:rPr>
              <w:t>[k]</w:t>
            </w:r>
            <w:r>
              <w:rPr>
                <w:rFonts w:hint="eastAsia" w:ascii="Times New Roman" w:hAnsi="Times New Roman" w:cs="Times New Roman"/>
              </w:rPr>
              <w:t>荧蒽、䓛、二苯并</w:t>
            </w:r>
            <w:r>
              <w:rPr>
                <w:rFonts w:ascii="Times New Roman" w:hAnsi="Times New Roman" w:cs="Times New Roman"/>
              </w:rPr>
              <w:t>[a, h]</w:t>
            </w:r>
            <w:r>
              <w:rPr>
                <w:rFonts w:hint="eastAsia" w:ascii="Times New Roman" w:hAnsi="Times New Roman" w:cs="Times New Roman"/>
              </w:rPr>
              <w:t>蒽、茚并</w:t>
            </w:r>
            <w:r>
              <w:rPr>
                <w:rFonts w:ascii="Times New Roman" w:hAnsi="Times New Roman" w:cs="Times New Roman"/>
              </w:rPr>
              <w:t>[1,2,3-cd]</w:t>
            </w:r>
            <w:r>
              <w:rPr>
                <w:rFonts w:hint="eastAsia" w:ascii="Times New Roman" w:hAnsi="Times New Roman" w:cs="Times New Roman"/>
              </w:rPr>
              <w:t>芘、萘、</w:t>
            </w:r>
            <w:r>
              <w:rPr>
                <w:rFonts w:ascii="TimesNewRomanPSMT" w:hAnsi="Times New Roman" w:eastAsia="TimesNewRomanPSMT" w:cs="TimesNewRomanPSMT"/>
                <w:kern w:val="0"/>
                <w:szCs w:val="21"/>
              </w:rPr>
              <w:t>pH</w:t>
            </w:r>
            <w:r>
              <w:rPr>
                <w:rFonts w:hint="eastAsia" w:ascii="宋体" w:hAnsi="Times New Roman" w:eastAsia="宋体" w:cs="宋体"/>
                <w:kern w:val="0"/>
                <w:szCs w:val="21"/>
              </w:rPr>
              <w:t>、锌、钼、钴、钒、铬、苯酚、石油烃（</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10</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40</w:t>
            </w:r>
            <w:r>
              <w:rPr>
                <w:rFonts w:hint="eastAsia" w:ascii="宋体" w:hAnsi="Times New Roman" w:eastAsia="宋体" w:cs="宋体"/>
                <w:kern w:val="0"/>
                <w:szCs w:val="21"/>
              </w:rPr>
              <w:t>）、石油烃（</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6</w:t>
            </w:r>
            <w:r>
              <w:rPr>
                <w:rFonts w:ascii="TimesNewRomanPSMT" w:hAnsi="Times New Roman" w:eastAsia="TimesNewRomanPSMT" w:cs="TimesNewRomanPSMT"/>
                <w:kern w:val="0"/>
                <w:szCs w:val="21"/>
              </w:rPr>
              <w:t>-C</w:t>
            </w:r>
            <w:r>
              <w:rPr>
                <w:rFonts w:ascii="TimesNewRomanPSMT" w:hAnsi="Times New Roman" w:eastAsia="TimesNewRomanPSMT" w:cs="TimesNewRomanPSMT"/>
                <w:kern w:val="0"/>
                <w:sz w:val="14"/>
                <w:szCs w:val="14"/>
              </w:rPr>
              <w:t>9</w:t>
            </w:r>
            <w:r>
              <w:rPr>
                <w:rFonts w:hint="eastAsia" w:ascii="宋体" w:hAnsi="Times New Roman" w:eastAsia="宋体" w:cs="宋体"/>
                <w:kern w:val="0"/>
                <w:szCs w:val="21"/>
              </w:rPr>
              <w:t>）</w:t>
            </w:r>
          </w:p>
        </w:tc>
        <w:tc>
          <w:tcPr>
            <w:tcW w:w="1537"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按需(单次报价，据实结算)</w:t>
            </w:r>
          </w:p>
        </w:tc>
        <w:tc>
          <w:tcPr>
            <w:tcW w:w="1537"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rPr>
            </w:pPr>
            <w:r>
              <w:rPr>
                <w:rFonts w:hint="eastAsia" w:ascii="宋体" w:hAnsi="宋体" w:eastAsia="宋体"/>
                <w:snapToGrid w:val="0"/>
              </w:rPr>
              <w:t>GB36600-2018</w:t>
            </w:r>
          </w:p>
        </w:tc>
      </w:tr>
    </w:tbl>
    <w:p>
      <w:pPr>
        <w:rPr>
          <w:rFonts w:cs="Times New Roman" w:asciiTheme="majorEastAsia" w:hAnsiTheme="majorEastAsia" w:eastAsiaTheme="majorEastAsia"/>
          <w:b/>
          <w:bCs/>
          <w:sz w:val="21"/>
          <w:szCs w:val="21"/>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2"/>
        <w:rPr>
          <w:rFonts w:hint="eastAsia"/>
        </w:rPr>
      </w:pPr>
    </w:p>
    <w:p>
      <w:pPr>
        <w:pStyle w:val="2"/>
        <w:rPr>
          <w:rFonts w:hint="eastAsia"/>
        </w:rPr>
      </w:pPr>
    </w:p>
    <w:p>
      <w:pPr>
        <w:jc w:val="center"/>
        <w:rPr>
          <w:rFonts w:hint="eastAsia" w:ascii="宋体" w:hAnsi="宋体" w:cs="宋体"/>
          <w:b/>
          <w:bCs/>
          <w:sz w:val="36"/>
          <w:szCs w:val="36"/>
        </w:rPr>
      </w:pPr>
      <w:r>
        <w:rPr>
          <w:rFonts w:hint="eastAsia"/>
          <w:b/>
          <w:sz w:val="36"/>
        </w:rPr>
        <w:t>翔鹭石化（漳州）有限公司</w:t>
      </w:r>
    </w:p>
    <w:p>
      <w:pPr>
        <w:jc w:val="center"/>
        <w:rPr>
          <w:rFonts w:hint="eastAsia" w:ascii="宋体" w:hAnsi="宋体" w:cs="宋体"/>
          <w:bCs/>
          <w:sz w:val="36"/>
          <w:szCs w:val="36"/>
        </w:rPr>
      </w:pPr>
    </w:p>
    <w:p>
      <w:pPr>
        <w:jc w:val="center"/>
        <w:rPr>
          <w:rFonts w:hint="eastAsia" w:ascii="宋体" w:hAnsi="宋体" w:cs="宋体"/>
          <w:b/>
          <w:bCs/>
          <w:sz w:val="36"/>
          <w:szCs w:val="36"/>
        </w:rPr>
      </w:pPr>
      <w:r>
        <w:rPr>
          <w:rFonts w:ascii="宋体" w:hAnsi="宋体" w:cs="宋体"/>
          <w:b/>
          <w:bCs/>
          <w:sz w:val="36"/>
          <w:szCs w:val="36"/>
        </w:rPr>
        <w:t>450</w:t>
      </w:r>
      <w:r>
        <w:rPr>
          <w:rFonts w:hint="eastAsia" w:ascii="宋体" w:hAnsi="宋体" w:cs="宋体"/>
          <w:b/>
          <w:bCs/>
          <w:sz w:val="36"/>
          <w:szCs w:val="36"/>
        </w:rPr>
        <w:t>万吨/年精对苯二甲酸(PTA)</w:t>
      </w:r>
      <w:r>
        <w:rPr>
          <w:rFonts w:ascii="宋体" w:hAnsi="宋体" w:cs="宋体"/>
          <w:b/>
          <w:bCs/>
          <w:sz w:val="36"/>
          <w:szCs w:val="36"/>
        </w:rPr>
        <w:t>项目</w:t>
      </w:r>
    </w:p>
    <w:p>
      <w:pPr>
        <w:jc w:val="center"/>
        <w:rPr>
          <w:rFonts w:hint="eastAsia" w:ascii="宋体" w:hAnsi="宋体" w:cs="宋体"/>
          <w:bCs/>
          <w:sz w:val="36"/>
          <w:szCs w:val="36"/>
        </w:rPr>
      </w:pPr>
    </w:p>
    <w:p>
      <w:pPr>
        <w:jc w:val="center"/>
        <w:rPr>
          <w:rFonts w:hint="eastAsia" w:ascii="微软雅黑" w:hAnsi="微软雅黑" w:eastAsia="微软雅黑"/>
          <w:b/>
          <w:sz w:val="32"/>
          <w:szCs w:val="32"/>
        </w:rPr>
      </w:pPr>
      <w:r>
        <w:rPr>
          <w:rFonts w:hint="eastAsia" w:ascii="微软雅黑" w:hAnsi="微软雅黑" w:eastAsia="微软雅黑"/>
          <w:b/>
          <w:sz w:val="32"/>
          <w:szCs w:val="32"/>
        </w:rPr>
        <w:t>土壤、地下水环境检测服务</w:t>
      </w:r>
      <w:r>
        <w:rPr>
          <w:rFonts w:hint="eastAsia" w:ascii="微软雅黑" w:hAnsi="微软雅黑" w:eastAsia="微软雅黑"/>
          <w:b/>
          <w:snapToGrid w:val="0"/>
          <w:sz w:val="32"/>
          <w:szCs w:val="32"/>
        </w:rPr>
        <w:t>招标说明书</w:t>
      </w: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jc w:val="center"/>
        <w:rPr>
          <w:rFonts w:hint="eastAsia"/>
          <w:sz w:val="20"/>
          <w:u w:val="single"/>
        </w:rPr>
      </w:pPr>
    </w:p>
    <w:p>
      <w:pPr>
        <w:rPr>
          <w:rFonts w:hint="eastAsia"/>
          <w:sz w:val="20"/>
          <w:u w:val="single"/>
        </w:rPr>
      </w:pPr>
    </w:p>
    <w:p>
      <w:pPr>
        <w:jc w:val="center"/>
        <w:rPr>
          <w:rFonts w:hint="eastAsia"/>
          <w:sz w:val="20"/>
          <w:u w:val="single"/>
        </w:rPr>
      </w:pPr>
    </w:p>
    <w:p>
      <w:pPr>
        <w:jc w:val="center"/>
        <w:rPr>
          <w:rFonts w:hint="eastAsia"/>
          <w:sz w:val="20"/>
          <w:u w:val="single"/>
        </w:rPr>
      </w:pPr>
    </w:p>
    <w:p>
      <w:pPr>
        <w:pStyle w:val="2"/>
        <w:rPr>
          <w:rFonts w:hint="eastAsia"/>
        </w:rPr>
      </w:pPr>
    </w:p>
    <w:p>
      <w:pPr>
        <w:jc w:val="center"/>
        <w:rPr>
          <w:rFonts w:hint="eastAsia"/>
          <w:sz w:val="20"/>
          <w:u w:val="single"/>
        </w:rPr>
      </w:pPr>
    </w:p>
    <w:p>
      <w:pPr>
        <w:jc w:val="center"/>
        <w:rPr>
          <w:rFonts w:hint="eastAsia"/>
          <w:sz w:val="20"/>
          <w:u w:val="single"/>
        </w:rPr>
      </w:pPr>
    </w:p>
    <w:p>
      <w:pPr>
        <w:pStyle w:val="2"/>
        <w:rPr>
          <w:rFonts w:hint="eastAsia"/>
        </w:rPr>
      </w:pPr>
    </w:p>
    <w:p>
      <w:pPr>
        <w:jc w:val="center"/>
        <w:rPr>
          <w:rFonts w:hint="eastAsia"/>
          <w:sz w:val="20"/>
          <w:u w:val="single"/>
        </w:rPr>
      </w:pPr>
    </w:p>
    <w:p>
      <w:pPr>
        <w:jc w:val="center"/>
        <w:rPr>
          <w:rFonts w:ascii="宋体" w:hAnsi="宋体" w:cs="宋体"/>
          <w:b/>
          <w:bCs/>
          <w:sz w:val="36"/>
          <w:szCs w:val="36"/>
        </w:rPr>
      </w:pPr>
      <w:r>
        <w:rPr>
          <w:rFonts w:hint="eastAsia" w:ascii="宋体" w:hAnsi="宋体" w:cs="宋体"/>
          <w:b/>
          <w:sz w:val="30"/>
          <w:szCs w:val="30"/>
        </w:rPr>
        <w:t>发包方：翔鹭石化（漳州</w:t>
      </w:r>
      <w:r>
        <w:rPr>
          <w:rFonts w:ascii="宋体" w:hAnsi="宋体" w:cs="宋体"/>
          <w:b/>
          <w:sz w:val="30"/>
          <w:szCs w:val="30"/>
        </w:rPr>
        <w:t>）</w:t>
      </w:r>
      <w:r>
        <w:rPr>
          <w:rFonts w:hint="eastAsia" w:ascii="宋体" w:hAnsi="宋体" w:cs="宋体"/>
          <w:b/>
          <w:sz w:val="30"/>
          <w:szCs w:val="30"/>
        </w:rPr>
        <w:t>有限公司</w:t>
      </w:r>
    </w:p>
    <w:p>
      <w:pPr>
        <w:jc w:val="center"/>
        <w:rPr>
          <w:b/>
          <w:sz w:val="30"/>
          <w:szCs w:val="30"/>
        </w:rPr>
      </w:pPr>
      <w:r>
        <w:rPr>
          <w:rFonts w:hint="eastAsia" w:ascii="宋体" w:hAnsi="宋体" w:cs="宋体"/>
          <w:b/>
          <w:sz w:val="30"/>
          <w:szCs w:val="30"/>
        </w:rPr>
        <w:t>202</w:t>
      </w:r>
      <w:r>
        <w:rPr>
          <w:rFonts w:hint="eastAsia" w:cs="宋体"/>
          <w:b/>
          <w:sz w:val="30"/>
          <w:szCs w:val="30"/>
          <w:lang w:val="en-US" w:eastAsia="zh-CN"/>
        </w:rPr>
        <w:t>3</w:t>
      </w:r>
      <w:r>
        <w:rPr>
          <w:rFonts w:hint="eastAsia" w:ascii="宋体" w:hAnsi="宋体" w:cs="宋体"/>
          <w:b/>
          <w:sz w:val="30"/>
          <w:szCs w:val="30"/>
        </w:rPr>
        <w:t>年11月</w:t>
      </w:r>
      <w:r>
        <w:rPr>
          <w:rFonts w:hint="eastAsia" w:cs="宋体"/>
          <w:b/>
          <w:sz w:val="30"/>
          <w:szCs w:val="30"/>
          <w:lang w:val="en-US" w:eastAsia="zh-CN"/>
        </w:rPr>
        <w:t>29</w:t>
      </w:r>
      <w:r>
        <w:rPr>
          <w:rFonts w:hint="eastAsia" w:ascii="宋体" w:hAnsi="宋体" w:cs="宋体"/>
          <w:b/>
          <w:sz w:val="30"/>
          <w:szCs w:val="30"/>
        </w:rPr>
        <w:t>日</w:t>
      </w:r>
    </w:p>
    <w:p>
      <w:pPr>
        <w:pStyle w:val="53"/>
        <w:spacing w:line="440" w:lineRule="exact"/>
        <w:ind w:firstLine="600" w:firstLineChars="200"/>
        <w:jc w:val="center"/>
        <w:rPr>
          <w:rFonts w:ascii="Times New Roman" w:eastAsia="宋体" w:cs="Times New Roman"/>
          <w:color w:val="auto"/>
          <w:kern w:val="2"/>
          <w:sz w:val="30"/>
          <w:szCs w:val="30"/>
        </w:rPr>
      </w:pPr>
    </w:p>
    <w:p>
      <w:pPr>
        <w:pStyle w:val="53"/>
        <w:spacing w:line="360" w:lineRule="auto"/>
        <w:jc w:val="both"/>
        <w:rPr>
          <w:rFonts w:hint="eastAsia" w:ascii="宋体" w:hAnsi="宋体" w:eastAsia="宋体"/>
          <w:b/>
          <w:snapToGrid w:val="0"/>
          <w:color w:val="auto"/>
          <w:sz w:val="28"/>
          <w:szCs w:val="28"/>
        </w:rPr>
      </w:pPr>
    </w:p>
    <w:p>
      <w:pPr>
        <w:pStyle w:val="53"/>
        <w:spacing w:line="360" w:lineRule="auto"/>
        <w:jc w:val="both"/>
        <w:rPr>
          <w:rFonts w:hint="eastAsia" w:ascii="宋体" w:hAnsi="宋体" w:eastAsia="宋体"/>
          <w:b/>
          <w:snapToGrid w:val="0"/>
          <w:color w:val="auto"/>
          <w:sz w:val="28"/>
          <w:szCs w:val="28"/>
        </w:rPr>
      </w:pPr>
    </w:p>
    <w:p>
      <w:pPr>
        <w:spacing w:line="500" w:lineRule="exact"/>
        <w:rPr>
          <w:rFonts w:hint="eastAsia" w:cs="微软雅黑"/>
          <w:b/>
          <w:sz w:val="24"/>
        </w:rPr>
      </w:pPr>
      <w:r>
        <w:rPr>
          <w:rFonts w:hint="eastAsia" w:cs="微软雅黑"/>
          <w:b/>
          <w:sz w:val="24"/>
        </w:rPr>
        <w:t>一、项目概况</w:t>
      </w:r>
    </w:p>
    <w:p>
      <w:pPr>
        <w:pStyle w:val="53"/>
        <w:spacing w:line="360" w:lineRule="auto"/>
        <w:ind w:firstLine="480" w:firstLineChars="200"/>
        <w:rPr>
          <w:rFonts w:hint="eastAsia" w:ascii="Times New Roman" w:eastAsia="宋体" w:cs="微软雅黑"/>
          <w:color w:val="auto"/>
          <w:kern w:val="2"/>
        </w:rPr>
      </w:pPr>
      <w:r>
        <w:rPr>
          <w:rFonts w:hint="eastAsia" w:ascii="Times New Roman" w:eastAsia="宋体" w:cs="微软雅黑"/>
          <w:color w:val="auto"/>
          <w:kern w:val="2"/>
        </w:rPr>
        <w:t>翔鹭石化（漳州）有限公司</w:t>
      </w:r>
      <w:r>
        <w:rPr>
          <w:rFonts w:ascii="Times New Roman" w:eastAsia="宋体" w:cs="微软雅黑"/>
          <w:color w:val="auto"/>
          <w:kern w:val="2"/>
        </w:rPr>
        <w:t>坐落于福建省漳州市古雷经济开发区</w:t>
      </w:r>
      <w:r>
        <w:rPr>
          <w:rFonts w:hint="eastAsia" w:ascii="Times New Roman" w:eastAsia="宋体" w:cs="微软雅黑"/>
          <w:color w:val="auto"/>
          <w:kern w:val="2"/>
        </w:rPr>
        <w:t>，厂区</w:t>
      </w:r>
      <w:r>
        <w:rPr>
          <w:rFonts w:ascii="Times New Roman" w:eastAsia="宋体" w:cs="微软雅黑"/>
          <w:color w:val="auto"/>
          <w:kern w:val="2"/>
        </w:rPr>
        <w:t>占地面积</w:t>
      </w:r>
      <w:r>
        <w:rPr>
          <w:rFonts w:hint="eastAsia" w:ascii="Times New Roman" w:eastAsia="宋体" w:cs="微软雅黑"/>
          <w:color w:val="auto"/>
          <w:kern w:val="2"/>
        </w:rPr>
        <w:t>40.13</w:t>
      </w:r>
      <w:r>
        <w:rPr>
          <w:rFonts w:ascii="Times New Roman" w:eastAsia="宋体" w:cs="微软雅黑"/>
          <w:color w:val="auto"/>
          <w:kern w:val="2"/>
        </w:rPr>
        <w:t>公顷，</w:t>
      </w:r>
      <w:r>
        <w:rPr>
          <w:rFonts w:hint="eastAsia" w:ascii="Times New Roman" w:eastAsia="宋体" w:cs="微软雅黑"/>
          <w:color w:val="auto"/>
          <w:kern w:val="2"/>
        </w:rPr>
        <w:t>年产精对苯二甲酸</w:t>
      </w:r>
      <w:r>
        <w:rPr>
          <w:rFonts w:ascii="Times New Roman" w:eastAsia="宋体" w:cs="微软雅黑"/>
          <w:color w:val="auto"/>
          <w:kern w:val="2"/>
        </w:rPr>
        <w:t>450万吨。主要产品精对苯二甲酸（PTA），是聚酯工业的主要生产原料，产品广泛应用于化学纤维、薄膜、包装材料等方面，于2017年11月投产</w:t>
      </w:r>
      <w:r>
        <w:rPr>
          <w:rFonts w:hint="eastAsia" w:ascii="Times New Roman" w:eastAsia="宋体" w:cs="微软雅黑"/>
          <w:color w:val="auto"/>
          <w:kern w:val="2"/>
        </w:rPr>
        <w:t>，涉及的主要化学品包括：对二甲苯、醋酸、烧碱、醋酸异丁酯等。</w:t>
      </w:r>
      <w:r>
        <w:rPr>
          <w:rFonts w:ascii="Times New Roman" w:eastAsia="宋体" w:cs="微软雅黑"/>
          <w:color w:val="auto"/>
          <w:kern w:val="2"/>
        </w:rPr>
        <w:t xml:space="preserve"> </w:t>
      </w:r>
    </w:p>
    <w:p>
      <w:pPr>
        <w:spacing w:line="500" w:lineRule="exact"/>
        <w:rPr>
          <w:rFonts w:cs="微软雅黑"/>
          <w:sz w:val="24"/>
        </w:rPr>
      </w:pPr>
      <w:r>
        <w:rPr>
          <w:rFonts w:hint="eastAsia" w:cs="微软雅黑"/>
          <w:b/>
          <w:sz w:val="24"/>
        </w:rPr>
        <w:t>二、</w:t>
      </w:r>
      <w:r>
        <w:rPr>
          <w:rFonts w:cs="微软雅黑"/>
          <w:b/>
          <w:sz w:val="24"/>
        </w:rPr>
        <w:t>本次发包</w:t>
      </w:r>
      <w:r>
        <w:rPr>
          <w:rFonts w:hint="eastAsia" w:cs="微软雅黑"/>
          <w:b/>
          <w:sz w:val="24"/>
        </w:rPr>
        <w:t>项目范围</w:t>
      </w:r>
    </w:p>
    <w:p>
      <w:pPr>
        <w:spacing w:line="500" w:lineRule="exact"/>
        <w:ind w:firstLine="480" w:firstLineChars="200"/>
        <w:rPr>
          <w:rFonts w:cs="微软雅黑"/>
          <w:sz w:val="24"/>
        </w:rPr>
      </w:pPr>
      <w:r>
        <w:rPr>
          <w:rFonts w:hint="eastAsia" w:cs="微软雅黑"/>
          <w:sz w:val="24"/>
        </w:rPr>
        <w:t>1、按照《重点行业企业用地调查样品采集保存和流转技术规定（试行）》和《监测方案》、《工业企业土壤和地下水自行监测技术指南（试行）HJ 1209-2021 》</w:t>
      </w:r>
      <w:r>
        <w:rPr>
          <w:rFonts w:hint="eastAsia" w:cs="微软雅黑"/>
          <w:sz w:val="24"/>
          <w:lang w:eastAsia="zh-CN"/>
        </w:rPr>
        <w:t>、《GB_T 14848-2017 地下水质量标准》、《HJ 164-2020地下水环境监测技术规范》</w:t>
      </w:r>
      <w:r>
        <w:rPr>
          <w:rFonts w:hint="eastAsia" w:cs="微软雅黑"/>
          <w:sz w:val="24"/>
        </w:rPr>
        <w:t>等相关法律法规开展土壤及地下水采样、分析工作。包括采样方案设计、采样准备、样品采集、样品保存和流转、样品检测分析、出具采样调查监测报告等内容。</w:t>
      </w:r>
    </w:p>
    <w:p>
      <w:pPr>
        <w:spacing w:line="500" w:lineRule="exact"/>
        <w:ind w:firstLine="480" w:firstLineChars="200"/>
        <w:rPr>
          <w:rFonts w:cs="微软雅黑"/>
          <w:sz w:val="24"/>
        </w:rPr>
      </w:pPr>
      <w:r>
        <w:rPr>
          <w:rFonts w:cs="微软雅黑"/>
          <w:sz w:val="24"/>
        </w:rPr>
        <w:t>2、具体点位、采样、监测因子等要求详见附件《</w:t>
      </w:r>
      <w:r>
        <w:rPr>
          <w:rFonts w:hint="eastAsia" w:cs="微软雅黑"/>
          <w:sz w:val="24"/>
        </w:rPr>
        <w:t>翔鹭石化（漳州）有限公司土壤环境监测</w:t>
      </w:r>
      <w:r>
        <w:rPr>
          <w:rFonts w:cs="微软雅黑"/>
          <w:sz w:val="24"/>
        </w:rPr>
        <w:t>方案》。</w:t>
      </w:r>
    </w:p>
    <w:p>
      <w:pPr>
        <w:spacing w:line="500" w:lineRule="exact"/>
        <w:rPr>
          <w:rFonts w:cs="微软雅黑"/>
          <w:b/>
          <w:sz w:val="24"/>
        </w:rPr>
      </w:pPr>
      <w:r>
        <w:rPr>
          <w:rFonts w:hint="eastAsia" w:cs="微软雅黑"/>
          <w:b/>
          <w:sz w:val="24"/>
        </w:rPr>
        <w:t>三、发包要求：</w:t>
      </w:r>
    </w:p>
    <w:p>
      <w:pPr>
        <w:spacing w:line="500" w:lineRule="exact"/>
        <w:ind w:firstLine="480" w:firstLineChars="200"/>
        <w:rPr>
          <w:rFonts w:cs="微软雅黑"/>
          <w:sz w:val="24"/>
        </w:rPr>
      </w:pPr>
      <w:r>
        <w:rPr>
          <w:rFonts w:hint="eastAsia" w:cs="微软雅黑"/>
          <w:sz w:val="24"/>
          <w:lang w:val="en-US" w:eastAsia="zh-CN"/>
        </w:rPr>
        <w:t>1</w:t>
      </w:r>
      <w:r>
        <w:rPr>
          <w:rFonts w:hint="eastAsia" w:cs="微软雅黑"/>
          <w:sz w:val="24"/>
        </w:rPr>
        <w:t xml:space="preserve">、投标单位能力要求： </w:t>
      </w:r>
    </w:p>
    <w:p>
      <w:pPr>
        <w:spacing w:line="500" w:lineRule="exact"/>
        <w:ind w:firstLine="480" w:firstLineChars="200"/>
        <w:rPr>
          <w:rFonts w:hint="eastAsia" w:cs="微软雅黑"/>
          <w:sz w:val="24"/>
        </w:rPr>
      </w:pPr>
      <w:r>
        <w:rPr>
          <w:rFonts w:hint="eastAsia" w:cs="微软雅黑"/>
          <w:sz w:val="24"/>
        </w:rPr>
        <w:t>（1）检测分析单位资质要求：</w:t>
      </w:r>
      <w:r>
        <w:rPr>
          <w:rFonts w:hint="eastAsia" w:cs="微软雅黑"/>
          <w:sz w:val="24"/>
          <w:lang w:eastAsia="zh-CN"/>
        </w:rPr>
        <w:t>具有</w:t>
      </w:r>
      <w:r>
        <w:rPr>
          <w:rFonts w:hint="eastAsia" w:cs="微软雅黑"/>
          <w:sz w:val="24"/>
          <w:lang w:val="en-US" w:eastAsia="zh-CN"/>
        </w:rPr>
        <w:t>CMA检测资质并</w:t>
      </w:r>
      <w:r>
        <w:rPr>
          <w:rFonts w:hint="eastAsia" w:cs="微软雅黑"/>
          <w:sz w:val="24"/>
        </w:rPr>
        <w:t>且能够完成《监测方案》中的全部监测指标的相关检测单位。</w:t>
      </w:r>
    </w:p>
    <w:p>
      <w:pPr>
        <w:spacing w:line="500" w:lineRule="exact"/>
        <w:ind w:firstLine="480" w:firstLineChars="200"/>
        <w:rPr>
          <w:rFonts w:cs="微软雅黑"/>
          <w:sz w:val="24"/>
        </w:rPr>
      </w:pPr>
      <w:r>
        <w:rPr>
          <w:rFonts w:hint="eastAsia" w:cs="微软雅黑"/>
          <w:sz w:val="24"/>
          <w:lang w:eastAsia="zh-CN"/>
        </w:rPr>
        <w:t>（</w:t>
      </w:r>
      <w:r>
        <w:rPr>
          <w:rFonts w:hint="eastAsia" w:cs="微软雅黑"/>
          <w:sz w:val="24"/>
          <w:lang w:val="en-US" w:eastAsia="zh-CN"/>
        </w:rPr>
        <w:t>2</w:t>
      </w:r>
      <w:r>
        <w:rPr>
          <w:rFonts w:hint="eastAsia" w:cs="微软雅黑"/>
          <w:sz w:val="24"/>
          <w:lang w:eastAsia="zh-CN"/>
        </w:rPr>
        <w:t>）提供近两年土壤、地下水监测及土壤污染场地调查与评价相关业绩；</w:t>
      </w:r>
    </w:p>
    <w:p>
      <w:pPr>
        <w:spacing w:line="500" w:lineRule="exact"/>
        <w:ind w:firstLine="480" w:firstLineChars="200"/>
        <w:rPr>
          <w:rFonts w:cs="微软雅黑"/>
          <w:sz w:val="24"/>
        </w:rPr>
      </w:pPr>
      <w:r>
        <w:rPr>
          <w:rFonts w:hint="eastAsia" w:cs="微软雅黑"/>
          <w:sz w:val="24"/>
          <w:lang w:val="en-US" w:eastAsia="zh-CN"/>
        </w:rPr>
        <w:t>2</w:t>
      </w:r>
      <w:r>
        <w:rPr>
          <w:rFonts w:hint="eastAsia" w:cs="微软雅黑"/>
          <w:sz w:val="24"/>
        </w:rPr>
        <w:t>、中标方需根据《重点行业企业用地调查样品采集保存和流转技术规定（试行）》编制采样方案，包括采样计划，样品分析方案等。</w:t>
      </w:r>
    </w:p>
    <w:p>
      <w:pPr>
        <w:spacing w:line="500" w:lineRule="exact"/>
        <w:ind w:firstLine="480" w:firstLineChars="200"/>
        <w:rPr>
          <w:rFonts w:cs="微软雅黑"/>
          <w:sz w:val="24"/>
        </w:rPr>
      </w:pPr>
      <w:r>
        <w:rPr>
          <w:rFonts w:hint="eastAsia" w:cs="微软雅黑"/>
          <w:sz w:val="24"/>
          <w:lang w:val="en-US" w:eastAsia="zh-CN"/>
        </w:rPr>
        <w:t>3</w:t>
      </w:r>
      <w:r>
        <w:rPr>
          <w:rFonts w:hint="eastAsia" w:cs="微软雅黑"/>
          <w:sz w:val="24"/>
        </w:rPr>
        <w:t>、人员要求：承包商应组建工作组开展土壤、地下水采样调查工作，相关人员应具备《重点行业企业用地调查样品采集保存和流转技术规定（试行）》中的相关要求。</w:t>
      </w:r>
    </w:p>
    <w:p>
      <w:pPr>
        <w:spacing w:line="500" w:lineRule="exact"/>
        <w:ind w:firstLine="480" w:firstLineChars="200"/>
        <w:rPr>
          <w:rFonts w:cs="微软雅黑"/>
          <w:sz w:val="24"/>
        </w:rPr>
      </w:pPr>
      <w:r>
        <w:rPr>
          <w:rFonts w:hint="eastAsia" w:cs="微软雅黑"/>
          <w:sz w:val="24"/>
          <w:lang w:val="en-US" w:eastAsia="zh-CN"/>
        </w:rPr>
        <w:t>4</w:t>
      </w:r>
      <w:r>
        <w:rPr>
          <w:rFonts w:hint="eastAsia" w:cs="微软雅黑"/>
          <w:sz w:val="24"/>
        </w:rPr>
        <w:t>、质控要求：承包商需建立完善的自审、内审工作机制，对本次采样调查工作的质量进行内审，并配合国家、省（区、市）环境保护部门及其质量控制实验室对调查质量进行抽查。</w:t>
      </w:r>
    </w:p>
    <w:p>
      <w:pPr>
        <w:spacing w:line="500" w:lineRule="exact"/>
        <w:ind w:firstLine="480" w:firstLineChars="200"/>
        <w:rPr>
          <w:rFonts w:cs="微软雅黑"/>
          <w:sz w:val="24"/>
        </w:rPr>
      </w:pPr>
      <w:r>
        <w:rPr>
          <w:rFonts w:hint="eastAsia" w:cs="微软雅黑"/>
          <w:sz w:val="24"/>
          <w:lang w:val="en-US" w:eastAsia="zh-CN"/>
        </w:rPr>
        <w:t>5</w:t>
      </w:r>
      <w:r>
        <w:rPr>
          <w:rFonts w:hint="eastAsia" w:cs="微软雅黑"/>
          <w:sz w:val="24"/>
        </w:rPr>
        <w:t>、现场采样、样品分析、报告出具等工作需满足《重点行业企业用地调查样品采集保存和流转技术规定（试行）》、《工业企业土壤和地下水自行监测技术指南（试行）HJ 1209-2021 》等相关法律法规的要求。</w:t>
      </w:r>
    </w:p>
    <w:p>
      <w:pPr>
        <w:spacing w:line="500" w:lineRule="exact"/>
        <w:ind w:firstLine="480" w:firstLineChars="200"/>
        <w:rPr>
          <w:rFonts w:cs="微软雅黑"/>
          <w:sz w:val="24"/>
        </w:rPr>
      </w:pPr>
      <w:r>
        <w:rPr>
          <w:rFonts w:hint="eastAsia" w:cs="微软雅黑"/>
          <w:sz w:val="24"/>
          <w:lang w:val="en-US" w:eastAsia="zh-CN"/>
        </w:rPr>
        <w:t>6</w:t>
      </w:r>
      <w:r>
        <w:rPr>
          <w:rFonts w:hint="eastAsia" w:cs="微软雅黑"/>
          <w:sz w:val="24"/>
        </w:rPr>
        <w:t>、安全防护要求：</w:t>
      </w:r>
    </w:p>
    <w:p>
      <w:pPr>
        <w:spacing w:line="500" w:lineRule="exact"/>
        <w:ind w:firstLine="480" w:firstLineChars="200"/>
        <w:rPr>
          <w:rFonts w:cs="微软雅黑"/>
          <w:sz w:val="24"/>
        </w:rPr>
      </w:pPr>
      <w:r>
        <w:rPr>
          <w:rFonts w:hint="eastAsia" w:cs="微软雅黑"/>
          <w:sz w:val="24"/>
        </w:rPr>
        <w:t>工作</w:t>
      </w:r>
      <w:r>
        <w:rPr>
          <w:rFonts w:cs="微软雅黑"/>
          <w:sz w:val="24"/>
        </w:rPr>
        <w:t>人员在现场时需遵守我公司防爆</w:t>
      </w:r>
      <w:r>
        <w:rPr>
          <w:rFonts w:hint="eastAsia" w:cs="微软雅黑"/>
          <w:sz w:val="24"/>
        </w:rPr>
        <w:t>、</w:t>
      </w:r>
      <w:r>
        <w:rPr>
          <w:rFonts w:cs="微软雅黑"/>
          <w:sz w:val="24"/>
        </w:rPr>
        <w:t>安全等相关规定</w:t>
      </w:r>
      <w:r>
        <w:rPr>
          <w:rFonts w:hint="eastAsia" w:cs="微软雅黑"/>
          <w:sz w:val="24"/>
        </w:rPr>
        <w:t>，均</w:t>
      </w:r>
      <w:r>
        <w:rPr>
          <w:rFonts w:cs="微软雅黑"/>
          <w:sz w:val="24"/>
        </w:rPr>
        <w:t>需佩戴适当的个人防护设备，包括</w:t>
      </w:r>
      <w:r>
        <w:rPr>
          <w:rFonts w:hint="eastAsia" w:cs="微软雅黑"/>
          <w:sz w:val="24"/>
        </w:rPr>
        <w:t>劳保</w:t>
      </w:r>
      <w:r>
        <w:rPr>
          <w:rFonts w:cs="微软雅黑"/>
          <w:sz w:val="24"/>
        </w:rPr>
        <w:t>鞋、安全帽、工作服</w:t>
      </w:r>
      <w:r>
        <w:rPr>
          <w:rFonts w:hint="eastAsia" w:cs="微软雅黑"/>
          <w:sz w:val="24"/>
        </w:rPr>
        <w:t>、</w:t>
      </w:r>
      <w:r>
        <w:rPr>
          <w:rFonts w:cs="微软雅黑"/>
          <w:sz w:val="24"/>
        </w:rPr>
        <w:t>安全眼镜等。现场作业时应做好以下防护措施：</w:t>
      </w:r>
    </w:p>
    <w:p>
      <w:pPr>
        <w:spacing w:line="500" w:lineRule="exact"/>
        <w:ind w:firstLine="480" w:firstLineChars="200"/>
        <w:rPr>
          <w:rFonts w:cs="微软雅黑"/>
          <w:sz w:val="24"/>
        </w:rPr>
      </w:pPr>
      <w:r>
        <w:rPr>
          <w:rFonts w:cs="微软雅黑"/>
          <w:sz w:val="24"/>
        </w:rPr>
        <w:t>（1）现场工作人员均配备防护用具（安全帽、防护口罩、防护手套、安全鞋、安全防护镜），并准备好急救箱；</w:t>
      </w:r>
    </w:p>
    <w:p>
      <w:pPr>
        <w:spacing w:line="500" w:lineRule="exact"/>
        <w:ind w:firstLine="480" w:firstLineChars="200"/>
        <w:rPr>
          <w:rFonts w:cs="微软雅黑"/>
          <w:sz w:val="24"/>
        </w:rPr>
      </w:pPr>
      <w:r>
        <w:rPr>
          <w:rFonts w:cs="微软雅黑"/>
          <w:sz w:val="24"/>
        </w:rPr>
        <w:t>（2）进入现场时应有企业专业技术、安全防护技能的企业人员陪同，及时发现隐患，尽早隔绝；</w:t>
      </w:r>
    </w:p>
    <w:p>
      <w:pPr>
        <w:spacing w:line="500" w:lineRule="exact"/>
        <w:ind w:firstLine="480" w:firstLineChars="200"/>
        <w:rPr>
          <w:rFonts w:cs="微软雅黑"/>
          <w:sz w:val="24"/>
        </w:rPr>
      </w:pPr>
      <w:r>
        <w:rPr>
          <w:rFonts w:cs="微软雅黑"/>
          <w:sz w:val="24"/>
        </w:rPr>
        <w:t>（3）按规范要求设置相应的警示标志和标线；</w:t>
      </w:r>
    </w:p>
    <w:p>
      <w:pPr>
        <w:spacing w:line="500" w:lineRule="exact"/>
        <w:ind w:firstLine="480" w:firstLineChars="200"/>
        <w:rPr>
          <w:rFonts w:cs="微软雅黑"/>
          <w:sz w:val="24"/>
        </w:rPr>
      </w:pPr>
      <w:r>
        <w:rPr>
          <w:rFonts w:cs="微软雅黑"/>
          <w:sz w:val="24"/>
        </w:rPr>
        <w:t>（4）相关操作人员应严格按照操作规程进行操作；</w:t>
      </w:r>
    </w:p>
    <w:p>
      <w:pPr>
        <w:spacing w:line="500" w:lineRule="exact"/>
        <w:ind w:firstLine="480" w:firstLineChars="200"/>
        <w:rPr>
          <w:rFonts w:cs="微软雅黑"/>
          <w:sz w:val="24"/>
        </w:rPr>
      </w:pPr>
      <w:r>
        <w:rPr>
          <w:rFonts w:cs="微软雅黑"/>
          <w:sz w:val="24"/>
        </w:rPr>
        <w:t>（</w:t>
      </w:r>
      <w:r>
        <w:rPr>
          <w:rFonts w:hint="eastAsia" w:cs="微软雅黑"/>
          <w:sz w:val="24"/>
        </w:rPr>
        <w:t>5</w:t>
      </w:r>
      <w:r>
        <w:rPr>
          <w:rFonts w:cs="微软雅黑"/>
          <w:sz w:val="24"/>
        </w:rPr>
        <w:t>）现场仪器管理得当，发现漏油问题及时解决，并做好记录；</w:t>
      </w:r>
    </w:p>
    <w:p>
      <w:pPr>
        <w:spacing w:line="500" w:lineRule="exact"/>
        <w:ind w:firstLine="480" w:firstLineChars="200"/>
        <w:rPr>
          <w:rFonts w:cs="微软雅黑"/>
          <w:sz w:val="24"/>
        </w:rPr>
      </w:pPr>
      <w:r>
        <w:rPr>
          <w:rFonts w:cs="微软雅黑"/>
          <w:sz w:val="24"/>
        </w:rPr>
        <w:t>（</w:t>
      </w:r>
      <w:r>
        <w:rPr>
          <w:rFonts w:hint="eastAsia" w:cs="微软雅黑"/>
          <w:sz w:val="24"/>
        </w:rPr>
        <w:t>6</w:t>
      </w:r>
      <w:r>
        <w:rPr>
          <w:rFonts w:cs="微软雅黑"/>
          <w:sz w:val="24"/>
        </w:rPr>
        <w:t>）装样过程中应轻拿轻放，避免引起容器破损，样品保护剂泄漏。</w:t>
      </w:r>
    </w:p>
    <w:p>
      <w:pPr>
        <w:spacing w:line="500" w:lineRule="exact"/>
        <w:ind w:firstLine="480" w:firstLineChars="200"/>
        <w:rPr>
          <w:rFonts w:hint="eastAsia" w:cs="微软雅黑"/>
          <w:sz w:val="24"/>
          <w:lang w:eastAsia="zh-CN"/>
        </w:rPr>
      </w:pPr>
      <w:r>
        <w:rPr>
          <w:rFonts w:hint="eastAsia" w:cs="微软雅黑"/>
          <w:sz w:val="24"/>
          <w:lang w:val="en-US" w:eastAsia="zh-CN"/>
        </w:rPr>
        <w:t>7</w:t>
      </w:r>
      <w:r>
        <w:rPr>
          <w:rFonts w:hint="eastAsia" w:cs="微软雅黑"/>
          <w:sz w:val="24"/>
        </w:rPr>
        <w:t>、</w:t>
      </w:r>
      <w:r>
        <w:rPr>
          <w:rFonts w:hint="eastAsia" w:cs="微软雅黑"/>
          <w:sz w:val="24"/>
          <w:lang w:eastAsia="zh-CN"/>
        </w:rPr>
        <w:t>按</w:t>
      </w:r>
      <w:r>
        <w:rPr>
          <w:rFonts w:hint="eastAsia" w:cs="微软雅黑"/>
          <w:sz w:val="24"/>
          <w:lang w:val="en-US" w:eastAsia="zh-CN"/>
        </w:rPr>
        <w:t>HJ1209-2021要求</w:t>
      </w:r>
      <w:r>
        <w:rPr>
          <w:rFonts w:hint="eastAsia" w:cs="微软雅黑"/>
          <w:sz w:val="24"/>
        </w:rPr>
        <w:t>编制土壤、地下水检测技术服务</w:t>
      </w:r>
      <w:r>
        <w:rPr>
          <w:rFonts w:cs="微软雅黑"/>
          <w:sz w:val="24"/>
        </w:rPr>
        <w:t>报告，</w:t>
      </w:r>
      <w:r>
        <w:rPr>
          <w:rFonts w:hint="eastAsia" w:cs="微软雅黑"/>
          <w:sz w:val="24"/>
        </w:rPr>
        <w:t>并对报告的真实性负责，</w:t>
      </w:r>
      <w:r>
        <w:rPr>
          <w:rFonts w:hint="eastAsia" w:cs="微软雅黑"/>
          <w:sz w:val="24"/>
          <w:lang w:eastAsia="zh-CN"/>
        </w:rPr>
        <w:t>内容</w:t>
      </w:r>
      <w:r>
        <w:rPr>
          <w:rFonts w:hint="eastAsia" w:cs="微软雅黑"/>
          <w:sz w:val="24"/>
        </w:rPr>
        <w:t>至少</w:t>
      </w:r>
      <w:r>
        <w:rPr>
          <w:rFonts w:hint="eastAsia" w:cs="微软雅黑"/>
          <w:sz w:val="24"/>
          <w:lang w:eastAsia="zh-CN"/>
        </w:rPr>
        <w:t>应</w:t>
      </w:r>
      <w:r>
        <w:rPr>
          <w:rFonts w:hint="eastAsia" w:cs="微软雅黑"/>
          <w:sz w:val="24"/>
        </w:rPr>
        <w:t>包括</w:t>
      </w:r>
      <w:r>
        <w:rPr>
          <w:rFonts w:hint="eastAsia" w:cs="微软雅黑"/>
          <w:sz w:val="24"/>
          <w:lang w:eastAsia="zh-CN"/>
        </w:rPr>
        <w:t>：</w:t>
      </w:r>
    </w:p>
    <w:p>
      <w:pPr>
        <w:spacing w:line="500" w:lineRule="exact"/>
        <w:ind w:firstLine="480" w:firstLineChars="200"/>
        <w:rPr>
          <w:rFonts w:hint="eastAsia" w:cs="微软雅黑"/>
          <w:sz w:val="24"/>
        </w:rPr>
      </w:pPr>
      <w:r>
        <w:rPr>
          <w:rFonts w:hint="eastAsia" w:cs="微软雅黑"/>
          <w:sz w:val="24"/>
          <w:lang w:eastAsia="zh-CN"/>
        </w:rPr>
        <w:t>（</w:t>
      </w:r>
      <w:r>
        <w:rPr>
          <w:rFonts w:hint="eastAsia" w:cs="微软雅黑"/>
          <w:sz w:val="24"/>
          <w:lang w:val="en-US" w:eastAsia="zh-CN"/>
        </w:rPr>
        <w:t>1</w:t>
      </w:r>
      <w:r>
        <w:rPr>
          <w:rFonts w:hint="eastAsia" w:cs="微软雅黑"/>
          <w:sz w:val="24"/>
          <w:lang w:eastAsia="zh-CN"/>
        </w:rPr>
        <w:t>）</w:t>
      </w:r>
      <w:r>
        <w:rPr>
          <w:rFonts w:hint="eastAsia" w:cs="微软雅黑"/>
          <w:sz w:val="24"/>
        </w:rPr>
        <w:t>、企业执行的自行监测方案描述（至少涵盖重点监测单元清单、标记有重点单元及监测点/监测井位置的企业总平面布置图，重点单元识别与分类过程描述，监测点位置、数量和深度的描述，各点位监测指标与频次及其选取原因描述，样品采集、保存、流转、制备等方法描述等）；</w:t>
      </w:r>
    </w:p>
    <w:p>
      <w:pPr>
        <w:spacing w:line="500" w:lineRule="exact"/>
        <w:ind w:firstLine="480" w:firstLineChars="200"/>
        <w:rPr>
          <w:rFonts w:hint="eastAsia" w:cs="微软雅黑"/>
          <w:sz w:val="24"/>
        </w:rPr>
      </w:pPr>
      <w:r>
        <w:rPr>
          <w:rFonts w:hint="eastAsia" w:cs="微软雅黑"/>
          <w:sz w:val="24"/>
          <w:lang w:eastAsia="zh-CN"/>
        </w:rPr>
        <w:t>（</w:t>
      </w:r>
      <w:r>
        <w:rPr>
          <w:rFonts w:hint="eastAsia" w:cs="微软雅黑"/>
          <w:sz w:val="24"/>
          <w:lang w:val="en-US" w:eastAsia="zh-CN"/>
        </w:rPr>
        <w:t>2</w:t>
      </w:r>
      <w:r>
        <w:rPr>
          <w:rFonts w:hint="eastAsia" w:cs="微软雅黑"/>
          <w:sz w:val="24"/>
          <w:lang w:eastAsia="zh-CN"/>
        </w:rPr>
        <w:t>）</w:t>
      </w:r>
      <w:r>
        <w:rPr>
          <w:rFonts w:hint="eastAsia" w:cs="微软雅黑"/>
          <w:sz w:val="24"/>
        </w:rPr>
        <w:t>、监测结果及分析，各监测指标选取的分析方法及检出限应在报告中明确；</w:t>
      </w:r>
    </w:p>
    <w:p>
      <w:pPr>
        <w:spacing w:line="500" w:lineRule="exact"/>
        <w:ind w:firstLine="480" w:firstLineChars="200"/>
        <w:rPr>
          <w:rFonts w:hint="eastAsia" w:cs="微软雅黑"/>
          <w:sz w:val="24"/>
        </w:rPr>
      </w:pPr>
      <w:r>
        <w:rPr>
          <w:rFonts w:hint="eastAsia" w:cs="微软雅黑"/>
          <w:sz w:val="24"/>
          <w:lang w:eastAsia="zh-CN"/>
        </w:rPr>
        <w:t>（</w:t>
      </w:r>
      <w:r>
        <w:rPr>
          <w:rFonts w:hint="eastAsia" w:cs="微软雅黑"/>
          <w:sz w:val="24"/>
          <w:lang w:val="en-US" w:eastAsia="zh-CN"/>
        </w:rPr>
        <w:t>3</w:t>
      </w:r>
      <w:r>
        <w:rPr>
          <w:rFonts w:hint="eastAsia" w:cs="微软雅黑"/>
          <w:sz w:val="24"/>
          <w:lang w:eastAsia="zh-CN"/>
        </w:rPr>
        <w:t>）</w:t>
      </w:r>
      <w:r>
        <w:rPr>
          <w:rFonts w:hint="eastAsia" w:cs="微软雅黑"/>
          <w:sz w:val="24"/>
        </w:rPr>
        <w:t>、质量保证与质量控制；</w:t>
      </w:r>
    </w:p>
    <w:p>
      <w:pPr>
        <w:spacing w:line="500" w:lineRule="exact"/>
        <w:ind w:firstLine="480" w:firstLineChars="200"/>
        <w:rPr>
          <w:rFonts w:hint="eastAsia" w:cs="微软雅黑"/>
          <w:sz w:val="24"/>
        </w:rPr>
      </w:pPr>
      <w:r>
        <w:rPr>
          <w:rFonts w:hint="eastAsia" w:cs="微软雅黑"/>
          <w:sz w:val="24"/>
          <w:lang w:eastAsia="zh-CN"/>
        </w:rPr>
        <w:t>（</w:t>
      </w:r>
      <w:r>
        <w:rPr>
          <w:rFonts w:hint="eastAsia" w:cs="微软雅黑"/>
          <w:sz w:val="24"/>
          <w:lang w:val="en-US" w:eastAsia="zh-CN"/>
        </w:rPr>
        <w:t>4</w:t>
      </w:r>
      <w:r>
        <w:rPr>
          <w:rFonts w:hint="eastAsia" w:cs="微软雅黑"/>
          <w:sz w:val="24"/>
          <w:lang w:eastAsia="zh-CN"/>
        </w:rPr>
        <w:t>）</w:t>
      </w:r>
      <w:r>
        <w:rPr>
          <w:rFonts w:hint="eastAsia" w:cs="微软雅黑"/>
          <w:sz w:val="24"/>
        </w:rPr>
        <w:t>、企业针对监测结果拟采取的主要措施。</w:t>
      </w:r>
    </w:p>
    <w:p>
      <w:pPr>
        <w:spacing w:line="500" w:lineRule="exact"/>
        <w:ind w:firstLine="480" w:firstLineChars="200"/>
        <w:rPr>
          <w:rFonts w:hint="eastAsia" w:cs="微软雅黑"/>
          <w:sz w:val="24"/>
        </w:rPr>
      </w:pPr>
      <w:r>
        <w:rPr>
          <w:rFonts w:hint="eastAsia" w:cs="微软雅黑"/>
          <w:sz w:val="24"/>
          <w:lang w:val="en-US" w:eastAsia="zh-CN"/>
        </w:rPr>
        <w:t>8</w:t>
      </w:r>
      <w:r>
        <w:rPr>
          <w:rFonts w:hint="eastAsia" w:cs="微软雅黑"/>
          <w:sz w:val="24"/>
        </w:rPr>
        <w:t>、</w:t>
      </w:r>
      <w:r>
        <w:rPr>
          <w:rFonts w:cs="微软雅黑"/>
          <w:sz w:val="24"/>
        </w:rPr>
        <w:t>工期要求</w:t>
      </w:r>
      <w:r>
        <w:rPr>
          <w:rFonts w:hint="eastAsia" w:cs="微软雅黑"/>
          <w:sz w:val="24"/>
        </w:rPr>
        <w:t>：合同签订后按我司需求</w:t>
      </w:r>
      <w:r>
        <w:rPr>
          <w:rFonts w:hint="eastAsia" w:cs="微软雅黑"/>
          <w:sz w:val="24"/>
          <w:lang w:eastAsia="zh-CN"/>
        </w:rPr>
        <w:t>于</w:t>
      </w:r>
      <w:r>
        <w:rPr>
          <w:rFonts w:hint="eastAsia" w:cs="微软雅黑"/>
          <w:sz w:val="24"/>
          <w:lang w:val="en-US" w:eastAsia="zh-CN"/>
        </w:rPr>
        <w:t>30工作日内</w:t>
      </w:r>
      <w:r>
        <w:rPr>
          <w:rFonts w:hint="eastAsia" w:cs="微软雅黑"/>
          <w:sz w:val="24"/>
        </w:rPr>
        <w:t>完成相关采样监测</w:t>
      </w:r>
      <w:r>
        <w:rPr>
          <w:rFonts w:hint="eastAsia" w:cs="微软雅黑"/>
          <w:sz w:val="24"/>
          <w:lang w:eastAsia="zh-CN"/>
        </w:rPr>
        <w:t>、报告编制等</w:t>
      </w:r>
      <w:r>
        <w:rPr>
          <w:rFonts w:hint="eastAsia" w:cs="微软雅黑"/>
          <w:sz w:val="24"/>
        </w:rPr>
        <w:t>工作，并提供</w:t>
      </w:r>
      <w:r>
        <w:rPr>
          <w:rFonts w:hint="eastAsia" w:cs="微软雅黑"/>
          <w:sz w:val="24"/>
          <w:lang w:val="en-US" w:eastAsia="zh-CN"/>
        </w:rPr>
        <w:t>5</w:t>
      </w:r>
      <w:r>
        <w:rPr>
          <w:rFonts w:hint="eastAsia" w:cs="微软雅黑"/>
          <w:sz w:val="24"/>
        </w:rPr>
        <w:t>份土壤、地下水检测技术服务报告，</w:t>
      </w:r>
      <w:r>
        <w:rPr>
          <w:rFonts w:hint="eastAsia" w:cs="微软雅黑"/>
          <w:sz w:val="24"/>
          <w:lang w:eastAsia="zh-CN"/>
        </w:rPr>
        <w:t>电子可编辑</w:t>
      </w:r>
      <w:r>
        <w:rPr>
          <w:rFonts w:hint="eastAsia" w:cs="微软雅黑"/>
          <w:sz w:val="24"/>
        </w:rPr>
        <w:t xml:space="preserve">版1份。 </w:t>
      </w:r>
    </w:p>
    <w:p>
      <w:pPr>
        <w:spacing w:line="500" w:lineRule="exact"/>
        <w:ind w:firstLine="480" w:firstLineChars="200"/>
        <w:rPr>
          <w:rFonts w:cs="微软雅黑"/>
          <w:sz w:val="24"/>
        </w:rPr>
      </w:pPr>
      <w:r>
        <w:rPr>
          <w:rFonts w:hint="eastAsia" w:cs="微软雅黑"/>
          <w:sz w:val="24"/>
          <w:lang w:val="en-US" w:eastAsia="zh-CN"/>
        </w:rPr>
        <w:t>9</w:t>
      </w:r>
      <w:r>
        <w:rPr>
          <w:rFonts w:hint="eastAsia" w:cs="微软雅黑"/>
          <w:sz w:val="24"/>
        </w:rPr>
        <w:t>、其他未尽事宜详见《翔鹭石化（漳州）有限公司土壤环境监测方案》和《重点行业企业用地调查样品采集保存和流转技术规定（试行）》、《工业企业土壤和地下水自行监测技术指南（试行）HJ 1209-2021 》的要求。</w:t>
      </w:r>
    </w:p>
    <w:p>
      <w:pPr>
        <w:pStyle w:val="53"/>
        <w:spacing w:line="360" w:lineRule="auto"/>
        <w:rPr>
          <w:rFonts w:hint="eastAsia" w:ascii="宋体" w:hAnsi="宋体" w:eastAsia="宋体"/>
          <w:snapToGrid w:val="0"/>
        </w:rPr>
      </w:pPr>
    </w:p>
    <w:p>
      <w:pPr>
        <w:pStyle w:val="53"/>
        <w:spacing w:line="360" w:lineRule="auto"/>
        <w:rPr>
          <w:rFonts w:hint="eastAsia" w:ascii="宋体" w:hAnsi="宋体" w:eastAsia="宋体"/>
          <w:snapToGrid w:val="0"/>
        </w:rPr>
      </w:pPr>
    </w:p>
    <w:p>
      <w:pPr>
        <w:pStyle w:val="53"/>
        <w:spacing w:line="360" w:lineRule="auto"/>
        <w:rPr>
          <w:rFonts w:hint="eastAsia" w:ascii="宋体" w:hAnsi="宋体" w:eastAsia="宋体"/>
          <w:snapToGrid w:val="0"/>
        </w:rPr>
      </w:pPr>
    </w:p>
    <w:p>
      <w:pPr>
        <w:pStyle w:val="53"/>
        <w:spacing w:line="360" w:lineRule="auto"/>
        <w:ind w:firstLine="360" w:firstLineChars="150"/>
        <w:rPr>
          <w:rFonts w:hint="eastAsia" w:ascii="宋体" w:hAnsi="宋体" w:eastAsia="宋体"/>
          <w:snapToGrid w:val="0"/>
        </w:rPr>
      </w:pPr>
      <w:r>
        <w:rPr>
          <w:rFonts w:hint="eastAsia" w:ascii="宋体" w:hAnsi="宋体" w:eastAsia="宋体"/>
          <w:snapToGrid w:val="0"/>
        </w:rPr>
        <w:t xml:space="preserve">                                         翔鹭石化（漳州）有限公司</w:t>
      </w:r>
    </w:p>
    <w:p>
      <w:pPr>
        <w:pStyle w:val="53"/>
        <w:spacing w:line="360" w:lineRule="auto"/>
        <w:ind w:firstLine="360" w:firstLineChars="150"/>
        <w:rPr>
          <w:rFonts w:hint="eastAsia" w:ascii="Times New Roman" w:hAnsi="Times New Roman" w:cs="Times New Roman"/>
          <w:b/>
          <w:bCs/>
          <w:sz w:val="32"/>
          <w:szCs w:val="36"/>
        </w:rPr>
      </w:pPr>
      <w:r>
        <w:rPr>
          <w:rFonts w:hint="eastAsia" w:ascii="宋体" w:hAnsi="宋体" w:eastAsia="宋体"/>
          <w:snapToGrid w:val="0"/>
        </w:rPr>
        <w:t xml:space="preserve">                                              202</w:t>
      </w:r>
      <w:r>
        <w:rPr>
          <w:rFonts w:hint="eastAsia" w:ascii="宋体" w:hAnsi="宋体" w:eastAsia="宋体"/>
          <w:snapToGrid w:val="0"/>
          <w:lang w:val="en-US" w:eastAsia="zh-CN"/>
        </w:rPr>
        <w:t>3</w:t>
      </w:r>
      <w:r>
        <w:rPr>
          <w:rFonts w:hint="eastAsia" w:ascii="宋体" w:hAnsi="宋体" w:eastAsia="宋体"/>
          <w:snapToGrid w:val="0"/>
        </w:rPr>
        <w:t>年11月</w:t>
      </w:r>
      <w:r>
        <w:rPr>
          <w:rFonts w:hint="eastAsia" w:ascii="宋体" w:hAnsi="宋体" w:eastAsia="宋体"/>
          <w:snapToGrid w:val="0"/>
          <w:lang w:val="en-US" w:eastAsia="zh-CN"/>
        </w:rPr>
        <w:t>29</w:t>
      </w:r>
      <w:r>
        <w:rPr>
          <w:rFonts w:hint="eastAsia" w:ascii="宋体" w:hAnsi="宋体" w:eastAsia="宋体"/>
          <w:snapToGrid w:val="0"/>
        </w:rPr>
        <w:t>日</w:t>
      </w:r>
    </w:p>
    <w:p>
      <w:pPr>
        <w:pStyle w:val="2"/>
        <w:rPr>
          <w:rFonts w:hint="eastAsia"/>
        </w:rPr>
      </w:pPr>
    </w:p>
    <w:p>
      <w:pPr>
        <w:jc w:val="center"/>
        <w:rPr>
          <w:rFonts w:ascii="Times New Roman" w:hAnsi="Times New Roman" w:cs="Times New Roman"/>
          <w:b/>
          <w:bCs/>
          <w:sz w:val="32"/>
          <w:szCs w:val="36"/>
        </w:rPr>
      </w:pPr>
      <w:r>
        <w:rPr>
          <w:rFonts w:hint="eastAsia" w:ascii="Times New Roman" w:hAnsi="Times New Roman" w:cs="Times New Roman"/>
          <w:b/>
          <w:bCs/>
          <w:sz w:val="32"/>
          <w:szCs w:val="36"/>
        </w:rPr>
        <w:t>翔鹭石化(漳州)有限公司土壤环境监测方案</w:t>
      </w:r>
    </w:p>
    <w:p>
      <w:pPr>
        <w:pStyle w:val="53"/>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一、企业概况</w:t>
      </w:r>
    </w:p>
    <w:p>
      <w:pPr>
        <w:pStyle w:val="53"/>
        <w:spacing w:line="360" w:lineRule="auto"/>
        <w:ind w:firstLine="480" w:firstLineChars="200"/>
        <w:rPr>
          <w:rFonts w:ascii="宋体" w:hAnsi="宋体" w:eastAsia="宋体"/>
          <w:snapToGrid w:val="0"/>
        </w:rPr>
      </w:pPr>
      <w:r>
        <w:rPr>
          <w:rFonts w:hint="eastAsia" w:ascii="宋体" w:hAnsi="宋体" w:eastAsia="宋体"/>
          <w:snapToGrid w:val="0"/>
        </w:rPr>
        <w:t>翔鹭石化（漳州）有限公司</w:t>
      </w:r>
      <w:r>
        <w:rPr>
          <w:rFonts w:ascii="宋体" w:hAnsi="宋体" w:eastAsia="宋体"/>
          <w:snapToGrid w:val="0"/>
        </w:rPr>
        <w:t>坐落于福建省漳州市古雷经济开发区</w:t>
      </w:r>
      <w:r>
        <w:rPr>
          <w:rFonts w:hint="eastAsia" w:ascii="宋体" w:hAnsi="宋体" w:eastAsia="宋体"/>
          <w:snapToGrid w:val="0"/>
        </w:rPr>
        <w:t>，厂区</w:t>
      </w:r>
      <w:r>
        <w:rPr>
          <w:rFonts w:ascii="宋体" w:hAnsi="宋体" w:eastAsia="宋体"/>
          <w:snapToGrid w:val="0"/>
        </w:rPr>
        <w:t>占地面积</w:t>
      </w:r>
      <w:r>
        <w:rPr>
          <w:rFonts w:hint="eastAsia" w:ascii="宋体" w:hAnsi="宋体" w:eastAsia="宋体"/>
          <w:snapToGrid w:val="0"/>
        </w:rPr>
        <w:t>40.13</w:t>
      </w:r>
      <w:r>
        <w:rPr>
          <w:rFonts w:ascii="宋体" w:hAnsi="宋体" w:eastAsia="宋体"/>
          <w:snapToGrid w:val="0"/>
        </w:rPr>
        <w:t>公顷，</w:t>
      </w:r>
      <w:r>
        <w:rPr>
          <w:rFonts w:hint="eastAsia" w:ascii="宋体" w:hAnsi="宋体" w:eastAsia="宋体"/>
          <w:snapToGrid w:val="0"/>
        </w:rPr>
        <w:t>年产精对苯二甲酸</w:t>
      </w:r>
      <w:r>
        <w:rPr>
          <w:rFonts w:ascii="宋体" w:hAnsi="宋体" w:eastAsia="宋体"/>
          <w:snapToGrid w:val="0"/>
        </w:rPr>
        <w:t>450万吨。主要产品精对苯二甲酸（PTA），是聚酯工业的主要生产原料，产品广泛应用于化学纤维、薄膜、包装材料等方面，于2017年11月投产</w:t>
      </w:r>
      <w:r>
        <w:rPr>
          <w:rFonts w:hint="eastAsia" w:ascii="宋体" w:hAnsi="宋体" w:eastAsia="宋体"/>
          <w:snapToGrid w:val="0"/>
        </w:rPr>
        <w:t>，涉及的主要化学品包括：对二甲苯、醋酸、烧碱、醋酸异丁酯等。</w:t>
      </w:r>
      <w:r>
        <w:rPr>
          <w:rFonts w:ascii="宋体" w:hAnsi="宋体" w:eastAsia="宋体"/>
          <w:snapToGrid w:val="0"/>
        </w:rPr>
        <w:t xml:space="preserve"> </w:t>
      </w:r>
    </w:p>
    <w:p>
      <w:pPr>
        <w:pStyle w:val="53"/>
        <w:spacing w:line="360" w:lineRule="auto"/>
        <w:jc w:val="both"/>
        <w:rPr>
          <w:rFonts w:ascii="宋体" w:hAnsi="宋体" w:eastAsia="宋体"/>
          <w:b/>
          <w:snapToGrid w:val="0"/>
          <w:color w:val="auto"/>
          <w:sz w:val="28"/>
          <w:szCs w:val="28"/>
        </w:rPr>
      </w:pPr>
      <w:r>
        <w:rPr>
          <w:rFonts w:hint="eastAsia" w:ascii="宋体" w:hAnsi="宋体" w:eastAsia="宋体"/>
          <w:b/>
          <w:snapToGrid w:val="0"/>
          <w:color w:val="auto"/>
          <w:sz w:val="28"/>
          <w:szCs w:val="28"/>
        </w:rPr>
        <w:t>二、点位布设方案</w:t>
      </w:r>
    </w:p>
    <w:p>
      <w:pPr>
        <w:pStyle w:val="53"/>
        <w:spacing w:line="360" w:lineRule="auto"/>
        <w:ind w:firstLine="480" w:firstLineChars="200"/>
        <w:rPr>
          <w:rFonts w:ascii="宋体" w:hAnsi="宋体" w:eastAsia="宋体"/>
          <w:snapToGrid w:val="0"/>
        </w:rPr>
      </w:pPr>
      <w:r>
        <w:rPr>
          <w:rFonts w:hint="eastAsia" w:ascii="宋体" w:hAnsi="宋体" w:eastAsia="宋体"/>
          <w:snapToGrid w:val="0"/>
        </w:rPr>
        <w:t>土壤及地下水监测点位布设详见下图</w:t>
      </w:r>
    </w:p>
    <w:p>
      <w:pPr>
        <w:jc w:val="center"/>
        <w:rPr>
          <w:rFonts w:ascii="Times New Roman" w:hAnsi="Times New Roman" w:cs="Times New Roman"/>
          <w:b/>
          <w:bCs/>
          <w:sz w:val="32"/>
          <w:szCs w:val="36"/>
        </w:rPr>
      </w:pPr>
      <w:r>
        <w:pict>
          <v:shape id="_x0000_s1102" o:spid="_x0000_s1102" o:spt="202" type="#_x0000_t202" style="position:absolute;left:0pt;margin-left:235.85pt;margin-top:346.1pt;height:23.05pt;width:70.4pt;z-index:251662336;mso-width-relative:page;mso-height-relative:page;" filled="f" stroked="f" coordsize="21600,21600" o:gfxdata="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o&#10;2nrcAAAACwEAAA8AAAAAAAAAAQAgAAAAIgAAAGRycy9kb3ducmV2LnhtbFBLAQIUABQAAAAIAIdO&#10;4kDzktEIHwIAABkEAAAOAAAAAAAAAAEAIAAAACsBAABkcnMvZTJvRG9jLnhtbFBLBQYAAAAABgAG&#10;AFkBAAC8BQAAAAA=&#10;">
            <v:path/>
            <v:fill on="f" focussize="0,0"/>
            <v:stroke on="f" weight="0.5pt" joinstyle="miter"/>
            <v:imagedata o:title=""/>
            <o:lock v:ext="edit"/>
            <v:textbox>
              <w:txbxContent>
                <w:p>
                  <w:pPr>
                    <w:rPr>
                      <w:rFonts w:hint="eastAsia" w:eastAsiaTheme="minorEastAsia"/>
                      <w:b/>
                      <w:bCs/>
                      <w:color w:val="FFFFFF" w:themeColor="background1"/>
                      <w:lang w:eastAsia="zh-CN"/>
                    </w:rPr>
                  </w:pPr>
                  <w:r>
                    <w:rPr>
                      <w:rFonts w:hint="eastAsia"/>
                      <w:b/>
                      <w:bCs/>
                      <w:color w:val="FFFFFF" w:themeColor="background1"/>
                    </w:rPr>
                    <w:t>ZXS0</w:t>
                  </w:r>
                  <w:r>
                    <w:rPr>
                      <w:rFonts w:hint="eastAsia"/>
                      <w:b/>
                      <w:bCs/>
                      <w:color w:val="FFFFFF" w:themeColor="background1"/>
                      <w:lang w:val="en-US" w:eastAsia="zh-CN"/>
                    </w:rPr>
                    <w:t>6</w:t>
                  </w:r>
                </w:p>
              </w:txbxContent>
            </v:textbox>
          </v:shape>
        </w:pict>
      </w:r>
      <w:r>
        <w:pict>
          <v:shape id="_x0000_s1103" o:spid="_x0000_s1103" o:spt="3" type="#_x0000_t3" style="position:absolute;left:0pt;margin-left:243.7pt;margin-top:365.85pt;height:7.6pt;width:7.75pt;z-index:251661312;v-text-anchor:middle;mso-width-relative:page;mso-height-relative:page;" fillcolor="#FF0000" filled="t" stroked="f" coordsize="21600,21600" o:gfxdata="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8tgXbXAAAACwEAAA8A&#10;AAAAAAAAAQAgAAAAIgAAAGRycy9kb3ducmV2LnhtbFBLAQIUABQAAAAIAIdO4kAHLTeGUQIAAH8E&#10;AAAOAAAAAAAAAAEAIAAAACYBAABkcnMvZTJvRG9jLnhtbFBLBQYAAAAABgAGAFkBAADpBQAAAAA=&#10;">
            <v:path/>
            <v:fill on="t" focussize="0,0"/>
            <v:stroke on="f" weight="1pt" joinstyle="miter"/>
            <v:imagedata o:title=""/>
            <o:lock v:ext="edit"/>
            <v:textbox>
              <w:txbxContent>
                <w:p/>
              </w:txbxContent>
            </v:textbox>
          </v:shape>
        </w:pict>
      </w:r>
      <w:r>
        <w:pict>
          <v:shape id="_x0000_s1104" o:spid="_x0000_s1104" o:spt="202" type="#_x0000_t202" style="position:absolute;left:0pt;margin-left:218.95pt;margin-top:238.75pt;height:23.05pt;width:53.2pt;z-index:251664384;mso-width-relative:page;mso-height-relative:page;" filled="f" stroked="f" coordsize="21600,21600" o:gfxdata="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a&#10;ahncAAAACwEAAA8AAAAAAAAAAQAgAAAAIgAAAGRycy9kb3ducmV2LnhtbFBLAQIUABQAAAAIAIdO&#10;4kCk/YNgHwIAABkEAAAOAAAAAAAAAAEAIAAAACsBAABkcnMvZTJvRG9jLnhtbFBLBQYAAAAABgAG&#10;AFkBAAC8BQ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rPr>
                    <w:t>ZXS0</w:t>
                  </w:r>
                  <w:r>
                    <w:rPr>
                      <w:rFonts w:hint="eastAsia"/>
                      <w:b/>
                      <w:bCs/>
                      <w:color w:val="FFFFFF" w:themeColor="background1"/>
                      <w:lang w:val="en-US" w:eastAsia="zh-CN"/>
                    </w:rPr>
                    <w:t>5</w:t>
                  </w:r>
                </w:p>
              </w:txbxContent>
            </v:textbox>
          </v:shape>
        </w:pict>
      </w:r>
      <w:r>
        <w:pict>
          <v:shape id="_x0000_s1105" o:spid="_x0000_s1105" o:spt="3" type="#_x0000_t3" style="position:absolute;left:0pt;margin-left:208.8pt;margin-top:249.75pt;height:7.6pt;width:7.75pt;z-index:251663360;v-text-anchor:middle;mso-width-relative:page;mso-height-relative:page;" fillcolor="#FF0000" filled="t" stroked="f" coordsize="21600,21600" o:gfxdata="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T0n91wAAAAsBAAAPAAAA&#10;AAAAAAEAIAAAACIAAABkcnMvZG93bnJldi54bWxQSwECFAAUAAAACACHTuJASnaWBE8CAAB9BAAA&#10;DgAAAAAAAAABACAAAAAmAQAAZHJzL2Uyb0RvYy54bWxQSwUGAAAAAAYABgBZAQAA5wUAAAAA&#10;">
            <v:path/>
            <v:fill on="t" focussize="0,0"/>
            <v:stroke on="f" weight="1pt" joinstyle="miter"/>
            <v:imagedata o:title=""/>
            <o:lock v:ext="edit"/>
            <v:textbox>
              <w:txbxContent>
                <w:p/>
              </w:txbxContent>
            </v:textbox>
          </v:shape>
        </w:pict>
      </w:r>
      <w:r>
        <w:pict>
          <v:shape id="_x0000_s1106" o:spid="_x0000_s1106" o:spt="3" type="#_x0000_t3" style="position:absolute;left:0pt;margin-left:191.1pt;margin-top:186.15pt;height:7.6pt;width:7.75pt;z-index:251669504;v-text-anchor:middle;mso-width-relative:page;mso-height-relative:page;" fillcolor="#FF0000" filled="t" stroked="f" coordsize="21600,21600" o:gfxdata="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AGV7zXAAAACwEAAA8A&#10;AAAAAAAAAQAgAAAAIgAAAGRycy9kb3ducmV2LnhtbFBLAQIUABQAAAAIAIdO4kDuW5lLUQIAAH0E&#10;AAAOAAAAAAAAAAEAIAAAACYBAABkcnMvZTJvRG9jLnhtbFBLBQYAAAAABgAGAFkBAADpBQAAAAA=&#10;">
            <v:path/>
            <v:fill on="t" focussize="0,0"/>
            <v:stroke on="f" weight="1pt" joinstyle="miter"/>
            <v:imagedata o:title=""/>
            <o:lock v:ext="edit"/>
          </v:shape>
        </w:pict>
      </w:r>
      <w:r>
        <w:pict>
          <v:shape id="_x0000_s1107" o:spid="_x0000_s1107" o:spt="202" type="#_x0000_t202" style="position:absolute;left:0pt;margin-left:199.35pt;margin-top:175.5pt;height:21.2pt;width:48.75pt;z-index:251668480;mso-width-relative:page;mso-height-relative:page;" filled="f" stroked="f" coordsize="21600,21600" o:gfxdata="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jxRP3AAAAAsBAAAPAAAAAAAAAAEAIAAAACIAAABkcnMvZG93bnJldi54bWxQSwECFAAUAAAACACH&#10;TuJAOaKhuiACAAAZBAAADgAAAAAAAAABACAAAAArAQAAZHJzL2Uyb0RvYy54bWxQSwUGAAAAAAYA&#10;BgBZAQAAvQUAAAAA&#10;">
            <v:path/>
            <v:fill on="f" focussize="0,0"/>
            <v:stroke on="f" weight="0.5pt"/>
            <v:imagedata o:title=""/>
            <o:lock v:ext="edit" aspectratio="f"/>
            <v:textbox>
              <w:txbxContent>
                <w:p>
                  <w:pPr>
                    <w:rPr>
                      <w:rFonts w:hint="eastAsia" w:eastAsiaTheme="minorEastAsia"/>
                      <w:b/>
                      <w:bCs/>
                      <w:color w:val="FFFFFF" w:themeColor="background1"/>
                      <w:lang w:val="en-US" w:eastAsia="zh-CN"/>
                    </w:rPr>
                  </w:pPr>
                  <w:r>
                    <w:rPr>
                      <w:rFonts w:hint="eastAsia"/>
                      <w:b/>
                      <w:bCs/>
                      <w:color w:val="FFFFFF" w:themeColor="background1"/>
                    </w:rPr>
                    <w:t>ZXS0</w:t>
                  </w:r>
                  <w:r>
                    <w:rPr>
                      <w:rFonts w:hint="eastAsia"/>
                      <w:b/>
                      <w:bCs/>
                      <w:color w:val="FFFFFF" w:themeColor="background1"/>
                      <w:lang w:val="en-US" w:eastAsia="zh-CN"/>
                    </w:rPr>
                    <w:t>4</w:t>
                  </w:r>
                </w:p>
              </w:txbxContent>
            </v:textbox>
          </v:shape>
        </w:pict>
      </w:r>
      <w:r>
        <w:pict>
          <v:shape id="_x0000_s1108" o:spid="_x0000_s1108" o:spt="3" type="#_x0000_t3" style="position:absolute;left:0pt;margin-left:278.2pt;margin-top:355.4pt;height:7.6pt;width:7.75pt;z-index:251678720;v-text-anchor:middle;mso-width-relative:page;mso-height-relative:page;" fillcolor="#00B050" filled="t" stroked="f" coordsize="21600,21600">
            <v:path/>
            <v:fill on="t" color2="#FFFFFF" focussize="0,0"/>
            <v:stroke on="f" weight="1pt"/>
            <v:imagedata o:title=""/>
            <o:lock v:ext="edit" aspectratio="f"/>
          </v:shape>
        </w:pict>
      </w:r>
      <w:r>
        <w:pict>
          <v:shape id="_x0000_s1109" o:spid="_x0000_s1109" o:spt="202" type="#_x0000_t202" style="position:absolute;left:0pt;margin-left:287.1pt;margin-top:338.45pt;height:23.05pt;width:52pt;z-index:251679744;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lang w:val="en-US" w:eastAsia="zh-CN"/>
                    </w:rPr>
                    <w:t>FHC</w:t>
                  </w:r>
                  <w:r>
                    <w:rPr>
                      <w:rFonts w:hint="eastAsia"/>
                      <w:b/>
                      <w:bCs/>
                      <w:color w:val="FFFFFF" w:themeColor="background1"/>
                    </w:rPr>
                    <w:t>0</w:t>
                  </w:r>
                  <w:r>
                    <w:rPr>
                      <w:rFonts w:hint="eastAsia"/>
                      <w:b/>
                      <w:bCs/>
                      <w:color w:val="FFFFFF" w:themeColor="background1"/>
                      <w:lang w:val="en-US" w:eastAsia="zh-CN"/>
                    </w:rPr>
                    <w:t>3</w:t>
                  </w:r>
                </w:p>
              </w:txbxContent>
            </v:textbox>
          </v:shape>
        </w:pict>
      </w:r>
      <w:r>
        <w:pict>
          <v:shape id="_x0000_s1110" o:spid="_x0000_s1110" o:spt="202" type="#_x0000_t202" style="position:absolute;left:0pt;margin-left:285.15pt;margin-top:176.7pt;height:23.05pt;width:52pt;z-index:251675648;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lang w:val="en-US" w:eastAsia="zh-CN"/>
                    </w:rPr>
                    <w:t>FHC</w:t>
                  </w:r>
                  <w:r>
                    <w:rPr>
                      <w:rFonts w:hint="eastAsia"/>
                      <w:b/>
                      <w:bCs/>
                      <w:color w:val="FFFFFF" w:themeColor="background1"/>
                    </w:rPr>
                    <w:t>0</w:t>
                  </w:r>
                  <w:r>
                    <w:rPr>
                      <w:rFonts w:hint="eastAsia"/>
                      <w:b/>
                      <w:bCs/>
                      <w:color w:val="FFFFFF" w:themeColor="background1"/>
                      <w:lang w:val="en-US" w:eastAsia="zh-CN"/>
                    </w:rPr>
                    <w:t>1</w:t>
                  </w:r>
                </w:p>
              </w:txbxContent>
            </v:textbox>
          </v:shape>
        </w:pict>
      </w:r>
      <w:r>
        <w:pict>
          <v:shape id="_x0000_s1111" o:spid="_x0000_s1111" o:spt="3" type="#_x0000_t3" style="position:absolute;left:0pt;margin-left:276.05pt;margin-top:189.85pt;height:7.6pt;width:7.75pt;z-index:251674624;v-text-anchor:middle;mso-width-relative:page;mso-height-relative:page;" fillcolor="#00B050" filled="t" stroked="f" coordsize="21600,21600">
            <v:path/>
            <v:fill on="t" color2="#FFFFFF" focussize="0,0"/>
            <v:stroke on="f" weight="1pt"/>
            <v:imagedata o:title=""/>
            <o:lock v:ext="edit" aspectratio="f"/>
          </v:shape>
        </w:pict>
      </w:r>
      <w:r>
        <w:pict>
          <v:shape id="_x0000_s1112" o:spid="_x0000_s1112" o:spt="3" type="#_x0000_t3" style="position:absolute;left:0pt;margin-left:189.05pt;margin-top:71.55pt;height:7.6pt;width:7.75pt;z-index:251673600;v-text-anchor:middle;mso-width-relative:page;mso-height-relative:page;" fillcolor="#FF0000" filled="t" stroked="f" coordsize="21600,21600" o:gfxdata="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POG89cAAAALAQAADwAA&#10;AAAAAAABACAAAAAiAAAAZHJzL2Rvd25yZXYueG1sUEsBAhQAFAAAAAgAh07iQI4AO5VQAgAAfwQA&#10;AA4AAAAAAAAAAQAgAAAAJgEAAGRycy9lMm9Eb2MueG1sUEsFBgAAAAAGAAYAWQEAAOgFAAAAAA==&#10;">
            <v:path/>
            <v:fill on="t" focussize="0,0"/>
            <v:stroke on="f" weight="1pt" joinstyle="miter"/>
            <v:imagedata o:title=""/>
            <o:lock v:ext="edit"/>
          </v:shape>
        </w:pict>
      </w:r>
      <w:r>
        <w:pict>
          <v:shape id="_x0000_s1113" o:spid="_x0000_s1113" o:spt="202" type="#_x0000_t202" style="position:absolute;left:0pt;margin-left:200.75pt;margin-top:58.45pt;height:23.05pt;width:54pt;z-index:251672576;mso-width-relative:page;mso-height-relative:page;" filled="f" stroked="f" coordsize="21600,21600" o:gfxdata="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Rx&#10;IdsAAAALAQAADwAAAAAAAAABACAAAAAiAAAAZHJzL2Rvd25yZXYueG1sUEsBAhQAFAAAAAgAh07i&#10;QOKLoSMfAgAAGQQAAA4AAAAAAAAAAQAgAAAAKgEAAGRycy9lMm9Eb2MueG1sUEsFBgAAAAAGAAYA&#10;WQEAALsFA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rPr>
                    <w:t>ZXS0</w:t>
                  </w:r>
                  <w:r>
                    <w:rPr>
                      <w:rFonts w:hint="eastAsia"/>
                      <w:b/>
                      <w:bCs/>
                      <w:color w:val="FFFFFF" w:themeColor="background1"/>
                      <w:lang w:val="en-US" w:eastAsia="zh-CN"/>
                    </w:rPr>
                    <w:t>1</w:t>
                  </w:r>
                </w:p>
              </w:txbxContent>
            </v:textbox>
          </v:shape>
        </w:pict>
      </w:r>
      <w:r>
        <w:drawing>
          <wp:inline distT="0" distB="0" distL="114300" distR="114300">
            <wp:extent cx="4299585" cy="5290820"/>
            <wp:effectExtent l="0" t="0" r="5715" b="5080"/>
            <wp:docPr id="2" name="图片 2" descr="TIM截图2019073008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截图20190730085341"/>
                    <pic:cNvPicPr>
                      <a:picLocks noChangeAspect="1"/>
                    </pic:cNvPicPr>
                  </pic:nvPicPr>
                  <pic:blipFill>
                    <a:blip r:embed="rId6" cstate="print">
                      <a:lum contrast="12000"/>
                    </a:blip>
                    <a:stretch>
                      <a:fillRect/>
                    </a:stretch>
                  </pic:blipFill>
                  <pic:spPr>
                    <a:xfrm>
                      <a:off x="0" y="0"/>
                      <a:ext cx="4299585" cy="5290820"/>
                    </a:xfrm>
                    <a:prstGeom prst="rect">
                      <a:avLst/>
                    </a:prstGeom>
                  </pic:spPr>
                </pic:pic>
              </a:graphicData>
            </a:graphic>
          </wp:inline>
        </w:drawing>
      </w:r>
      <w:r>
        <w:pict>
          <v:shape id="_x0000_s1114" o:spid="_x0000_s1114" o:spt="202" type="#_x0000_t202" style="position:absolute;left:0pt;margin-left:52pt;margin-top:396.3pt;height:23.05pt;width:91.65pt;z-index:251687936;mso-width-relative:page;mso-height-relative:page;" filled="f" stroked="f" coordsize="21600,21600"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v:path/>
            <v:fill on="f" focussize="0,0"/>
            <v:stroke on="f" weight="0.5pt"/>
            <v:imagedata o:title=""/>
            <o:lock v:ext="edit" aspectratio="f"/>
            <v:textbox>
              <w:txbxContent>
                <w:p>
                  <w:pPr>
                    <w:rPr>
                      <w:rFonts w:hint="eastAsia" w:eastAsia="宋体"/>
                      <w:b/>
                      <w:bCs/>
                      <w:color w:val="FFFFFF" w:themeColor="background1"/>
                      <w:lang w:eastAsia="zh-CN"/>
                    </w:rPr>
                  </w:pPr>
                  <w:r>
                    <w:rPr>
                      <w:rFonts w:hint="eastAsia" w:eastAsia="宋体"/>
                      <w:b/>
                      <w:bCs/>
                      <w:color w:val="FF0000"/>
                      <w:lang w:eastAsia="zh-CN"/>
                    </w:rPr>
                    <w:t>地下水监测点位</w:t>
                  </w:r>
                </w:p>
              </w:txbxContent>
            </v:textbox>
          </v:shape>
        </w:pict>
      </w:r>
      <w:r>
        <w:pict>
          <v:shape id="_x0000_s1115" o:spid="_x0000_s1115" o:spt="3" type="#_x0000_t3" style="position:absolute;left:0pt;margin-left:44.15pt;margin-top:404.25pt;height:7.6pt;width:7.75pt;z-index:251686912;v-text-anchor:middle;mso-width-relative:page;mso-height-relative:page;" fillcolor="#00B050" filled="t" stroked="f" coordsize="21600,21600">
            <v:path/>
            <v:fill on="t" color2="#FFFFFF" focussize="0,0"/>
            <v:stroke on="f" weight="1pt"/>
            <v:imagedata o:title=""/>
            <o:lock v:ext="edit" aspectratio="f"/>
          </v:shape>
        </w:pict>
      </w:r>
      <w:r>
        <w:pict>
          <v:shape id="_x0000_s1116" o:spid="_x0000_s1116" o:spt="202" type="#_x0000_t202" style="position:absolute;left:0pt;margin-left:53.6pt;margin-top:377.1pt;height:23.05pt;width:81.65pt;z-index:251685888;mso-width-relative:page;mso-height-relative:page;" filled="f" stroked="f" coordsize="21600,21600"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v:path/>
            <v:fill on="f" focussize="0,0"/>
            <v:stroke on="f" weight="0.5pt"/>
            <v:imagedata o:title=""/>
            <o:lock v:ext="edit" aspectratio="f"/>
            <v:textbox>
              <w:txbxContent>
                <w:p>
                  <w:pPr>
                    <w:rPr>
                      <w:rFonts w:hint="eastAsia" w:eastAsia="宋体"/>
                      <w:b/>
                      <w:bCs/>
                      <w:color w:val="FFFFFF" w:themeColor="background1"/>
                      <w:lang w:eastAsia="zh-CN"/>
                    </w:rPr>
                  </w:pPr>
                  <w:r>
                    <w:rPr>
                      <w:rFonts w:hint="eastAsia" w:eastAsia="宋体"/>
                      <w:b/>
                      <w:bCs/>
                      <w:color w:val="FF0000"/>
                      <w:lang w:eastAsia="zh-CN"/>
                    </w:rPr>
                    <w:t>土壤监测点位</w:t>
                  </w:r>
                </w:p>
              </w:txbxContent>
            </v:textbox>
          </v:shape>
        </w:pict>
      </w:r>
      <w:r>
        <w:pict>
          <v:shape id="_x0000_s1117" o:spid="_x0000_s1117" o:spt="3" type="#_x0000_t3" style="position:absolute;left:0pt;margin-left:44.6pt;margin-top:385.7pt;height:7.6pt;width:7.75pt;z-index:251683840;v-text-anchor:middle;mso-width-relative:page;mso-height-relative:page;" fillcolor="#FF0000" filled="t" stroked="f" coordsize="21600,21600" o:gfxdata="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GyYeX2AAAAAsBAAAP&#10;AAAAAAAAAAEAIAAAACIAAABkcnMvZG93bnJldi54bWxQSwECFAAUAAAACACHTuJAkpLUrlECAAB/&#10;BAAADgAAAAAAAAABACAAAAAnAQAAZHJzL2Uyb0RvYy54bWxQSwUGAAAAAAYABgBZAQAA6gUAAAAA&#10;">
            <v:path/>
            <v:fill on="t" focussize="0,0"/>
            <v:stroke on="f" weight="1pt" joinstyle="miter"/>
            <v:imagedata o:title=""/>
            <o:lock v:ext="edit"/>
            <v:textbox>
              <w:txbxContent>
                <w:p/>
              </w:txbxContent>
            </v:textbox>
          </v:shape>
        </w:pict>
      </w:r>
      <w:r>
        <w:pict>
          <v:shape id="_x0000_s1118" o:spid="_x0000_s1118" o:spt="202" type="#_x0000_t202" style="position:absolute;left:0pt;margin-left:81.25pt;margin-top:160.75pt;height:26.35pt;width:54.5pt;z-index:251684864;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v:imagedata o:title=""/>
            <o:lock v:ext="edit" aspectratio="f"/>
            <v:textbox>
              <w:txbxContent>
                <w:p>
                  <w:pPr>
                    <w:rPr>
                      <w:rFonts w:hint="eastAsia" w:eastAsiaTheme="minorEastAsia"/>
                      <w:b/>
                      <w:bCs/>
                      <w:color w:val="FFFFFF" w:themeColor="background1"/>
                      <w:lang w:val="en-US" w:eastAsia="zh-CN"/>
                    </w:rPr>
                  </w:pPr>
                  <w:r>
                    <w:rPr>
                      <w:rFonts w:hint="eastAsia"/>
                      <w:b/>
                      <w:bCs/>
                      <w:color w:val="FFFFFF" w:themeColor="background1"/>
                      <w:lang w:val="en-US" w:eastAsia="zh-CN"/>
                    </w:rPr>
                    <w:t>FHC</w:t>
                  </w:r>
                  <w:r>
                    <w:rPr>
                      <w:rFonts w:hint="eastAsia"/>
                      <w:b/>
                      <w:bCs/>
                      <w:color w:val="FFFFFF" w:themeColor="background1"/>
                    </w:rPr>
                    <w:t>0</w:t>
                  </w:r>
                  <w:r>
                    <w:rPr>
                      <w:rFonts w:hint="eastAsia"/>
                      <w:b/>
                      <w:bCs/>
                      <w:color w:val="FFFFFF" w:themeColor="background1"/>
                      <w:lang w:val="en-US" w:eastAsia="zh-CN"/>
                    </w:rPr>
                    <w:t>5</w:t>
                  </w:r>
                </w:p>
              </w:txbxContent>
            </v:textbox>
          </v:shape>
        </w:pict>
      </w:r>
      <w:r>
        <w:pict>
          <v:shape id="_x0000_s1119" o:spid="_x0000_s1119" o:spt="3" type="#_x0000_t3" style="position:absolute;left:0pt;margin-left:79.8pt;margin-top:171.95pt;height:7.6pt;width:7.75pt;z-index:251682816;v-text-anchor:middle;mso-width-relative:page;mso-height-relative:page;" fillcolor="#00B050" filled="t" stroked="f" coordsize="21600,21600">
            <v:path/>
            <v:fill on="t" color2="#FFFFFF" focussize="0,0"/>
            <v:stroke on="f" weight="1pt"/>
            <v:imagedata o:title=""/>
            <o:lock v:ext="edit" aspectratio="f"/>
          </v:shape>
        </w:pict>
      </w:r>
      <w:r>
        <w:pict>
          <v:shape id="_x0000_s1120" o:spid="_x0000_s1120" o:spt="202" type="#_x0000_t202" style="position:absolute;left:0pt;margin-left:211.6pt;margin-top:378.65pt;height:26.35pt;width:54.5pt;z-index:251680768;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v:imagedata o:title=""/>
            <o:lock v:ext="edit" aspectratio="f"/>
            <v:textbox>
              <w:txbxContent>
                <w:p>
                  <w:pPr>
                    <w:rPr>
                      <w:rFonts w:hint="eastAsia" w:eastAsiaTheme="minorEastAsia"/>
                      <w:b/>
                      <w:bCs/>
                      <w:color w:val="FFFFFF" w:themeColor="background1"/>
                      <w:lang w:val="en-US" w:eastAsia="zh-CN"/>
                    </w:rPr>
                  </w:pPr>
                  <w:r>
                    <w:rPr>
                      <w:rFonts w:hint="eastAsia"/>
                      <w:b/>
                      <w:bCs/>
                      <w:color w:val="FFFFFF" w:themeColor="background1"/>
                      <w:lang w:val="en-US" w:eastAsia="zh-CN"/>
                    </w:rPr>
                    <w:t>FHC</w:t>
                  </w:r>
                  <w:r>
                    <w:rPr>
                      <w:rFonts w:hint="eastAsia"/>
                      <w:b/>
                      <w:bCs/>
                      <w:color w:val="FFFFFF" w:themeColor="background1"/>
                    </w:rPr>
                    <w:t>0</w:t>
                  </w:r>
                  <w:r>
                    <w:rPr>
                      <w:rFonts w:hint="eastAsia"/>
                      <w:b/>
                      <w:bCs/>
                      <w:color w:val="FFFFFF" w:themeColor="background1"/>
                      <w:lang w:val="en-US" w:eastAsia="zh-CN"/>
                    </w:rPr>
                    <w:t>4</w:t>
                  </w:r>
                </w:p>
              </w:txbxContent>
            </v:textbox>
          </v:shape>
        </w:pict>
      </w:r>
      <w:r>
        <w:pict>
          <v:shape id="_x0000_s1121" o:spid="_x0000_s1121" o:spt="3" type="#_x0000_t3" style="position:absolute;left:0pt;margin-left:220.45pt;margin-top:395.85pt;height:7.6pt;width:7.75pt;z-index:251681792;v-text-anchor:middle;mso-width-relative:page;mso-height-relative:page;" fillcolor="#00B050" filled="t" stroked="f" coordsize="21600,21600">
            <v:path/>
            <v:fill on="t" color2="#FFFFFF" focussize="0,0"/>
            <v:stroke on="f" weight="1pt"/>
            <v:imagedata o:title=""/>
            <o:lock v:ext="edit" aspectratio="f"/>
          </v:shape>
        </w:pict>
      </w:r>
      <w:r>
        <w:pict>
          <v:shape id="_x0000_s1122" o:spid="_x0000_s1122" o:spt="202" type="#_x0000_t202" style="position:absolute;left:0pt;margin-left:334.1pt;margin-top:279.25pt;height:23.05pt;width:52pt;z-index:251677696;mso-width-relative:page;mso-height-relative:page;" filled="f" stroked="f" coordsize="21600,21600"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lang w:val="en-US" w:eastAsia="zh-CN"/>
                    </w:rPr>
                    <w:t>FHC</w:t>
                  </w:r>
                  <w:r>
                    <w:rPr>
                      <w:rFonts w:hint="eastAsia"/>
                      <w:b/>
                      <w:bCs/>
                      <w:color w:val="FFFFFF" w:themeColor="background1"/>
                    </w:rPr>
                    <w:t>0</w:t>
                  </w:r>
                  <w:r>
                    <w:rPr>
                      <w:rFonts w:hint="eastAsia"/>
                      <w:b/>
                      <w:bCs/>
                      <w:color w:val="FFFFFF" w:themeColor="background1"/>
                      <w:lang w:val="en-US" w:eastAsia="zh-CN"/>
                    </w:rPr>
                    <w:t>2</w:t>
                  </w:r>
                </w:p>
              </w:txbxContent>
            </v:textbox>
          </v:shape>
        </w:pict>
      </w:r>
      <w:r>
        <w:pict>
          <v:shape id="_x0000_s1123" o:spid="_x0000_s1123" o:spt="3" type="#_x0000_t3" style="position:absolute;left:0pt;margin-left:343.35pt;margin-top:301.95pt;height:7.6pt;width:7.75pt;z-index:251676672;v-text-anchor:middle;mso-width-relative:page;mso-height-relative:page;" fillcolor="#00B050" filled="t" stroked="f" coordsize="21600,21600">
            <v:path/>
            <v:fill on="t" color2="#FFFFFF" focussize="0,0"/>
            <v:stroke on="f" weight="1pt"/>
            <v:imagedata o:title=""/>
            <o:lock v:ext="edit" aspectratio="f"/>
          </v:shape>
        </w:pict>
      </w:r>
      <w:r>
        <w:pict>
          <v:shape id="_x0000_s1124" o:spid="_x0000_s1124" o:spt="202" type="#_x0000_t202" style="position:absolute;left:0pt;margin-left:271.4pt;margin-top:308.35pt;height:23.05pt;width:47.6pt;z-index:251671552;mso-width-relative:page;mso-height-relative:page;" filled="f" stroked="f" coordsize="21600,21600" o:gfxdata="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Y&#10;+3PcAAAACwEAAA8AAAAAAAAAAQAgAAAAIgAAAGRycy9kb3ducmV2LnhtbFBLAQIUABQAAAAIAIdO&#10;4kD2HY0sHwIAABkEAAAOAAAAAAAAAAEAIAAAACsBAABkcnMvZTJvRG9jLnhtbFBLBQYAAAAABgAG&#10;AFkBAAC8BQAAAAA=&#10;">
            <v:path/>
            <v:fill on="f" focussize="0,0"/>
            <v:stroke on="f" weight="0.5pt" joinstyle="miter"/>
            <v:imagedata o:title=""/>
            <o:lock v:ext="edit"/>
            <v:textbox>
              <w:txbxContent>
                <w:p>
                  <w:pPr>
                    <w:rPr>
                      <w:rFonts w:hint="default" w:eastAsiaTheme="minorEastAsia"/>
                      <w:b/>
                      <w:bCs/>
                      <w:color w:val="FFFFFF" w:themeColor="background1"/>
                      <w:lang w:val="en-US" w:eastAsia="zh-CN"/>
                    </w:rPr>
                  </w:pPr>
                  <w:r>
                    <w:rPr>
                      <w:rFonts w:hint="eastAsia"/>
                      <w:b/>
                      <w:bCs/>
                      <w:color w:val="FFFFFF" w:themeColor="background1"/>
                    </w:rPr>
                    <w:t>ZXS</w:t>
                  </w:r>
                  <w:r>
                    <w:rPr>
                      <w:rFonts w:hint="eastAsia"/>
                      <w:b/>
                      <w:bCs/>
                      <w:color w:val="FFFFFF" w:themeColor="background1"/>
                      <w:lang w:val="en-US" w:eastAsia="zh-CN"/>
                    </w:rPr>
                    <w:t>07</w:t>
                  </w:r>
                </w:p>
              </w:txbxContent>
            </v:textbox>
          </v:shape>
        </w:pict>
      </w:r>
      <w:r>
        <w:pict>
          <v:shape id="_x0000_s1125" o:spid="_x0000_s1125" o:spt="3" type="#_x0000_t3" style="position:absolute;left:0pt;margin-left:271.35pt;margin-top:325.4pt;height:7.6pt;width:7.75pt;z-index:251670528;v-text-anchor:middle;mso-width-relative:page;mso-height-relative:page;" fillcolor="#FF0000" filled="t" stroked="f" coordsize="21600,21600" o:gfxdata="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nVNimcEb/fj67fuXzwQXYKfzcYqkR/8Q9l6EmaHu&#10;ZDD5GyDIrjD6dGRU7BLhuJxcjUeoyxGZXJyPCt/V6ac+xPRaOEOyUVOhtfIxI2ZTtr2LCR2RfcjK&#10;19Fp1SyV1sUJ69VCB7JleN3lcoBPHhk/+SVNW9IB3+g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h8Ka7YAAAACwEAAA8A&#10;AAAAAAAAAQAgAAAAIgAAAGRycy9kb3ducmV2LnhtbFBLAQIUABQAAAAIAIdO4kAVdi+gUAIAAH8E&#10;AAAOAAAAAAAAAAEAIAAAACcBAABkcnMvZTJvRG9jLnhtbFBLBQYAAAAABgAGAFkBAADpBQAAAAA=&#10;">
            <v:path/>
            <v:fill on="t" focussize="0,0"/>
            <v:stroke on="f" weight="1pt" joinstyle="miter"/>
            <v:imagedata o:title=""/>
            <o:lock v:ext="edit"/>
          </v:shape>
        </w:pict>
      </w:r>
      <w:r>
        <w:pict>
          <v:shape id="_x0000_s1126" o:spid="_x0000_s1126" o:spt="202" type="#_x0000_t202" style="position:absolute;left:0pt;margin-left:140.8pt;margin-top:200pt;height:23.05pt;width:47.2pt;z-index:251665408;mso-width-relative:page;mso-height-relative:page;" filled="f" stroked="f" coordsize="21600,21600" o:gfxdata="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10;09wAAAALAQAADwAAAAAAAAABACAAAAAiAAAAZHJzL2Rvd25yZXYueG1sUEsBAhQAFAAAAAgAh07i&#10;QLz+8kkeAgAAGQQAAA4AAAAAAAAAAQAgAAAAKwEAAGRycy9lMm9Eb2MueG1sUEsFBgAAAAAGAAYA&#10;WQEAALsFA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rPr>
                    <w:t>ZXS0</w:t>
                  </w:r>
                  <w:r>
                    <w:rPr>
                      <w:rFonts w:hint="eastAsia"/>
                      <w:b/>
                      <w:bCs/>
                      <w:color w:val="FFFFFF" w:themeColor="background1"/>
                      <w:lang w:val="en-US" w:eastAsia="zh-CN"/>
                    </w:rPr>
                    <w:t>3</w:t>
                  </w:r>
                </w:p>
              </w:txbxContent>
            </v:textbox>
          </v:shape>
        </w:pict>
      </w:r>
      <w:r>
        <w:pict>
          <v:shape id="_x0000_s1127" o:spid="_x0000_s1127" o:spt="3" type="#_x0000_t3" style="position:absolute;left:0pt;margin-left:138.15pt;margin-top:210.35pt;height:7.6pt;width:7.75pt;z-index:251660288;v-text-anchor:middle;mso-width-relative:page;mso-height-relative:page;" fillcolor="#FF0000" filled="t" stroked="f" coordsize="21600,21600" o:gfxdata="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ixzOCNfnz99v3LZ4ILsNP5OEXSo38Iey/CzFB3&#10;Mpj8DRBkVxh9OjIqdolwXE6uxqNzSjgik4vzUeG7Ov3Uh5heC2dINmoqtFY+ZsRsyrZ3MaEjsg9Z&#10;+To6rZql0ro4Yb1a6EC2DK+7XA7wySPjJ7+kaUu6jO8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EXXjYAAAACwEAAA8A&#10;AAAAAAAAAQAgAAAAIgAAAGRycy9kb3ducmV2LnhtbFBLAQIUABQAAAAIAIdO4kCAycyIUAIAAH8E&#10;AAAOAAAAAAAAAAEAIAAAACcBAABkcnMvZTJvRG9jLnhtbFBLBQYAAAAABgAGAFkBAADpBQAAAAA=&#10;">
            <v:path/>
            <v:fill on="t" focussize="0,0"/>
            <v:stroke on="f" weight="1pt" joinstyle="miter"/>
            <v:imagedata o:title=""/>
            <o:lock v:ext="edit"/>
            <v:textbox>
              <w:txbxContent>
                <w:p/>
              </w:txbxContent>
            </v:textbox>
          </v:shape>
        </w:pict>
      </w:r>
      <w:r>
        <w:pict>
          <v:shape id="_x0000_s1128" o:spid="_x0000_s1128" o:spt="3" type="#_x0000_t3" style="position:absolute;left:0pt;margin-left:112.55pt;margin-top:149.05pt;height:7.6pt;width:7.75pt;z-index:251666432;v-text-anchor:middle;mso-width-relative:page;mso-height-relative:page;" fillcolor="#FF0000" filled="t" stroked="f" coordsize="21600,21600" o:gfxdata="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k5vhnYAAAACwEAAA8A&#10;AAAAAAAAAQAgAAAAIgAAAGRycy9kb3ducmV2LnhtbFBLAQIUABQAAAAIAIdO4kCuGkASUAIAAH8E&#10;AAAOAAAAAAAAAAEAIAAAACcBAABkcnMvZTJvRG9jLnhtbFBLBQYAAAAABgAGAFkBAADpBQAAAAA=&#10;">
            <v:path/>
            <v:fill on="t" focussize="0,0"/>
            <v:stroke on="f" weight="1pt" joinstyle="miter"/>
            <v:imagedata o:title=""/>
            <o:lock v:ext="edit"/>
          </v:shape>
        </w:pict>
      </w:r>
      <w:r>
        <w:pict>
          <v:shape id="_x0000_s1129" o:spid="_x0000_s1129" o:spt="202" type="#_x0000_t202" style="position:absolute;left:0pt;margin-left:120.3pt;margin-top:133.6pt;height:23.05pt;width:52pt;z-index:251667456;mso-width-relative:page;mso-height-relative:page;" filled="f" stroked="f" coordsize="21600,21600" o:gfxdata="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nDXE&#10;2wAAAAsBAAAPAAAAAAAAAAEAIAAAACIAAABkcnMvZG93bnJldi54bWxQSwECFAAUAAAACACHTuJA&#10;xbglhh4CAAAZBAAADgAAAAAAAAABACAAAAAqAQAAZHJzL2Uyb0RvYy54bWxQSwUGAAAAAAYABgBZ&#10;AQAAugUAAAAA&#10;">
            <v:path/>
            <v:fill on="f" focussize="0,0"/>
            <v:stroke on="f" weight="0.5pt" joinstyle="miter"/>
            <v:imagedata o:title=""/>
            <o:lock v:ext="edit"/>
            <v:textbox>
              <w:txbxContent>
                <w:p>
                  <w:pPr>
                    <w:rPr>
                      <w:rFonts w:hint="eastAsia" w:eastAsiaTheme="minorEastAsia"/>
                      <w:b/>
                      <w:bCs/>
                      <w:color w:val="FFFFFF" w:themeColor="background1"/>
                      <w:lang w:val="en-US" w:eastAsia="zh-CN"/>
                    </w:rPr>
                  </w:pPr>
                  <w:r>
                    <w:rPr>
                      <w:rFonts w:hint="eastAsia"/>
                      <w:b/>
                      <w:bCs/>
                      <w:color w:val="FFFFFF" w:themeColor="background1"/>
                    </w:rPr>
                    <w:t>ZXS0</w:t>
                  </w:r>
                  <w:r>
                    <w:rPr>
                      <w:rFonts w:hint="eastAsia"/>
                      <w:b/>
                      <w:bCs/>
                      <w:color w:val="FFFFFF" w:themeColor="background1"/>
                      <w:lang w:val="en-US" w:eastAsia="zh-CN"/>
                    </w:rPr>
                    <w:t>2</w:t>
                  </w:r>
                </w:p>
              </w:txbxContent>
            </v:textbox>
          </v:shape>
        </w:pict>
      </w:r>
    </w:p>
    <w:p>
      <w:pPr>
        <w:tabs>
          <w:tab w:val="left" w:pos="6326"/>
        </w:tabs>
        <w:jc w:val="center"/>
        <w:rPr>
          <w:rFonts w:ascii="Times New Roman" w:hAnsi="Times New Roman" w:cs="Times New Roman"/>
          <w:b/>
          <w:bCs/>
          <w:sz w:val="28"/>
          <w:szCs w:val="36"/>
        </w:rPr>
      </w:pPr>
      <w:r>
        <w:rPr>
          <w:rFonts w:hint="eastAsia" w:ascii="Times New Roman" w:hAnsi="Times New Roman" w:cs="Times New Roman"/>
          <w:b/>
          <w:bCs/>
          <w:sz w:val="28"/>
          <w:szCs w:val="36"/>
          <w:lang w:eastAsia="zh-CN"/>
        </w:rPr>
        <w:t>土壤及地下水</w:t>
      </w:r>
      <w:r>
        <w:rPr>
          <w:rFonts w:ascii="Times New Roman" w:hAnsi="Times New Roman" w:cs="Times New Roman"/>
          <w:b/>
          <w:bCs/>
          <w:sz w:val="28"/>
          <w:szCs w:val="36"/>
        </w:rPr>
        <w:t>监测点位布置图</w:t>
      </w:r>
    </w:p>
    <w:p>
      <w:pPr>
        <w:tabs>
          <w:tab w:val="left" w:pos="6326"/>
        </w:tabs>
        <w:rPr>
          <w:rFonts w:hint="eastAsia" w:ascii="Times New Roman" w:hAnsi="Times New Roman" w:cs="Times New Roman"/>
          <w:b/>
          <w:bCs/>
          <w:sz w:val="28"/>
          <w:szCs w:val="36"/>
        </w:rPr>
      </w:pPr>
    </w:p>
    <w:p>
      <w:pPr>
        <w:tabs>
          <w:tab w:val="left" w:pos="6326"/>
        </w:tabs>
        <w:rPr>
          <w:rFonts w:hint="eastAsia" w:ascii="Times New Roman" w:hAnsi="Times New Roman" w:cs="Times New Roman"/>
          <w:b/>
          <w:bCs/>
          <w:sz w:val="28"/>
          <w:szCs w:val="36"/>
        </w:rPr>
      </w:pPr>
    </w:p>
    <w:p>
      <w:pPr>
        <w:tabs>
          <w:tab w:val="left" w:pos="6326"/>
        </w:tabs>
        <w:rPr>
          <w:rFonts w:hint="eastAsia" w:ascii="Times New Roman" w:hAnsi="Times New Roman" w:cs="Times New Roman"/>
          <w:b/>
          <w:bCs/>
          <w:sz w:val="28"/>
          <w:szCs w:val="36"/>
        </w:rPr>
      </w:pPr>
      <w:r>
        <w:rPr>
          <w:rFonts w:hint="eastAsia" w:ascii="Times New Roman" w:hAnsi="Times New Roman" w:cs="Times New Roman"/>
          <w:b/>
          <w:bCs/>
          <w:sz w:val="28"/>
          <w:szCs w:val="36"/>
        </w:rPr>
        <w:t>三、</w:t>
      </w:r>
      <w:r>
        <w:rPr>
          <w:rFonts w:ascii="Times New Roman" w:hAnsi="Times New Roman" w:cs="Times New Roman"/>
          <w:b/>
          <w:bCs/>
          <w:sz w:val="28"/>
          <w:szCs w:val="36"/>
        </w:rPr>
        <w:t>监测项目</w:t>
      </w:r>
      <w:r>
        <w:rPr>
          <w:rFonts w:hint="eastAsia" w:ascii="Times New Roman" w:hAnsi="Times New Roman" w:cs="Times New Roman"/>
          <w:b/>
          <w:bCs/>
          <w:sz w:val="28"/>
          <w:szCs w:val="36"/>
        </w:rPr>
        <w:t>及点位</w:t>
      </w:r>
    </w:p>
    <w:p>
      <w:pPr>
        <w:tabs>
          <w:tab w:val="left" w:pos="6326"/>
        </w:tabs>
        <w:rPr>
          <w:rFonts w:ascii="Times New Roman" w:hAnsi="Times New Roman" w:cs="Times New Roman"/>
          <w:b/>
          <w:bCs w:val="0"/>
          <w:sz w:val="28"/>
          <w:szCs w:val="36"/>
        </w:rPr>
      </w:pPr>
      <w:r>
        <w:rPr>
          <w:rFonts w:hint="eastAsia" w:ascii="Times New Roman" w:hAnsi="Times New Roman" w:cs="Times New Roman"/>
          <w:b/>
          <w:bCs w:val="0"/>
          <w:sz w:val="28"/>
          <w:szCs w:val="36"/>
          <w:lang w:val="en-US" w:eastAsia="zh-CN"/>
        </w:rPr>
        <w:t>3.1</w:t>
      </w:r>
      <w:r>
        <w:rPr>
          <w:rFonts w:hint="eastAsia" w:ascii="Times New Roman" w:hAnsi="Times New Roman" w:cs="Times New Roman"/>
          <w:b/>
          <w:bCs w:val="0"/>
          <w:sz w:val="28"/>
          <w:szCs w:val="36"/>
        </w:rPr>
        <w:t>土壤检测</w:t>
      </w:r>
    </w:p>
    <w:tbl>
      <w:tblPr>
        <w:tblStyle w:val="20"/>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1"/>
        <w:gridCol w:w="1712"/>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blHeader/>
          <w:jc w:val="center"/>
        </w:trPr>
        <w:tc>
          <w:tcPr>
            <w:tcW w:w="1311"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hint="eastAsia" w:ascii="Times New Roman" w:hAnsi="Times New Roman" w:cs="Times New Roman"/>
                <w:b/>
                <w:sz w:val="24"/>
                <w:szCs w:val="22"/>
              </w:rPr>
              <w:t>样品类型</w:t>
            </w:r>
          </w:p>
        </w:tc>
        <w:tc>
          <w:tcPr>
            <w:tcW w:w="7651"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ascii="Times New Roman" w:hAnsi="Times New Roman" w:cs="Times New Roman"/>
                <w:b/>
                <w:sz w:val="24"/>
                <w:szCs w:val="22"/>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6"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土壤</w:t>
            </w: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基本45项</w:t>
            </w:r>
          </w:p>
        </w:tc>
        <w:tc>
          <w:tcPr>
            <w:tcW w:w="5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pH、镉、铅、铬（六价）、铜、镍、汞、砷、</w:t>
            </w:r>
            <w:r>
              <w:rPr>
                <w:rFonts w:ascii="Times New Roman" w:hAnsi="Times New Roman" w:cs="Times New Roman"/>
              </w:rPr>
              <w:t>四氯化碳</w:t>
            </w:r>
            <w:r>
              <w:rPr>
                <w:rFonts w:hint="eastAsia" w:ascii="Times New Roman" w:hAnsi="Times New Roman" w:cs="Times New Roman"/>
              </w:rPr>
              <w:t>、</w:t>
            </w:r>
            <w:r>
              <w:rPr>
                <w:rFonts w:ascii="Times New Roman" w:hAnsi="Times New Roman" w:cs="Times New Roman"/>
              </w:rPr>
              <w:t>氯仿</w:t>
            </w:r>
            <w:r>
              <w:rPr>
                <w:rFonts w:hint="eastAsia" w:ascii="Times New Roman" w:hAnsi="Times New Roman" w:cs="Times New Roman"/>
              </w:rPr>
              <w:t>、</w:t>
            </w:r>
            <w:r>
              <w:rPr>
                <w:rFonts w:ascii="Times New Roman" w:hAnsi="Times New Roman" w:cs="Times New Roman"/>
              </w:rPr>
              <w:t>氯甲烷</w:t>
            </w:r>
            <w:r>
              <w:rPr>
                <w:rFonts w:hint="eastAsia" w:ascii="Times New Roman" w:hAnsi="Times New Roman" w:cs="Times New Roman"/>
              </w:rPr>
              <w:t>、</w:t>
            </w:r>
            <w:r>
              <w:rPr>
                <w:rFonts w:ascii="Times New Roman" w:hAnsi="Times New Roman" w:cs="Times New Roman"/>
              </w:rPr>
              <w:t>1,1-二氯乙烷</w:t>
            </w:r>
            <w:r>
              <w:rPr>
                <w:rFonts w:hint="eastAsia" w:ascii="Times New Roman" w:hAnsi="Times New Roman" w:cs="Times New Roman"/>
              </w:rPr>
              <w:t>、</w:t>
            </w:r>
            <w:r>
              <w:rPr>
                <w:rFonts w:ascii="Times New Roman" w:hAnsi="Times New Roman" w:cs="Times New Roman"/>
              </w:rPr>
              <w:t>1,2-二氯乙烷</w:t>
            </w:r>
            <w:r>
              <w:rPr>
                <w:rFonts w:hint="eastAsia" w:ascii="Times New Roman" w:hAnsi="Times New Roman" w:cs="Times New Roman"/>
              </w:rPr>
              <w:t>、</w:t>
            </w:r>
            <w:r>
              <w:rPr>
                <w:rFonts w:ascii="Times New Roman" w:hAnsi="Times New Roman" w:cs="Times New Roman"/>
              </w:rPr>
              <w:t>1,1-二氯乙烯</w:t>
            </w:r>
            <w:r>
              <w:rPr>
                <w:rFonts w:hint="eastAsia" w:ascii="Times New Roman" w:hAnsi="Times New Roman" w:cs="Times New Roman"/>
              </w:rPr>
              <w:t>、</w:t>
            </w:r>
            <w:r>
              <w:rPr>
                <w:rFonts w:ascii="Times New Roman" w:hAnsi="Times New Roman" w:cs="Times New Roman"/>
              </w:rPr>
              <w:t>顺-1,2-二氯乙烯</w:t>
            </w:r>
            <w:r>
              <w:rPr>
                <w:rFonts w:hint="eastAsia" w:ascii="Times New Roman" w:hAnsi="Times New Roman" w:cs="Times New Roman"/>
              </w:rPr>
              <w:t>、</w:t>
            </w:r>
            <w:r>
              <w:rPr>
                <w:rFonts w:ascii="Times New Roman" w:hAnsi="Times New Roman" w:cs="Times New Roman"/>
              </w:rPr>
              <w:t>反-1,2-二氯乙烯</w:t>
            </w:r>
            <w:r>
              <w:rPr>
                <w:rFonts w:hint="eastAsia" w:ascii="Times New Roman" w:hAnsi="Times New Roman" w:cs="Times New Roman"/>
              </w:rPr>
              <w:t>、</w:t>
            </w:r>
            <w:r>
              <w:rPr>
                <w:rFonts w:ascii="Times New Roman" w:hAnsi="Times New Roman" w:cs="Times New Roman"/>
              </w:rPr>
              <w:t>二氯甲烷</w:t>
            </w:r>
            <w:r>
              <w:rPr>
                <w:rFonts w:hint="eastAsia" w:ascii="Times New Roman" w:hAnsi="Times New Roman" w:cs="Times New Roman"/>
              </w:rPr>
              <w:t>、</w:t>
            </w:r>
            <w:r>
              <w:rPr>
                <w:rFonts w:ascii="Times New Roman" w:hAnsi="Times New Roman" w:cs="Times New Roman"/>
              </w:rPr>
              <w:t>1,2-二氯丙烷</w:t>
            </w:r>
            <w:r>
              <w:rPr>
                <w:rFonts w:hint="eastAsia" w:ascii="Times New Roman" w:hAnsi="Times New Roman" w:cs="Times New Roman"/>
              </w:rPr>
              <w:t>、</w:t>
            </w:r>
            <w:r>
              <w:rPr>
                <w:rFonts w:ascii="Times New Roman" w:hAnsi="Times New Roman" w:cs="Times New Roman"/>
              </w:rPr>
              <w:t>1,1,1,2-四氯乙烷</w:t>
            </w:r>
            <w:r>
              <w:rPr>
                <w:rFonts w:hint="eastAsia" w:ascii="Times New Roman" w:hAnsi="Times New Roman" w:cs="Times New Roman"/>
              </w:rPr>
              <w:t>、</w:t>
            </w:r>
            <w:r>
              <w:rPr>
                <w:rFonts w:ascii="Times New Roman" w:hAnsi="Times New Roman" w:cs="Times New Roman"/>
              </w:rPr>
              <w:t>1,1,2,2-四氯乙烷</w:t>
            </w:r>
            <w:r>
              <w:rPr>
                <w:rFonts w:hint="eastAsia" w:ascii="Times New Roman" w:hAnsi="Times New Roman" w:cs="Times New Roman"/>
              </w:rPr>
              <w:t>、</w:t>
            </w:r>
            <w:r>
              <w:rPr>
                <w:rFonts w:ascii="Times New Roman" w:hAnsi="Times New Roman" w:cs="Times New Roman"/>
              </w:rPr>
              <w:t>四氯乙烯</w:t>
            </w:r>
            <w:r>
              <w:rPr>
                <w:rFonts w:hint="eastAsia" w:ascii="Times New Roman" w:hAnsi="Times New Roman" w:cs="Times New Roman"/>
              </w:rPr>
              <w:t>、</w:t>
            </w:r>
            <w:r>
              <w:rPr>
                <w:rFonts w:ascii="Times New Roman" w:hAnsi="Times New Roman" w:cs="Times New Roman"/>
              </w:rPr>
              <w:t>1,1,1-三氯乙烷</w:t>
            </w:r>
            <w:r>
              <w:rPr>
                <w:rFonts w:hint="eastAsia" w:ascii="Times New Roman" w:hAnsi="Times New Roman" w:cs="Times New Roman"/>
              </w:rPr>
              <w:t>、</w:t>
            </w:r>
            <w:r>
              <w:rPr>
                <w:rFonts w:ascii="Times New Roman" w:hAnsi="Times New Roman" w:cs="Times New Roman"/>
              </w:rPr>
              <w:t>1,1,2-三氯乙烷</w:t>
            </w:r>
            <w:r>
              <w:rPr>
                <w:rFonts w:hint="eastAsia" w:ascii="Times New Roman" w:hAnsi="Times New Roman" w:cs="Times New Roman"/>
              </w:rPr>
              <w:t>、</w:t>
            </w:r>
            <w:r>
              <w:rPr>
                <w:rFonts w:ascii="Times New Roman" w:hAnsi="Times New Roman" w:cs="Times New Roman"/>
              </w:rPr>
              <w:t>三氯乙烯</w:t>
            </w:r>
            <w:r>
              <w:rPr>
                <w:rFonts w:hint="eastAsia" w:ascii="Times New Roman" w:hAnsi="Times New Roman" w:cs="Times New Roman"/>
              </w:rPr>
              <w:t>、</w:t>
            </w:r>
            <w:r>
              <w:rPr>
                <w:rFonts w:ascii="Times New Roman" w:hAnsi="Times New Roman" w:cs="Times New Roman"/>
              </w:rPr>
              <w:t>1,2,3-三氯丙烷</w:t>
            </w:r>
            <w:r>
              <w:rPr>
                <w:rFonts w:hint="eastAsia" w:ascii="Times New Roman" w:hAnsi="Times New Roman" w:cs="Times New Roman"/>
              </w:rPr>
              <w:t>、</w:t>
            </w:r>
            <w:r>
              <w:rPr>
                <w:rFonts w:ascii="Times New Roman" w:hAnsi="Times New Roman" w:cs="Times New Roman"/>
              </w:rPr>
              <w:t>氯乙烯</w:t>
            </w:r>
            <w:r>
              <w:rPr>
                <w:rFonts w:hint="eastAsia" w:ascii="Times New Roman" w:hAnsi="Times New Roman" w:cs="Times New Roman"/>
              </w:rPr>
              <w:t>、</w:t>
            </w:r>
            <w:r>
              <w:rPr>
                <w:rFonts w:ascii="Times New Roman" w:hAnsi="Times New Roman" w:cs="Times New Roman"/>
              </w:rPr>
              <w:t>苯</w:t>
            </w:r>
            <w:r>
              <w:rPr>
                <w:rFonts w:hint="eastAsia" w:ascii="Times New Roman" w:hAnsi="Times New Roman" w:cs="Times New Roman"/>
              </w:rPr>
              <w:t>、</w:t>
            </w:r>
            <w:r>
              <w:rPr>
                <w:rFonts w:ascii="Times New Roman" w:hAnsi="Times New Roman" w:cs="Times New Roman"/>
              </w:rPr>
              <w:t>氯苯</w:t>
            </w:r>
            <w:r>
              <w:rPr>
                <w:rFonts w:hint="eastAsia" w:ascii="Times New Roman" w:hAnsi="Times New Roman" w:cs="Times New Roman"/>
              </w:rPr>
              <w:t>、</w:t>
            </w:r>
            <w:r>
              <w:rPr>
                <w:rFonts w:ascii="Times New Roman" w:hAnsi="Times New Roman" w:cs="Times New Roman"/>
              </w:rPr>
              <w:t>1,2-二氯苯</w:t>
            </w:r>
            <w:r>
              <w:rPr>
                <w:rFonts w:hint="eastAsia" w:ascii="Times New Roman" w:hAnsi="Times New Roman" w:cs="Times New Roman"/>
              </w:rPr>
              <w:t>、</w:t>
            </w:r>
            <w:r>
              <w:rPr>
                <w:rFonts w:ascii="Times New Roman" w:hAnsi="Times New Roman" w:cs="Times New Roman"/>
              </w:rPr>
              <w:t>1,4-二氯苯</w:t>
            </w:r>
            <w:r>
              <w:rPr>
                <w:rFonts w:hint="eastAsia" w:ascii="Times New Roman" w:hAnsi="Times New Roman" w:cs="Times New Roman"/>
              </w:rPr>
              <w:t>、</w:t>
            </w:r>
            <w:r>
              <w:rPr>
                <w:rFonts w:ascii="Times New Roman" w:hAnsi="Times New Roman" w:cs="Times New Roman"/>
              </w:rPr>
              <w:t>乙苯</w:t>
            </w:r>
            <w:r>
              <w:rPr>
                <w:rFonts w:hint="eastAsia" w:ascii="Times New Roman" w:hAnsi="Times New Roman" w:cs="Times New Roman"/>
              </w:rPr>
              <w:t>、</w:t>
            </w:r>
            <w:r>
              <w:rPr>
                <w:rFonts w:ascii="Times New Roman" w:hAnsi="Times New Roman" w:cs="Times New Roman"/>
              </w:rPr>
              <w:t>苯乙烯</w:t>
            </w:r>
            <w:r>
              <w:rPr>
                <w:rFonts w:hint="eastAsia" w:ascii="Times New Roman" w:hAnsi="Times New Roman" w:cs="Times New Roman"/>
              </w:rPr>
              <w:t>、</w:t>
            </w:r>
            <w:r>
              <w:rPr>
                <w:rFonts w:ascii="Times New Roman" w:hAnsi="Times New Roman" w:cs="Times New Roman"/>
              </w:rPr>
              <w:t>甲苯</w:t>
            </w:r>
            <w:r>
              <w:rPr>
                <w:rFonts w:hint="eastAsia" w:ascii="Times New Roman" w:hAnsi="Times New Roman" w:cs="Times New Roman"/>
              </w:rPr>
              <w:t>、</w:t>
            </w:r>
            <w:r>
              <w:rPr>
                <w:rFonts w:ascii="Times New Roman" w:hAnsi="Times New Roman" w:cs="Times New Roman"/>
              </w:rPr>
              <w:t>间二甲苯+对二甲苯</w:t>
            </w:r>
            <w:r>
              <w:rPr>
                <w:rFonts w:hint="eastAsia" w:ascii="Times New Roman" w:hAnsi="Times New Roman" w:cs="Times New Roman"/>
              </w:rPr>
              <w:t>、</w:t>
            </w:r>
            <w:r>
              <w:rPr>
                <w:rFonts w:ascii="Times New Roman" w:hAnsi="Times New Roman" w:cs="Times New Roman"/>
              </w:rPr>
              <w:t>邻二甲苯</w:t>
            </w:r>
            <w:r>
              <w:rPr>
                <w:rFonts w:hint="eastAsia" w:ascii="Times New Roman" w:hAnsi="Times New Roman" w:cs="Times New Roman"/>
              </w:rPr>
              <w:t>、硝基苯、苯胺、</w:t>
            </w:r>
            <w:r>
              <w:rPr>
                <w:rFonts w:ascii="Times New Roman" w:hAnsi="Times New Roman" w:cs="Times New Roman"/>
              </w:rPr>
              <w:t>2-</w:t>
            </w:r>
            <w:r>
              <w:rPr>
                <w:rFonts w:hint="eastAsia" w:ascii="Times New Roman" w:hAnsi="Times New Roman" w:cs="Times New Roman"/>
              </w:rPr>
              <w:t>氯酚、苯并</w:t>
            </w:r>
            <w:r>
              <w:rPr>
                <w:rFonts w:ascii="Times New Roman" w:hAnsi="Times New Roman" w:cs="Times New Roman"/>
              </w:rPr>
              <w:t>[a]</w:t>
            </w:r>
            <w:r>
              <w:rPr>
                <w:rFonts w:hint="eastAsia" w:ascii="Times New Roman" w:hAnsi="Times New Roman" w:cs="Times New Roman"/>
              </w:rPr>
              <w:t>蒽、苯并</w:t>
            </w:r>
            <w:r>
              <w:rPr>
                <w:rFonts w:ascii="Times New Roman" w:hAnsi="Times New Roman" w:cs="Times New Roman"/>
              </w:rPr>
              <w:t>[a]</w:t>
            </w:r>
            <w:r>
              <w:rPr>
                <w:rFonts w:hint="eastAsia" w:ascii="Times New Roman" w:hAnsi="Times New Roman" w:cs="Times New Roman"/>
              </w:rPr>
              <w:t>芘、苯并</w:t>
            </w:r>
            <w:r>
              <w:rPr>
                <w:rFonts w:ascii="Times New Roman" w:hAnsi="Times New Roman" w:cs="Times New Roman"/>
              </w:rPr>
              <w:t>[b]</w:t>
            </w:r>
            <w:r>
              <w:rPr>
                <w:rFonts w:hint="eastAsia" w:ascii="Times New Roman" w:hAnsi="Times New Roman" w:cs="Times New Roman"/>
              </w:rPr>
              <w:t>荧蒽、苯并</w:t>
            </w:r>
            <w:r>
              <w:rPr>
                <w:rFonts w:ascii="Times New Roman" w:hAnsi="Times New Roman" w:cs="Times New Roman"/>
              </w:rPr>
              <w:t>[k]</w:t>
            </w:r>
            <w:r>
              <w:rPr>
                <w:rFonts w:hint="eastAsia" w:ascii="Times New Roman" w:hAnsi="Times New Roman" w:cs="Times New Roman"/>
              </w:rPr>
              <w:t>荧蒽、䓛、二苯并</w:t>
            </w:r>
            <w:r>
              <w:rPr>
                <w:rFonts w:ascii="Times New Roman" w:hAnsi="Times New Roman" w:cs="Times New Roman"/>
              </w:rPr>
              <w:t>[a, h]</w:t>
            </w:r>
            <w:r>
              <w:rPr>
                <w:rFonts w:hint="eastAsia" w:ascii="Times New Roman" w:hAnsi="Times New Roman" w:cs="Times New Roman"/>
              </w:rPr>
              <w:t>蒽、茚并</w:t>
            </w:r>
            <w:r>
              <w:rPr>
                <w:rFonts w:ascii="Times New Roman" w:hAnsi="Times New Roman" w:cs="Times New Roman"/>
              </w:rPr>
              <w:t>[1,2,3-cd]</w:t>
            </w:r>
            <w:r>
              <w:rPr>
                <w:rFonts w:hint="eastAsia" w:ascii="Times New Roman" w:hAnsi="Times New Roman" w:cs="Times New Roman"/>
              </w:rPr>
              <w:t>芘、萘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311" w:type="dxa"/>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rPr>
            </w:pPr>
          </w:p>
        </w:tc>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其他项目</w:t>
            </w:r>
          </w:p>
        </w:tc>
        <w:tc>
          <w:tcPr>
            <w:tcW w:w="5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锰、</w:t>
            </w:r>
            <w:r>
              <w:rPr>
                <w:rFonts w:hint="eastAsia" w:ascii="Times New Roman" w:hAnsi="Times New Roman" w:cs="Times New Roman"/>
              </w:rPr>
              <w:t>钴、石油烃（C10~C40）</w:t>
            </w:r>
          </w:p>
        </w:tc>
      </w:tr>
    </w:tbl>
    <w:p>
      <w:pPr>
        <w:jc w:val="left"/>
        <w:rPr>
          <w:rFonts w:ascii="Times New Roman" w:hAnsi="Times New Roman" w:cs="Times New Roman"/>
        </w:rPr>
      </w:pPr>
    </w:p>
    <w:tbl>
      <w:tblPr>
        <w:tblStyle w:val="20"/>
        <w:tblW w:w="8986"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241"/>
        <w:gridCol w:w="2250"/>
        <w:gridCol w:w="178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86" w:type="dxa"/>
            <w:gridSpan w:val="5"/>
            <w:shd w:val="clear" w:color="auto" w:fill="auto"/>
            <w:vAlign w:val="center"/>
          </w:tcPr>
          <w:p>
            <w:pPr>
              <w:jc w:val="center"/>
              <w:rPr>
                <w:rFonts w:ascii="Times New Roman" w:hAnsi="Times New Roman" w:cs="Times New Roman"/>
              </w:rPr>
            </w:pPr>
            <w:r>
              <w:rPr>
                <w:rFonts w:ascii="Times New Roman" w:hAnsi="Times New Roman" w:cs="Times New Roman"/>
              </w:rPr>
              <w:t>样品信息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dxa"/>
            <w:shd w:val="clear" w:color="auto" w:fill="auto"/>
            <w:vAlign w:val="center"/>
          </w:tcPr>
          <w:p>
            <w:pPr>
              <w:jc w:val="center"/>
              <w:rPr>
                <w:rFonts w:ascii="Times New Roman" w:hAnsi="Times New Roman" w:cs="Times New Roman"/>
              </w:rPr>
            </w:pPr>
            <w:r>
              <w:rPr>
                <w:rFonts w:ascii="Times New Roman" w:hAnsi="Times New Roman" w:cs="Times New Roman"/>
              </w:rPr>
              <w:t>采样规范</w:t>
            </w:r>
          </w:p>
        </w:tc>
        <w:tc>
          <w:tcPr>
            <w:tcW w:w="7637" w:type="dxa"/>
            <w:gridSpan w:val="4"/>
            <w:shd w:val="clear" w:color="auto" w:fill="auto"/>
            <w:vAlign w:val="center"/>
          </w:tcPr>
          <w:p>
            <w:pPr>
              <w:jc w:val="center"/>
              <w:rPr>
                <w:rFonts w:ascii="Times New Roman" w:hAnsi="Times New Roman" w:cs="Times New Roman"/>
              </w:rPr>
            </w:pPr>
            <w:r>
              <w:rPr>
                <w:rFonts w:ascii="Times New Roman" w:hAnsi="Times New Roman" w:cs="Times New Roman"/>
              </w:rPr>
              <w:t>土壤环境监测技术规范 HJ/T 166-2004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49" w:type="dxa"/>
            <w:shd w:val="clear" w:color="auto" w:fill="auto"/>
            <w:vAlign w:val="center"/>
          </w:tcPr>
          <w:p>
            <w:pPr>
              <w:jc w:val="center"/>
              <w:rPr>
                <w:rFonts w:ascii="Times New Roman" w:hAnsi="Times New Roman" w:cs="Times New Roman"/>
              </w:rPr>
            </w:pPr>
          </w:p>
        </w:tc>
        <w:tc>
          <w:tcPr>
            <w:tcW w:w="3491" w:type="dxa"/>
            <w:gridSpan w:val="2"/>
            <w:shd w:val="clear" w:color="auto" w:fill="auto"/>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重点监测单元</w:t>
            </w:r>
          </w:p>
        </w:tc>
        <w:tc>
          <w:tcPr>
            <w:tcW w:w="1787" w:type="dxa"/>
            <w:shd w:val="clear" w:color="auto" w:fill="auto"/>
            <w:vAlign w:val="center"/>
          </w:tcPr>
          <w:p>
            <w:pPr>
              <w:jc w:val="center"/>
              <w:rPr>
                <w:rFonts w:hint="eastAsia" w:ascii="Times New Roman" w:hAnsi="Times New Roman" w:cs="Times New Roman"/>
                <w:lang w:eastAsia="zh-CN"/>
              </w:rPr>
            </w:pPr>
            <w:r>
              <w:rPr>
                <w:rFonts w:hint="eastAsia" w:ascii="Times New Roman" w:hAnsi="Times New Roman" w:cs="Times New Roman"/>
                <w:lang w:eastAsia="zh-CN"/>
              </w:rPr>
              <w:t>单元类别</w:t>
            </w:r>
          </w:p>
        </w:tc>
        <w:tc>
          <w:tcPr>
            <w:tcW w:w="2359" w:type="dxa"/>
            <w:shd w:val="clear" w:color="auto" w:fill="auto"/>
            <w:vAlign w:val="center"/>
          </w:tcPr>
          <w:p>
            <w:pPr>
              <w:jc w:val="center"/>
              <w:rPr>
                <w:rFonts w:ascii="Times New Roman" w:hAnsi="Times New Roman" w:cs="Times New Roman"/>
              </w:rPr>
            </w:pPr>
            <w:r>
              <w:rPr>
                <w:rFonts w:hint="eastAsia" w:ascii="Times New Roman" w:hAnsi="Times New Roman" w:cs="Times New Roman"/>
                <w:lang w:eastAsia="zh-CN"/>
              </w:rPr>
              <w:t>表层土壤监测点位（个）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dxa"/>
            <w:vMerge w:val="restart"/>
            <w:shd w:val="clear" w:color="auto" w:fill="auto"/>
            <w:vAlign w:val="center"/>
          </w:tcPr>
          <w:p>
            <w:pPr>
              <w:jc w:val="center"/>
              <w:rPr>
                <w:rFonts w:ascii="Times New Roman" w:hAnsi="Times New Roman" w:cs="Times New Roman"/>
              </w:rPr>
            </w:pPr>
            <w:r>
              <w:rPr>
                <w:rFonts w:ascii="Times New Roman" w:hAnsi="Times New Roman" w:cs="Times New Roman"/>
              </w:rPr>
              <w:t>土壤</w:t>
            </w: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ascii="Times New Roman" w:hAnsi="Times New Roman" w:cs="Times New Roman"/>
              </w:rPr>
              <w:t>0</w:t>
            </w:r>
            <w:r>
              <w:rPr>
                <w:rFonts w:hint="eastAsia" w:ascii="Times New Roman" w:hAnsi="Times New Roman" w:cs="Times New Roman"/>
                <w:lang w:val="en-US" w:eastAsia="zh-CN"/>
              </w:rPr>
              <w:t>1</w:t>
            </w:r>
          </w:p>
        </w:tc>
        <w:tc>
          <w:tcPr>
            <w:tcW w:w="2250" w:type="dxa"/>
            <w:shd w:val="clear" w:color="auto" w:fill="auto"/>
            <w:vAlign w:val="center"/>
          </w:tcPr>
          <w:p>
            <w:pPr>
              <w:jc w:val="center"/>
              <w:rPr>
                <w:rFonts w:ascii="Times New Roman" w:hAnsi="Times New Roman" w:cs="Times New Roman"/>
              </w:rPr>
            </w:pPr>
            <w:r>
              <w:rPr>
                <w:rFonts w:ascii="Times New Roman" w:hAnsi="Times New Roman" w:cs="Times New Roman"/>
              </w:rPr>
              <w:t>应急事故水池旁</w:t>
            </w:r>
          </w:p>
        </w:tc>
        <w:tc>
          <w:tcPr>
            <w:tcW w:w="1787" w:type="dxa"/>
            <w:shd w:val="clear" w:color="auto" w:fill="auto"/>
            <w:vAlign w:val="center"/>
          </w:tcPr>
          <w:p>
            <w:pPr>
              <w:keepNext w:val="0"/>
              <w:keepLines w:val="0"/>
              <w:widowControl/>
              <w:suppressLineNumbers w:val="0"/>
              <w:jc w:val="center"/>
              <w:rPr>
                <w:rFonts w:hint="default" w:ascii="Times New Roman" w:hAnsi="Times New Roman" w:cs="Times New Roman"/>
                <w:lang w:val="en-US" w:eastAsia="zh-CN"/>
              </w:rPr>
            </w:pPr>
            <w:r>
              <w:rPr>
                <w:rFonts w:hint="eastAsia" w:ascii="Times New Roman" w:hAnsi="Times New Roman" w:cs="Times New Roman"/>
                <w:lang w:eastAsia="zh-CN"/>
              </w:rPr>
              <w:t>一类单元</w:t>
            </w: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dxa"/>
            <w:vMerge w:val="continue"/>
            <w:shd w:val="clear" w:color="auto" w:fill="auto"/>
            <w:vAlign w:val="center"/>
          </w:tcPr>
          <w:p>
            <w:pPr>
              <w:jc w:val="center"/>
              <w:rPr>
                <w:rFonts w:ascii="Times New Roman" w:hAnsi="Times New Roman" w:cs="Times New Roman"/>
              </w:rPr>
            </w:pP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ascii="Times New Roman" w:hAnsi="Times New Roman" w:cs="Times New Roman"/>
              </w:rPr>
              <w:t>0</w:t>
            </w:r>
            <w:r>
              <w:rPr>
                <w:rFonts w:hint="eastAsia" w:ascii="Times New Roman" w:hAnsi="Times New Roman" w:cs="Times New Roman"/>
                <w:lang w:val="en-US" w:eastAsia="zh-CN"/>
              </w:rPr>
              <w:t>2</w:t>
            </w:r>
          </w:p>
        </w:tc>
        <w:tc>
          <w:tcPr>
            <w:tcW w:w="2250" w:type="dxa"/>
            <w:shd w:val="clear" w:color="auto" w:fill="auto"/>
            <w:vAlign w:val="center"/>
          </w:tcPr>
          <w:p>
            <w:pPr>
              <w:jc w:val="center"/>
              <w:rPr>
                <w:rFonts w:ascii="Times New Roman" w:hAnsi="Times New Roman" w:cs="Times New Roman"/>
              </w:rPr>
            </w:pPr>
            <w:r>
              <w:rPr>
                <w:rFonts w:ascii="Times New Roman" w:hAnsi="Times New Roman" w:cs="Times New Roman"/>
              </w:rPr>
              <w:t>固废仓库旁</w:t>
            </w:r>
          </w:p>
        </w:tc>
        <w:tc>
          <w:tcPr>
            <w:tcW w:w="1787" w:type="dxa"/>
            <w:shd w:val="clear" w:color="auto" w:fill="auto"/>
            <w:vAlign w:val="center"/>
          </w:tcPr>
          <w:p>
            <w:pPr>
              <w:jc w:val="center"/>
              <w:rPr>
                <w:rFonts w:hint="eastAsia" w:ascii="Times New Roman" w:hAnsi="Times New Roman" w:cs="Times New Roman"/>
                <w:lang w:eastAsia="zh-CN"/>
              </w:rPr>
            </w:pPr>
            <w:r>
              <w:rPr>
                <w:rFonts w:hint="eastAsia" w:ascii="Times New Roman" w:hAnsi="Times New Roman" w:cs="Times New Roman"/>
                <w:lang w:eastAsia="zh-CN"/>
              </w:rPr>
              <w:t>二类单元</w:t>
            </w: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49" w:type="dxa"/>
            <w:vMerge w:val="continue"/>
            <w:shd w:val="clear" w:color="auto" w:fill="auto"/>
            <w:vAlign w:val="center"/>
          </w:tcPr>
          <w:p>
            <w:pPr>
              <w:jc w:val="center"/>
              <w:rPr>
                <w:rFonts w:ascii="Times New Roman" w:hAnsi="Times New Roman" w:cs="Times New Roman"/>
              </w:rPr>
            </w:pP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ascii="Times New Roman" w:hAnsi="Times New Roman" w:cs="Times New Roman"/>
              </w:rPr>
              <w:t>0</w:t>
            </w:r>
            <w:r>
              <w:rPr>
                <w:rFonts w:hint="eastAsia" w:ascii="Times New Roman" w:hAnsi="Times New Roman" w:cs="Times New Roman"/>
                <w:lang w:val="en-US" w:eastAsia="zh-CN"/>
              </w:rPr>
              <w:t>3</w:t>
            </w:r>
          </w:p>
        </w:tc>
        <w:tc>
          <w:tcPr>
            <w:tcW w:w="2250" w:type="dxa"/>
            <w:shd w:val="clear" w:color="auto" w:fill="auto"/>
            <w:vAlign w:val="center"/>
          </w:tcPr>
          <w:p>
            <w:pPr>
              <w:jc w:val="center"/>
              <w:rPr>
                <w:rFonts w:ascii="Times New Roman" w:hAnsi="Times New Roman" w:cs="Times New Roman"/>
              </w:rPr>
            </w:pPr>
            <w:r>
              <w:rPr>
                <w:rFonts w:ascii="Times New Roman" w:hAnsi="Times New Roman" w:cs="Times New Roman"/>
              </w:rPr>
              <w:t>污水场中间区域</w:t>
            </w:r>
          </w:p>
        </w:tc>
        <w:tc>
          <w:tcPr>
            <w:tcW w:w="1787" w:type="dxa"/>
            <w:vMerge w:val="restart"/>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eastAsia="zh-CN"/>
              </w:rPr>
              <w:t>一类单元</w:t>
            </w: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9" w:type="dxa"/>
            <w:vMerge w:val="continue"/>
            <w:shd w:val="clear" w:color="auto" w:fill="auto"/>
            <w:vAlign w:val="center"/>
          </w:tcPr>
          <w:p>
            <w:pPr>
              <w:jc w:val="center"/>
              <w:rPr>
                <w:rFonts w:ascii="Times New Roman" w:hAnsi="Times New Roman" w:cs="Times New Roman"/>
              </w:rPr>
            </w:pP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ascii="Times New Roman" w:hAnsi="Times New Roman" w:cs="Times New Roman"/>
              </w:rPr>
              <w:t>0</w:t>
            </w:r>
            <w:r>
              <w:rPr>
                <w:rFonts w:hint="eastAsia" w:ascii="Times New Roman" w:hAnsi="Times New Roman" w:cs="Times New Roman"/>
                <w:lang w:val="en-US" w:eastAsia="zh-CN"/>
              </w:rPr>
              <w:t>4</w:t>
            </w:r>
          </w:p>
        </w:tc>
        <w:tc>
          <w:tcPr>
            <w:tcW w:w="2250" w:type="dxa"/>
            <w:shd w:val="clear" w:color="auto" w:fill="auto"/>
            <w:vAlign w:val="center"/>
          </w:tcPr>
          <w:p>
            <w:pPr>
              <w:jc w:val="center"/>
              <w:rPr>
                <w:rFonts w:hint="eastAsia" w:ascii="Times New Roman" w:hAnsi="Times New Roman" w:cs="Times New Roman" w:eastAsiaTheme="minorEastAsia"/>
                <w:lang w:eastAsia="zh-CN"/>
              </w:rPr>
            </w:pPr>
            <w:r>
              <w:rPr>
                <w:rFonts w:ascii="Times New Roman" w:hAnsi="Times New Roman" w:cs="Times New Roman"/>
              </w:rPr>
              <w:t>污水处理场</w:t>
            </w:r>
            <w:r>
              <w:rPr>
                <w:rFonts w:hint="eastAsia" w:ascii="Times New Roman" w:hAnsi="Times New Roman" w:cs="Times New Roman"/>
                <w:lang w:eastAsia="zh-CN"/>
              </w:rPr>
              <w:t>站</w:t>
            </w:r>
          </w:p>
        </w:tc>
        <w:tc>
          <w:tcPr>
            <w:tcW w:w="1787" w:type="dxa"/>
            <w:vMerge w:val="continue"/>
            <w:shd w:val="clear" w:color="auto" w:fill="auto"/>
            <w:vAlign w:val="center"/>
          </w:tcPr>
          <w:p>
            <w:pPr>
              <w:jc w:val="center"/>
              <w:rPr>
                <w:rFonts w:hint="default" w:ascii="Times New Roman" w:hAnsi="Times New Roman" w:cs="Times New Roman"/>
                <w:lang w:val="en-US" w:eastAsia="zh-CN"/>
              </w:rPr>
            </w:pP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dxa"/>
            <w:vMerge w:val="continue"/>
            <w:shd w:val="clear" w:color="auto" w:fill="auto"/>
            <w:vAlign w:val="center"/>
          </w:tcPr>
          <w:p>
            <w:pPr>
              <w:jc w:val="center"/>
              <w:rPr>
                <w:rFonts w:ascii="Times New Roman" w:hAnsi="Times New Roman" w:cs="Times New Roman"/>
              </w:rPr>
            </w:pP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ascii="Times New Roman" w:hAnsi="Times New Roman" w:cs="Times New Roman"/>
              </w:rPr>
              <w:t>0</w:t>
            </w:r>
            <w:r>
              <w:rPr>
                <w:rFonts w:hint="eastAsia" w:ascii="Times New Roman" w:hAnsi="Times New Roman" w:cs="Times New Roman"/>
                <w:lang w:val="en-US" w:eastAsia="zh-CN"/>
              </w:rPr>
              <w:t>5</w:t>
            </w:r>
          </w:p>
        </w:tc>
        <w:tc>
          <w:tcPr>
            <w:tcW w:w="2250" w:type="dxa"/>
            <w:shd w:val="clear" w:color="auto" w:fill="auto"/>
            <w:vAlign w:val="center"/>
          </w:tcPr>
          <w:p>
            <w:pPr>
              <w:jc w:val="center"/>
              <w:rPr>
                <w:rFonts w:ascii="Times New Roman" w:hAnsi="Times New Roman" w:cs="Times New Roman"/>
              </w:rPr>
            </w:pPr>
            <w:r>
              <w:rPr>
                <w:rFonts w:ascii="Times New Roman" w:hAnsi="Times New Roman" w:cs="Times New Roman"/>
              </w:rPr>
              <w:t>PTA装置区</w:t>
            </w:r>
          </w:p>
        </w:tc>
        <w:tc>
          <w:tcPr>
            <w:tcW w:w="1787" w:type="dxa"/>
            <w:shd w:val="clear" w:color="auto" w:fill="auto"/>
            <w:vAlign w:val="center"/>
          </w:tcPr>
          <w:p>
            <w:pPr>
              <w:jc w:val="center"/>
              <w:rPr>
                <w:rFonts w:hint="eastAsia" w:ascii="Times New Roman" w:hAnsi="Times New Roman" w:cs="Times New Roman"/>
                <w:lang w:eastAsia="zh-CN"/>
              </w:rPr>
            </w:pPr>
            <w:r>
              <w:rPr>
                <w:rFonts w:hint="eastAsia" w:ascii="Times New Roman" w:hAnsi="Times New Roman" w:cs="Times New Roman"/>
                <w:lang w:eastAsia="zh-CN"/>
              </w:rPr>
              <w:t>二类单元</w:t>
            </w: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dxa"/>
            <w:vMerge w:val="continue"/>
            <w:shd w:val="clear" w:color="auto" w:fill="auto"/>
            <w:vAlign w:val="center"/>
          </w:tcPr>
          <w:p>
            <w:pPr>
              <w:jc w:val="center"/>
              <w:rPr>
                <w:rFonts w:ascii="Times New Roman" w:hAnsi="Times New Roman" w:cs="Times New Roman"/>
              </w:rPr>
            </w:pP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ascii="Times New Roman" w:hAnsi="Times New Roman" w:cs="Times New Roman"/>
              </w:rPr>
              <w:t>0</w:t>
            </w:r>
            <w:r>
              <w:rPr>
                <w:rFonts w:hint="eastAsia" w:ascii="Times New Roman" w:hAnsi="Times New Roman" w:cs="Times New Roman"/>
                <w:lang w:val="en-US" w:eastAsia="zh-CN"/>
              </w:rPr>
              <w:t>6</w:t>
            </w:r>
          </w:p>
        </w:tc>
        <w:tc>
          <w:tcPr>
            <w:tcW w:w="2250" w:type="dxa"/>
            <w:shd w:val="clear" w:color="auto" w:fill="auto"/>
            <w:vAlign w:val="center"/>
          </w:tcPr>
          <w:p>
            <w:pPr>
              <w:jc w:val="center"/>
              <w:rPr>
                <w:rFonts w:ascii="Times New Roman" w:hAnsi="Times New Roman" w:cs="Times New Roman"/>
              </w:rPr>
            </w:pPr>
            <w:r>
              <w:rPr>
                <w:rFonts w:ascii="Times New Roman" w:hAnsi="Times New Roman" w:cs="Times New Roman"/>
              </w:rPr>
              <w:t>原辅料罐区</w:t>
            </w:r>
          </w:p>
        </w:tc>
        <w:tc>
          <w:tcPr>
            <w:tcW w:w="1787" w:type="dxa"/>
            <w:shd w:val="clear" w:color="auto" w:fill="auto"/>
            <w:vAlign w:val="center"/>
          </w:tcPr>
          <w:p>
            <w:pPr>
              <w:jc w:val="center"/>
              <w:rPr>
                <w:rFonts w:hint="eastAsia" w:ascii="Times New Roman" w:hAnsi="Times New Roman" w:cs="Times New Roman"/>
                <w:lang w:eastAsia="zh-CN"/>
              </w:rPr>
            </w:pPr>
            <w:r>
              <w:rPr>
                <w:rFonts w:hint="eastAsia" w:ascii="Times New Roman" w:hAnsi="Times New Roman" w:cs="Times New Roman"/>
                <w:lang w:eastAsia="zh-CN"/>
              </w:rPr>
              <w:t>二类单元</w:t>
            </w: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9" w:type="dxa"/>
            <w:vMerge w:val="continue"/>
            <w:shd w:val="clear" w:color="auto" w:fill="auto"/>
            <w:vAlign w:val="center"/>
          </w:tcPr>
          <w:p>
            <w:pPr>
              <w:jc w:val="center"/>
              <w:rPr>
                <w:rFonts w:ascii="Times New Roman" w:hAnsi="Times New Roman" w:cs="Times New Roman"/>
              </w:rPr>
            </w:pPr>
          </w:p>
        </w:tc>
        <w:tc>
          <w:tcPr>
            <w:tcW w:w="1241"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rPr>
              <w:t>ZXS</w:t>
            </w:r>
            <w:r>
              <w:rPr>
                <w:rFonts w:hint="eastAsia" w:ascii="Times New Roman" w:hAnsi="Times New Roman" w:cs="Times New Roman"/>
                <w:lang w:val="en-US" w:eastAsia="zh-CN"/>
              </w:rPr>
              <w:t>07</w:t>
            </w:r>
          </w:p>
        </w:tc>
        <w:tc>
          <w:tcPr>
            <w:tcW w:w="2250" w:type="dxa"/>
            <w:shd w:val="clear" w:color="auto" w:fill="auto"/>
            <w:vAlign w:val="center"/>
          </w:tcPr>
          <w:p>
            <w:pPr>
              <w:jc w:val="center"/>
              <w:rPr>
                <w:rFonts w:ascii="Times New Roman" w:hAnsi="Times New Roman" w:cs="Times New Roman"/>
              </w:rPr>
            </w:pPr>
            <w:r>
              <w:rPr>
                <w:rFonts w:ascii="Times New Roman" w:hAnsi="Times New Roman" w:cs="Times New Roman"/>
              </w:rPr>
              <w:t>化学品仓库旁</w:t>
            </w:r>
          </w:p>
        </w:tc>
        <w:tc>
          <w:tcPr>
            <w:tcW w:w="1787" w:type="dxa"/>
            <w:shd w:val="clear" w:color="auto" w:fill="auto"/>
            <w:vAlign w:val="center"/>
          </w:tcPr>
          <w:p>
            <w:pPr>
              <w:jc w:val="center"/>
              <w:rPr>
                <w:rFonts w:hint="eastAsia" w:ascii="Times New Roman" w:hAnsi="Times New Roman" w:cs="Times New Roman"/>
                <w:lang w:eastAsia="zh-CN"/>
              </w:rPr>
            </w:pPr>
            <w:r>
              <w:rPr>
                <w:rFonts w:hint="eastAsia" w:ascii="Times New Roman" w:hAnsi="Times New Roman" w:cs="Times New Roman"/>
                <w:lang w:eastAsia="zh-CN"/>
              </w:rPr>
              <w:t>二类单元</w:t>
            </w:r>
          </w:p>
        </w:tc>
        <w:tc>
          <w:tcPr>
            <w:tcW w:w="235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r>
    </w:tbl>
    <w:tbl>
      <w:tblPr>
        <w:tblStyle w:val="21"/>
        <w:tblpPr w:leftFromText="180" w:rightFromText="180" w:vertAnchor="text" w:tblpX="10214" w:tblpY="-2612"/>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tabs>
                <w:tab w:val="left" w:pos="6326"/>
              </w:tabs>
              <w:jc w:val="both"/>
              <w:rPr>
                <w:rFonts w:hint="eastAsia" w:ascii="Times New Roman" w:hAnsi="Times New Roman" w:cs="Times New Roman"/>
                <w:b/>
                <w:bCs/>
                <w:sz w:val="28"/>
                <w:szCs w:val="36"/>
                <w:vertAlign w:val="baseline"/>
              </w:rPr>
            </w:pPr>
          </w:p>
        </w:tc>
      </w:tr>
    </w:tbl>
    <w:p>
      <w:pPr>
        <w:tabs>
          <w:tab w:val="left" w:pos="6326"/>
        </w:tabs>
        <w:rPr>
          <w:rFonts w:hint="eastAsia" w:ascii="Times New Roman" w:hAnsi="Times New Roman" w:cs="Times New Roman"/>
          <w:b/>
          <w:bCs/>
          <w:sz w:val="28"/>
          <w:szCs w:val="36"/>
        </w:rPr>
      </w:pPr>
      <w:r>
        <w:rPr>
          <w:rFonts w:hint="eastAsia" w:ascii="Times New Roman" w:hAnsi="Times New Roman" w:cs="Times New Roman"/>
          <w:b/>
          <w:bCs/>
          <w:sz w:val="28"/>
          <w:szCs w:val="36"/>
          <w:lang w:val="en-US" w:eastAsia="zh-CN"/>
        </w:rPr>
        <w:t xml:space="preserve">3.2 </w:t>
      </w:r>
      <w:r>
        <w:rPr>
          <w:rFonts w:hint="eastAsia" w:ascii="Times New Roman" w:hAnsi="Times New Roman" w:cs="Times New Roman"/>
          <w:b/>
          <w:bCs/>
          <w:sz w:val="28"/>
          <w:szCs w:val="36"/>
        </w:rPr>
        <w:t>地下水检测</w:t>
      </w:r>
    </w:p>
    <w:tbl>
      <w:tblPr>
        <w:tblStyle w:val="20"/>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9"/>
        <w:gridCol w:w="4895"/>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Header/>
          <w:jc w:val="center"/>
        </w:trPr>
        <w:tc>
          <w:tcPr>
            <w:tcW w:w="1379"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hint="eastAsia" w:ascii="Times New Roman" w:hAnsi="Times New Roman" w:cs="Times New Roman"/>
                <w:b/>
                <w:sz w:val="24"/>
                <w:szCs w:val="22"/>
              </w:rPr>
              <w:t>样品类型</w:t>
            </w:r>
          </w:p>
        </w:tc>
        <w:tc>
          <w:tcPr>
            <w:tcW w:w="4895"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ascii="Times New Roman" w:hAnsi="Times New Roman" w:cs="Times New Roman"/>
                <w:b/>
                <w:sz w:val="24"/>
                <w:szCs w:val="22"/>
              </w:rPr>
              <w:t>监测项目</w:t>
            </w:r>
          </w:p>
        </w:tc>
        <w:tc>
          <w:tcPr>
            <w:tcW w:w="2742" w:type="dxa"/>
            <w:tcBorders>
              <w:top w:val="single" w:color="auto" w:sz="4" w:space="0"/>
              <w:left w:val="single" w:color="auto" w:sz="4" w:space="0"/>
              <w:bottom w:val="single" w:color="auto" w:sz="4" w:space="0"/>
              <w:right w:val="single" w:color="auto" w:sz="4" w:space="0"/>
            </w:tcBorders>
            <w:shd w:val="clear" w:color="auto" w:fill="F2F2F2"/>
            <w:vAlign w:val="center"/>
          </w:tcPr>
          <w:p>
            <w:pPr>
              <w:jc w:val="center"/>
              <w:rPr>
                <w:rFonts w:ascii="Times New Roman" w:hAnsi="Times New Roman" w:cs="Times New Roman"/>
                <w:b/>
                <w:sz w:val="24"/>
                <w:szCs w:val="22"/>
              </w:rPr>
            </w:pPr>
            <w:r>
              <w:rPr>
                <w:rFonts w:ascii="Times New Roman" w:hAnsi="Times New Roman" w:cs="Times New Roman"/>
                <w:b/>
                <w:sz w:val="24"/>
                <w:szCs w:val="22"/>
              </w:rPr>
              <w:t>采样</w:t>
            </w:r>
            <w:r>
              <w:rPr>
                <w:rFonts w:hint="eastAsia" w:ascii="Times New Roman" w:hAnsi="Times New Roman" w:cs="Times New Roman"/>
                <w:b/>
                <w:sz w:val="24"/>
                <w:szCs w:val="22"/>
              </w:rPr>
              <w:t>/</w:t>
            </w:r>
            <w:r>
              <w:rPr>
                <w:rFonts w:ascii="Times New Roman" w:hAnsi="Times New Roman" w:cs="Times New Roman"/>
                <w:b/>
                <w:sz w:val="24"/>
                <w:szCs w:val="22"/>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1" w:hRule="atLeast"/>
          <w:jc w:val="center"/>
        </w:trPr>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highlight w:val="none"/>
              </w:rPr>
            </w:pPr>
            <w:r>
              <w:rPr>
                <w:rFonts w:ascii="Times New Roman" w:hAnsi="Times New Roman" w:cs="Times New Roman"/>
                <w:highlight w:val="none"/>
              </w:rPr>
              <w:t>地下水</w:t>
            </w:r>
          </w:p>
        </w:tc>
        <w:tc>
          <w:tcPr>
            <w:tcW w:w="48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色（铂钴额度单位）、嗅和味、浑浊度、肉眼可见物、pH、总硬度、溶解性固体、硫酸盐、氯化物、铁、锰、铜、锌、铝、挥发性酚类（以苯酚计）、阴离子表面活性剂、耗氧量（COD</w:t>
            </w:r>
            <w:r>
              <w:rPr>
                <w:rFonts w:hint="eastAsia" w:ascii="Times New Roman" w:hAnsi="Times New Roman" w:cs="Times New Roman"/>
                <w:highlight w:val="none"/>
                <w:vertAlign w:val="subscript"/>
                <w:lang w:val="en-US" w:eastAsia="zh-CN"/>
              </w:rPr>
              <w:t>Mn</w:t>
            </w:r>
            <w:r>
              <w:rPr>
                <w:rFonts w:hint="eastAsia" w:ascii="Times New Roman" w:hAnsi="Times New Roman" w:cs="Times New Roman"/>
                <w:highlight w:val="none"/>
                <w:lang w:val="en-US" w:eastAsia="zh-CN"/>
              </w:rPr>
              <w:t>法，以O</w:t>
            </w:r>
            <w:r>
              <w:rPr>
                <w:rFonts w:hint="eastAsia" w:ascii="Times New Roman" w:hAnsi="Times New Roman" w:cs="Times New Roman"/>
                <w:highlight w:val="none"/>
                <w:vertAlign w:val="subscript"/>
                <w:lang w:val="en-US" w:eastAsia="zh-CN"/>
              </w:rPr>
              <w:t>2</w:t>
            </w:r>
            <w:r>
              <w:rPr>
                <w:rFonts w:hint="eastAsia" w:ascii="Times New Roman" w:hAnsi="Times New Roman" w:cs="Times New Roman"/>
                <w:highlight w:val="none"/>
                <w:lang w:val="en-US" w:eastAsia="zh-CN"/>
              </w:rPr>
              <w:t>计）、氨氮（以N计）、硫化物、钠、亚硝酸盐（以N计）、硝酸盐（以N计）、氰化物、氟化物、碘化物、汞、砷、硒、镉、铬（六价）、铅、三氯甲烷、四氯化碳、苯、甲苯、钴、锰、石油类</w:t>
            </w:r>
          </w:p>
        </w:tc>
        <w:tc>
          <w:tcPr>
            <w:tcW w:w="27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rPr>
            </w:pPr>
            <w:r>
              <w:rPr>
                <w:rFonts w:hint="eastAsia" w:ascii="Times New Roman" w:hAnsi="Times New Roman" w:cs="Times New Roman"/>
              </w:rPr>
              <w:t>HJ164、HJ1019、GB/T14848、HJ 610监测分析方法应选用上述执行标准规定的方法，选用其他方法，需符合相关标准要求，且必须符合HJ1209所作相关要求。</w:t>
            </w:r>
          </w:p>
        </w:tc>
      </w:tr>
    </w:tbl>
    <w:tbl>
      <w:tblPr>
        <w:tblStyle w:val="20"/>
        <w:tblpPr w:leftFromText="180" w:rightFromText="180" w:vertAnchor="text" w:horzAnchor="page" w:tblpX="1817" w:tblpY="56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343"/>
        <w:gridCol w:w="326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31" w:type="dxa"/>
            <w:gridSpan w:val="4"/>
            <w:shd w:val="clear" w:color="auto" w:fill="auto"/>
            <w:vAlign w:val="center"/>
          </w:tcPr>
          <w:p>
            <w:pPr>
              <w:jc w:val="center"/>
              <w:rPr>
                <w:rFonts w:ascii="Times New Roman" w:hAnsi="Times New Roman" w:cs="Times New Roman"/>
              </w:rPr>
            </w:pPr>
            <w:r>
              <w:rPr>
                <w:rFonts w:ascii="Times New Roman" w:hAnsi="Times New Roman" w:cs="Times New Roman"/>
              </w:rPr>
              <w:t>样品信息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shd w:val="clear" w:color="auto" w:fill="auto"/>
            <w:vAlign w:val="center"/>
          </w:tcPr>
          <w:p>
            <w:pPr>
              <w:jc w:val="center"/>
              <w:rPr>
                <w:rFonts w:ascii="Times New Roman" w:hAnsi="Times New Roman" w:cs="Times New Roman"/>
              </w:rPr>
            </w:pPr>
            <w:r>
              <w:rPr>
                <w:rFonts w:ascii="Times New Roman" w:hAnsi="Times New Roman" w:cs="Times New Roman"/>
              </w:rPr>
              <w:t>采样规范</w:t>
            </w:r>
          </w:p>
        </w:tc>
        <w:tc>
          <w:tcPr>
            <w:tcW w:w="7155" w:type="dxa"/>
            <w:gridSpan w:val="3"/>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w:t>
            </w:r>
            <w:r>
              <w:rPr>
                <w:rFonts w:ascii="Times New Roman" w:hAnsi="Times New Roman" w:cs="Times New Roman"/>
              </w:rPr>
              <w:t>环境监测技术规范 HJ/T 16</w:t>
            </w:r>
            <w:r>
              <w:rPr>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shd w:val="clear" w:color="auto" w:fill="auto"/>
            <w:vAlign w:val="center"/>
          </w:tcPr>
          <w:p>
            <w:pPr>
              <w:jc w:val="center"/>
              <w:rPr>
                <w:rFonts w:ascii="Times New Roman" w:hAnsi="Times New Roman" w:cs="Times New Roman"/>
              </w:rPr>
            </w:pPr>
          </w:p>
        </w:tc>
        <w:tc>
          <w:tcPr>
            <w:tcW w:w="4604" w:type="dxa"/>
            <w:gridSpan w:val="2"/>
            <w:shd w:val="clear" w:color="auto" w:fill="auto"/>
            <w:vAlign w:val="center"/>
          </w:tcPr>
          <w:p>
            <w:pPr>
              <w:jc w:val="center"/>
              <w:rPr>
                <w:rFonts w:ascii="Times New Roman" w:hAnsi="Times New Roman" w:cs="Times New Roman"/>
              </w:rPr>
            </w:pP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井深，m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restart"/>
            <w:shd w:val="clear" w:color="auto" w:fill="auto"/>
            <w:vAlign w:val="center"/>
          </w:tcPr>
          <w:p>
            <w:pPr>
              <w:jc w:val="center"/>
              <w:rPr>
                <w:rFonts w:ascii="Times New Roman" w:hAnsi="Times New Roman" w:cs="Times New Roman"/>
              </w:rPr>
            </w:pPr>
            <w:r>
              <w:rPr>
                <w:rFonts w:ascii="Times New Roman" w:hAnsi="Times New Roman" w:cs="Times New Roman"/>
              </w:rPr>
              <w:t>采样点位</w:t>
            </w: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FHC-01</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FHC-02</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FHC-03</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FHC-04</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6" w:type="dxa"/>
            <w:vMerge w:val="continue"/>
            <w:shd w:val="clear" w:color="auto" w:fill="auto"/>
            <w:vAlign w:val="center"/>
          </w:tcPr>
          <w:p>
            <w:pPr>
              <w:jc w:val="center"/>
              <w:rPr>
                <w:rFonts w:ascii="Times New Roman" w:hAnsi="Times New Roman" w:cs="Times New Roman"/>
              </w:rPr>
            </w:pPr>
          </w:p>
        </w:tc>
        <w:tc>
          <w:tcPr>
            <w:tcW w:w="1343" w:type="dxa"/>
            <w:shd w:val="clear" w:color="auto" w:fill="auto"/>
            <w:vAlign w:val="center"/>
          </w:tcPr>
          <w:p>
            <w:pPr>
              <w:jc w:val="center"/>
              <w:rPr>
                <w:rFonts w:ascii="Times New Roman" w:hAnsi="Times New Roman" w:cs="Times New Roman"/>
              </w:rPr>
            </w:pPr>
            <w:r>
              <w:rPr>
                <w:rFonts w:hint="eastAsia" w:ascii="Times New Roman" w:hAnsi="Times New Roman" w:cs="Times New Roman"/>
                <w:lang w:val="en-US" w:eastAsia="zh-CN"/>
              </w:rPr>
              <w:t>FHC-</w:t>
            </w:r>
            <w:r>
              <w:rPr>
                <w:rFonts w:hint="eastAsia" w:ascii="Times New Roman" w:hAnsi="Times New Roman" w:cs="Times New Roman"/>
              </w:rPr>
              <w:t xml:space="preserve"> 05</w:t>
            </w:r>
          </w:p>
        </w:tc>
        <w:tc>
          <w:tcPr>
            <w:tcW w:w="326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地下水监测井</w:t>
            </w:r>
          </w:p>
        </w:tc>
        <w:tc>
          <w:tcPr>
            <w:tcW w:w="2551"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15</w:t>
            </w:r>
          </w:p>
        </w:tc>
      </w:tr>
    </w:tbl>
    <w:p>
      <w:pPr>
        <w:tabs>
          <w:tab w:val="left" w:pos="6326"/>
        </w:tabs>
        <w:rPr>
          <w:rFonts w:hint="eastAsia" w:ascii="Times New Roman" w:hAnsi="Times New Roman" w:cs="Times New Roman"/>
          <w:sz w:val="28"/>
          <w:szCs w:val="36"/>
        </w:rPr>
      </w:pPr>
    </w:p>
    <w:p>
      <w:pPr>
        <w:numPr>
          <w:ilvl w:val="0"/>
          <w:numId w:val="4"/>
        </w:numPr>
        <w:jc w:val="left"/>
        <w:rPr>
          <w:rFonts w:hint="eastAsia" w:ascii="Times New Roman" w:hAnsi="Times New Roman" w:cs="Times New Roman"/>
          <w:b/>
          <w:bCs/>
          <w:sz w:val="32"/>
          <w:szCs w:val="36"/>
          <w:lang w:val="en-US" w:eastAsia="zh-CN"/>
        </w:rPr>
      </w:pPr>
      <w:r>
        <w:rPr>
          <w:rFonts w:hint="eastAsia" w:ascii="Times New Roman" w:hAnsi="Times New Roman" w:cs="Times New Roman"/>
          <w:b/>
          <w:bCs/>
          <w:sz w:val="32"/>
          <w:szCs w:val="36"/>
          <w:lang w:val="en-US" w:eastAsia="zh-CN"/>
        </w:rPr>
        <w:t>土壤及地下水自行监测报告应参照HJ1209-2021规范附录D编制。</w:t>
      </w:r>
    </w:p>
    <w:p>
      <w:pPr>
        <w:keepNext w:val="0"/>
        <w:keepLines w:val="0"/>
        <w:widowControl/>
        <w:suppressLineNumbers w:val="0"/>
        <w:jc w:val="left"/>
        <w:rPr>
          <w:rFonts w:hint="eastAsia" w:ascii="宋体" w:hAnsi="宋体" w:eastAsia="宋体" w:cs="华文中宋"/>
          <w:snapToGrid w:val="0"/>
          <w:color w:val="000000"/>
          <w:kern w:val="0"/>
          <w:sz w:val="24"/>
          <w:szCs w:val="24"/>
          <w:lang w:val="en-US" w:eastAsia="zh-CN" w:bidi="ar-SA"/>
        </w:rPr>
      </w:pPr>
      <w:r>
        <w:rPr>
          <w:rFonts w:hint="eastAsia" w:ascii="宋体" w:hAnsi="宋体" w:eastAsia="宋体" w:cs="华文中宋"/>
          <w:snapToGrid w:val="0"/>
          <w:color w:val="000000"/>
          <w:kern w:val="0"/>
          <w:sz w:val="24"/>
          <w:szCs w:val="24"/>
          <w:lang w:val="en-US" w:eastAsia="zh-CN" w:bidi="ar-SA"/>
        </w:rPr>
        <w:t xml:space="preserve">报告内容至少应包括： </w:t>
      </w:r>
    </w:p>
    <w:p>
      <w:pPr>
        <w:keepNext w:val="0"/>
        <w:keepLines w:val="0"/>
        <w:widowControl/>
        <w:suppressLineNumbers w:val="0"/>
        <w:jc w:val="left"/>
        <w:rPr>
          <w:rFonts w:hint="eastAsia" w:ascii="宋体" w:hAnsi="宋体" w:eastAsia="宋体" w:cs="华文中宋"/>
          <w:snapToGrid w:val="0"/>
          <w:color w:val="000000"/>
          <w:kern w:val="0"/>
          <w:sz w:val="24"/>
          <w:szCs w:val="24"/>
          <w:lang w:val="en-US" w:eastAsia="zh-CN" w:bidi="ar-SA"/>
        </w:rPr>
      </w:pPr>
      <w:r>
        <w:rPr>
          <w:rFonts w:hint="eastAsia" w:cs="华文中宋"/>
          <w:snapToGrid w:val="0"/>
          <w:color w:val="000000"/>
          <w:kern w:val="0"/>
          <w:sz w:val="24"/>
          <w:szCs w:val="24"/>
          <w:lang w:val="en-US" w:eastAsia="zh-CN" w:bidi="ar-SA"/>
        </w:rPr>
        <w:t xml:space="preserve">4.1 </w:t>
      </w:r>
      <w:r>
        <w:rPr>
          <w:rFonts w:hint="eastAsia" w:ascii="宋体" w:hAnsi="宋体" w:eastAsia="宋体" w:cs="华文中宋"/>
          <w:snapToGrid w:val="0"/>
          <w:color w:val="000000"/>
          <w:kern w:val="0"/>
          <w:sz w:val="24"/>
          <w:szCs w:val="24"/>
          <w:lang w:val="en-US" w:eastAsia="zh-CN" w:bidi="ar-SA"/>
        </w:rPr>
        <w:t>企业执行的自行监测方案描述（至少涵盖重点监测单元清单，标记有重点单元及监测点</w:t>
      </w:r>
      <w:r>
        <w:rPr>
          <w:rFonts w:hint="default" w:ascii="宋体" w:hAnsi="宋体" w:eastAsia="宋体" w:cs="华文中宋"/>
          <w:snapToGrid w:val="0"/>
          <w:color w:val="000000"/>
          <w:kern w:val="0"/>
          <w:sz w:val="24"/>
          <w:szCs w:val="24"/>
          <w:lang w:val="en-US" w:eastAsia="zh-CN" w:bidi="ar-SA"/>
        </w:rPr>
        <w:t>/</w:t>
      </w:r>
      <w:r>
        <w:rPr>
          <w:rFonts w:hint="eastAsia" w:ascii="宋体" w:hAnsi="宋体" w:eastAsia="宋体" w:cs="华文中宋"/>
          <w:snapToGrid w:val="0"/>
          <w:color w:val="000000"/>
          <w:kern w:val="0"/>
          <w:sz w:val="24"/>
          <w:szCs w:val="24"/>
          <w:lang w:val="en-US" w:eastAsia="zh-CN" w:bidi="ar-SA"/>
        </w:rPr>
        <w:t xml:space="preserve">监测 井位置的企业总平面布置图，重点单元识别与分类过程描述，监测点位置、数量和深度的描述，各点位监测指标与频次及其选取原因描述，样品采集、保存、流转、制备等方法描述等）； </w:t>
      </w:r>
    </w:p>
    <w:p>
      <w:pPr>
        <w:keepNext w:val="0"/>
        <w:keepLines w:val="0"/>
        <w:widowControl/>
        <w:suppressLineNumbers w:val="0"/>
        <w:jc w:val="left"/>
        <w:rPr>
          <w:rFonts w:hint="eastAsia" w:ascii="宋体" w:hAnsi="宋体" w:eastAsia="宋体" w:cs="华文中宋"/>
          <w:snapToGrid w:val="0"/>
          <w:color w:val="000000"/>
          <w:kern w:val="0"/>
          <w:sz w:val="24"/>
          <w:szCs w:val="24"/>
          <w:lang w:val="en-US" w:eastAsia="zh-CN" w:bidi="ar-SA"/>
        </w:rPr>
      </w:pPr>
      <w:r>
        <w:rPr>
          <w:rFonts w:hint="eastAsia" w:cs="华文中宋"/>
          <w:snapToGrid w:val="0"/>
          <w:color w:val="000000"/>
          <w:kern w:val="0"/>
          <w:sz w:val="24"/>
          <w:szCs w:val="24"/>
          <w:lang w:val="en-US" w:eastAsia="zh-CN" w:bidi="ar-SA"/>
        </w:rPr>
        <w:t>4.2</w:t>
      </w:r>
      <w:r>
        <w:rPr>
          <w:rFonts w:hint="eastAsia" w:ascii="宋体" w:hAnsi="宋体" w:eastAsia="宋体" w:cs="华文中宋"/>
          <w:snapToGrid w:val="0"/>
          <w:color w:val="000000"/>
          <w:kern w:val="0"/>
          <w:sz w:val="24"/>
          <w:szCs w:val="24"/>
          <w:lang w:val="en-US" w:eastAsia="zh-CN" w:bidi="ar-SA"/>
        </w:rPr>
        <w:t xml:space="preserve"> 监测结果及分析，各监测指标选取的分析方法及检出限应在报告中明确； </w:t>
      </w:r>
    </w:p>
    <w:p>
      <w:pPr>
        <w:keepNext w:val="0"/>
        <w:keepLines w:val="0"/>
        <w:widowControl/>
        <w:suppressLineNumbers w:val="0"/>
        <w:jc w:val="left"/>
        <w:rPr>
          <w:rFonts w:hint="eastAsia" w:ascii="宋体" w:hAnsi="宋体" w:eastAsia="宋体" w:cs="华文中宋"/>
          <w:snapToGrid w:val="0"/>
          <w:color w:val="000000"/>
          <w:kern w:val="0"/>
          <w:sz w:val="24"/>
          <w:szCs w:val="24"/>
          <w:lang w:val="en-US" w:eastAsia="zh-CN" w:bidi="ar-SA"/>
        </w:rPr>
      </w:pPr>
      <w:r>
        <w:rPr>
          <w:rFonts w:hint="eastAsia" w:cs="华文中宋"/>
          <w:snapToGrid w:val="0"/>
          <w:color w:val="000000"/>
          <w:kern w:val="0"/>
          <w:sz w:val="24"/>
          <w:szCs w:val="24"/>
          <w:lang w:val="en-US" w:eastAsia="zh-CN" w:bidi="ar-SA"/>
        </w:rPr>
        <w:t>4.3</w:t>
      </w:r>
      <w:r>
        <w:rPr>
          <w:rFonts w:hint="eastAsia" w:ascii="宋体" w:hAnsi="宋体" w:eastAsia="宋体" w:cs="华文中宋"/>
          <w:snapToGrid w:val="0"/>
          <w:color w:val="000000"/>
          <w:kern w:val="0"/>
          <w:sz w:val="24"/>
          <w:szCs w:val="24"/>
          <w:lang w:val="en-US" w:eastAsia="zh-CN" w:bidi="ar-SA"/>
        </w:rPr>
        <w:t xml:space="preserve"> 质量保证与质量控制； </w:t>
      </w:r>
    </w:p>
    <w:p>
      <w:pPr>
        <w:keepNext w:val="0"/>
        <w:keepLines w:val="0"/>
        <w:widowControl/>
        <w:suppressLineNumbers w:val="0"/>
        <w:jc w:val="left"/>
        <w:rPr>
          <w:rFonts w:hint="default" w:ascii="宋体" w:hAnsi="宋体" w:eastAsia="宋体" w:cs="华文中宋"/>
          <w:snapToGrid w:val="0"/>
          <w:color w:val="000000"/>
          <w:kern w:val="0"/>
          <w:sz w:val="24"/>
          <w:szCs w:val="24"/>
          <w:lang w:val="en-US" w:eastAsia="zh-CN" w:bidi="ar-SA"/>
        </w:rPr>
      </w:pPr>
      <w:r>
        <w:rPr>
          <w:rFonts w:hint="eastAsia" w:cs="华文中宋"/>
          <w:snapToGrid w:val="0"/>
          <w:color w:val="000000"/>
          <w:kern w:val="0"/>
          <w:sz w:val="24"/>
          <w:szCs w:val="24"/>
          <w:lang w:val="en-US" w:eastAsia="zh-CN" w:bidi="ar-SA"/>
        </w:rPr>
        <w:t xml:space="preserve">4.4 </w:t>
      </w:r>
      <w:r>
        <w:rPr>
          <w:rFonts w:hint="eastAsia" w:ascii="宋体" w:hAnsi="宋体" w:eastAsia="宋体" w:cs="华文中宋"/>
          <w:snapToGrid w:val="0"/>
          <w:color w:val="000000"/>
          <w:kern w:val="0"/>
          <w:sz w:val="24"/>
          <w:szCs w:val="24"/>
          <w:lang w:val="en-US" w:eastAsia="zh-CN" w:bidi="ar-SA"/>
        </w:rPr>
        <w:t xml:space="preserve">企业针对监测结果拟采取的主要措施。 </w:t>
      </w:r>
      <w:r>
        <w:rPr>
          <w:rFonts w:hint="eastAsia" w:ascii="宋体" w:hAnsi="宋体" w:eastAsia="宋体" w:cs="华文中宋"/>
          <w:snapToGrid w:val="0"/>
          <w:color w:val="000000"/>
          <w:kern w:val="0"/>
          <w:sz w:val="24"/>
          <w:szCs w:val="24"/>
          <w:lang w:val="en-US" w:eastAsia="zh-CN" w:bidi="ar-SA"/>
        </w:rPr>
        <w:br w:type="textWrapping"/>
      </w:r>
      <w:r>
        <w:rPr>
          <w:rFonts w:hint="eastAsia" w:cs="华文中宋"/>
          <w:snapToGrid w:val="0"/>
          <w:color w:val="000000"/>
          <w:kern w:val="0"/>
          <w:sz w:val="24"/>
          <w:szCs w:val="24"/>
          <w:lang w:val="en-US" w:eastAsia="zh-CN" w:bidi="ar-SA"/>
        </w:rPr>
        <w:t>4.5</w:t>
      </w:r>
      <w:r>
        <w:rPr>
          <w:rFonts w:hint="eastAsia" w:ascii="宋体" w:hAnsi="宋体" w:eastAsia="宋体" w:cs="华文中宋"/>
          <w:snapToGrid w:val="0"/>
          <w:color w:val="000000"/>
          <w:kern w:val="0"/>
          <w:sz w:val="24"/>
          <w:szCs w:val="24"/>
          <w:lang w:val="en-US" w:eastAsia="zh-CN" w:bidi="ar-SA"/>
        </w:rPr>
        <w:t xml:space="preserve"> 报告编制完成后提供可编辑报告一份，正式盖章版报告3份。</w:t>
      </w:r>
    </w:p>
    <w:p>
      <w:pPr>
        <w:pStyle w:val="2"/>
        <w:rPr>
          <w:rFonts w:asciiTheme="majorEastAsia" w:hAnsiTheme="majorEastAsia" w:eastAsiaTheme="majorEastAsia"/>
          <w:b/>
          <w:sz w:val="21"/>
          <w:szCs w:val="21"/>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p>
      <w:pPr>
        <w:pStyle w:val="53"/>
        <w:spacing w:line="360" w:lineRule="auto"/>
        <w:rPr>
          <w:rFonts w:ascii="宋体" w:hAnsi="宋体" w:eastAsia="宋体"/>
          <w:snapToGrid w:val="0"/>
        </w:rPr>
      </w:pPr>
    </w:p>
    <w:tbl>
      <w:tblPr>
        <w:tblStyle w:val="20"/>
        <w:tblW w:w="1073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33"/>
        <w:gridCol w:w="1416"/>
        <w:gridCol w:w="231"/>
        <w:gridCol w:w="2415"/>
        <w:gridCol w:w="2655"/>
        <w:gridCol w:w="780"/>
        <w:gridCol w:w="675"/>
        <w:gridCol w:w="660"/>
        <w:gridCol w:w="39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37" w:hRule="atLeast"/>
        </w:trPr>
        <w:tc>
          <w:tcPr>
            <w:tcW w:w="1007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algun Gothic" w:hAnsi="Malgun Gothic" w:eastAsia="Malgun Gothic" w:cs="Malgun Gothic"/>
                <w:b/>
                <w:bCs/>
                <w:i w:val="0"/>
                <w:iCs w:val="0"/>
                <w:color w:val="000000"/>
                <w:sz w:val="32"/>
                <w:szCs w:val="32"/>
                <w:u w:val="none"/>
              </w:rPr>
            </w:pPr>
            <w:r>
              <w:rPr>
                <w:rFonts w:hint="eastAsia" w:ascii="Malgun Gothic" w:hAnsi="Malgun Gothic" w:eastAsia="Malgun Gothic" w:cs="Malgun Gothic"/>
                <w:b/>
                <w:bCs/>
                <w:i w:val="0"/>
                <w:iCs w:val="0"/>
                <w:color w:val="000000"/>
                <w:kern w:val="0"/>
                <w:sz w:val="28"/>
                <w:szCs w:val="28"/>
                <w:u w:val="none"/>
                <w:lang w:val="en-US" w:eastAsia="zh-CN" w:bidi="ar"/>
              </w:rPr>
              <w:t>PX</w:t>
            </w:r>
            <w:r>
              <w:rPr>
                <w:rFonts w:hint="eastAsia" w:ascii="宋体" w:hAnsi="宋体" w:eastAsia="宋体" w:cs="宋体"/>
                <w:b/>
                <w:bCs/>
                <w:i w:val="0"/>
                <w:iCs w:val="0"/>
                <w:color w:val="000000"/>
                <w:kern w:val="0"/>
                <w:sz w:val="28"/>
                <w:szCs w:val="28"/>
                <w:u w:val="none"/>
                <w:lang w:val="en-US" w:eastAsia="zh-CN" w:bidi="ar"/>
              </w:rPr>
              <w:t>水气团队三剂到货委外检测产品明细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530" w:hRule="atLeast"/>
        </w:trPr>
        <w:tc>
          <w:tcPr>
            <w:tcW w:w="848" w:type="dxa"/>
            <w:gridSpan w:val="2"/>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C6E0B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265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分析项目</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委外检测频次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Malgun Gothic" w:hAnsi="Malgun Gothic" w:eastAsia="Malgun Gothic" w:cs="Malgun Gothic"/>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次</w:t>
            </w:r>
            <w:r>
              <w:rPr>
                <w:rFonts w:hint="eastAsia" w:ascii="Malgun Gothic" w:hAnsi="Malgun Gothic" w:eastAsia="Malgun Gothic" w:cs="Malgun Gothic"/>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外委</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聚丙烯酰胺（阳离子）</w:t>
            </w:r>
          </w:p>
        </w:tc>
        <w:tc>
          <w:tcPr>
            <w:tcW w:w="2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水处理剂、阳离子型聚丙烯酰胺的技术条件和试验方法（GB/T31246-2014）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阳离子度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1、样品分析频次低，不利于投入设备成本及人员成本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丙烯酰胺单体含量</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溶解时间</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水不溶物</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4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聚丙烯酰胺（阴离子）</w:t>
            </w:r>
          </w:p>
        </w:tc>
        <w:tc>
          <w:tcPr>
            <w:tcW w:w="264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水处理剂  聚丙烯酰胺（GB17514-2008），粉状，合格品</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丙烯酰胺单体含量（干基）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溶解时间（阴离子型）</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溶解时间（非离子型）</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水不溶物</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720" w:hRule="atLeast"/>
        </w:trPr>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除盐水石英砂</w:t>
            </w:r>
          </w:p>
        </w:tc>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石英砂滤料的检测与评价（DLT 336-2010），垫层</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石英砂滤料</w:t>
            </w:r>
            <w:r>
              <w:rPr>
                <w:rStyle w:val="62"/>
                <w:lang w:val="en-US" w:eastAsia="zh-CN" w:bidi="ar"/>
              </w:rPr>
              <w:t>SiO2</w:t>
            </w:r>
            <w:r>
              <w:rPr>
                <w:rFonts w:hint="eastAsia" w:ascii="宋体" w:hAnsi="宋体" w:eastAsia="宋体" w:cs="宋体"/>
                <w:i w:val="0"/>
                <w:iCs w:val="0"/>
                <w:color w:val="000000"/>
                <w:kern w:val="0"/>
                <w:sz w:val="20"/>
                <w:szCs w:val="20"/>
                <w:u w:val="none"/>
                <w:lang w:val="en-US" w:eastAsia="zh-CN" w:bidi="ar"/>
              </w:rPr>
              <w:t>含量</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离子交换树脂</w:t>
            </w:r>
          </w:p>
        </w:tc>
        <w:tc>
          <w:tcPr>
            <w:tcW w:w="2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发电厂水处理用离子交换树脂验收标准（DLT 519-2014）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含水量测定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交换容量的测定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体积交换容量</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湿真密度的测定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湿视密度的测定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6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有效粒径和均一系数、范围粒度、上限粒度和下限粒度的测定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渗磨圆球率的测定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转型膨胀率的测定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有机溶出物的</w:t>
            </w:r>
            <w:r>
              <w:rPr>
                <w:rStyle w:val="63"/>
                <w:lang w:val="en-US" w:eastAsia="zh-CN" w:bidi="ar"/>
              </w:rPr>
              <w:t>测</w:t>
            </w:r>
            <w:r>
              <w:rPr>
                <w:rFonts w:hint="eastAsia" w:ascii="Malgun Gothic" w:hAnsi="Malgun Gothic" w:eastAsia="Malgun Gothic" w:cs="Malgun Gothic"/>
                <w:i w:val="0"/>
                <w:iCs w:val="0"/>
                <w:color w:val="000000"/>
                <w:kern w:val="0"/>
                <w:sz w:val="20"/>
                <w:szCs w:val="20"/>
                <w:u w:val="none"/>
                <w:lang w:val="en-US" w:eastAsia="zh-CN" w:bidi="ar"/>
              </w:rPr>
              <w:t>定</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5</w:t>
            </w:r>
          </w:p>
        </w:tc>
        <w:tc>
          <w:tcPr>
            <w:tcW w:w="14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活性炭</w:t>
            </w:r>
          </w:p>
        </w:tc>
        <w:tc>
          <w:tcPr>
            <w:tcW w:w="264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火力发电厂水处理用活性炭使用导则</w:t>
            </w:r>
            <w:r>
              <w:rPr>
                <w:rFonts w:hint="eastAsia" w:ascii="Malgun Gothic" w:hAnsi="Malgun Gothic" w:eastAsia="Malgun Gothic" w:cs="Malgun Gothic"/>
                <w:i w:val="0"/>
                <w:iCs w:val="0"/>
                <w:color w:val="000000"/>
                <w:kern w:val="0"/>
                <w:sz w:val="20"/>
                <w:szCs w:val="20"/>
                <w:u w:val="none"/>
                <w:lang w:val="en-US" w:eastAsia="zh-CN" w:bidi="ar"/>
              </w:rPr>
              <w:t>（DL-T-582-2016）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吸附性能</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强度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粒度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表</w:t>
            </w:r>
            <w:r>
              <w:rPr>
                <w:rStyle w:val="63"/>
                <w:lang w:val="en-US" w:eastAsia="zh-CN" w:bidi="ar"/>
              </w:rPr>
              <w:t>观</w:t>
            </w:r>
            <w:r>
              <w:rPr>
                <w:rFonts w:hint="eastAsia" w:ascii="Malgun Gothic" w:hAnsi="Malgun Gothic" w:eastAsia="Malgun Gothic" w:cs="Malgun Gothic"/>
                <w:i w:val="0"/>
                <w:iCs w:val="0"/>
                <w:color w:val="000000"/>
                <w:kern w:val="0"/>
                <w:sz w:val="20"/>
                <w:szCs w:val="20"/>
                <w:u w:val="none"/>
                <w:lang w:val="en-US" w:eastAsia="zh-CN" w:bidi="ar"/>
              </w:rPr>
              <w:t>密度</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6</w:t>
            </w:r>
          </w:p>
        </w:tc>
        <w:tc>
          <w:tcPr>
            <w:tcW w:w="141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固体营养盐</w:t>
            </w:r>
          </w:p>
        </w:tc>
        <w:tc>
          <w:tcPr>
            <w:tcW w:w="264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按承包商提供的行业或企业标准执行</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有效物质含量</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活性酶（GB/T 5009.5-2003）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生物絮凝</w:t>
            </w:r>
            <w:r>
              <w:rPr>
                <w:rStyle w:val="63"/>
                <w:lang w:val="en-US" w:eastAsia="zh-CN" w:bidi="ar"/>
              </w:rPr>
              <w:t>剂</w:t>
            </w:r>
            <w:r>
              <w:rPr>
                <w:rFonts w:hint="eastAsia" w:ascii="Malgun Gothic" w:hAnsi="Malgun Gothic" w:eastAsia="Malgun Gothic" w:cs="Malgun Gothic"/>
                <w:i w:val="0"/>
                <w:iCs w:val="0"/>
                <w:color w:val="000000"/>
                <w:kern w:val="0"/>
                <w:sz w:val="20"/>
                <w:szCs w:val="20"/>
                <w:u w:val="none"/>
                <w:lang w:val="en-US" w:eastAsia="zh-CN" w:bidi="ar"/>
              </w:rPr>
              <w:t>(GB29937-2013)</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7</w:t>
            </w:r>
          </w:p>
        </w:tc>
        <w:tc>
          <w:tcPr>
            <w:tcW w:w="14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聚丙烯酰胺（阳离子）</w:t>
            </w:r>
          </w:p>
        </w:tc>
        <w:tc>
          <w:tcPr>
            <w:tcW w:w="264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按承包商提供的行业或企业标准执行</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特性粘度（GB/T 12005.1）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66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丙</w:t>
            </w:r>
            <w:r>
              <w:rPr>
                <w:rStyle w:val="63"/>
                <w:lang w:val="en-US" w:eastAsia="zh-CN" w:bidi="ar"/>
              </w:rPr>
              <w:t>烯酰胺单</w:t>
            </w:r>
            <w:r>
              <w:rPr>
                <w:rFonts w:hint="eastAsia" w:ascii="Malgun Gothic" w:hAnsi="Malgun Gothic" w:eastAsia="Malgun Gothic" w:cs="Malgun Gothic"/>
                <w:i w:val="0"/>
                <w:iCs w:val="0"/>
                <w:color w:val="000000"/>
                <w:kern w:val="0"/>
                <w:sz w:val="20"/>
                <w:szCs w:val="20"/>
                <w:u w:val="none"/>
                <w:lang w:val="en-US" w:eastAsia="zh-CN" w:bidi="ar"/>
              </w:rPr>
              <w:t>体含量（干基）(GB/T 12005.3/4/5）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0" w:type="dxa"/>
          <w:trHeight w:val="400" w:hRule="atLeast"/>
        </w:trPr>
        <w:tc>
          <w:tcPr>
            <w:tcW w:w="848"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Malgun Gothic" w:hAnsi="Malgun Gothic" w:eastAsia="Malgun Gothic" w:cs="Malgun Gothic"/>
                <w:i w:val="0"/>
                <w:iCs w:val="0"/>
                <w:color w:val="000000"/>
                <w:sz w:val="20"/>
                <w:szCs w:val="20"/>
                <w:u w:val="none"/>
              </w:rPr>
            </w:pPr>
          </w:p>
        </w:tc>
        <w:tc>
          <w:tcPr>
            <w:tcW w:w="1416"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4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比重(GB/T 4472）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Malgun Gothic" w:hAnsi="Malgun Gothic" w:eastAsia="Malgun Gothic" w:cs="Malgun Gothic"/>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073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Malgun Gothic" w:hAnsi="Malgun Gothic" w:eastAsia="Malgun Gothic" w:cs="Malgun Gothic"/>
                <w:b/>
                <w:bCs/>
                <w:i w:val="0"/>
                <w:iCs w:val="0"/>
                <w:color w:val="000000"/>
                <w:sz w:val="32"/>
                <w:szCs w:val="32"/>
                <w:u w:val="none"/>
              </w:rPr>
            </w:pPr>
            <w:r>
              <w:rPr>
                <w:rFonts w:hint="eastAsia" w:ascii="Malgun Gothic" w:hAnsi="Malgun Gothic" w:eastAsia="Malgun Gothic" w:cs="Malgun Gothic"/>
                <w:b/>
                <w:bCs/>
                <w:i w:val="0"/>
                <w:iCs w:val="0"/>
                <w:color w:val="000000"/>
                <w:kern w:val="0"/>
                <w:sz w:val="24"/>
                <w:szCs w:val="24"/>
                <w:u w:val="none"/>
                <w:lang w:val="en-US" w:eastAsia="zh-CN" w:bidi="ar"/>
              </w:rPr>
              <w:t>2024</w:t>
            </w:r>
            <w:r>
              <w:rPr>
                <w:rFonts w:hint="eastAsia" w:ascii="宋体" w:hAnsi="宋体" w:eastAsia="宋体" w:cs="宋体"/>
                <w:b/>
                <w:bCs/>
                <w:i w:val="0"/>
                <w:iCs w:val="0"/>
                <w:color w:val="000000"/>
                <w:kern w:val="0"/>
                <w:sz w:val="24"/>
                <w:szCs w:val="24"/>
                <w:u w:val="none"/>
                <w:lang w:val="en-US" w:eastAsia="zh-CN" w:bidi="ar"/>
              </w:rPr>
              <w:t>年热电送检清单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18"/>
                <w:szCs w:val="18"/>
                <w:u w:val="none"/>
              </w:rPr>
            </w:pPr>
            <w:r>
              <w:rPr>
                <w:rFonts w:hint="eastAsia" w:ascii="Malgun Gothic" w:hAnsi="Malgun Gothic" w:eastAsia="Malgun Gothic" w:cs="Malgun Gothic"/>
                <w:b/>
                <w:bCs/>
                <w:i w:val="0"/>
                <w:iCs w:val="0"/>
                <w:color w:val="000000"/>
                <w:kern w:val="0"/>
                <w:sz w:val="18"/>
                <w:szCs w:val="18"/>
                <w:u w:val="none"/>
                <w:lang w:val="en-US" w:eastAsia="zh-CN" w:bidi="ar"/>
              </w:rPr>
              <w:t>序号</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18"/>
                <w:szCs w:val="18"/>
                <w:u w:val="none"/>
              </w:rPr>
            </w:pPr>
            <w:r>
              <w:rPr>
                <w:rFonts w:hint="eastAsia" w:ascii="Malgun Gothic" w:hAnsi="Malgun Gothic" w:eastAsia="Malgun Gothic" w:cs="Malgun Gothic"/>
                <w:b/>
                <w:bCs/>
                <w:i w:val="0"/>
                <w:iCs w:val="0"/>
                <w:color w:val="000000"/>
                <w:kern w:val="0"/>
                <w:sz w:val="18"/>
                <w:szCs w:val="18"/>
                <w:u w:val="none"/>
                <w:lang w:val="en-US" w:eastAsia="zh-CN" w:bidi="ar"/>
              </w:rPr>
              <w:t>送检样品名</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18"/>
                <w:szCs w:val="18"/>
                <w:u w:val="none"/>
              </w:rPr>
            </w:pPr>
            <w:r>
              <w:rPr>
                <w:rFonts w:hint="eastAsia" w:ascii="Malgun Gothic" w:hAnsi="Malgun Gothic" w:eastAsia="Malgun Gothic" w:cs="Malgun Gothic"/>
                <w:b/>
                <w:bCs/>
                <w:i w:val="0"/>
                <w:iCs w:val="0"/>
                <w:color w:val="000000"/>
                <w:kern w:val="0"/>
                <w:sz w:val="18"/>
                <w:szCs w:val="18"/>
                <w:u w:val="none"/>
                <w:lang w:val="en-US" w:eastAsia="zh-CN" w:bidi="ar"/>
              </w:rPr>
              <w:t>送检化验项目</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委外检测频次</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Malgun Gothic" w:hAnsi="Malgun Gothic" w:eastAsia="Malgun Gothic" w:cs="Malgun Gothic"/>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个</w:t>
            </w:r>
            <w:r>
              <w:rPr>
                <w:rFonts w:hint="eastAsia" w:ascii="Malgun Gothic" w:hAnsi="Malgun Gothic" w:eastAsia="Malgun Gothic" w:cs="Malgun Gothic"/>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年</w:t>
            </w:r>
            <w:r>
              <w:rPr>
                <w:rFonts w:hint="eastAsia" w:ascii="Malgun Gothic" w:hAnsi="Malgun Gothic" w:eastAsia="Malgun Gothic" w:cs="Malgun Gothic"/>
                <w:b/>
                <w:bCs/>
                <w:i w:val="0"/>
                <w:iCs w:val="0"/>
                <w:color w:val="000000"/>
                <w:kern w:val="0"/>
                <w:sz w:val="18"/>
                <w:szCs w:val="18"/>
                <w:u w:val="none"/>
                <w:lang w:val="en-US" w:eastAsia="zh-CN" w:bidi="ar"/>
              </w:rPr>
              <w:t>)</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C6E0B4"/>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样品量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0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32"/>
                <w:szCs w:val="32"/>
                <w:u w:val="none"/>
              </w:rPr>
            </w:pPr>
            <w:r>
              <w:rPr>
                <w:rFonts w:hint="eastAsia" w:ascii="Malgun Gothic" w:hAnsi="Malgun Gothic" w:eastAsia="Malgun Gothic" w:cs="Malgun Gothic"/>
                <w:b/>
                <w:bCs/>
                <w:i w:val="0"/>
                <w:iCs w:val="0"/>
                <w:color w:val="000000"/>
                <w:kern w:val="0"/>
                <w:sz w:val="24"/>
                <w:szCs w:val="24"/>
                <w:u w:val="none"/>
                <w:lang w:val="en-US" w:eastAsia="zh-CN" w:bidi="ar"/>
              </w:rPr>
              <w:t>2024年上半年油样送检项目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#1机润滑油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#2机润滑油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#3机润滑油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A给水泵润滑油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5</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B给水泵润滑油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6</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C给水泵润滑油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7</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D给水泵润滑油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8</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E给水泵润滑油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9</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#1汽机EH油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氯含量、自燃点、泡沫特性、空气释放值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#2汽机EH油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氯含量、自燃点、泡沫特性、空气释放值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#3汽机EH油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氯含量、自燃点、泡沫特性、空气释放值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730" w:type="dxa"/>
            <w:gridSpan w:val="11"/>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32"/>
                <w:szCs w:val="32"/>
                <w:u w:val="none"/>
              </w:rPr>
            </w:pPr>
            <w:r>
              <w:rPr>
                <w:rFonts w:hint="eastAsia" w:ascii="Malgun Gothic" w:hAnsi="Malgun Gothic" w:eastAsia="Malgun Gothic" w:cs="Malgun Gothic"/>
                <w:b/>
                <w:bCs/>
                <w:i w:val="0"/>
                <w:iCs w:val="0"/>
                <w:color w:val="000000"/>
                <w:kern w:val="0"/>
                <w:sz w:val="24"/>
                <w:szCs w:val="24"/>
                <w:u w:val="none"/>
                <w:lang w:val="en-US" w:eastAsia="zh-CN" w:bidi="ar"/>
              </w:rPr>
              <w:t>2024年下半年油样送检项目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#1机润滑油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#2机润滑油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#3机润滑油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A给水泵润滑油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5</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B给水泵润滑油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6</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C给水泵润滑油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7</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D给水泵润滑油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8</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E给水泵润滑油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泡沫特性、空气释放值、旋转氧弹值、液相锈蚀、抗氧化剂含量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9</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#1汽机EH油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氯含量、自燃点、泡沫特性、空气释放值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#2汽机EH油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氯含量、自燃点、泡沫特性、空气释放值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#3汽机EH油</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氯含量、自燃点、泡沫特性、空气释放值</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启备变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13</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#1发变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14</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#2发变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15</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#3发变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16</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#1高厂变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17</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#2高厂变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kern w:val="0"/>
                <w:sz w:val="20"/>
                <w:szCs w:val="20"/>
                <w:u w:val="none"/>
                <w:lang w:val="en-US" w:eastAsia="zh-CN" w:bidi="ar"/>
              </w:rPr>
            </w:pPr>
            <w:r>
              <w:rPr>
                <w:rFonts w:hint="eastAsia" w:ascii="Malgun Gothic" w:hAnsi="Malgun Gothic" w:eastAsia="Malgun Gothic" w:cs="Malgun Gothic"/>
                <w:i w:val="0"/>
                <w:iCs w:val="0"/>
                <w:color w:val="000000"/>
                <w:kern w:val="0"/>
                <w:sz w:val="20"/>
                <w:szCs w:val="20"/>
                <w:u w:val="none"/>
                <w:lang w:val="en-US" w:eastAsia="zh-CN" w:bidi="ar"/>
              </w:rPr>
              <w:t>18</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kern w:val="0"/>
                <w:sz w:val="20"/>
                <w:szCs w:val="20"/>
                <w:u w:val="none"/>
                <w:lang w:val="en-US" w:eastAsia="zh-CN" w:bidi="ar"/>
              </w:rPr>
            </w:pPr>
            <w:r>
              <w:rPr>
                <w:rFonts w:hint="eastAsia" w:ascii="Malgun Gothic" w:hAnsi="Malgun Gothic" w:eastAsia="Malgun Gothic" w:cs="Malgun Gothic"/>
                <w:i w:val="0"/>
                <w:iCs w:val="0"/>
                <w:color w:val="000000"/>
                <w:kern w:val="0"/>
                <w:sz w:val="20"/>
                <w:szCs w:val="20"/>
                <w:u w:val="none"/>
                <w:lang w:val="en-US" w:eastAsia="zh-CN" w:bidi="ar"/>
              </w:rPr>
              <w:t>#3高厂变</w:t>
            </w:r>
          </w:p>
        </w:tc>
        <w:tc>
          <w:tcPr>
            <w:tcW w:w="5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kern w:val="0"/>
                <w:sz w:val="20"/>
                <w:szCs w:val="20"/>
                <w:u w:val="none"/>
                <w:lang w:val="en-US" w:eastAsia="zh-CN" w:bidi="ar"/>
              </w:rPr>
            </w:pPr>
            <w:r>
              <w:rPr>
                <w:rFonts w:hint="eastAsia" w:ascii="Malgun Gothic" w:hAnsi="Malgun Gothic" w:eastAsia="Malgun Gothic" w:cs="Malgun Gothic"/>
                <w:i w:val="0"/>
                <w:iCs w:val="0"/>
                <w:color w:val="000000"/>
                <w:kern w:val="0"/>
                <w:sz w:val="20"/>
                <w:szCs w:val="20"/>
                <w:u w:val="none"/>
                <w:lang w:val="en-US" w:eastAsia="zh-CN" w:bidi="ar"/>
              </w:rPr>
              <w:t>腐蚀性硫、抗氧化剂含量、界面张力、介质损耗因素、体积电阻率、击穿电压</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kern w:val="0"/>
                <w:sz w:val="20"/>
                <w:szCs w:val="20"/>
                <w:u w:val="none"/>
                <w:lang w:val="en-US" w:eastAsia="zh-CN" w:bidi="ar"/>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kern w:val="0"/>
                <w:sz w:val="20"/>
                <w:szCs w:val="20"/>
                <w:u w:val="none"/>
                <w:lang w:val="en-US" w:eastAsia="zh-CN" w:bidi="ar"/>
              </w:rPr>
            </w:pPr>
            <w:r>
              <w:rPr>
                <w:rFonts w:hint="eastAsia" w:ascii="Malgun Gothic" w:hAnsi="Malgun Gothic" w:eastAsia="Malgun Gothic" w:cs="Malgun Gothic"/>
                <w:i w:val="0"/>
                <w:iCs w:val="0"/>
                <w:color w:val="000000"/>
                <w:kern w:val="0"/>
                <w:sz w:val="20"/>
                <w:szCs w:val="20"/>
                <w:u w:val="none"/>
                <w:lang w:val="en-US" w:eastAsia="zh-CN" w:bidi="ar"/>
              </w:rPr>
              <w:t>1000ml</w:t>
            </w:r>
          </w:p>
        </w:tc>
      </w:tr>
    </w:tbl>
    <w:p>
      <w:pPr>
        <w:keepNext w:val="0"/>
        <w:keepLines w:val="0"/>
        <w:widowControl/>
        <w:suppressLineNumbers w:val="0"/>
        <w:jc w:val="center"/>
        <w:textAlignment w:val="center"/>
        <w:rPr>
          <w:rFonts w:hint="eastAsia" w:ascii="Malgun Gothic" w:hAnsi="Malgun Gothic" w:eastAsia="Malgun Gothic" w:cs="Malgun Gothic"/>
          <w:i w:val="0"/>
          <w:iCs w:val="0"/>
          <w:color w:val="000000"/>
          <w:kern w:val="0"/>
          <w:sz w:val="20"/>
          <w:szCs w:val="20"/>
          <w:u w:val="none"/>
          <w:lang w:val="en-US" w:eastAsia="zh-CN" w:bidi="ar"/>
        </w:rPr>
        <w:sectPr>
          <w:footerReference r:id="rId3" w:type="default"/>
          <w:pgSz w:w="11910" w:h="16840"/>
          <w:pgMar w:top="1134" w:right="851" w:bottom="1020" w:left="1198" w:header="0" w:footer="550"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20"/>
        <w:tblW w:w="19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900"/>
        <w:gridCol w:w="1680"/>
        <w:gridCol w:w="2175"/>
        <w:gridCol w:w="2325"/>
        <w:gridCol w:w="2115"/>
        <w:gridCol w:w="1245"/>
        <w:gridCol w:w="1140"/>
        <w:gridCol w:w="975"/>
        <w:gridCol w:w="1065"/>
        <w:gridCol w:w="855"/>
        <w:gridCol w:w="600"/>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1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algun Gothic" w:hAnsi="Malgun Gothic" w:eastAsia="Malgun Gothic" w:cs="Malgun Gothic"/>
                <w:b/>
                <w:bCs/>
                <w:i w:val="0"/>
                <w:iCs w:val="0"/>
                <w:color w:val="000000"/>
                <w:sz w:val="32"/>
                <w:szCs w:val="32"/>
                <w:u w:val="none"/>
              </w:rPr>
            </w:pPr>
            <w:r>
              <w:rPr>
                <w:rFonts w:hint="eastAsia" w:ascii="Malgun Gothic" w:hAnsi="Malgun Gothic" w:eastAsia="Malgun Gothic" w:cs="Malgun Gothic"/>
                <w:b/>
                <w:bCs/>
                <w:i w:val="0"/>
                <w:iCs w:val="0"/>
                <w:color w:val="000000"/>
                <w:kern w:val="0"/>
                <w:sz w:val="32"/>
                <w:szCs w:val="32"/>
                <w:u w:val="none"/>
                <w:lang w:val="en-US" w:eastAsia="zh-CN" w:bidi="ar"/>
              </w:rPr>
              <w:t>2024</w:t>
            </w:r>
            <w:r>
              <w:rPr>
                <w:rFonts w:hint="eastAsia" w:ascii="宋体" w:hAnsi="宋体" w:eastAsia="宋体" w:cs="宋体"/>
                <w:b/>
                <w:bCs/>
                <w:i w:val="0"/>
                <w:iCs w:val="0"/>
                <w:color w:val="000000"/>
                <w:kern w:val="0"/>
                <w:sz w:val="32"/>
                <w:szCs w:val="32"/>
                <w:u w:val="none"/>
                <w:lang w:val="en-US" w:eastAsia="zh-CN" w:bidi="ar"/>
              </w:rPr>
              <w:t>年环保外委分析样品项目清单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660" w:hRule="atLeast"/>
        </w:trPr>
        <w:tc>
          <w:tcPr>
            <w:tcW w:w="499" w:type="dxa"/>
            <w:tcBorders>
              <w:top w:val="nil"/>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序号</w:t>
            </w:r>
          </w:p>
        </w:tc>
        <w:tc>
          <w:tcPr>
            <w:tcW w:w="900"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污染物类别</w:t>
            </w:r>
          </w:p>
        </w:tc>
        <w:tc>
          <w:tcPr>
            <w:tcW w:w="1680"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排放口名称</w:t>
            </w:r>
          </w:p>
        </w:tc>
        <w:tc>
          <w:tcPr>
            <w:tcW w:w="217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监测内容</w:t>
            </w:r>
          </w:p>
        </w:tc>
        <w:tc>
          <w:tcPr>
            <w:tcW w:w="232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污染物名称</w:t>
            </w:r>
          </w:p>
        </w:tc>
        <w:tc>
          <w:tcPr>
            <w:tcW w:w="211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许可排放浓度限值</w:t>
            </w:r>
          </w:p>
        </w:tc>
        <w:tc>
          <w:tcPr>
            <w:tcW w:w="124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监测方法</w:t>
            </w:r>
          </w:p>
        </w:tc>
        <w:tc>
          <w:tcPr>
            <w:tcW w:w="1140"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监测频次</w:t>
            </w:r>
          </w:p>
        </w:tc>
        <w:tc>
          <w:tcPr>
            <w:tcW w:w="97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kern w:val="0"/>
                <w:sz w:val="18"/>
                <w:szCs w:val="18"/>
                <w:u w:val="none"/>
                <w:lang w:val="en-US" w:eastAsia="zh-CN" w:bidi="ar"/>
              </w:rPr>
            </w:pPr>
            <w:r>
              <w:rPr>
                <w:rFonts w:hint="eastAsia" w:ascii="Malgun Gothic" w:hAnsi="Malgun Gothic" w:eastAsia="Malgun Gothic" w:cs="Malgun Gothic"/>
                <w:b/>
                <w:bCs/>
                <w:i w:val="0"/>
                <w:iCs w:val="0"/>
                <w:color w:val="000000"/>
                <w:kern w:val="0"/>
                <w:sz w:val="18"/>
                <w:szCs w:val="18"/>
                <w:u w:val="none"/>
                <w:lang w:val="en-US" w:eastAsia="zh-CN" w:bidi="ar"/>
              </w:rPr>
              <w:t>样品个数</w:t>
            </w:r>
          </w:p>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18"/>
                <w:szCs w:val="18"/>
                <w:u w:val="none"/>
                <w:lang w:val="en-US" w:eastAsia="zh-CN" w:bidi="ar"/>
              </w:rPr>
              <w:t>（个）</w:t>
            </w:r>
          </w:p>
        </w:tc>
        <w:tc>
          <w:tcPr>
            <w:tcW w:w="106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kern w:val="0"/>
                <w:sz w:val="18"/>
                <w:szCs w:val="18"/>
                <w:u w:val="none"/>
                <w:lang w:val="en-US" w:eastAsia="zh-CN" w:bidi="ar"/>
              </w:rPr>
            </w:pPr>
            <w:r>
              <w:rPr>
                <w:rFonts w:hint="eastAsia" w:ascii="Malgun Gothic" w:hAnsi="Malgun Gothic" w:eastAsia="Malgun Gothic" w:cs="Malgun Gothic"/>
                <w:b/>
                <w:bCs/>
                <w:i w:val="0"/>
                <w:iCs w:val="0"/>
                <w:color w:val="000000"/>
                <w:kern w:val="0"/>
                <w:sz w:val="18"/>
                <w:szCs w:val="18"/>
                <w:u w:val="none"/>
                <w:lang w:val="en-US" w:eastAsia="zh-CN" w:bidi="ar"/>
              </w:rPr>
              <w:t>外委</w:t>
            </w:r>
          </w:p>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18"/>
                <w:szCs w:val="18"/>
                <w:u w:val="none"/>
                <w:lang w:val="en-US" w:eastAsia="zh-CN" w:bidi="ar"/>
              </w:rPr>
              <w:t>频次</w:t>
            </w:r>
          </w:p>
        </w:tc>
        <w:tc>
          <w:tcPr>
            <w:tcW w:w="855"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18"/>
                <w:szCs w:val="18"/>
                <w:u w:val="none"/>
                <w:lang w:val="en-US" w:eastAsia="zh-CN" w:bidi="ar"/>
              </w:rPr>
              <w:t>外委总数（个/年）</w:t>
            </w:r>
          </w:p>
        </w:tc>
        <w:tc>
          <w:tcPr>
            <w:tcW w:w="600" w:type="dxa"/>
            <w:tcBorders>
              <w:top w:val="nil"/>
              <w:left w:val="single" w:color="000000" w:sz="4" w:space="0"/>
              <w:bottom w:val="single" w:color="000000" w:sz="4" w:space="0"/>
              <w:right w:val="single" w:color="000000" w:sz="4" w:space="0"/>
            </w:tcBorders>
            <w:shd w:val="clear" w:color="auto" w:fill="D8E4BC"/>
            <w:vAlign w:val="center"/>
          </w:tcPr>
          <w:p>
            <w:pPr>
              <w:keepNext w:val="0"/>
              <w:keepLines w:val="0"/>
              <w:widowControl/>
              <w:suppressLineNumbers w:val="0"/>
              <w:jc w:val="center"/>
              <w:textAlignment w:val="center"/>
              <w:rPr>
                <w:rFonts w:hint="eastAsia" w:ascii="Malgun Gothic" w:hAnsi="Malgun Gothic" w:eastAsia="Malgun Gothic" w:cs="Malgun Gothic"/>
                <w:b/>
                <w:bCs/>
                <w:i w:val="0"/>
                <w:iCs w:val="0"/>
                <w:color w:val="000000"/>
                <w:sz w:val="22"/>
                <w:szCs w:val="22"/>
                <w:u w:val="none"/>
              </w:rPr>
            </w:pPr>
            <w:r>
              <w:rPr>
                <w:rFonts w:hint="eastAsia" w:ascii="Malgun Gothic" w:hAnsi="Malgun Gothic" w:eastAsia="Malgun Gothic" w:cs="Malgun Gothic"/>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58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废气</w:t>
            </w:r>
          </w:p>
        </w:tc>
        <w:tc>
          <w:tcPr>
            <w:tcW w:w="168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厂界</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按照《HJ/T 55-2000 大气污染物无组织排放监测技术导则》采样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厂界-臭气浓度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≤20（无量纲）</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GB/T 14675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1次/季度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PX</w:t>
            </w:r>
            <w:bookmarkStart w:id="9" w:name="_GoBack"/>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29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Malgun Gothic" w:hAnsi="Malgun Gothic" w:eastAsia="Malgun Gothic" w:cs="Malgun Gothic"/>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168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厂界-苯并[a]芘</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≤0.000008mg/m3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GB/T 15439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1次/年</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919"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废水</w:t>
            </w:r>
          </w:p>
        </w:tc>
        <w:tc>
          <w:tcPr>
            <w:tcW w:w="1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腾龙芳烃废水总排口</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w:t>
            </w:r>
          </w:p>
        </w:tc>
        <w:tc>
          <w:tcPr>
            <w:tcW w:w="23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废水总排口-可吸附有机卤化物</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≤1mg/L</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HJ/T 83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75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Malgun Gothic" w:hAnsi="Malgun Gothic" w:eastAsia="Malgun Gothic" w:cs="Malgun Gothic"/>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Malgun Gothic" w:hAnsi="Malgun Gothic" w:eastAsia="Malgun Gothic" w:cs="Malgun Gothic"/>
                <w:i w:val="0"/>
                <w:iCs w:val="0"/>
                <w:color w:val="000000"/>
                <w:sz w:val="20"/>
                <w:szCs w:val="20"/>
                <w:u w:val="none"/>
              </w:rPr>
            </w:pPr>
          </w:p>
        </w:tc>
        <w:tc>
          <w:tcPr>
            <w:tcW w:w="1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Malgun Gothic" w:hAnsi="Malgun Gothic" w:eastAsia="Malgun Gothic" w:cs="Malgun Gothic"/>
                <w:i w:val="0"/>
                <w:iCs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废水总排口-总氰化物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mg/L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GB/T 7470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9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凝析油分离装置电脱盐废水排放口-烷基汞</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烷基汞</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检不出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GB/T 14204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1次/半年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58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废气</w:t>
            </w:r>
          </w:p>
        </w:tc>
        <w:tc>
          <w:tcPr>
            <w:tcW w:w="168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厂界</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按照《HJ/T 55-2000 大气污染物无组织排放监测技术导则》采样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厂界-臭气浓度</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≤20（无量纲）</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GB/T 14675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1次/季度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11" w:type="dxa"/>
          <w:trHeight w:val="73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Malgun Gothic" w:hAnsi="Malgun Gothic" w:eastAsia="Malgun Gothic" w:cs="Malgun Gothic"/>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168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Malgun Gothic" w:hAnsi="Malgun Gothic" w:eastAsia="Malgun Gothic" w:cs="Malgun Gothic"/>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厂界-苯并[a]芘</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≤0.000008mg/m3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GB/T 15439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1次/年</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6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排放水中-三溴甲烷</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Malgun Gothic" w:hAnsi="Malgun Gothic" w:eastAsia="Malgun Gothic" w:cs="Malgun Gothic"/>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三溴甲烷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Malgun Gothic" w:hAnsi="Malgun Gothic" w:eastAsia="Malgun Gothic" w:cs="Malgun Gothic"/>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HJ 639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11" w:type="dxa"/>
          <w:trHeight w:val="67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废水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排放水中-吸附-有机卤代烃测定</w:t>
            </w:r>
          </w:p>
        </w:tc>
        <w:tc>
          <w:tcPr>
            <w:tcW w:w="2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Malgun Gothic" w:hAnsi="Malgun Gothic" w:eastAsia="Malgun Gothic" w:cs="Malgun Gothic"/>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有机卤代烃测定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Malgun Gothic" w:hAnsi="Malgun Gothic" w:eastAsia="Malgun Gothic" w:cs="Malgun Gothic"/>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HJ/T 83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1次/月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12次/年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Malgun Gothic" w:hAnsi="Malgun Gothic" w:eastAsia="Malgun Gothic" w:cs="Malgun Gothic"/>
                <w:i w:val="0"/>
                <w:iCs w:val="0"/>
                <w:color w:val="000000"/>
                <w:sz w:val="20"/>
                <w:szCs w:val="20"/>
                <w:u w:val="none"/>
              </w:rPr>
            </w:pPr>
            <w:r>
              <w:rPr>
                <w:rFonts w:hint="eastAsia" w:ascii="Malgun Gothic" w:hAnsi="Malgun Gothic" w:eastAsia="Malgun Gothic" w:cs="Malgun Gothic"/>
                <w:i w:val="0"/>
                <w:iCs w:val="0"/>
                <w:color w:val="000000"/>
                <w:kern w:val="0"/>
                <w:sz w:val="20"/>
                <w:szCs w:val="20"/>
                <w:u w:val="none"/>
                <w:lang w:val="en-US" w:eastAsia="zh-CN" w:bidi="ar"/>
              </w:rPr>
              <w:t>PTA</w:t>
            </w:r>
          </w:p>
        </w:tc>
      </w:tr>
    </w:tbl>
    <w:p>
      <w:pPr>
        <w:pStyle w:val="2"/>
        <w:rPr>
          <w:rFonts w:hint="eastAsia" w:hAnsi="宋体"/>
          <w:snapToGrid w:val="0"/>
        </w:rPr>
      </w:pPr>
      <w:r>
        <w:rPr>
          <w:rFonts w:hint="eastAsia" w:hAnsi="宋体"/>
          <w:snapToGrid w:val="0"/>
        </w:rPr>
        <w:t xml:space="preserve">     </w:t>
      </w:r>
    </w:p>
    <w:p>
      <w:pPr>
        <w:pStyle w:val="2"/>
        <w:rPr>
          <w:rFonts w:hint="eastAsia" w:hAnsi="宋体"/>
          <w:snapToGrid w:val="0"/>
        </w:rPr>
      </w:pPr>
    </w:p>
    <w:p>
      <w:pPr>
        <w:pStyle w:val="2"/>
        <w:rPr>
          <w:b/>
          <w:sz w:val="28"/>
          <w:szCs w:val="28"/>
        </w:rPr>
      </w:pPr>
      <w:r>
        <w:rPr>
          <w:rFonts w:hint="eastAsia" w:hAnsi="宋体"/>
          <w:snapToGrid w:val="0"/>
        </w:rPr>
        <w:t xml:space="preserve">                             </w:t>
      </w:r>
      <w:r>
        <w:rPr>
          <w:rFonts w:hAnsi="宋体"/>
          <w:snapToGrid w:val="0"/>
        </w:rPr>
        <w:t xml:space="preserve"> </w:t>
      </w:r>
    </w:p>
    <w:tbl>
      <w:tblPr>
        <w:tblStyle w:val="20"/>
        <w:tblW w:w="12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900"/>
        <w:gridCol w:w="5119"/>
        <w:gridCol w:w="1665"/>
        <w:gridCol w:w="4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8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65" w:type="dxa"/>
            <w:tcBorders>
              <w:top w:val="nil"/>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00" w:type="dxa"/>
            <w:tcBorders>
              <w:top w:val="nil"/>
              <w:left w:val="single" w:color="000000" w:sz="8" w:space="0"/>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样品类型</w:t>
            </w:r>
          </w:p>
        </w:tc>
        <w:tc>
          <w:tcPr>
            <w:tcW w:w="5119" w:type="dxa"/>
            <w:tcBorders>
              <w:top w:val="nil"/>
              <w:left w:val="nil"/>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监测项目（包括但不限于下列项目）</w:t>
            </w:r>
          </w:p>
        </w:tc>
        <w:tc>
          <w:tcPr>
            <w:tcW w:w="1665" w:type="dxa"/>
            <w:tcBorders>
              <w:top w:val="nil"/>
              <w:left w:val="nil"/>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监测频率</w:t>
            </w:r>
          </w:p>
        </w:tc>
        <w:tc>
          <w:tcPr>
            <w:tcW w:w="4380" w:type="dxa"/>
            <w:tcBorders>
              <w:top w:val="nil"/>
              <w:left w:val="nil"/>
              <w:bottom w:val="single" w:color="000000" w:sz="8" w:space="0"/>
              <w:right w:val="single" w:color="000000" w:sz="8"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采样</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5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COD</w:t>
            </w:r>
            <w:r>
              <w:rPr>
                <w:rFonts w:hint="eastAsia" w:ascii="宋体" w:hAnsi="宋体" w:eastAsia="宋体" w:cs="宋体"/>
                <w:i w:val="0"/>
                <w:iCs w:val="0"/>
                <w:color w:val="000000"/>
                <w:kern w:val="0"/>
                <w:sz w:val="21"/>
                <w:szCs w:val="21"/>
                <w:u w:val="none"/>
                <w:lang w:val="en-US" w:eastAsia="zh-CN" w:bidi="ar"/>
              </w:rPr>
              <w:t>、氨氮、石油类、</w:t>
            </w:r>
            <w:r>
              <w:rPr>
                <w:rFonts w:hint="default" w:ascii="Times New Roman" w:hAnsi="Times New Roman" w:eastAsia="宋体" w:cs="Times New Roman"/>
                <w:i w:val="0"/>
                <w:iCs w:val="0"/>
                <w:color w:val="000000"/>
                <w:kern w:val="0"/>
                <w:sz w:val="21"/>
                <w:szCs w:val="21"/>
                <w:u w:val="none"/>
                <w:lang w:val="en-US" w:eastAsia="zh-CN" w:bidi="ar"/>
              </w:rPr>
              <w:t>pH</w:t>
            </w:r>
            <w:r>
              <w:rPr>
                <w:rFonts w:hint="eastAsia" w:ascii="宋体" w:hAnsi="宋体" w:eastAsia="宋体" w:cs="宋体"/>
                <w:i w:val="0"/>
                <w:iCs w:val="0"/>
                <w:color w:val="000000"/>
                <w:kern w:val="0"/>
                <w:sz w:val="21"/>
                <w:szCs w:val="21"/>
                <w:u w:val="none"/>
                <w:lang w:val="en-US" w:eastAsia="zh-CN" w:bidi="ar"/>
              </w:rPr>
              <w:t>、悬浮物、总磷、硫化物、挥发酚、</w:t>
            </w:r>
            <w:r>
              <w:rPr>
                <w:rFonts w:hint="default" w:ascii="Times New Roman" w:hAnsi="Times New Roman" w:eastAsia="宋体" w:cs="Times New Roman"/>
                <w:i w:val="0"/>
                <w:iCs w:val="0"/>
                <w:color w:val="000000"/>
                <w:kern w:val="0"/>
                <w:sz w:val="21"/>
                <w:szCs w:val="21"/>
                <w:u w:val="none"/>
                <w:lang w:val="en-US" w:eastAsia="zh-CN" w:bidi="ar"/>
              </w:rPr>
              <w:t>BOD5</w:t>
            </w:r>
            <w:r>
              <w:rPr>
                <w:rFonts w:hint="eastAsia" w:ascii="宋体" w:hAnsi="宋体" w:eastAsia="宋体" w:cs="宋体"/>
                <w:i w:val="0"/>
                <w:iCs w:val="0"/>
                <w:color w:val="000000"/>
                <w:kern w:val="0"/>
                <w:sz w:val="21"/>
                <w:szCs w:val="21"/>
                <w:u w:val="none"/>
                <w:lang w:val="en-US" w:eastAsia="zh-CN" w:bidi="ar"/>
              </w:rPr>
              <w:t>、总有机碳、氟化物、总钒、铜、锌、总氰化物、可吸附有机卤化物、苯、甲苯、乙苯、二甲苯、汞、铅、烷基汞、砷、镉</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按需(单次报价，据实结算)</w:t>
            </w:r>
          </w:p>
        </w:tc>
        <w:tc>
          <w:tcPr>
            <w:tcW w:w="4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监测分析方法应选用国家标准或环保行业标准，如选用其他方法，需符合国家相关标准要求。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固定污染源废气</w:t>
            </w:r>
          </w:p>
        </w:tc>
        <w:tc>
          <w:tcPr>
            <w:tcW w:w="5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氮氧化物、二氧化硫、颗粒物、烟气参数，硫化氢、甲硫醇、乙硫醇、苯、甲苯、乙苯、二甲苯、臭气、氯化氢、非甲烷总烃、氨气</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按需(单次报价，据实结算)</w:t>
            </w:r>
          </w:p>
        </w:tc>
        <w:tc>
          <w:tcPr>
            <w:tcW w:w="4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采样方法符合</w:t>
            </w:r>
            <w:r>
              <w:rPr>
                <w:rFonts w:hint="default" w:ascii="Times New Roman" w:hAnsi="Times New Roman" w:eastAsia="宋体" w:cs="Times New Roman"/>
                <w:i w:val="0"/>
                <w:iCs w:val="0"/>
                <w:color w:val="000000"/>
                <w:kern w:val="0"/>
                <w:sz w:val="21"/>
                <w:szCs w:val="21"/>
                <w:u w:val="none"/>
                <w:lang w:val="en-US" w:eastAsia="zh-CN" w:bidi="ar"/>
              </w:rPr>
              <w:t>HJ /T 397</w:t>
            </w:r>
            <w:r>
              <w:rPr>
                <w:rFonts w:hint="eastAsia" w:ascii="宋体" w:hAnsi="宋体" w:eastAsia="宋体" w:cs="宋体"/>
                <w:i w:val="0"/>
                <w:iCs w:val="0"/>
                <w:color w:val="000000"/>
                <w:kern w:val="0"/>
                <w:sz w:val="21"/>
                <w:szCs w:val="21"/>
                <w:u w:val="none"/>
                <w:lang w:val="en-US" w:eastAsia="zh-CN" w:bidi="ar"/>
              </w:rPr>
              <w:t>要求，分析方法应选用国家标准或环保行业标准。如选用其他方法，需符合国家相关标准要求。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7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无组织废气</w:t>
            </w:r>
          </w:p>
        </w:tc>
        <w:tc>
          <w:tcPr>
            <w:tcW w:w="5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总悬浮颗粒物、苯、甲苯、乙苯、二甲苯、臭气、氯化氢、非甲烷总烃、氨气、硫化氢、甲硫醇、乙硫醇、苯并</w:t>
            </w: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芘</w:t>
            </w:r>
          </w:p>
        </w:tc>
        <w:tc>
          <w:tcPr>
            <w:tcW w:w="16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按需(单次报价，据实结算)</w:t>
            </w:r>
          </w:p>
        </w:tc>
        <w:tc>
          <w:tcPr>
            <w:tcW w:w="4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采样方法符合</w:t>
            </w:r>
            <w:r>
              <w:rPr>
                <w:rFonts w:hint="default" w:ascii="Times New Roman" w:hAnsi="Times New Roman" w:eastAsia="宋体" w:cs="Times New Roman"/>
                <w:i w:val="0"/>
                <w:iCs w:val="0"/>
                <w:color w:val="000000"/>
                <w:kern w:val="0"/>
                <w:sz w:val="21"/>
                <w:szCs w:val="21"/>
                <w:u w:val="none"/>
                <w:lang w:val="en-US" w:eastAsia="zh-CN" w:bidi="ar"/>
              </w:rPr>
              <w:t xml:space="preserve"> HJ/T 55</w:t>
            </w:r>
            <w:r>
              <w:rPr>
                <w:rFonts w:hint="eastAsia" w:ascii="宋体" w:hAnsi="宋体" w:eastAsia="宋体" w:cs="宋体"/>
                <w:i w:val="0"/>
                <w:iCs w:val="0"/>
                <w:color w:val="000000"/>
                <w:kern w:val="0"/>
                <w:sz w:val="21"/>
                <w:szCs w:val="21"/>
                <w:u w:val="none"/>
                <w:lang w:val="en-US" w:eastAsia="zh-CN" w:bidi="ar"/>
              </w:rPr>
              <w:t>要求，分析方法应选用国家标准或环保行业标准。如选用其他方法，需符合国家相关标准要求。</w:t>
            </w:r>
          </w:p>
        </w:tc>
      </w:tr>
    </w:tbl>
    <w:p>
      <w:pPr>
        <w:pStyle w:val="2"/>
        <w:rPr>
          <w:b/>
          <w:sz w:val="28"/>
          <w:szCs w:val="28"/>
        </w:rPr>
      </w:pPr>
    </w:p>
    <w:p>
      <w:pPr>
        <w:pStyle w:val="2"/>
        <w:rPr>
          <w:rFonts w:hint="eastAsia"/>
        </w:rPr>
      </w:pPr>
    </w:p>
    <w:p>
      <w:pPr>
        <w:pStyle w:val="2"/>
        <w:rPr>
          <w:rFonts w:hint="eastAsia"/>
        </w:rPr>
        <w:sectPr>
          <w:pgSz w:w="16840" w:h="11910" w:orient="landscape"/>
          <w:pgMar w:top="1196" w:right="1134" w:bottom="850" w:left="1134" w:header="0" w:footer="550" w:gutter="0"/>
          <w:pgBorders>
            <w:top w:val="none" w:sz="0" w:space="0"/>
            <w:left w:val="none" w:sz="0" w:space="0"/>
            <w:bottom w:val="none" w:sz="0" w:space="0"/>
            <w:right w:val="none" w:sz="0" w:space="0"/>
          </w:pgBorders>
          <w:pgNumType w:fmt="decimal"/>
          <w:cols w:space="0" w:num="1"/>
          <w:rtlGutter w:val="0"/>
          <w:docGrid w:type="lines" w:linePitch="318" w:charSpace="0"/>
        </w:sect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r>
        <w:rPr>
          <w:rFonts w:hint="eastAsia"/>
          <w:b/>
          <w:sz w:val="28"/>
          <w:szCs w:val="28"/>
        </w:rPr>
        <w:t>一、</w:t>
      </w: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lang w:eastAsia="zh-CN"/>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840" w:firstLineChars="160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pStyle w:val="2"/>
        <w:rPr>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环保</w:t>
      </w:r>
      <w:r>
        <w:rPr>
          <w:rFonts w:hint="eastAsia"/>
          <w:sz w:val="24"/>
          <w:szCs w:val="24"/>
          <w:u w:val="single"/>
          <w:shd w:val="clear" w:color="auto" w:fill="FFFFFF"/>
          <w:lang w:eastAsia="zh-CN"/>
        </w:rPr>
        <w:t>气样、水样、土壤及热电厂油样</w:t>
      </w:r>
      <w:r>
        <w:rPr>
          <w:rFonts w:hint="eastAsia"/>
          <w:sz w:val="24"/>
          <w:szCs w:val="24"/>
          <w:u w:val="single"/>
          <w:shd w:val="clear" w:color="auto" w:fill="FFFFFF"/>
          <w:lang w:val="en-US" w:eastAsia="zh-CN"/>
        </w:rPr>
        <w:t>及</w:t>
      </w:r>
      <w:r>
        <w:rPr>
          <w:rFonts w:hint="eastAsia"/>
          <w:sz w:val="24"/>
          <w:szCs w:val="24"/>
          <w:u w:val="single"/>
          <w:shd w:val="clear" w:color="auto" w:fill="FFFFFF"/>
          <w:lang w:eastAsia="zh-CN"/>
        </w:rPr>
        <w:t>公用水气三剂分析年度检测</w:t>
      </w:r>
      <w:r>
        <w:rPr>
          <w:rFonts w:hint="eastAsia" w:asciiTheme="majorEastAsia" w:hAnsiTheme="majorEastAsia" w:eastAsiaTheme="majorEastAsia"/>
          <w:sz w:val="24"/>
          <w:szCs w:val="24"/>
          <w:u w:val="single"/>
          <w:lang w:eastAsia="zh-CN"/>
        </w:rPr>
        <w:t>项目(□包段I,□包段II，□包段III，□包段I</w:t>
      </w:r>
      <w:r>
        <w:rPr>
          <w:rFonts w:hint="eastAsia" w:asciiTheme="majorEastAsia" w:hAnsiTheme="majorEastAsia" w:eastAsiaTheme="majorEastAsia"/>
          <w:sz w:val="24"/>
          <w:szCs w:val="24"/>
          <w:u w:val="single"/>
          <w:lang w:val="en-US" w:eastAsia="zh-CN"/>
        </w:rPr>
        <w:t>V</w:t>
      </w:r>
      <w:r>
        <w:rPr>
          <w:rFonts w:hint="eastAsia" w:asciiTheme="majorEastAsia" w:hAnsiTheme="majorEastAsia" w:eastAsiaTheme="majorEastAsia"/>
          <w:sz w:val="24"/>
          <w:szCs w:val="24"/>
          <w:u w:val="single"/>
          <w:lang w:eastAsia="zh-CN"/>
        </w:rPr>
        <w:t>）</w:t>
      </w:r>
      <w:r>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u w:val="single"/>
          <w:lang w:val="en-US" w:eastAsia="zh-CN"/>
        </w:rPr>
        <w:t>2024~2025年度</w:t>
      </w:r>
      <w:r>
        <w:rPr>
          <w:rFonts w:hint="eastAsia" w:asciiTheme="majorEastAsia" w:hAnsiTheme="majorEastAsia" w:eastAsiaTheme="majorEastAsia"/>
          <w:sz w:val="24"/>
          <w:szCs w:val="24"/>
          <w:u w:val="single"/>
          <w:lang w:eastAsia="zh-CN"/>
        </w:rPr>
        <w:t>环保</w:t>
      </w:r>
      <w:r>
        <w:rPr>
          <w:rFonts w:hint="eastAsia"/>
          <w:sz w:val="24"/>
          <w:szCs w:val="24"/>
          <w:u w:val="single"/>
          <w:shd w:val="clear" w:color="auto" w:fill="FFFFFF"/>
          <w:lang w:eastAsia="zh-CN"/>
        </w:rPr>
        <w:t>气样、水样、土壤及热电厂油样</w:t>
      </w:r>
      <w:r>
        <w:rPr>
          <w:rFonts w:hint="eastAsia"/>
          <w:sz w:val="24"/>
          <w:szCs w:val="24"/>
          <w:u w:val="single"/>
          <w:shd w:val="clear" w:color="auto" w:fill="FFFFFF"/>
          <w:lang w:val="en-US" w:eastAsia="zh-CN"/>
        </w:rPr>
        <w:t>及</w:t>
      </w:r>
      <w:r>
        <w:rPr>
          <w:rFonts w:hint="eastAsia"/>
          <w:sz w:val="24"/>
          <w:szCs w:val="24"/>
          <w:u w:val="single"/>
          <w:shd w:val="clear" w:color="auto" w:fill="FFFFFF"/>
          <w:lang w:eastAsia="zh-CN"/>
        </w:rPr>
        <w:t>公用水气三剂分析年度检测</w:t>
      </w:r>
      <w:r>
        <w:rPr>
          <w:rFonts w:hint="eastAsia" w:asciiTheme="majorEastAsia" w:hAnsiTheme="majorEastAsia" w:eastAsiaTheme="majorEastAsia"/>
          <w:sz w:val="24"/>
          <w:szCs w:val="24"/>
          <w:u w:val="single"/>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8"/>
        <w:spacing w:beforeLines="0" w:afterLines="0" w:line="240" w:lineRule="auto"/>
        <w:ind w:firstLine="562"/>
        <w:rPr>
          <w:rFonts w:cs="Times New Roman"/>
          <w:b/>
          <w:bCs w:val="0"/>
          <w:lang w:eastAsia="zh-CN"/>
        </w:rPr>
      </w:pPr>
      <w:r>
        <w:rPr>
          <w:rFonts w:hint="eastAsia" w:cs="Times New Roman"/>
          <w:b/>
          <w:bCs w:val="0"/>
          <w:lang w:eastAsia="zh-CN"/>
        </w:rPr>
        <w:t>五、</w:t>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8"/>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8"/>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环保</w:t>
      </w:r>
      <w:r>
        <w:rPr>
          <w:rFonts w:hint="eastAsia"/>
          <w:sz w:val="24"/>
          <w:szCs w:val="24"/>
          <w:u w:val="single"/>
          <w:shd w:val="clear" w:color="auto" w:fill="FFFFFF"/>
          <w:lang w:eastAsia="zh-CN"/>
        </w:rPr>
        <w:t>气样、水样、土壤、热电厂油样</w:t>
      </w:r>
      <w:r>
        <w:rPr>
          <w:rFonts w:hint="eastAsia"/>
          <w:sz w:val="24"/>
          <w:szCs w:val="24"/>
          <w:u w:val="single"/>
          <w:shd w:val="clear" w:color="auto" w:fill="FFFFFF"/>
          <w:lang w:val="en-US" w:eastAsia="zh-CN"/>
        </w:rPr>
        <w:t>及</w:t>
      </w:r>
      <w:r>
        <w:rPr>
          <w:rFonts w:hint="eastAsia"/>
          <w:sz w:val="24"/>
          <w:szCs w:val="24"/>
          <w:u w:val="single"/>
          <w:shd w:val="clear" w:color="auto" w:fill="FFFFFF"/>
          <w:lang w:eastAsia="zh-CN"/>
        </w:rPr>
        <w:t>公用水气三剂分析年度检测</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参选报价：□包段I</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 xml:space="preserve">/年，两年共计人民币 </w:t>
      </w:r>
      <w:r>
        <w:rPr>
          <w:rFonts w:hint="eastAsia"/>
          <w:sz w:val="24"/>
          <w:szCs w:val="24"/>
          <w:u w:val="single"/>
          <w:lang w:val="en-US" w:eastAsia="zh-CN"/>
        </w:rPr>
        <w:t xml:space="preserve">               元</w:t>
      </w:r>
      <w:r>
        <w:rPr>
          <w:rFonts w:hint="eastAsia"/>
          <w:sz w:val="24"/>
          <w:szCs w:val="24"/>
          <w:lang w:eastAsia="zh-CN"/>
        </w:rPr>
        <w:t>；</w:t>
      </w:r>
    </w:p>
    <w:p>
      <w:pPr>
        <w:pStyle w:val="2"/>
        <w:spacing w:line="360" w:lineRule="auto"/>
        <w:ind w:left="1680" w:hanging="1680" w:hangingChars="700"/>
        <w:rPr>
          <w:rFonts w:hint="eastAsia"/>
          <w:sz w:val="24"/>
          <w:szCs w:val="24"/>
          <w:lang w:eastAsia="zh-CN"/>
        </w:rPr>
      </w:pPr>
      <w:r>
        <w:rPr>
          <w:rFonts w:hint="eastAsia"/>
          <w:sz w:val="24"/>
          <w:szCs w:val="24"/>
        </w:rPr>
        <w:t xml:space="preserve">              □包段II</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w:t>
      </w:r>
      <w:r>
        <w:rPr>
          <w:rFonts w:hint="eastAsia"/>
          <w:sz w:val="24"/>
          <w:szCs w:val="24"/>
          <w:lang w:val="en-US" w:eastAsia="zh-CN"/>
        </w:rPr>
        <w:t>/年</w:t>
      </w:r>
      <w:r>
        <w:rPr>
          <w:rFonts w:hint="eastAsia"/>
          <w:sz w:val="24"/>
          <w:szCs w:val="24"/>
          <w:lang w:eastAsia="zh-CN"/>
        </w:rPr>
        <w:t>，</w:t>
      </w:r>
      <w:r>
        <w:rPr>
          <w:rFonts w:hint="eastAsia"/>
          <w:sz w:val="24"/>
          <w:szCs w:val="24"/>
          <w:lang w:val="en-US" w:eastAsia="zh-CN"/>
        </w:rPr>
        <w:t xml:space="preserve">两年共计人民币 </w:t>
      </w:r>
      <w:r>
        <w:rPr>
          <w:rFonts w:hint="eastAsia"/>
          <w:sz w:val="24"/>
          <w:szCs w:val="24"/>
          <w:u w:val="single"/>
          <w:lang w:val="en-US" w:eastAsia="zh-CN"/>
        </w:rPr>
        <w:t xml:space="preserve">               元</w:t>
      </w:r>
      <w:r>
        <w:rPr>
          <w:rFonts w:hint="eastAsia"/>
          <w:sz w:val="24"/>
          <w:szCs w:val="24"/>
          <w:lang w:eastAsia="zh-CN"/>
        </w:rPr>
        <w:t>；</w:t>
      </w:r>
    </w:p>
    <w:p>
      <w:pPr>
        <w:pStyle w:val="2"/>
        <w:spacing w:line="360" w:lineRule="auto"/>
        <w:ind w:left="1680" w:hanging="1680" w:hangingChars="700"/>
        <w:rPr>
          <w:sz w:val="24"/>
          <w:szCs w:val="24"/>
        </w:rPr>
      </w:pPr>
      <w:r>
        <w:rPr>
          <w:rFonts w:hint="eastAsia"/>
          <w:sz w:val="24"/>
          <w:szCs w:val="24"/>
        </w:rPr>
        <w:t xml:space="preserve">              □包段III</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元</w:t>
      </w:r>
      <w:r>
        <w:rPr>
          <w:rFonts w:hint="eastAsia"/>
          <w:sz w:val="24"/>
          <w:szCs w:val="24"/>
          <w:lang w:val="en-US" w:eastAsia="zh-CN"/>
        </w:rPr>
        <w:t>/年</w:t>
      </w:r>
      <w:r>
        <w:rPr>
          <w:rFonts w:hint="eastAsia"/>
          <w:sz w:val="24"/>
          <w:szCs w:val="24"/>
          <w:lang w:eastAsia="zh-CN"/>
        </w:rPr>
        <w:t>，</w:t>
      </w:r>
      <w:r>
        <w:rPr>
          <w:rFonts w:hint="eastAsia"/>
          <w:sz w:val="24"/>
          <w:szCs w:val="24"/>
          <w:lang w:val="en-US" w:eastAsia="zh-CN"/>
        </w:rPr>
        <w:t xml:space="preserve">两年共计人民币 </w:t>
      </w:r>
      <w:r>
        <w:rPr>
          <w:rFonts w:hint="eastAsia"/>
          <w:sz w:val="24"/>
          <w:szCs w:val="24"/>
          <w:u w:val="single"/>
          <w:lang w:val="en-US" w:eastAsia="zh-CN"/>
        </w:rPr>
        <w:t xml:space="preserve">               元</w:t>
      </w:r>
      <w:r>
        <w:rPr>
          <w:rFonts w:hint="eastAsia"/>
          <w:sz w:val="24"/>
          <w:szCs w:val="24"/>
          <w:lang w:eastAsia="zh-CN"/>
        </w:rPr>
        <w:t>；</w:t>
      </w:r>
    </w:p>
    <w:p>
      <w:pPr>
        <w:pStyle w:val="2"/>
        <w:spacing w:line="360" w:lineRule="auto"/>
        <w:ind w:firstLine="1680" w:firstLineChars="700"/>
        <w:rPr>
          <w:rFonts w:hint="eastAsia"/>
          <w:sz w:val="24"/>
          <w:szCs w:val="24"/>
        </w:rPr>
      </w:pPr>
      <w:r>
        <w:rPr>
          <w:rFonts w:hint="eastAsia"/>
          <w:sz w:val="24"/>
          <w:szCs w:val="24"/>
        </w:rPr>
        <w:t>□包段I</w:t>
      </w:r>
      <w:r>
        <w:rPr>
          <w:rFonts w:hint="eastAsia"/>
          <w:sz w:val="24"/>
          <w:szCs w:val="24"/>
          <w:lang w:val="en-US" w:eastAsia="zh-CN"/>
        </w:rPr>
        <w:t>V</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元</w:t>
      </w:r>
      <w:r>
        <w:rPr>
          <w:rFonts w:hint="eastAsia"/>
          <w:sz w:val="24"/>
          <w:szCs w:val="24"/>
          <w:lang w:val="en-US" w:eastAsia="zh-CN"/>
        </w:rPr>
        <w:t>/年</w:t>
      </w:r>
      <w:r>
        <w:rPr>
          <w:rFonts w:hint="eastAsia"/>
          <w:sz w:val="24"/>
          <w:szCs w:val="24"/>
          <w:lang w:eastAsia="zh-CN"/>
        </w:rPr>
        <w:t>，</w:t>
      </w:r>
      <w:r>
        <w:rPr>
          <w:rFonts w:hint="eastAsia"/>
          <w:sz w:val="24"/>
          <w:szCs w:val="24"/>
          <w:lang w:val="en-US" w:eastAsia="zh-CN"/>
        </w:rPr>
        <w:t xml:space="preserve">两年共计人民币 </w:t>
      </w:r>
      <w:r>
        <w:rPr>
          <w:rFonts w:hint="eastAsia"/>
          <w:sz w:val="24"/>
          <w:szCs w:val="24"/>
          <w:u w:val="single"/>
          <w:lang w:val="en-US" w:eastAsia="zh-CN"/>
        </w:rPr>
        <w:t xml:space="preserve">               元。</w:t>
      </w:r>
    </w:p>
    <w:p>
      <w:pPr>
        <w:spacing w:line="360" w:lineRule="auto"/>
        <w:ind w:firstLine="480" w:firstLineChars="200"/>
        <w:rPr>
          <w:sz w:val="24"/>
          <w:szCs w:val="24"/>
          <w:lang w:eastAsia="zh-CN"/>
        </w:rPr>
      </w:pPr>
      <w:r>
        <w:rPr>
          <w:rFonts w:hint="eastAsia"/>
          <w:sz w:val="24"/>
          <w:szCs w:val="24"/>
          <w:lang w:eastAsia="zh-CN"/>
        </w:rPr>
        <w:t xml:space="preserve"> </w:t>
      </w:r>
      <w:r>
        <w:rPr>
          <w:rFonts w:hint="eastAsia"/>
          <w:lang w:eastAsia="zh-CN"/>
        </w:rPr>
        <w:t xml:space="preserve">       </w:t>
      </w:r>
      <w:r>
        <w:rPr>
          <w:rFonts w:hint="eastAsia"/>
          <w:sz w:val="24"/>
          <w:szCs w:val="24"/>
          <w:lang w:eastAsia="zh-CN"/>
        </w:rPr>
        <w:t>具体分项报价见附件“报价表”</w:t>
      </w:r>
    </w:p>
    <w:p>
      <w:pPr>
        <w:spacing w:line="360" w:lineRule="auto"/>
        <w:ind w:firstLine="720" w:firstLineChars="300"/>
        <w:rPr>
          <w:rFonts w:hint="default"/>
          <w:sz w:val="24"/>
          <w:szCs w:val="24"/>
          <w:lang w:val="en-US"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增值税专用发票</w:t>
      </w:r>
    </w:p>
    <w:p>
      <w:pPr>
        <w:pStyle w:val="2"/>
        <w:spacing w:line="360" w:lineRule="auto"/>
        <w:rPr>
          <w:sz w:val="24"/>
          <w:szCs w:val="24"/>
        </w:rPr>
      </w:pPr>
      <w:r>
        <w:rPr>
          <w:rFonts w:hint="eastAsia"/>
          <w:sz w:val="24"/>
          <w:szCs w:val="24"/>
        </w:rPr>
        <w:t xml:space="preserve">           2、付款方式：按比选文件要求执行</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rPr>
          <w:sz w:val="24"/>
          <w:szCs w:val="24"/>
          <w:lang w:eastAsia="zh-CN"/>
        </w:rPr>
      </w:pPr>
    </w:p>
    <w:p>
      <w:pPr>
        <w:spacing w:line="360" w:lineRule="auto"/>
        <w:rPr>
          <w:rFonts w:asciiTheme="majorEastAsia" w:hAnsiTheme="majorEastAsia" w:eastAsiaTheme="majorEastAsia"/>
          <w:sz w:val="24"/>
          <w:szCs w:val="24"/>
          <w:lang w:eastAsia="zh-CN"/>
        </w:rPr>
      </w:pPr>
      <w:r>
        <w:rPr>
          <w:rFonts w:hint="eastAsia"/>
          <w:sz w:val="24"/>
          <w:szCs w:val="24"/>
          <w:lang w:eastAsia="zh-CN"/>
        </w:rPr>
        <w:t>附表：</w:t>
      </w:r>
    </w:p>
    <w:p>
      <w:pPr>
        <w:pStyle w:val="8"/>
        <w:ind w:right="-662" w:rightChars="-301"/>
        <w:rPr>
          <w:rFonts w:ascii="Times New Roman"/>
          <w:b/>
          <w:bCs/>
          <w:lang w:eastAsia="zh-CN"/>
        </w:rPr>
      </w:pPr>
    </w:p>
    <w:p>
      <w:pPr>
        <w:pStyle w:val="8"/>
        <w:ind w:right="-662" w:rightChars="-301"/>
        <w:rPr>
          <w:rFonts w:ascii="Times New Roman"/>
          <w:b/>
          <w:bCs/>
          <w:lang w:eastAsia="zh-CN"/>
        </w:rPr>
      </w:pPr>
      <w:r>
        <w:rPr>
          <w:rFonts w:hint="eastAsia" w:ascii="Times New Roman"/>
          <w:b/>
          <w:bCs/>
          <w:lang w:eastAsia="zh-CN"/>
        </w:rPr>
        <w:t>说明：</w:t>
      </w:r>
      <w:r>
        <w:rPr>
          <w:rFonts w:hint="eastAsia" w:asciiTheme="majorEastAsia" w:hAnsiTheme="majorEastAsia" w:eastAsiaTheme="majorEastAsia"/>
          <w:bCs/>
          <w:lang w:eastAsia="zh-CN"/>
        </w:rPr>
        <w:t>参选人应以完成各包段内容涉及的全部费用进行报价，各包段分开独立报价。</w:t>
      </w:r>
    </w:p>
    <w:sectPr>
      <w:pgSz w:w="11910" w:h="16840"/>
      <w:pgMar w:top="1134" w:right="850" w:bottom="1134" w:left="1196" w:header="0" w:footer="550"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TimesNewRomanPSMT">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w:r>
  </w:p>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7DE03"/>
    <w:multiLevelType w:val="singleLevel"/>
    <w:tmpl w:val="9637DE03"/>
    <w:lvl w:ilvl="0" w:tentative="0">
      <w:start w:val="4"/>
      <w:numFmt w:val="chineseCounting"/>
      <w:suff w:val="nothing"/>
      <w:lvlText w:val="%1、"/>
      <w:lvlJc w:val="left"/>
      <w:rPr>
        <w:rFonts w:hint="eastAsia"/>
      </w:rPr>
    </w:lvl>
  </w:abstractNum>
  <w:abstractNum w:abstractNumId="1">
    <w:nsid w:val="D5CFD4E7"/>
    <w:multiLevelType w:val="singleLevel"/>
    <w:tmpl w:val="D5CFD4E7"/>
    <w:lvl w:ilvl="0" w:tentative="0">
      <w:start w:val="4"/>
      <w:numFmt w:val="decimal"/>
      <w:suff w:val="space"/>
      <w:lvlText w:val="%1."/>
      <w:lvlJc w:val="left"/>
    </w:lvl>
  </w:abstractNum>
  <w:abstractNum w:abstractNumId="2">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2"/>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24C"/>
    <w:rsid w:val="0000223B"/>
    <w:rsid w:val="00006300"/>
    <w:rsid w:val="000202CA"/>
    <w:rsid w:val="00023EC0"/>
    <w:rsid w:val="000317FF"/>
    <w:rsid w:val="000325D5"/>
    <w:rsid w:val="00042939"/>
    <w:rsid w:val="0004657F"/>
    <w:rsid w:val="00046CE9"/>
    <w:rsid w:val="000507D3"/>
    <w:rsid w:val="000566C1"/>
    <w:rsid w:val="000574D8"/>
    <w:rsid w:val="00057B80"/>
    <w:rsid w:val="00061920"/>
    <w:rsid w:val="000643DF"/>
    <w:rsid w:val="00066D35"/>
    <w:rsid w:val="00071073"/>
    <w:rsid w:val="00077A61"/>
    <w:rsid w:val="00083E6F"/>
    <w:rsid w:val="000A3EC0"/>
    <w:rsid w:val="000B1112"/>
    <w:rsid w:val="000B1993"/>
    <w:rsid w:val="000B32D4"/>
    <w:rsid w:val="000C5F12"/>
    <w:rsid w:val="000D04DA"/>
    <w:rsid w:val="000D11B0"/>
    <w:rsid w:val="000D2D30"/>
    <w:rsid w:val="000D3E61"/>
    <w:rsid w:val="000E01DA"/>
    <w:rsid w:val="000E3D99"/>
    <w:rsid w:val="000E76E8"/>
    <w:rsid w:val="000F1F09"/>
    <w:rsid w:val="000F58B5"/>
    <w:rsid w:val="00102DE0"/>
    <w:rsid w:val="001042DC"/>
    <w:rsid w:val="00110C33"/>
    <w:rsid w:val="00127930"/>
    <w:rsid w:val="00127CFD"/>
    <w:rsid w:val="00134B8B"/>
    <w:rsid w:val="00144E45"/>
    <w:rsid w:val="00156725"/>
    <w:rsid w:val="00161471"/>
    <w:rsid w:val="0016313A"/>
    <w:rsid w:val="0016416C"/>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0029"/>
    <w:rsid w:val="0023146D"/>
    <w:rsid w:val="00240817"/>
    <w:rsid w:val="002432A4"/>
    <w:rsid w:val="0024686B"/>
    <w:rsid w:val="00255354"/>
    <w:rsid w:val="002569C3"/>
    <w:rsid w:val="00261F6C"/>
    <w:rsid w:val="00263E9F"/>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17270"/>
    <w:rsid w:val="003218EF"/>
    <w:rsid w:val="00322549"/>
    <w:rsid w:val="00325CE2"/>
    <w:rsid w:val="003352AA"/>
    <w:rsid w:val="00346CE9"/>
    <w:rsid w:val="00361ABB"/>
    <w:rsid w:val="00365AFE"/>
    <w:rsid w:val="00371CA0"/>
    <w:rsid w:val="00372FA5"/>
    <w:rsid w:val="00392556"/>
    <w:rsid w:val="00395E2D"/>
    <w:rsid w:val="00395E35"/>
    <w:rsid w:val="003A18A0"/>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13630"/>
    <w:rsid w:val="00446CEC"/>
    <w:rsid w:val="00456A83"/>
    <w:rsid w:val="004624AD"/>
    <w:rsid w:val="00462891"/>
    <w:rsid w:val="0047282D"/>
    <w:rsid w:val="004761E7"/>
    <w:rsid w:val="004835AF"/>
    <w:rsid w:val="0048745A"/>
    <w:rsid w:val="004913C8"/>
    <w:rsid w:val="004919EE"/>
    <w:rsid w:val="00491E27"/>
    <w:rsid w:val="004A1188"/>
    <w:rsid w:val="004B392B"/>
    <w:rsid w:val="004D0BAC"/>
    <w:rsid w:val="004D16FD"/>
    <w:rsid w:val="004D6FD8"/>
    <w:rsid w:val="004E0E75"/>
    <w:rsid w:val="004E663D"/>
    <w:rsid w:val="005043C1"/>
    <w:rsid w:val="00517DCA"/>
    <w:rsid w:val="00523F15"/>
    <w:rsid w:val="005247A9"/>
    <w:rsid w:val="005257EA"/>
    <w:rsid w:val="00533D7B"/>
    <w:rsid w:val="00535FD8"/>
    <w:rsid w:val="005372D8"/>
    <w:rsid w:val="00540F71"/>
    <w:rsid w:val="00542C7F"/>
    <w:rsid w:val="005453BA"/>
    <w:rsid w:val="0054734D"/>
    <w:rsid w:val="00551549"/>
    <w:rsid w:val="00556958"/>
    <w:rsid w:val="005722E9"/>
    <w:rsid w:val="00573C44"/>
    <w:rsid w:val="0057754F"/>
    <w:rsid w:val="005819B7"/>
    <w:rsid w:val="00585E04"/>
    <w:rsid w:val="00595F8F"/>
    <w:rsid w:val="0059614F"/>
    <w:rsid w:val="005A213C"/>
    <w:rsid w:val="005A7BB0"/>
    <w:rsid w:val="005B4BA0"/>
    <w:rsid w:val="005B58DD"/>
    <w:rsid w:val="005B66C2"/>
    <w:rsid w:val="005B6DD8"/>
    <w:rsid w:val="005C1A21"/>
    <w:rsid w:val="005C3C2F"/>
    <w:rsid w:val="005C4060"/>
    <w:rsid w:val="005C43E3"/>
    <w:rsid w:val="005C4A72"/>
    <w:rsid w:val="005D12E3"/>
    <w:rsid w:val="005E0672"/>
    <w:rsid w:val="005E27BA"/>
    <w:rsid w:val="005E7433"/>
    <w:rsid w:val="005F1C55"/>
    <w:rsid w:val="005F2E5C"/>
    <w:rsid w:val="005F4786"/>
    <w:rsid w:val="0060334B"/>
    <w:rsid w:val="006127B7"/>
    <w:rsid w:val="00614725"/>
    <w:rsid w:val="00645F1C"/>
    <w:rsid w:val="00654039"/>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C66F6"/>
    <w:rsid w:val="006E28C4"/>
    <w:rsid w:val="006E572C"/>
    <w:rsid w:val="006E62DE"/>
    <w:rsid w:val="00701934"/>
    <w:rsid w:val="00703FAF"/>
    <w:rsid w:val="00706E4D"/>
    <w:rsid w:val="00720216"/>
    <w:rsid w:val="00721E5E"/>
    <w:rsid w:val="00730C99"/>
    <w:rsid w:val="00730E05"/>
    <w:rsid w:val="007327EB"/>
    <w:rsid w:val="00737EB4"/>
    <w:rsid w:val="00741EB7"/>
    <w:rsid w:val="007425A4"/>
    <w:rsid w:val="00751740"/>
    <w:rsid w:val="007563C8"/>
    <w:rsid w:val="00756B28"/>
    <w:rsid w:val="0076254E"/>
    <w:rsid w:val="00765B01"/>
    <w:rsid w:val="0077094C"/>
    <w:rsid w:val="00775036"/>
    <w:rsid w:val="0078461F"/>
    <w:rsid w:val="007A3950"/>
    <w:rsid w:val="007A5F7C"/>
    <w:rsid w:val="007A7888"/>
    <w:rsid w:val="007C3D00"/>
    <w:rsid w:val="007C43CE"/>
    <w:rsid w:val="007D5E57"/>
    <w:rsid w:val="007D7C61"/>
    <w:rsid w:val="007E17B6"/>
    <w:rsid w:val="007E4F01"/>
    <w:rsid w:val="007E6688"/>
    <w:rsid w:val="007F1ECE"/>
    <w:rsid w:val="007F222B"/>
    <w:rsid w:val="007F5584"/>
    <w:rsid w:val="00805348"/>
    <w:rsid w:val="008132E9"/>
    <w:rsid w:val="00813C3C"/>
    <w:rsid w:val="008179BE"/>
    <w:rsid w:val="00820E36"/>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8F6F98"/>
    <w:rsid w:val="00902CEE"/>
    <w:rsid w:val="0090301E"/>
    <w:rsid w:val="009050CC"/>
    <w:rsid w:val="0091504D"/>
    <w:rsid w:val="00931024"/>
    <w:rsid w:val="009312CA"/>
    <w:rsid w:val="0093351A"/>
    <w:rsid w:val="00943426"/>
    <w:rsid w:val="00953CDE"/>
    <w:rsid w:val="009621FE"/>
    <w:rsid w:val="00964861"/>
    <w:rsid w:val="00967702"/>
    <w:rsid w:val="00973032"/>
    <w:rsid w:val="00980519"/>
    <w:rsid w:val="0098443A"/>
    <w:rsid w:val="009912D9"/>
    <w:rsid w:val="0099744E"/>
    <w:rsid w:val="009A0766"/>
    <w:rsid w:val="009A106C"/>
    <w:rsid w:val="009A5C0E"/>
    <w:rsid w:val="009B0131"/>
    <w:rsid w:val="009B3333"/>
    <w:rsid w:val="009B34E7"/>
    <w:rsid w:val="009B50B1"/>
    <w:rsid w:val="009E00FB"/>
    <w:rsid w:val="009E61E8"/>
    <w:rsid w:val="009F1737"/>
    <w:rsid w:val="00A00331"/>
    <w:rsid w:val="00A00F4B"/>
    <w:rsid w:val="00A10BDF"/>
    <w:rsid w:val="00A11B9A"/>
    <w:rsid w:val="00A12DF4"/>
    <w:rsid w:val="00A2002F"/>
    <w:rsid w:val="00A208FA"/>
    <w:rsid w:val="00A22B2E"/>
    <w:rsid w:val="00A2344A"/>
    <w:rsid w:val="00A26BD6"/>
    <w:rsid w:val="00A374CB"/>
    <w:rsid w:val="00A414CA"/>
    <w:rsid w:val="00A51890"/>
    <w:rsid w:val="00A549D1"/>
    <w:rsid w:val="00A566BE"/>
    <w:rsid w:val="00A63C81"/>
    <w:rsid w:val="00A70085"/>
    <w:rsid w:val="00A747AB"/>
    <w:rsid w:val="00A77229"/>
    <w:rsid w:val="00A84167"/>
    <w:rsid w:val="00A9710D"/>
    <w:rsid w:val="00A97D0E"/>
    <w:rsid w:val="00AA062F"/>
    <w:rsid w:val="00AA0C11"/>
    <w:rsid w:val="00AA39F2"/>
    <w:rsid w:val="00AB12CF"/>
    <w:rsid w:val="00AB3EB4"/>
    <w:rsid w:val="00AC61FD"/>
    <w:rsid w:val="00AD4D70"/>
    <w:rsid w:val="00AE058E"/>
    <w:rsid w:val="00AE08F0"/>
    <w:rsid w:val="00AE5AF2"/>
    <w:rsid w:val="00AE6233"/>
    <w:rsid w:val="00AF1C99"/>
    <w:rsid w:val="00AF4539"/>
    <w:rsid w:val="00B0554C"/>
    <w:rsid w:val="00B058FB"/>
    <w:rsid w:val="00B065F7"/>
    <w:rsid w:val="00B13CB8"/>
    <w:rsid w:val="00B160EA"/>
    <w:rsid w:val="00B225BB"/>
    <w:rsid w:val="00B26192"/>
    <w:rsid w:val="00B27085"/>
    <w:rsid w:val="00B44FC3"/>
    <w:rsid w:val="00B67893"/>
    <w:rsid w:val="00B705AE"/>
    <w:rsid w:val="00B7129E"/>
    <w:rsid w:val="00B71ECE"/>
    <w:rsid w:val="00B727BC"/>
    <w:rsid w:val="00B73A92"/>
    <w:rsid w:val="00B75E16"/>
    <w:rsid w:val="00B75EC9"/>
    <w:rsid w:val="00B777E1"/>
    <w:rsid w:val="00B826B4"/>
    <w:rsid w:val="00B841C5"/>
    <w:rsid w:val="00B92675"/>
    <w:rsid w:val="00B93FAE"/>
    <w:rsid w:val="00B95085"/>
    <w:rsid w:val="00B966DA"/>
    <w:rsid w:val="00BA29FE"/>
    <w:rsid w:val="00BB01F8"/>
    <w:rsid w:val="00BB5814"/>
    <w:rsid w:val="00BC29E0"/>
    <w:rsid w:val="00BD15B7"/>
    <w:rsid w:val="00BD3682"/>
    <w:rsid w:val="00BD562D"/>
    <w:rsid w:val="00BF41E6"/>
    <w:rsid w:val="00BF5ECE"/>
    <w:rsid w:val="00BF68B8"/>
    <w:rsid w:val="00C00B96"/>
    <w:rsid w:val="00C0167E"/>
    <w:rsid w:val="00C03A00"/>
    <w:rsid w:val="00C10120"/>
    <w:rsid w:val="00C14D43"/>
    <w:rsid w:val="00C236A4"/>
    <w:rsid w:val="00C30986"/>
    <w:rsid w:val="00C31793"/>
    <w:rsid w:val="00C3555D"/>
    <w:rsid w:val="00C3723B"/>
    <w:rsid w:val="00C5640F"/>
    <w:rsid w:val="00C56E43"/>
    <w:rsid w:val="00C612B4"/>
    <w:rsid w:val="00C6692F"/>
    <w:rsid w:val="00C73BF4"/>
    <w:rsid w:val="00C74C62"/>
    <w:rsid w:val="00C763AC"/>
    <w:rsid w:val="00C80A00"/>
    <w:rsid w:val="00C845B7"/>
    <w:rsid w:val="00C976F7"/>
    <w:rsid w:val="00CB2E01"/>
    <w:rsid w:val="00CB41BE"/>
    <w:rsid w:val="00CB5EF3"/>
    <w:rsid w:val="00CD2EA5"/>
    <w:rsid w:val="00CE3409"/>
    <w:rsid w:val="00CF2260"/>
    <w:rsid w:val="00CF32E1"/>
    <w:rsid w:val="00D12829"/>
    <w:rsid w:val="00D35684"/>
    <w:rsid w:val="00D36860"/>
    <w:rsid w:val="00D43086"/>
    <w:rsid w:val="00D461AC"/>
    <w:rsid w:val="00D4651F"/>
    <w:rsid w:val="00D46BFF"/>
    <w:rsid w:val="00D5169E"/>
    <w:rsid w:val="00D56426"/>
    <w:rsid w:val="00D62605"/>
    <w:rsid w:val="00D65416"/>
    <w:rsid w:val="00D749CB"/>
    <w:rsid w:val="00D84374"/>
    <w:rsid w:val="00D844C1"/>
    <w:rsid w:val="00D90305"/>
    <w:rsid w:val="00D947D8"/>
    <w:rsid w:val="00D97E3F"/>
    <w:rsid w:val="00DA10C5"/>
    <w:rsid w:val="00DA2D4A"/>
    <w:rsid w:val="00DA3C6F"/>
    <w:rsid w:val="00DA5831"/>
    <w:rsid w:val="00DA5FCE"/>
    <w:rsid w:val="00DA7E8F"/>
    <w:rsid w:val="00DB0AB5"/>
    <w:rsid w:val="00DB6D79"/>
    <w:rsid w:val="00DC3284"/>
    <w:rsid w:val="00DC77EE"/>
    <w:rsid w:val="00DD56C2"/>
    <w:rsid w:val="00DE5602"/>
    <w:rsid w:val="00DE6B27"/>
    <w:rsid w:val="00DE7485"/>
    <w:rsid w:val="00DE7C93"/>
    <w:rsid w:val="00E05AD7"/>
    <w:rsid w:val="00E22027"/>
    <w:rsid w:val="00E2367A"/>
    <w:rsid w:val="00E2472F"/>
    <w:rsid w:val="00E25B6F"/>
    <w:rsid w:val="00E343D4"/>
    <w:rsid w:val="00E36D92"/>
    <w:rsid w:val="00E44AC8"/>
    <w:rsid w:val="00E44F45"/>
    <w:rsid w:val="00E56F9B"/>
    <w:rsid w:val="00E56FEE"/>
    <w:rsid w:val="00E62C2E"/>
    <w:rsid w:val="00E72FE6"/>
    <w:rsid w:val="00E95ACA"/>
    <w:rsid w:val="00E9724E"/>
    <w:rsid w:val="00EA403F"/>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123F"/>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84AF6"/>
    <w:rsid w:val="00F904F4"/>
    <w:rsid w:val="00F904FF"/>
    <w:rsid w:val="00F906F4"/>
    <w:rsid w:val="00FA00FA"/>
    <w:rsid w:val="00FA0A9F"/>
    <w:rsid w:val="00FA0B16"/>
    <w:rsid w:val="00FA28CC"/>
    <w:rsid w:val="00FB3167"/>
    <w:rsid w:val="00FC0F19"/>
    <w:rsid w:val="00FE3FD9"/>
    <w:rsid w:val="00FE63CC"/>
    <w:rsid w:val="00FE775B"/>
    <w:rsid w:val="00FF618B"/>
    <w:rsid w:val="00FF7A44"/>
    <w:rsid w:val="010C6066"/>
    <w:rsid w:val="0367315B"/>
    <w:rsid w:val="04616647"/>
    <w:rsid w:val="061139E5"/>
    <w:rsid w:val="06F50B00"/>
    <w:rsid w:val="076E1278"/>
    <w:rsid w:val="08D1141D"/>
    <w:rsid w:val="0B296DE2"/>
    <w:rsid w:val="10294AA3"/>
    <w:rsid w:val="10E40CA0"/>
    <w:rsid w:val="136130D9"/>
    <w:rsid w:val="172B4210"/>
    <w:rsid w:val="18DD4F7E"/>
    <w:rsid w:val="192F01D6"/>
    <w:rsid w:val="195B58A2"/>
    <w:rsid w:val="1E085A14"/>
    <w:rsid w:val="1FF43DDB"/>
    <w:rsid w:val="21933AA2"/>
    <w:rsid w:val="25BF356F"/>
    <w:rsid w:val="25DB0C2D"/>
    <w:rsid w:val="269469E7"/>
    <w:rsid w:val="270E51B4"/>
    <w:rsid w:val="29FC3B14"/>
    <w:rsid w:val="2B11792E"/>
    <w:rsid w:val="2C376C20"/>
    <w:rsid w:val="2F207D55"/>
    <w:rsid w:val="31C54755"/>
    <w:rsid w:val="3216608C"/>
    <w:rsid w:val="34CE14C6"/>
    <w:rsid w:val="34D84CEC"/>
    <w:rsid w:val="37AF5AB7"/>
    <w:rsid w:val="3B1C3371"/>
    <w:rsid w:val="3B51159A"/>
    <w:rsid w:val="3CC23198"/>
    <w:rsid w:val="3CE5687A"/>
    <w:rsid w:val="3DDF4815"/>
    <w:rsid w:val="3FE669E5"/>
    <w:rsid w:val="41A2238D"/>
    <w:rsid w:val="43C03A84"/>
    <w:rsid w:val="485A0C13"/>
    <w:rsid w:val="4B076ADF"/>
    <w:rsid w:val="4CA56DBB"/>
    <w:rsid w:val="50F63E28"/>
    <w:rsid w:val="5221007F"/>
    <w:rsid w:val="52926B5A"/>
    <w:rsid w:val="53350A84"/>
    <w:rsid w:val="545C5E51"/>
    <w:rsid w:val="5486175B"/>
    <w:rsid w:val="57667D24"/>
    <w:rsid w:val="57C06A11"/>
    <w:rsid w:val="57CE5BC3"/>
    <w:rsid w:val="59F90286"/>
    <w:rsid w:val="5AE1516A"/>
    <w:rsid w:val="5B6A3A79"/>
    <w:rsid w:val="5C1A5F7B"/>
    <w:rsid w:val="5D2D3ACA"/>
    <w:rsid w:val="5D8377ED"/>
    <w:rsid w:val="5E301822"/>
    <w:rsid w:val="611D1FF9"/>
    <w:rsid w:val="645771F8"/>
    <w:rsid w:val="64A83FC7"/>
    <w:rsid w:val="658767FD"/>
    <w:rsid w:val="6A54112D"/>
    <w:rsid w:val="6AA035AE"/>
    <w:rsid w:val="6DEC5722"/>
    <w:rsid w:val="6E0F2E14"/>
    <w:rsid w:val="6EFC0FBA"/>
    <w:rsid w:val="6F1E141D"/>
    <w:rsid w:val="6F5354F8"/>
    <w:rsid w:val="72FE1972"/>
    <w:rsid w:val="740A2BDE"/>
    <w:rsid w:val="751839E0"/>
    <w:rsid w:val="76274F93"/>
    <w:rsid w:val="77677F8E"/>
    <w:rsid w:val="77B73790"/>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9"/>
    <w:qFormat/>
    <w:uiPriority w:val="0"/>
    <w:pPr>
      <w:ind w:left="538"/>
      <w:outlineLvl w:val="0"/>
    </w:pPr>
    <w:rPr>
      <w:b/>
      <w:bCs/>
      <w:sz w:val="28"/>
      <w:szCs w:val="28"/>
    </w:rPr>
  </w:style>
  <w:style w:type="paragraph" w:styleId="4">
    <w:name w:val="heading 2"/>
    <w:basedOn w:val="1"/>
    <w:next w:val="1"/>
    <w:link w:val="45"/>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9"/>
    <w:qFormat/>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7"/>
    <w:qFormat/>
    <w:uiPriority w:val="1"/>
    <w:rPr>
      <w:sz w:val="24"/>
      <w:szCs w:val="24"/>
    </w:rPr>
  </w:style>
  <w:style w:type="paragraph" w:styleId="9">
    <w:name w:val="Body Text Indent"/>
    <w:basedOn w:val="1"/>
    <w:link w:val="51"/>
    <w:qFormat/>
    <w:uiPriority w:val="0"/>
    <w:pPr>
      <w:spacing w:after="120"/>
      <w:ind w:left="420" w:leftChars="200"/>
    </w:pPr>
  </w:style>
  <w:style w:type="paragraph" w:styleId="10">
    <w:name w:val="Plain Text"/>
    <w:basedOn w:val="1"/>
    <w:link w:val="43"/>
    <w:qFormat/>
    <w:uiPriority w:val="99"/>
    <w:rPr>
      <w:rFonts w:hAnsi="Courier New" w:cs="Courier New"/>
      <w:szCs w:val="21"/>
    </w:rPr>
  </w:style>
  <w:style w:type="paragraph" w:styleId="11">
    <w:name w:val="Date"/>
    <w:basedOn w:val="1"/>
    <w:next w:val="1"/>
    <w:link w:val="29"/>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2"/>
    <w:qFormat/>
    <w:uiPriority w:val="0"/>
    <w:pPr>
      <w:spacing w:after="120" w:line="480" w:lineRule="auto"/>
      <w:ind w:left="420" w:leftChars="200"/>
    </w:pPr>
  </w:style>
  <w:style w:type="paragraph" w:styleId="13">
    <w:name w:val="Balloon Text"/>
    <w:basedOn w:val="1"/>
    <w:link w:val="33"/>
    <w:qFormat/>
    <w:uiPriority w:val="0"/>
    <w:rPr>
      <w:sz w:val="18"/>
      <w:szCs w:val="18"/>
    </w:rPr>
  </w:style>
  <w:style w:type="paragraph" w:styleId="14">
    <w:name w:val="footer"/>
    <w:basedOn w:val="1"/>
    <w:link w:val="34"/>
    <w:qFormat/>
    <w:uiPriority w:val="0"/>
    <w:pPr>
      <w:tabs>
        <w:tab w:val="center" w:pos="4153"/>
        <w:tab w:val="right" w:pos="8306"/>
      </w:tabs>
      <w:snapToGrid w:val="0"/>
    </w:pPr>
    <w:rPr>
      <w:sz w:val="18"/>
      <w:szCs w:val="18"/>
    </w:rPr>
  </w:style>
  <w:style w:type="paragraph" w:styleId="15">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toc 2"/>
    <w:basedOn w:val="1"/>
    <w:next w:val="1"/>
    <w:qFormat/>
    <w:uiPriority w:val="0"/>
    <w:pPr>
      <w:autoSpaceDE/>
      <w:autoSpaceDN/>
      <w:ind w:left="420" w:leftChars="200"/>
      <w:jc w:val="both"/>
    </w:pPr>
    <w:rPr>
      <w:rFonts w:ascii="Times New Roman" w:hAnsi="Times New Roman" w:cs="Times New Roman"/>
      <w:kern w:val="2"/>
      <w:sz w:val="21"/>
      <w:szCs w:val="24"/>
      <w:lang w:eastAsia="zh-CN"/>
    </w:rPr>
  </w:style>
  <w:style w:type="paragraph" w:styleId="19">
    <w:name w:val="Body Text 2"/>
    <w:basedOn w:val="1"/>
    <w:link w:val="41"/>
    <w:qFormat/>
    <w:uiPriority w:val="0"/>
    <w:pPr>
      <w:spacing w:after="120" w:line="480" w:lineRule="auto"/>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basedOn w:val="22"/>
    <w:qFormat/>
    <w:uiPriority w:val="99"/>
    <w:rPr>
      <w:color w:val="0000FF"/>
      <w:u w:val="single"/>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34"/>
    <w:pPr>
      <w:spacing w:before="206"/>
      <w:ind w:left="959" w:hanging="361"/>
    </w:pPr>
  </w:style>
  <w:style w:type="paragraph" w:customStyle="1" w:styleId="27">
    <w:name w:val="Table Paragraph"/>
    <w:basedOn w:val="1"/>
    <w:qFormat/>
    <w:uiPriority w:val="1"/>
  </w:style>
  <w:style w:type="paragraph" w:customStyle="1" w:styleId="2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9">
    <w:name w:val="日期 Char"/>
    <w:basedOn w:val="22"/>
    <w:link w:val="11"/>
    <w:qFormat/>
    <w:uiPriority w:val="0"/>
    <w:rPr>
      <w:rFonts w:asciiTheme="minorHAnsi" w:hAnsiTheme="minorHAnsi" w:eastAsiaTheme="minorEastAsia" w:cstheme="minorBidi"/>
      <w:kern w:val="2"/>
      <w:sz w:val="21"/>
      <w:szCs w:val="22"/>
    </w:rPr>
  </w:style>
  <w:style w:type="paragraph" w:customStyle="1" w:styleId="30">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1">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2">
    <w:name w:val="xdrichtextbox2"/>
    <w:basedOn w:val="22"/>
    <w:qFormat/>
    <w:uiPriority w:val="0"/>
    <w:rPr>
      <w:color w:val="0000FF"/>
      <w:sz w:val="18"/>
      <w:szCs w:val="18"/>
      <w:u w:val="none"/>
      <w:bdr w:val="single" w:color="DCDCDC" w:sz="8" w:space="0"/>
      <w:shd w:val="clear" w:color="auto" w:fill="FFFFFF"/>
    </w:rPr>
  </w:style>
  <w:style w:type="character" w:customStyle="1" w:styleId="33">
    <w:name w:val="批注框文本 Char"/>
    <w:basedOn w:val="22"/>
    <w:link w:val="13"/>
    <w:qFormat/>
    <w:uiPriority w:val="0"/>
    <w:rPr>
      <w:rFonts w:ascii="宋体" w:hAnsi="宋体" w:cs="宋体"/>
      <w:sz w:val="18"/>
      <w:szCs w:val="18"/>
      <w:lang w:eastAsia="en-US"/>
    </w:rPr>
  </w:style>
  <w:style w:type="character" w:customStyle="1" w:styleId="34">
    <w:name w:val="页脚 Char"/>
    <w:basedOn w:val="22"/>
    <w:link w:val="14"/>
    <w:qFormat/>
    <w:uiPriority w:val="99"/>
    <w:rPr>
      <w:rFonts w:ascii="宋体" w:hAnsi="宋体" w:cs="宋体"/>
      <w:sz w:val="18"/>
      <w:szCs w:val="18"/>
      <w:lang w:eastAsia="en-US"/>
    </w:rPr>
  </w:style>
  <w:style w:type="paragraph" w:customStyle="1" w:styleId="3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2"/>
    <w:qFormat/>
    <w:uiPriority w:val="0"/>
  </w:style>
  <w:style w:type="paragraph" w:customStyle="1" w:styleId="37">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标题 3 Char"/>
    <w:basedOn w:val="22"/>
    <w:link w:val="5"/>
    <w:qFormat/>
    <w:uiPriority w:val="0"/>
    <w:rPr>
      <w:rFonts w:ascii="宋体" w:hAnsi="宋体" w:cs="宋体"/>
      <w:b/>
      <w:bCs/>
      <w:sz w:val="32"/>
      <w:szCs w:val="32"/>
      <w:lang w:eastAsia="en-US"/>
    </w:rPr>
  </w:style>
  <w:style w:type="character" w:customStyle="1" w:styleId="39">
    <w:name w:val="批注文字 Char"/>
    <w:basedOn w:val="22"/>
    <w:link w:val="7"/>
    <w:qFormat/>
    <w:uiPriority w:val="0"/>
    <w:rPr>
      <w:kern w:val="2"/>
      <w:sz w:val="21"/>
    </w:rPr>
  </w:style>
  <w:style w:type="paragraph" w:customStyle="1" w:styleId="4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 2 Char"/>
    <w:basedOn w:val="22"/>
    <w:link w:val="19"/>
    <w:qFormat/>
    <w:uiPriority w:val="0"/>
    <w:rPr>
      <w:rFonts w:ascii="宋体" w:hAnsi="宋体" w:cs="宋体"/>
      <w:sz w:val="22"/>
      <w:szCs w:val="22"/>
      <w:lang w:eastAsia="en-US"/>
    </w:rPr>
  </w:style>
  <w:style w:type="character" w:customStyle="1" w:styleId="42">
    <w:name w:val="正文文本缩进 2 Char"/>
    <w:basedOn w:val="22"/>
    <w:link w:val="12"/>
    <w:qFormat/>
    <w:uiPriority w:val="0"/>
    <w:rPr>
      <w:rFonts w:ascii="宋体" w:hAnsi="宋体" w:cs="宋体"/>
      <w:sz w:val="22"/>
      <w:szCs w:val="22"/>
      <w:lang w:eastAsia="en-US"/>
    </w:rPr>
  </w:style>
  <w:style w:type="character" w:customStyle="1" w:styleId="43">
    <w:name w:val="纯文本 Char1"/>
    <w:basedOn w:val="22"/>
    <w:link w:val="10"/>
    <w:qFormat/>
    <w:uiPriority w:val="0"/>
    <w:rPr>
      <w:rFonts w:ascii="宋体" w:hAnsi="Courier New" w:cs="Courier New"/>
      <w:sz w:val="22"/>
      <w:szCs w:val="21"/>
      <w:lang w:eastAsia="en-US"/>
    </w:rPr>
  </w:style>
  <w:style w:type="paragraph" w:customStyle="1" w:styleId="44">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5">
    <w:name w:val="标题 2 Char"/>
    <w:basedOn w:val="22"/>
    <w:link w:val="4"/>
    <w:qFormat/>
    <w:uiPriority w:val="0"/>
    <w:rPr>
      <w:rFonts w:ascii="宋体" w:hAnsi="宋体" w:cs="宋体"/>
      <w:b/>
      <w:bCs/>
      <w:sz w:val="24"/>
      <w:szCs w:val="24"/>
      <w:lang w:eastAsia="en-US"/>
    </w:rPr>
  </w:style>
  <w:style w:type="character" w:customStyle="1" w:styleId="46">
    <w:name w:val="正文缩进 Char"/>
    <w:link w:val="6"/>
    <w:qFormat/>
    <w:uiPriority w:val="0"/>
    <w:rPr>
      <w:sz w:val="24"/>
    </w:rPr>
  </w:style>
  <w:style w:type="character" w:customStyle="1" w:styleId="47">
    <w:name w:val="正文文本 Char"/>
    <w:basedOn w:val="22"/>
    <w:link w:val="8"/>
    <w:qFormat/>
    <w:uiPriority w:val="0"/>
    <w:rPr>
      <w:rFonts w:ascii="宋体" w:hAnsi="宋体" w:cs="宋体"/>
      <w:sz w:val="24"/>
      <w:szCs w:val="24"/>
      <w:lang w:eastAsia="en-US"/>
    </w:rPr>
  </w:style>
  <w:style w:type="character" w:customStyle="1" w:styleId="48">
    <w:name w:val="普通文字 Char2"/>
    <w:basedOn w:val="22"/>
    <w:qFormat/>
    <w:uiPriority w:val="0"/>
    <w:rPr>
      <w:rFonts w:ascii="宋体" w:hAnsi="Courier New" w:cs="Courier New"/>
      <w:sz w:val="22"/>
      <w:szCs w:val="21"/>
      <w:lang w:eastAsia="en-US"/>
    </w:rPr>
  </w:style>
  <w:style w:type="character" w:customStyle="1" w:styleId="49">
    <w:name w:val="标题 1 Char"/>
    <w:link w:val="3"/>
    <w:qFormat/>
    <w:uiPriority w:val="0"/>
    <w:rPr>
      <w:rFonts w:ascii="宋体" w:hAnsi="宋体" w:cs="宋体"/>
      <w:b/>
      <w:bCs/>
      <w:sz w:val="28"/>
      <w:szCs w:val="28"/>
      <w:lang w:eastAsia="en-US"/>
    </w:rPr>
  </w:style>
  <w:style w:type="character" w:customStyle="1" w:styleId="50">
    <w:name w:val="正文1 Char"/>
    <w:basedOn w:val="22"/>
    <w:link w:val="2"/>
    <w:qFormat/>
    <w:locked/>
    <w:uiPriority w:val="0"/>
    <w:rPr>
      <w:rFonts w:ascii="宋体" w:hAnsi="Calibri"/>
      <w:sz w:val="34"/>
      <w:szCs w:val="22"/>
    </w:rPr>
  </w:style>
  <w:style w:type="character" w:customStyle="1" w:styleId="51">
    <w:name w:val="正文文本缩进 Char"/>
    <w:basedOn w:val="22"/>
    <w:link w:val="9"/>
    <w:qFormat/>
    <w:uiPriority w:val="0"/>
    <w:rPr>
      <w:rFonts w:ascii="宋体" w:hAnsi="宋体" w:cs="宋体"/>
      <w:sz w:val="22"/>
      <w:szCs w:val="22"/>
      <w:lang w:eastAsia="en-US"/>
    </w:rPr>
  </w:style>
  <w:style w:type="character" w:customStyle="1" w:styleId="52">
    <w:name w:val="页眉 Char"/>
    <w:basedOn w:val="22"/>
    <w:link w:val="15"/>
    <w:qFormat/>
    <w:uiPriority w:val="99"/>
    <w:rPr>
      <w:rFonts w:ascii="宋体" w:hAnsi="宋体" w:cs="宋体"/>
      <w:sz w:val="18"/>
      <w:szCs w:val="22"/>
      <w:lang w:eastAsia="en-US"/>
    </w:rPr>
  </w:style>
  <w:style w:type="paragraph" w:customStyle="1" w:styleId="53">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54">
    <w:name w:val="font31"/>
    <w:basedOn w:val="22"/>
    <w:qFormat/>
    <w:uiPriority w:val="0"/>
    <w:rPr>
      <w:rFonts w:hint="eastAsia" w:ascii="Malgun Gothic" w:hAnsi="Malgun Gothic" w:eastAsia="Malgun Gothic" w:cs="Malgun Gothic"/>
      <w:b/>
      <w:bCs/>
      <w:color w:val="000000"/>
      <w:sz w:val="32"/>
      <w:szCs w:val="32"/>
      <w:u w:val="none"/>
    </w:rPr>
  </w:style>
  <w:style w:type="character" w:customStyle="1" w:styleId="55">
    <w:name w:val="font51"/>
    <w:basedOn w:val="22"/>
    <w:qFormat/>
    <w:uiPriority w:val="0"/>
    <w:rPr>
      <w:rFonts w:hint="eastAsia" w:ascii="宋体" w:hAnsi="宋体" w:eastAsia="宋体" w:cs="宋体"/>
      <w:b/>
      <w:bCs/>
      <w:color w:val="000000"/>
      <w:sz w:val="32"/>
      <w:szCs w:val="32"/>
      <w:u w:val="none"/>
    </w:rPr>
  </w:style>
  <w:style w:type="character" w:customStyle="1" w:styleId="56">
    <w:name w:val="font61"/>
    <w:basedOn w:val="22"/>
    <w:qFormat/>
    <w:uiPriority w:val="0"/>
    <w:rPr>
      <w:rFonts w:hint="eastAsia" w:ascii="宋体" w:hAnsi="宋体" w:eastAsia="宋体" w:cs="宋体"/>
      <w:b/>
      <w:bCs/>
      <w:color w:val="000000"/>
      <w:sz w:val="22"/>
      <w:szCs w:val="22"/>
      <w:u w:val="none"/>
    </w:rPr>
  </w:style>
  <w:style w:type="character" w:customStyle="1" w:styleId="57">
    <w:name w:val="font41"/>
    <w:basedOn w:val="22"/>
    <w:qFormat/>
    <w:uiPriority w:val="0"/>
    <w:rPr>
      <w:rFonts w:hint="eastAsia" w:ascii="Malgun Gothic" w:hAnsi="Malgun Gothic" w:eastAsia="Malgun Gothic" w:cs="Malgun Gothic"/>
      <w:b/>
      <w:bCs/>
      <w:color w:val="000000"/>
      <w:sz w:val="22"/>
      <w:szCs w:val="22"/>
      <w:u w:val="none"/>
    </w:rPr>
  </w:style>
  <w:style w:type="character" w:customStyle="1" w:styleId="58">
    <w:name w:val="font11"/>
    <w:basedOn w:val="22"/>
    <w:qFormat/>
    <w:uiPriority w:val="0"/>
    <w:rPr>
      <w:rFonts w:hint="eastAsia" w:ascii="宋体" w:hAnsi="宋体" w:eastAsia="宋体" w:cs="宋体"/>
      <w:color w:val="000000"/>
      <w:sz w:val="20"/>
      <w:szCs w:val="20"/>
      <w:u w:val="none"/>
    </w:rPr>
  </w:style>
  <w:style w:type="character" w:customStyle="1" w:styleId="59">
    <w:name w:val="font21"/>
    <w:basedOn w:val="22"/>
    <w:qFormat/>
    <w:uiPriority w:val="0"/>
    <w:rPr>
      <w:rFonts w:hint="eastAsia" w:ascii="Malgun Gothic" w:hAnsi="Malgun Gothic" w:eastAsia="Malgun Gothic" w:cs="Malgun Gothic"/>
      <w:color w:val="000000"/>
      <w:sz w:val="20"/>
      <w:szCs w:val="20"/>
      <w:u w:val="none"/>
    </w:rPr>
  </w:style>
  <w:style w:type="character" w:customStyle="1" w:styleId="60">
    <w:name w:val="font81"/>
    <w:basedOn w:val="22"/>
    <w:qFormat/>
    <w:uiPriority w:val="0"/>
    <w:rPr>
      <w:rFonts w:hint="eastAsia" w:ascii="宋体" w:hAnsi="宋体" w:eastAsia="宋体" w:cs="宋体"/>
      <w:color w:val="000000"/>
      <w:sz w:val="20"/>
      <w:szCs w:val="20"/>
      <w:u w:val="none"/>
    </w:rPr>
  </w:style>
  <w:style w:type="character" w:customStyle="1" w:styleId="61">
    <w:name w:val="font71"/>
    <w:basedOn w:val="22"/>
    <w:qFormat/>
    <w:uiPriority w:val="0"/>
    <w:rPr>
      <w:rFonts w:hint="eastAsia" w:ascii="Malgun Gothic" w:hAnsi="Malgun Gothic" w:eastAsia="Malgun Gothic" w:cs="Malgun Gothic"/>
      <w:color w:val="000000"/>
      <w:sz w:val="20"/>
      <w:szCs w:val="20"/>
      <w:u w:val="none"/>
    </w:rPr>
  </w:style>
  <w:style w:type="character" w:customStyle="1" w:styleId="62">
    <w:name w:val="font91"/>
    <w:basedOn w:val="22"/>
    <w:qFormat/>
    <w:uiPriority w:val="0"/>
    <w:rPr>
      <w:rFonts w:hint="eastAsia" w:ascii="Malgun Gothic" w:hAnsi="Malgun Gothic" w:eastAsia="Malgun Gothic" w:cs="Malgun Gothic"/>
      <w:color w:val="000000"/>
      <w:sz w:val="20"/>
      <w:szCs w:val="20"/>
      <w:u w:val="none"/>
    </w:rPr>
  </w:style>
  <w:style w:type="character" w:customStyle="1" w:styleId="63">
    <w:name w:val="font10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6A7ED-F568-4C48-ADE4-F846B180014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2682</Words>
  <Characters>15294</Characters>
  <Lines>127</Lines>
  <Paragraphs>35</Paragraphs>
  <TotalTime>8</TotalTime>
  <ScaleCrop>false</ScaleCrop>
  <LinksUpToDate>false</LinksUpToDate>
  <CharactersWithSpaces>17941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2021-11-11T06:44:00Z</dcterms:created>
  <dc:creator>CGC</dc:creator>
  <cp:lastModifiedBy>香水百合</cp:lastModifiedBy>
  <dcterms:modified xsi:type="dcterms:W3CDTF">2023-12-18T03:15:09Z</dcterms:modified>
  <dc:title>公开招标文件（货物服务类）</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DAB895EA2F354FF7ABEF0E686ACABBBA</vt:lpwstr>
  </property>
</Properties>
</file>