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ascii="宋体" w:hAnsi="宋体" w:eastAsia="宋体" w:cs="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重整锅炉水三剂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2023-FHC-重整锅炉水三剂-1114</w:t>
      </w:r>
      <w:r>
        <w:rPr>
          <w:rFonts w:hint="eastAsia" w:ascii="宋体" w:hAnsi="宋体" w:cs="宋体"/>
          <w:kern w:val="0"/>
          <w:sz w:val="36"/>
          <w:szCs w:val="36"/>
          <w:shd w:val="clear" w:color="auto" w:fill="FFFFFF"/>
          <w:lang w:val="en-US" w:eastAsia="zh-CN"/>
        </w:rPr>
        <w:tab/>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11</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21</w:t>
      </w:r>
      <w:r>
        <w:rPr>
          <w:rFonts w:hint="eastAsia" w:ascii="宋体" w:hAnsi="宋体" w:cs="宋体"/>
          <w:kern w:val="0"/>
          <w:sz w:val="28"/>
          <w:szCs w:val="28"/>
          <w:shd w:val="clear" w:color="auto" w:fill="FFFFFF"/>
        </w:rPr>
        <w:t>日</w:t>
      </w:r>
    </w:p>
    <w:p>
      <w:pPr>
        <w:widowControl/>
        <w:shd w:val="clear" w:color="auto" w:fill="FFFFFF"/>
        <w:rPr>
          <w:kern w:val="0"/>
          <w:szCs w:val="21"/>
          <w:shd w:val="clear" w:color="auto" w:fill="FFFFFF"/>
        </w:rPr>
      </w:pPr>
      <w:r>
        <w:rPr>
          <w:kern w:val="0"/>
          <w:szCs w:val="21"/>
          <w:shd w:val="clear" w:color="auto" w:fill="FFFFFF"/>
        </w:rPr>
        <w:t> </w:t>
      </w:r>
    </w:p>
    <w:p>
      <w:pPr>
        <w:widowControl/>
        <w:shd w:val="clear" w:color="auto" w:fill="FFFFFF"/>
        <w:rPr>
          <w:kern w:val="0"/>
          <w:szCs w:val="21"/>
          <w:shd w:val="clear" w:color="auto" w:fill="FFFFFF"/>
        </w:rPr>
      </w:pPr>
    </w:p>
    <w:p>
      <w:pPr>
        <w:widowControl/>
        <w:shd w:val="clear" w:color="auto" w:fill="FFFFFF"/>
        <w:rPr>
          <w:kern w:val="0"/>
          <w:szCs w:val="21"/>
          <w:shd w:val="clear" w:color="auto" w:fill="FFFFFF"/>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b/>
          <w:bCs/>
          <w:sz w:val="32"/>
          <w:lang w:eastAsia="zh-CN"/>
        </w:rPr>
      </w:pPr>
      <w:r>
        <w:rPr>
          <w:rFonts w:hint="eastAsia"/>
          <w:b/>
          <w:bCs/>
          <w:sz w:val="32"/>
          <w:lang w:val="en-US" w:eastAsia="zh-CN"/>
        </w:rPr>
        <w:t>腾龙芳烃</w:t>
      </w:r>
      <w:r>
        <w:rPr>
          <w:rFonts w:hint="eastAsia"/>
          <w:b/>
          <w:bCs/>
          <w:sz w:val="32"/>
          <w:lang w:eastAsia="zh-CN"/>
        </w:rPr>
        <w:t>（漳州）有限公司</w:t>
      </w:r>
    </w:p>
    <w:p>
      <w:pPr>
        <w:spacing w:line="300" w:lineRule="auto"/>
        <w:jc w:val="center"/>
        <w:rPr>
          <w:bCs/>
          <w:szCs w:val="21"/>
        </w:rPr>
      </w:pPr>
      <w:r>
        <w:rPr>
          <w:rFonts w:hint="eastAsia"/>
          <w:b/>
          <w:bCs/>
          <w:sz w:val="32"/>
          <w:lang w:val="en-US" w:eastAsia="zh-CN"/>
        </w:rPr>
        <w:t xml:space="preserve"> 重整锅炉水三剂</w:t>
      </w: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重整锅炉水三剂</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2023-FHC-重整锅炉水三剂-1114</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重整锅炉水三剂</w:t>
      </w:r>
      <w:r>
        <w:rPr>
          <w:rFonts w:hint="eastAsia" w:ascii="宋体" w:hAnsi="宋体" w:cs="宋体" w:eastAsiaTheme="minorEastAsia"/>
          <w:sz w:val="24"/>
        </w:rPr>
        <w:t>。</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重整锅炉水三剂</w:t>
      </w:r>
      <w:r>
        <w:rPr>
          <w:rFonts w:hint="eastAsia" w:asciiTheme="minorEastAsia" w:hAnsiTheme="minorEastAsia" w:eastAsiaTheme="minorEastAsia"/>
          <w:bCs/>
          <w:sz w:val="24"/>
        </w:rPr>
        <w:t>采购数量、质量、货期、服务等要求详见比选文件。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5"/>
        <w:numPr>
          <w:ilvl w:val="0"/>
          <w:numId w:val="3"/>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pPr>
        <w:pStyle w:val="15"/>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5"/>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5"/>
        <w:numPr>
          <w:ilvl w:val="0"/>
          <w:numId w:val="3"/>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5"/>
        <w:numPr>
          <w:ilvl w:val="0"/>
          <w:numId w:val="3"/>
        </w:numPr>
        <w:spacing w:before="100" w:beforeAutospacing="1" w:after="100" w:afterAutospacing="1" w:line="30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投标人近三年在福建福海创石油化工有限公司或</w:t>
      </w:r>
      <w:r>
        <w:rPr>
          <w:rFonts w:asciiTheme="minorEastAsia" w:hAnsiTheme="minorEastAsia" w:eastAsiaTheme="minorEastAsia"/>
          <w:bCs/>
          <w:sz w:val="24"/>
          <w:highlight w:val="none"/>
        </w:rPr>
        <w:t>中国石油化工集团有限公司</w:t>
      </w:r>
      <w:r>
        <w:rPr>
          <w:rFonts w:hint="eastAsia" w:asciiTheme="minorEastAsia" w:hAnsiTheme="minorEastAsia" w:eastAsiaTheme="minorEastAsia"/>
          <w:bCs/>
          <w:sz w:val="24"/>
          <w:highlight w:val="none"/>
        </w:rPr>
        <w:t>或</w:t>
      </w:r>
      <w:r>
        <w:rPr>
          <w:rFonts w:asciiTheme="minorEastAsia" w:hAnsiTheme="minorEastAsia" w:eastAsiaTheme="minorEastAsia"/>
          <w:bCs/>
          <w:sz w:val="24"/>
          <w:highlight w:val="none"/>
        </w:rPr>
        <w:fldChar w:fldCharType="begin"/>
      </w:r>
      <w:r>
        <w:rPr>
          <w:rFonts w:asciiTheme="minorEastAsia" w:hAnsiTheme="minorEastAsia" w:eastAsiaTheme="minorEastAsia"/>
          <w:bCs/>
          <w:sz w:val="24"/>
          <w:highlight w:val="none"/>
        </w:rPr>
        <w:instrText xml:space="preserve"> HYPERLINK "http://www.baidu.com/link?url=ZYA2ANSxRzGwTSAnMQmFtVicINMq9OUNpKTJ21r1pCxY1Pg-bo-kGdl88GpXkxvjkQiNS5EBki5bPS0gC-oOIK" \t "_blank" </w:instrText>
      </w:r>
      <w:r>
        <w:rPr>
          <w:rFonts w:asciiTheme="minorEastAsia" w:hAnsiTheme="minorEastAsia" w:eastAsiaTheme="minorEastAsia"/>
          <w:bCs/>
          <w:sz w:val="24"/>
          <w:highlight w:val="none"/>
        </w:rPr>
        <w:fldChar w:fldCharType="separate"/>
      </w:r>
      <w:r>
        <w:rPr>
          <w:rFonts w:asciiTheme="minorEastAsia" w:hAnsiTheme="minorEastAsia" w:eastAsiaTheme="minorEastAsia"/>
          <w:bCs/>
          <w:sz w:val="24"/>
          <w:highlight w:val="none"/>
        </w:rPr>
        <w:t>中国石油天然气集团有限公司</w:t>
      </w:r>
      <w:r>
        <w:rPr>
          <w:rFonts w:asciiTheme="minorEastAsia" w:hAnsiTheme="minorEastAsia" w:eastAsiaTheme="minorEastAsia"/>
          <w:bCs/>
          <w:sz w:val="24"/>
          <w:highlight w:val="none"/>
        </w:rPr>
        <w:fldChar w:fldCharType="end"/>
      </w:r>
      <w:r>
        <w:rPr>
          <w:rFonts w:asciiTheme="minorEastAsia" w:hAnsiTheme="minorEastAsia" w:eastAsiaTheme="minorEastAsia"/>
          <w:bCs/>
          <w:sz w:val="24"/>
          <w:highlight w:val="none"/>
        </w:rPr>
        <w:t>或中国中化集团有限公司或中国海洋石油集团有限公司在</w:t>
      </w:r>
      <w:r>
        <w:rPr>
          <w:rFonts w:hint="eastAsia" w:asciiTheme="minorEastAsia" w:hAnsiTheme="minorEastAsia" w:eastAsiaTheme="minorEastAsia"/>
          <w:bCs/>
          <w:sz w:val="24"/>
          <w:highlight w:val="none"/>
        </w:rPr>
        <w:t>同类装置具有</w:t>
      </w:r>
      <w:r>
        <w:rPr>
          <w:rFonts w:asciiTheme="minorEastAsia" w:hAnsiTheme="minorEastAsia" w:eastAsiaTheme="minorEastAsia"/>
          <w:bCs/>
          <w:sz w:val="24"/>
          <w:highlight w:val="none"/>
        </w:rPr>
        <w:t>1</w:t>
      </w:r>
      <w:r>
        <w:rPr>
          <w:rFonts w:hint="eastAsia" w:asciiTheme="minorEastAsia" w:hAnsiTheme="minorEastAsia" w:eastAsiaTheme="minorEastAsia"/>
          <w:bCs/>
          <w:sz w:val="24"/>
          <w:highlight w:val="none"/>
        </w:rPr>
        <w:t>项以上的销售业绩。</w:t>
      </w:r>
    </w:p>
    <w:p>
      <w:pPr>
        <w:pStyle w:val="15"/>
        <w:numPr>
          <w:ilvl w:val="0"/>
          <w:numId w:val="3"/>
        </w:numPr>
        <w:spacing w:before="100" w:beforeAutospacing="1" w:after="100" w:afterAutospacing="1" w:line="300" w:lineRule="auto"/>
        <w:rPr>
          <w:rFonts w:asciiTheme="minorEastAsia" w:hAnsiTheme="minorEastAsia" w:eastAsiaTheme="minorEastAsia"/>
          <w:bCs/>
          <w:sz w:val="24"/>
          <w:highlight w:val="none"/>
        </w:rPr>
      </w:pPr>
      <w:r>
        <w:rPr>
          <w:rFonts w:hint="eastAsia" w:ascii="Times New Roman" w:hAnsi="Times New Roman" w:eastAsia="宋体" w:cs="Times New Roman"/>
          <w:sz w:val="24"/>
        </w:rPr>
        <w:t>有近三年同类装置的销售业绩</w:t>
      </w:r>
      <w:r>
        <w:rPr>
          <w:rFonts w:hint="eastAsia" w:cs="Times New Roman"/>
          <w:sz w:val="24"/>
          <w:lang w:eastAsia="zh-CN"/>
        </w:rPr>
        <w:t>（</w:t>
      </w:r>
      <w:r>
        <w:rPr>
          <w:rFonts w:hint="eastAsia" w:cs="Times New Roman"/>
          <w:sz w:val="24"/>
          <w:lang w:val="en-US" w:eastAsia="zh-CN"/>
        </w:rPr>
        <w:t>合同和发票</w:t>
      </w:r>
      <w:r>
        <w:rPr>
          <w:rFonts w:hint="eastAsia" w:cs="Times New Roman"/>
          <w:sz w:val="24"/>
          <w:lang w:eastAsia="zh-CN"/>
        </w:rPr>
        <w:t>）</w:t>
      </w:r>
      <w:r>
        <w:rPr>
          <w:rFonts w:hint="eastAsia" w:ascii="Times New Roman" w:hAnsi="Times New Roman" w:eastAsia="宋体" w:cs="Times New Roman"/>
          <w:sz w:val="24"/>
        </w:rPr>
        <w:t>。</w:t>
      </w:r>
    </w:p>
    <w:p>
      <w:pPr>
        <w:pStyle w:val="15"/>
        <w:numPr>
          <w:ilvl w:val="0"/>
          <w:numId w:val="3"/>
        </w:numPr>
        <w:spacing w:before="100" w:beforeAutospacing="1" w:after="100" w:afterAutospacing="1" w:line="30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参选保证金</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lang w:val="en-US" w:eastAsia="zh-CN"/>
        </w:rPr>
        <w:t>叁万伍仟元整</w:t>
      </w:r>
      <w:r>
        <w:rPr>
          <w:rFonts w:hint="eastAsia" w:asciiTheme="minorEastAsia" w:hAnsiTheme="minorEastAsia" w:eastAsiaTheme="minorEastAsia"/>
          <w:bCs/>
          <w:sz w:val="24"/>
          <w:highlight w:val="none"/>
        </w:rPr>
        <w:t>。</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5"/>
        <w:numPr>
          <w:ilvl w:val="0"/>
          <w:numId w:val="4"/>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12</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日（含当日）</w:t>
      </w:r>
    </w:p>
    <w:p>
      <w:pPr>
        <w:pStyle w:val="15"/>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w:t>
      </w:r>
      <w:bookmarkStart w:id="2" w:name="_GoBack"/>
      <w:bookmarkEnd w:id="2"/>
      <w:r>
        <w:rPr>
          <w:rFonts w:hint="eastAsia" w:asciiTheme="minorEastAsia" w:hAnsiTheme="minorEastAsia" w:eastAsiaTheme="minorEastAsia"/>
          <w:sz w:val="24"/>
        </w:rPr>
        <w:t>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r>
        <w:rPr>
          <w:rFonts w:hint="eastAsia" w:asciiTheme="minorEastAsia" w:hAnsiTheme="minorEastAsia" w:eastAsiaTheme="minorEastAsia"/>
          <w:sz w:val="24"/>
          <w:lang w:eastAsia="zh-CN"/>
        </w:rPr>
        <w:t>；</w:t>
      </w:r>
    </w:p>
    <w:p>
      <w:pPr>
        <w:pStyle w:val="15"/>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）投标人近三年在福建福海创石油化工有限公司或中国石油化工集团有限公司或</w:t>
      </w:r>
      <w:r>
        <w:rPr>
          <w:rFonts w:hint="eastAsia" w:asciiTheme="minorEastAsia" w:hAnsiTheme="minorEastAsia" w:eastAsiaTheme="minorEastAsia"/>
          <w:sz w:val="24"/>
          <w:lang w:eastAsia="zh-CN"/>
        </w:rPr>
        <w:fldChar w:fldCharType="begin"/>
      </w:r>
      <w:r>
        <w:rPr>
          <w:rFonts w:hint="eastAsia" w:asciiTheme="minorEastAsia" w:hAnsiTheme="minorEastAsia" w:eastAsiaTheme="minorEastAsia"/>
          <w:sz w:val="24"/>
          <w:lang w:eastAsia="zh-CN"/>
        </w:rPr>
        <w:instrText xml:space="preserve"> HYPERLINK "http://www.baidu.com/link?url=ZYA2ANSxRzGwTSAnMQmFtVicINMq9OUNpKTJ21r1pCxY1Pg-bo-kGdl88GpXkxvjkQiNS5EBki5bPS0gC-oOIK" \t "_blank" </w:instrText>
      </w:r>
      <w:r>
        <w:rPr>
          <w:rFonts w:hint="eastAsia" w:asciiTheme="minorEastAsia" w:hAnsiTheme="minorEastAsia" w:eastAsiaTheme="minorEastAsia"/>
          <w:sz w:val="24"/>
          <w:lang w:eastAsia="zh-CN"/>
        </w:rPr>
        <w:fldChar w:fldCharType="separate"/>
      </w:r>
      <w:r>
        <w:rPr>
          <w:rFonts w:hint="eastAsia" w:asciiTheme="minorEastAsia" w:hAnsiTheme="minorEastAsia" w:eastAsiaTheme="minorEastAsia"/>
          <w:sz w:val="24"/>
          <w:lang w:eastAsia="zh-CN"/>
        </w:rPr>
        <w:t>中国石油天然气集团有限公司</w:t>
      </w:r>
      <w:r>
        <w:rPr>
          <w:rFonts w:hint="eastAsia" w:asciiTheme="minorEastAsia" w:hAnsiTheme="minorEastAsia" w:eastAsiaTheme="minorEastAsia"/>
          <w:sz w:val="24"/>
          <w:lang w:eastAsia="zh-CN"/>
        </w:rPr>
        <w:fldChar w:fldCharType="end"/>
      </w:r>
      <w:r>
        <w:rPr>
          <w:rFonts w:hint="eastAsia" w:asciiTheme="minorEastAsia" w:hAnsiTheme="minorEastAsia" w:eastAsiaTheme="minorEastAsia"/>
          <w:sz w:val="24"/>
          <w:lang w:eastAsia="zh-CN"/>
        </w:rPr>
        <w:t>或中国中化集团有限公司或中国海洋石油集团有限公司在同类装置具有1项以上的销售业绩。</w:t>
      </w:r>
    </w:p>
    <w:p>
      <w:pPr>
        <w:pStyle w:val="15"/>
        <w:numPr>
          <w:ilvl w:val="255"/>
          <w:numId w:val="0"/>
        </w:numPr>
        <w:spacing w:before="0" w:line="300" w:lineRule="auto"/>
        <w:ind w:left="832"/>
        <w:rPr>
          <w:rFonts w:hint="eastAsia" w:asciiTheme="minorEastAsia" w:hAnsiTheme="minorEastAsia" w:eastAsiaTheme="minorEastAsia"/>
          <w:sz w:val="24"/>
          <w:lang w:val="en-US" w:eastAsia="zh-CN"/>
        </w:rPr>
      </w:pPr>
      <w:r>
        <w:rPr>
          <w:rFonts w:hint="eastAsia" w:asciiTheme="minorEastAsia" w:hAnsiTheme="minorEastAsia" w:eastAsiaTheme="minorEastAsia"/>
          <w:bCs/>
          <w:sz w:val="24"/>
          <w:lang w:val="en-US" w:eastAsia="zh-CN"/>
        </w:rPr>
        <w:t>（4）</w:t>
      </w:r>
      <w:r>
        <w:rPr>
          <w:rFonts w:hint="eastAsia" w:asciiTheme="minorEastAsia" w:hAnsiTheme="minorEastAsia" w:eastAsiaTheme="minorEastAsia"/>
          <w:color w:val="auto"/>
          <w:sz w:val="24"/>
          <w:lang w:val="en-US" w:eastAsia="zh-CN"/>
        </w:rPr>
        <w:t>提供投标产品近三年同类装置的销售业绩</w:t>
      </w:r>
      <w:r>
        <w:rPr>
          <w:rFonts w:hint="eastAsia" w:asciiTheme="minorEastAsia" w:hAnsiTheme="minorEastAsia" w:eastAsiaTheme="minorEastAsia"/>
          <w:sz w:val="24"/>
          <w:lang w:val="en-US" w:eastAsia="zh-CN"/>
        </w:rPr>
        <w:t>（合同或发票）</w:t>
      </w:r>
      <w:r>
        <w:rPr>
          <w:rFonts w:hint="eastAsia" w:asciiTheme="minorEastAsia" w:hAnsiTheme="minorEastAsia" w:eastAsiaTheme="minorEastAsia"/>
          <w:sz w:val="24"/>
          <w:lang w:eastAsia="zh-CN"/>
        </w:rPr>
        <w:t>。</w:t>
      </w:r>
    </w:p>
    <w:p>
      <w:pPr>
        <w:pStyle w:val="15"/>
        <w:numPr>
          <w:ilvl w:val="255"/>
          <w:numId w:val="0"/>
        </w:numPr>
        <w:spacing w:before="0" w:line="300" w:lineRule="auto"/>
        <w:ind w:left="832"/>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5）</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叁万伍仟元整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5"/>
        <w:numPr>
          <w:ilvl w:val="0"/>
          <w:numId w:val="4"/>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5"/>
        <w:keepNext w:val="0"/>
        <w:keepLines w:val="0"/>
        <w:pageBreakBefore w:val="0"/>
        <w:widowControl w:val="0"/>
        <w:kinsoku/>
        <w:wordWrap/>
        <w:overflowPunct/>
        <w:topLinePunct w:val="0"/>
        <w:autoSpaceDE/>
        <w:autoSpaceDN/>
        <w:bidi w:val="0"/>
        <w:spacing w:before="0" w:line="300" w:lineRule="auto"/>
        <w:ind w:left="832" w:firstLine="480" w:firstLineChars="200"/>
        <w:rPr>
          <w:rFonts w:hint="eastAsia" w:asciiTheme="minorEastAsia" w:hAnsiTheme="minorEastAsia" w:eastAsiaTheme="minorEastAsia"/>
          <w:bCs/>
          <w:sz w:val="24"/>
          <w:lang w:val="en-US" w:eastAsia="zh-CN"/>
        </w:rPr>
      </w:pPr>
      <w:r>
        <w:rPr>
          <w:rFonts w:hint="eastAsia" w:ascii="宋体" w:hAnsi="宋体" w:eastAsia="宋体"/>
          <w:bCs/>
          <w:color w:val="auto"/>
          <w:sz w:val="24"/>
          <w:lang w:val="en-US" w:eastAsia="zh-CN"/>
        </w:rPr>
        <w:t>请在报名后联系商务联系人获取“技术要求”文件。</w:t>
      </w:r>
    </w:p>
    <w:p>
      <w:pPr>
        <w:pStyle w:val="15"/>
        <w:spacing w:before="100" w:beforeAutospacing="1" w:after="100" w:afterAutospacing="1"/>
        <w:ind w:left="414" w:firstLine="0"/>
        <w:rPr>
          <w:rFonts w:ascii="宋体" w:hAnsi="宋体" w:eastAsia="宋体"/>
          <w:b/>
          <w:bCs/>
          <w:sz w:val="24"/>
        </w:rPr>
      </w:pPr>
      <w:r>
        <w:rPr>
          <w:rFonts w:hint="eastAsia" w:ascii="宋体" w:hAnsi="宋体" w:eastAsia="宋体"/>
          <w:b/>
          <w:bCs/>
          <w:sz w:val="24"/>
        </w:rPr>
        <w:t>四、参选文件递交要求</w:t>
      </w:r>
    </w:p>
    <w:p>
      <w:pPr>
        <w:pStyle w:val="15"/>
        <w:numPr>
          <w:ilvl w:val="0"/>
          <w:numId w:val="5"/>
        </w:numPr>
        <w:spacing w:before="100" w:beforeAutospacing="1" w:after="100" w:afterAutospacing="1"/>
        <w:rPr>
          <w:rFonts w:ascii="宋体" w:hAnsi="宋体" w:eastAsia="宋体"/>
          <w:bCs/>
          <w:sz w:val="24"/>
        </w:rPr>
      </w:pPr>
      <w:r>
        <w:rPr>
          <w:rFonts w:hint="eastAsia" w:ascii="宋体" w:hAnsi="宋体" w:eastAsia="宋体"/>
          <w:bCs/>
          <w:sz w:val="24"/>
        </w:rPr>
        <w:t>参选文件递交地点：</w:t>
      </w:r>
      <w:r>
        <w:rPr>
          <w:rFonts w:hint="eastAsia" w:ascii="宋体" w:hAnsi="宋体"/>
          <w:bCs/>
          <w:sz w:val="24"/>
          <w:lang w:eastAsia="zh-CN"/>
        </w:rPr>
        <w:t>腾龙芳烃（漳州）有限公司</w:t>
      </w:r>
      <w:r>
        <w:rPr>
          <w:rFonts w:hint="eastAsia" w:ascii="宋体" w:hAnsi="宋体" w:eastAsia="宋体"/>
          <w:bCs/>
          <w:sz w:val="24"/>
        </w:rPr>
        <w:t>（地址：</w:t>
      </w:r>
      <w:r>
        <w:rPr>
          <w:rFonts w:hint="eastAsia" w:ascii="宋体" w:hAnsi="宋体" w:eastAsia="宋体"/>
          <w:bCs/>
          <w:sz w:val="24"/>
          <w:lang w:val="en-US" w:eastAsia="zh-CN"/>
        </w:rPr>
        <w:t>漳州市漳浦县杜浔镇杜昌路9号福海创办公大楼2楼</w:t>
      </w:r>
      <w:r>
        <w:rPr>
          <w:rFonts w:ascii="宋体" w:hAnsi="宋体" w:eastAsia="宋体"/>
          <w:bCs/>
          <w:sz w:val="24"/>
        </w:rPr>
        <w:t>）</w:t>
      </w:r>
    </w:p>
    <w:p>
      <w:pPr>
        <w:pStyle w:val="15"/>
        <w:numPr>
          <w:ilvl w:val="0"/>
          <w:numId w:val="5"/>
        </w:numPr>
        <w:spacing w:before="100" w:beforeAutospacing="1" w:after="100" w:afterAutospacing="1" w:line="360" w:lineRule="auto"/>
        <w:rPr>
          <w:rFonts w:ascii="宋体" w:hAnsi="宋体" w:eastAsia="宋体"/>
          <w:bCs/>
          <w:sz w:val="24"/>
        </w:rPr>
      </w:pPr>
      <w:r>
        <w:rPr>
          <w:rFonts w:hint="eastAsia" w:ascii="宋体" w:hAnsi="宋体" w:eastAsia="宋体"/>
          <w:bCs/>
          <w:sz w:val="24"/>
        </w:rPr>
        <w:t>递交截止时间：报名截止时间延后2个工作日</w:t>
      </w:r>
    </w:p>
    <w:p>
      <w:pPr>
        <w:pStyle w:val="15"/>
        <w:numPr>
          <w:ilvl w:val="0"/>
          <w:numId w:val="5"/>
        </w:numPr>
        <w:spacing w:before="100" w:beforeAutospacing="1" w:after="100" w:afterAutospacing="1" w:line="360" w:lineRule="auto"/>
        <w:rPr>
          <w:rFonts w:ascii="宋体" w:hAnsi="宋体" w:eastAsia="宋体"/>
          <w:bCs/>
          <w:sz w:val="24"/>
        </w:rPr>
      </w:pPr>
      <w:r>
        <w:rPr>
          <w:rFonts w:ascii="宋体" w:hAnsi="宋体" w:eastAsia="宋体"/>
          <w:bCs/>
          <w:sz w:val="24"/>
        </w:rPr>
        <w:t>寄送快递时，请在快递件上面备注清楚寄件人公司名称及相应标书项目名称</w:t>
      </w:r>
      <w:r>
        <w:rPr>
          <w:rFonts w:hint="eastAsia" w:ascii="宋体" w:hAnsi="宋体"/>
          <w:bCs/>
          <w:sz w:val="24"/>
          <w:lang w:eastAsia="zh-CN"/>
        </w:rPr>
        <w:t>，</w:t>
      </w:r>
      <w:r>
        <w:rPr>
          <w:rFonts w:hint="eastAsia" w:ascii="宋体" w:hAnsi="宋体"/>
          <w:bCs/>
          <w:sz w:val="24"/>
          <w:highlight w:val="yellow"/>
          <w:lang w:val="en-US" w:eastAsia="zh-CN"/>
        </w:rPr>
        <w:t>同时快递内随附标书电子版资料</w:t>
      </w:r>
      <w:r>
        <w:rPr>
          <w:rFonts w:ascii="宋体" w:hAnsi="宋体" w:eastAsia="宋体"/>
          <w:bCs/>
          <w:sz w:val="24"/>
          <w:highlight w:val="yellow"/>
        </w:rPr>
        <w:t>！</w:t>
      </w:r>
    </w:p>
    <w:p>
      <w:pPr>
        <w:pStyle w:val="15"/>
        <w:numPr>
          <w:ilvl w:val="0"/>
          <w:numId w:val="5"/>
        </w:numPr>
        <w:spacing w:before="100" w:beforeAutospacing="1" w:after="100" w:afterAutospacing="1"/>
        <w:rPr>
          <w:rFonts w:ascii="宋体" w:hAnsi="宋体" w:eastAsia="宋体"/>
          <w:bCs/>
          <w:sz w:val="24"/>
        </w:rPr>
      </w:pPr>
      <w:r>
        <w:rPr>
          <w:rFonts w:hint="eastAsia" w:ascii="宋体" w:hAnsi="宋体" w:eastAsia="宋体"/>
          <w:bCs/>
          <w:sz w:val="24"/>
        </w:rPr>
        <w:t>特别声明：（1）参选人必须对全部物资进行参选，不得部分参选，否则其比选文件将被拒绝。（2）未进行登记报名的参选人，其递交的参选文件将被拒收。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技术联系人：林</w:t>
      </w:r>
      <w:r>
        <w:rPr>
          <w:rFonts w:hint="eastAsia" w:asciiTheme="minorEastAsia" w:hAnsiTheme="minorEastAsia" w:eastAsiaTheme="minorEastAsia"/>
          <w:bCs/>
          <w:sz w:val="24"/>
          <w:lang w:val="en-US" w:eastAsia="zh-CN"/>
        </w:rPr>
        <w:t>小强</w:t>
      </w:r>
      <w:r>
        <w:rPr>
          <w:rFonts w:hint="eastAsia" w:asciiTheme="minorEastAsia" w:hAnsiTheme="minorEastAsia" w:eastAsiaTheme="minorEastAsia"/>
          <w:bCs/>
          <w:sz w:val="24"/>
        </w:rPr>
        <w:t xml:space="preserve"> 电话：15159681301 邮箱：linxq@fhcpec.com.cn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pStyle w:val="2"/>
        <w:rPr>
          <w:rFonts w:hint="eastAsia"/>
          <w:lang w:val="en-US" w:eastAsia="zh-CN"/>
        </w:rPr>
      </w:pPr>
    </w:p>
    <w:p>
      <w:pPr>
        <w:spacing w:line="360" w:lineRule="auto"/>
        <w:ind w:firstLine="5520" w:firstLineChars="2300"/>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腾龙芳烃（漳州）有限公司</w:t>
      </w:r>
    </w:p>
    <w:p>
      <w:pPr>
        <w:spacing w:line="360" w:lineRule="auto"/>
        <w:ind w:firstLine="6240" w:firstLineChars="2600"/>
        <w:rPr>
          <w:rFonts w:hint="eastAsia" w:ascii="宋体" w:hAnsi="宋体"/>
          <w:b/>
          <w:bCs/>
          <w:sz w:val="36"/>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11</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21</w:t>
      </w:r>
      <w:r>
        <w:rPr>
          <w:rFonts w:hint="eastAsia" w:asciiTheme="minorEastAsia" w:hAnsiTheme="minorEastAsia" w:eastAsiaTheme="minorEastAsia"/>
          <w:bCs/>
          <w:sz w:val="24"/>
        </w:rPr>
        <w:t>日</w:t>
      </w: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重整锅炉水三剂</w:t>
      </w:r>
      <w:r>
        <w:rPr>
          <w:rFonts w:hint="eastAsia" w:ascii="宋体" w:hAnsi="宋体"/>
          <w:sz w:val="18"/>
          <w:szCs w:val="18"/>
          <w:u w:val="single"/>
        </w:rPr>
        <w:t>。</w:t>
      </w:r>
    </w:p>
    <w:p>
      <w:pPr>
        <w:pStyle w:val="18"/>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eastAsia="宋体"/>
          <w:sz w:val="18"/>
          <w:szCs w:val="18"/>
          <w:lang w:eastAsia="zh-CN"/>
        </w:rPr>
      </w:pPr>
      <w:r>
        <w:rPr>
          <w:rFonts w:hint="eastAsia" w:ascii="宋体"/>
          <w:sz w:val="18"/>
          <w:szCs w:val="18"/>
        </w:rPr>
        <w:t>（4）与比选人无诉讼纠纷</w:t>
      </w:r>
      <w:r>
        <w:rPr>
          <w:rFonts w:hint="eastAsia" w:ascii="宋体"/>
          <w:sz w:val="18"/>
          <w:szCs w:val="18"/>
          <w:lang w:eastAsia="zh-CN"/>
        </w:rPr>
        <w:t>；</w:t>
      </w:r>
    </w:p>
    <w:p>
      <w:pPr>
        <w:spacing w:line="320" w:lineRule="exact"/>
        <w:rPr>
          <w:rFonts w:hint="eastAsia" w:ascii="宋体"/>
          <w:sz w:val="18"/>
          <w:szCs w:val="18"/>
        </w:rPr>
      </w:pPr>
      <w:r>
        <w:rPr>
          <w:rFonts w:hint="eastAsia" w:ascii="宋体"/>
          <w:sz w:val="18"/>
          <w:szCs w:val="18"/>
        </w:rPr>
        <w:t>（5）</w:t>
      </w:r>
      <w:r>
        <w:rPr>
          <w:rFonts w:hint="eastAsia" w:ascii="宋体"/>
          <w:sz w:val="18"/>
          <w:szCs w:val="18"/>
          <w:lang w:eastAsia="zh-CN"/>
        </w:rPr>
        <w:t>投标人近三年在福建福海创石油化工有限公司或中国石油化工集团有限公司或</w:t>
      </w:r>
      <w:r>
        <w:rPr>
          <w:rFonts w:hint="eastAsia" w:ascii="宋体"/>
          <w:sz w:val="18"/>
          <w:szCs w:val="18"/>
          <w:lang w:eastAsia="zh-CN"/>
        </w:rPr>
        <w:fldChar w:fldCharType="begin"/>
      </w:r>
      <w:r>
        <w:rPr>
          <w:rFonts w:hint="eastAsia" w:ascii="宋体"/>
          <w:sz w:val="18"/>
          <w:szCs w:val="18"/>
          <w:lang w:eastAsia="zh-CN"/>
        </w:rPr>
        <w:instrText xml:space="preserve"> HYPERLINK "http://www.baidu.com/link?url=ZYA2ANSxRzGwTSAnMQmFtVicINMq9OUNpKTJ21r1pCxY1Pg-bo-kGdl88GpXkxvjkQiNS5EBki5bPS0gC-oOIK" \t "_blank" </w:instrText>
      </w:r>
      <w:r>
        <w:rPr>
          <w:rFonts w:hint="eastAsia" w:ascii="宋体"/>
          <w:sz w:val="18"/>
          <w:szCs w:val="18"/>
          <w:lang w:eastAsia="zh-CN"/>
        </w:rPr>
        <w:fldChar w:fldCharType="separate"/>
      </w:r>
      <w:r>
        <w:rPr>
          <w:rFonts w:hint="eastAsia" w:ascii="宋体"/>
          <w:sz w:val="18"/>
          <w:szCs w:val="18"/>
          <w:lang w:eastAsia="zh-CN"/>
        </w:rPr>
        <w:t>中国石油天然气集团有限公司</w:t>
      </w:r>
      <w:r>
        <w:rPr>
          <w:rFonts w:hint="eastAsia" w:ascii="宋体"/>
          <w:sz w:val="18"/>
          <w:szCs w:val="18"/>
          <w:lang w:eastAsia="zh-CN"/>
        </w:rPr>
        <w:fldChar w:fldCharType="end"/>
      </w:r>
      <w:r>
        <w:rPr>
          <w:rFonts w:hint="eastAsia" w:ascii="宋体"/>
          <w:sz w:val="18"/>
          <w:szCs w:val="18"/>
          <w:lang w:eastAsia="zh-CN"/>
        </w:rPr>
        <w:t>或中国中化集团有限公司或中国海洋石油集团有限公司在同类装置具有1项以上的销售业绩。</w:t>
      </w:r>
    </w:p>
    <w:p>
      <w:pPr>
        <w:spacing w:line="320" w:lineRule="exact"/>
        <w:rPr>
          <w:rFonts w:ascii="宋体"/>
          <w:sz w:val="18"/>
          <w:szCs w:val="18"/>
        </w:rPr>
      </w:pPr>
      <w:r>
        <w:rPr>
          <w:rFonts w:hint="eastAsia" w:ascii="宋体"/>
          <w:sz w:val="18"/>
          <w:szCs w:val="18"/>
          <w:lang w:eastAsia="zh-CN"/>
        </w:rPr>
        <w:t>（</w:t>
      </w:r>
      <w:r>
        <w:rPr>
          <w:rFonts w:hint="eastAsia" w:ascii="宋体"/>
          <w:sz w:val="18"/>
          <w:szCs w:val="18"/>
          <w:lang w:val="en-US" w:eastAsia="zh-CN"/>
        </w:rPr>
        <w:t>6</w:t>
      </w:r>
      <w:r>
        <w:rPr>
          <w:rFonts w:hint="eastAsia" w:ascii="宋体"/>
          <w:sz w:val="18"/>
          <w:szCs w:val="18"/>
          <w:lang w:eastAsia="zh-CN"/>
        </w:rPr>
        <w:t>）</w:t>
      </w:r>
      <w:r>
        <w:rPr>
          <w:rFonts w:hint="eastAsia" w:ascii="宋体"/>
          <w:sz w:val="18"/>
          <w:szCs w:val="18"/>
        </w:rPr>
        <w:t>有近三年同类装置的销售业绩</w:t>
      </w:r>
      <w:r>
        <w:rPr>
          <w:rFonts w:hint="eastAsia" w:ascii="宋体"/>
          <w:sz w:val="18"/>
          <w:szCs w:val="18"/>
          <w:lang w:eastAsia="zh-CN"/>
        </w:rPr>
        <w:t>（</w:t>
      </w:r>
      <w:r>
        <w:rPr>
          <w:rFonts w:hint="eastAsia" w:ascii="宋体"/>
          <w:sz w:val="18"/>
          <w:szCs w:val="18"/>
          <w:lang w:val="en-US" w:eastAsia="zh-CN"/>
        </w:rPr>
        <w:t>合同和发票</w:t>
      </w:r>
      <w:r>
        <w:rPr>
          <w:rFonts w:hint="eastAsia" w:ascii="宋体"/>
          <w:sz w:val="18"/>
          <w:szCs w:val="18"/>
          <w:lang w:eastAsia="zh-CN"/>
        </w:rPr>
        <w:t>）</w:t>
      </w:r>
      <w:r>
        <w:rPr>
          <w:rFonts w:hint="eastAsia" w:ascii="宋体"/>
          <w:sz w:val="18"/>
          <w:szCs w:val="18"/>
        </w:rPr>
        <w:t>。</w:t>
      </w:r>
    </w:p>
    <w:p>
      <w:pPr>
        <w:spacing w:line="320" w:lineRule="exact"/>
        <w:rPr>
          <w:rFonts w:ascii="宋体"/>
          <w:sz w:val="18"/>
          <w:szCs w:val="18"/>
          <w:highlight w:val="none"/>
        </w:rPr>
      </w:pPr>
      <w:r>
        <w:rPr>
          <w:rFonts w:hint="eastAsia" w:ascii="宋体"/>
          <w:sz w:val="18"/>
          <w:szCs w:val="18"/>
          <w:highlight w:val="none"/>
        </w:rPr>
        <w:t>（</w:t>
      </w:r>
      <w:r>
        <w:rPr>
          <w:rFonts w:hint="eastAsia" w:ascii="宋体"/>
          <w:sz w:val="18"/>
          <w:szCs w:val="18"/>
          <w:highlight w:val="none"/>
          <w:lang w:val="en-US" w:eastAsia="zh-CN"/>
        </w:rPr>
        <w:t>7</w:t>
      </w:r>
      <w:r>
        <w:rPr>
          <w:rFonts w:hint="eastAsia" w:ascii="宋体"/>
          <w:sz w:val="18"/>
          <w:szCs w:val="18"/>
          <w:highlight w:val="none"/>
        </w:rPr>
        <w:t>）参选保证金：</w:t>
      </w:r>
      <w:r>
        <w:rPr>
          <w:rFonts w:hint="eastAsia" w:ascii="宋体"/>
          <w:sz w:val="18"/>
          <w:szCs w:val="18"/>
          <w:highlight w:val="none"/>
          <w:lang w:val="en-US" w:eastAsia="zh-CN"/>
        </w:rPr>
        <w:t>叁万伍仟元整</w:t>
      </w:r>
      <w:r>
        <w:rPr>
          <w:rFonts w:hint="eastAsia" w:ascii="宋体"/>
          <w:sz w:val="18"/>
          <w:szCs w:val="18"/>
          <w:highlight w:val="none"/>
        </w:rPr>
        <w:t>。</w:t>
      </w:r>
    </w:p>
    <w:p>
      <w:pPr>
        <w:spacing w:line="320" w:lineRule="exact"/>
        <w:rPr>
          <w:rFonts w:ascii="宋体" w:hAnsi="宋体"/>
          <w:sz w:val="18"/>
          <w:szCs w:val="18"/>
        </w:rPr>
      </w:pPr>
      <w:r>
        <w:rPr>
          <w:rFonts w:ascii="宋体" w:hAnsi="宋体"/>
          <w:sz w:val="18"/>
          <w:szCs w:val="18"/>
        </w:rPr>
        <w:t>3.</w:t>
      </w:r>
      <w:r>
        <w:rPr>
          <w:rFonts w:hint="eastAsia" w:ascii="宋体" w:hAnsi="宋体"/>
          <w:sz w:val="18"/>
          <w:szCs w:val="18"/>
        </w:rPr>
        <w:t>参选人要仔细阅读公开比选文件的内容，按该报价要求提供以下要求的文件，所提供资料必须真实。</w:t>
      </w:r>
    </w:p>
    <w:p>
      <w:pPr>
        <w:spacing w:line="320" w:lineRule="exact"/>
        <w:rPr>
          <w:rFonts w:ascii="宋体" w:hAnsi="宋体"/>
          <w:sz w:val="18"/>
          <w:szCs w:val="18"/>
          <w:highlight w:val="yellow"/>
        </w:rPr>
      </w:pPr>
      <w:r>
        <w:rPr>
          <w:rFonts w:ascii="宋体" w:hAnsi="宋体"/>
          <w:sz w:val="18"/>
          <w:szCs w:val="18"/>
          <w:highlight w:val="yellow"/>
        </w:rPr>
        <w:t>4.</w:t>
      </w:r>
      <w:r>
        <w:rPr>
          <w:rFonts w:hint="eastAsia" w:ascii="宋体" w:hAnsi="宋体"/>
          <w:sz w:val="18"/>
          <w:szCs w:val="18"/>
          <w:highlight w:val="yellow"/>
        </w:rPr>
        <w:t>公开比选请按以</w:t>
      </w:r>
      <w:r>
        <w:rPr>
          <w:rFonts w:hint="eastAsia" w:ascii="宋体" w:hAnsi="宋体"/>
          <w:sz w:val="18"/>
          <w:szCs w:val="18"/>
          <w:highlight w:val="yellow"/>
          <w:lang w:val="en-US" w:eastAsia="zh-CN"/>
        </w:rPr>
        <w:t>下</w:t>
      </w:r>
      <w:r>
        <w:rPr>
          <w:rFonts w:hint="eastAsia" w:ascii="宋体" w:hAnsi="宋体"/>
          <w:sz w:val="18"/>
          <w:szCs w:val="18"/>
          <w:highlight w:val="yellow"/>
        </w:rPr>
        <w:t>要求密封报价。</w:t>
      </w:r>
      <w:r>
        <w:rPr>
          <w:rFonts w:hint="eastAsia" w:ascii="宋体" w:hAnsi="宋体"/>
          <w:sz w:val="18"/>
          <w:szCs w:val="18"/>
          <w:highlight w:val="yellow"/>
          <w:lang w:val="en-US" w:eastAsia="zh-CN"/>
        </w:rPr>
        <w:t>参选人递交的参选</w:t>
      </w:r>
      <w:r>
        <w:rPr>
          <w:rFonts w:hint="eastAsia" w:ascii="宋体" w:hAnsi="宋体"/>
          <w:sz w:val="18"/>
          <w:szCs w:val="18"/>
          <w:highlight w:val="yellow"/>
        </w:rPr>
        <w:t>文件分为二册，第一册为</w:t>
      </w:r>
      <w:r>
        <w:rPr>
          <w:rFonts w:hint="eastAsia" w:ascii="宋体" w:hAnsi="宋体"/>
          <w:sz w:val="18"/>
          <w:szCs w:val="18"/>
          <w:highlight w:val="yellow"/>
          <w:lang w:eastAsia="zh-CN"/>
        </w:rPr>
        <w:t>商务</w:t>
      </w:r>
      <w:r>
        <w:rPr>
          <w:rFonts w:hint="eastAsia" w:ascii="宋体" w:hAnsi="宋体"/>
          <w:sz w:val="18"/>
          <w:szCs w:val="18"/>
          <w:highlight w:val="yellow"/>
        </w:rPr>
        <w:t>文件，第二册为技术文件，其内容分别为：</w:t>
      </w:r>
    </w:p>
    <w:p>
      <w:pPr>
        <w:spacing w:line="320" w:lineRule="exact"/>
        <w:rPr>
          <w:rFonts w:hint="eastAsia" w:ascii="宋体" w:hAnsi="宋体"/>
          <w:sz w:val="18"/>
          <w:szCs w:val="18"/>
          <w:highlight w:val="yellow"/>
        </w:rPr>
      </w:pPr>
      <w:r>
        <w:rPr>
          <w:rFonts w:hint="eastAsia" w:ascii="宋体" w:hAnsi="宋体"/>
          <w:sz w:val="18"/>
          <w:szCs w:val="18"/>
          <w:highlight w:val="yellow"/>
          <w:lang w:val="en-US" w:eastAsia="zh-CN"/>
        </w:rPr>
        <w:t>4.1</w:t>
      </w:r>
      <w:r>
        <w:rPr>
          <w:rFonts w:hint="eastAsia" w:ascii="宋体" w:hAnsi="宋体"/>
          <w:sz w:val="18"/>
          <w:szCs w:val="18"/>
          <w:highlight w:val="yellow"/>
        </w:rPr>
        <w:t xml:space="preserve"> 第一册</w:t>
      </w:r>
      <w:r>
        <w:rPr>
          <w:rFonts w:hint="eastAsia" w:ascii="宋体" w:hAnsi="宋体"/>
          <w:sz w:val="18"/>
          <w:szCs w:val="18"/>
          <w:highlight w:val="yellow"/>
          <w:lang w:eastAsia="zh-CN"/>
        </w:rPr>
        <w:t>商务</w:t>
      </w:r>
      <w:r>
        <w:rPr>
          <w:rFonts w:hint="eastAsia" w:ascii="宋体" w:hAnsi="宋体"/>
          <w:sz w:val="18"/>
          <w:szCs w:val="18"/>
          <w:highlight w:val="yellow"/>
        </w:rPr>
        <w:t>文件包含以下内容：</w:t>
      </w:r>
    </w:p>
    <w:p>
      <w:pPr>
        <w:spacing w:line="320" w:lineRule="exact"/>
        <w:rPr>
          <w:rFonts w:ascii="宋体" w:hAnsi="宋体"/>
          <w:sz w:val="18"/>
          <w:szCs w:val="18"/>
          <w:highlight w:val="yellow"/>
        </w:rPr>
      </w:pPr>
      <w:r>
        <w:rPr>
          <w:rFonts w:hint="eastAsia" w:ascii="宋体" w:hAnsi="宋体"/>
          <w:sz w:val="18"/>
          <w:szCs w:val="18"/>
          <w:highlight w:val="yellow"/>
        </w:rPr>
        <w:t>（</w:t>
      </w:r>
      <w:r>
        <w:rPr>
          <w:rFonts w:ascii="宋体" w:hAnsi="宋体"/>
          <w:sz w:val="18"/>
          <w:szCs w:val="18"/>
          <w:highlight w:val="yellow"/>
        </w:rPr>
        <w:t>1</w:t>
      </w:r>
      <w:r>
        <w:rPr>
          <w:rFonts w:hint="eastAsia" w:ascii="宋体" w:hAnsi="宋体"/>
          <w:sz w:val="18"/>
          <w:szCs w:val="18"/>
          <w:highlight w:val="yellow"/>
        </w:rPr>
        <w:t>）比选公告</w:t>
      </w:r>
    </w:p>
    <w:p>
      <w:pPr>
        <w:spacing w:line="320" w:lineRule="exact"/>
        <w:rPr>
          <w:rFonts w:ascii="宋体" w:hAnsi="宋体"/>
          <w:sz w:val="18"/>
          <w:szCs w:val="18"/>
          <w:highlight w:val="yellow"/>
        </w:rPr>
      </w:pPr>
      <w:r>
        <w:rPr>
          <w:rFonts w:hint="eastAsia" w:ascii="宋体" w:hAnsi="宋体"/>
          <w:sz w:val="18"/>
          <w:szCs w:val="18"/>
          <w:highlight w:val="yellow"/>
        </w:rPr>
        <w:t>（2）参选规定及说明</w:t>
      </w:r>
    </w:p>
    <w:p>
      <w:pPr>
        <w:spacing w:line="320" w:lineRule="exact"/>
        <w:rPr>
          <w:rFonts w:ascii="宋体" w:hAnsi="宋体"/>
          <w:sz w:val="18"/>
          <w:szCs w:val="18"/>
          <w:highlight w:val="yellow"/>
        </w:rPr>
      </w:pPr>
      <w:r>
        <w:rPr>
          <w:rFonts w:hint="eastAsia" w:ascii="宋体" w:hAnsi="宋体"/>
          <w:sz w:val="18"/>
          <w:szCs w:val="18"/>
          <w:highlight w:val="yellow"/>
        </w:rPr>
        <w:t>（3）公开比选文件</w:t>
      </w:r>
    </w:p>
    <w:p>
      <w:pPr>
        <w:spacing w:line="320" w:lineRule="exact"/>
        <w:rPr>
          <w:rFonts w:ascii="宋体" w:hAnsi="宋体"/>
          <w:sz w:val="18"/>
          <w:szCs w:val="18"/>
          <w:highlight w:val="yellow"/>
        </w:rPr>
      </w:pPr>
      <w:r>
        <w:rPr>
          <w:rFonts w:hint="eastAsia" w:ascii="宋体" w:hAnsi="宋体"/>
          <w:sz w:val="18"/>
          <w:szCs w:val="18"/>
          <w:highlight w:val="yellow"/>
        </w:rPr>
        <w:t>（4）参选书</w:t>
      </w:r>
    </w:p>
    <w:p>
      <w:pPr>
        <w:spacing w:line="320" w:lineRule="exact"/>
        <w:rPr>
          <w:rFonts w:ascii="宋体" w:hAnsi="宋体"/>
          <w:sz w:val="18"/>
          <w:szCs w:val="18"/>
          <w:highlight w:val="yellow"/>
        </w:rPr>
      </w:pPr>
      <w:r>
        <w:rPr>
          <w:rFonts w:hint="eastAsia" w:ascii="宋体" w:hAnsi="宋体"/>
          <w:sz w:val="18"/>
          <w:szCs w:val="18"/>
          <w:highlight w:val="yellow"/>
        </w:rPr>
        <w:t>（5）法定代表人授权书</w:t>
      </w:r>
    </w:p>
    <w:p>
      <w:pPr>
        <w:spacing w:line="320" w:lineRule="exact"/>
        <w:rPr>
          <w:rFonts w:hint="eastAsia" w:ascii="宋体" w:hAnsi="宋体"/>
          <w:sz w:val="18"/>
          <w:szCs w:val="18"/>
          <w:highlight w:val="yellow"/>
        </w:rPr>
      </w:pPr>
      <w:r>
        <w:rPr>
          <w:rFonts w:hint="eastAsia" w:ascii="宋体" w:hAnsi="宋体"/>
          <w:sz w:val="18"/>
          <w:szCs w:val="18"/>
          <w:highlight w:val="yellow"/>
        </w:rPr>
        <w:t>（6）报价单</w:t>
      </w:r>
    </w:p>
    <w:p>
      <w:pPr>
        <w:spacing w:line="320" w:lineRule="exact"/>
        <w:rPr>
          <w:rFonts w:hint="eastAsia" w:ascii="宋体" w:hAnsi="宋体" w:eastAsia="宋体"/>
          <w:sz w:val="18"/>
          <w:szCs w:val="18"/>
          <w:highlight w:val="yellow"/>
          <w:lang w:eastAsia="zh-CN"/>
        </w:rPr>
      </w:pPr>
      <w:r>
        <w:rPr>
          <w:rFonts w:hint="eastAsia" w:ascii="宋体" w:hAnsi="宋体"/>
          <w:sz w:val="18"/>
          <w:szCs w:val="18"/>
          <w:highlight w:val="yellow"/>
          <w:lang w:eastAsia="zh-CN"/>
        </w:rPr>
        <w:t>（</w:t>
      </w:r>
      <w:r>
        <w:rPr>
          <w:rFonts w:hint="eastAsia" w:ascii="宋体" w:hAnsi="宋体"/>
          <w:sz w:val="18"/>
          <w:szCs w:val="18"/>
          <w:highlight w:val="yellow"/>
          <w:lang w:val="en-US" w:eastAsia="zh-CN"/>
        </w:rPr>
        <w:t>7</w:t>
      </w:r>
      <w:r>
        <w:rPr>
          <w:rFonts w:hint="eastAsia" w:ascii="宋体" w:hAnsi="宋体"/>
          <w:sz w:val="18"/>
          <w:szCs w:val="18"/>
          <w:highlight w:val="yellow"/>
          <w:lang w:eastAsia="zh-CN"/>
        </w:rPr>
        <w:t>）</w:t>
      </w:r>
      <w:r>
        <w:rPr>
          <w:rFonts w:hint="eastAsia" w:ascii="宋体" w:hAnsi="宋体"/>
          <w:sz w:val="18"/>
          <w:szCs w:val="18"/>
          <w:highlight w:val="yellow"/>
          <w:lang w:val="en-US" w:eastAsia="zh-CN"/>
        </w:rPr>
        <w:t>技术要求</w:t>
      </w:r>
    </w:p>
    <w:p>
      <w:pPr>
        <w:spacing w:line="320" w:lineRule="exact"/>
        <w:rPr>
          <w:rFonts w:hint="eastAsia" w:ascii="宋体" w:hAnsi="宋体"/>
          <w:sz w:val="18"/>
          <w:szCs w:val="18"/>
          <w:highlight w:val="yellow"/>
        </w:rPr>
      </w:pPr>
      <w:r>
        <w:rPr>
          <w:rFonts w:hint="eastAsia" w:ascii="宋体" w:hAnsi="宋体"/>
          <w:sz w:val="18"/>
          <w:szCs w:val="18"/>
          <w:highlight w:val="yellow"/>
          <w:lang w:val="en-US" w:eastAsia="zh-CN"/>
        </w:rPr>
        <w:t>4.2</w:t>
      </w:r>
      <w:r>
        <w:rPr>
          <w:rFonts w:hint="eastAsia" w:ascii="宋体" w:hAnsi="宋体"/>
          <w:sz w:val="18"/>
          <w:szCs w:val="18"/>
          <w:highlight w:val="yellow"/>
        </w:rPr>
        <w:t xml:space="preserve"> 第二册技术文件包含以下内容：</w:t>
      </w:r>
    </w:p>
    <w:p>
      <w:pPr>
        <w:spacing w:line="320" w:lineRule="exact"/>
      </w:pPr>
      <w:r>
        <w:rPr>
          <w:rFonts w:hint="eastAsia" w:ascii="宋体" w:hAnsi="宋体"/>
          <w:sz w:val="18"/>
          <w:szCs w:val="18"/>
          <w:highlight w:val="yellow"/>
        </w:rPr>
        <w:t>项目需求及重难点分析</w:t>
      </w:r>
      <w:r>
        <w:rPr>
          <w:rFonts w:hint="eastAsia" w:ascii="宋体" w:hAnsi="宋体"/>
          <w:sz w:val="18"/>
          <w:szCs w:val="18"/>
          <w:highlight w:val="yellow"/>
          <w:lang w:eastAsia="zh-CN"/>
        </w:rPr>
        <w:t>、技术、服务方案、投标人类似项目业绩、服务便捷性、项目服务经验、突发事件的应急措施方案</w:t>
      </w:r>
      <w:r>
        <w:rPr>
          <w:rFonts w:hint="eastAsia" w:ascii="宋体" w:hAnsi="宋体"/>
          <w:sz w:val="18"/>
          <w:szCs w:val="18"/>
          <w:highlight w:val="yellow"/>
          <w:lang w:val="en-US" w:eastAsia="zh-CN"/>
        </w:rPr>
        <w:t>等内容</w:t>
      </w:r>
      <w:r>
        <w:rPr>
          <w:rFonts w:hint="eastAsia" w:ascii="宋体" w:hAnsi="宋体"/>
          <w:sz w:val="18"/>
          <w:szCs w:val="18"/>
          <w:highlight w:val="yellow"/>
        </w:rPr>
        <w:t>。</w:t>
      </w:r>
    </w:p>
    <w:p>
      <w:pPr>
        <w:spacing w:line="320" w:lineRule="exact"/>
        <w:rPr>
          <w:rFonts w:ascii="宋体" w:hAnsi="宋体"/>
          <w:sz w:val="18"/>
          <w:szCs w:val="18"/>
          <w:highlight w:val="yellow"/>
        </w:rPr>
      </w:pPr>
      <w:r>
        <w:rPr>
          <w:rFonts w:hint="eastAsia" w:ascii="宋体" w:hAnsi="宋体"/>
          <w:b/>
          <w:bCs/>
          <w:sz w:val="18"/>
          <w:szCs w:val="18"/>
          <w:highlight w:val="yellow"/>
          <w:lang w:val="en-US" w:eastAsia="zh-CN"/>
        </w:rPr>
        <w:t>5.参选人密封参选书，</w:t>
      </w:r>
      <w:r>
        <w:rPr>
          <w:rFonts w:hint="eastAsia" w:ascii="宋体" w:hAnsi="宋体"/>
          <w:b/>
          <w:bCs/>
          <w:sz w:val="18"/>
          <w:szCs w:val="18"/>
          <w:highlight w:val="yellow"/>
        </w:rPr>
        <w:t>第一册《</w:t>
      </w:r>
      <w:r>
        <w:rPr>
          <w:rFonts w:hint="eastAsia" w:ascii="宋体" w:hAnsi="宋体"/>
          <w:b/>
          <w:bCs/>
          <w:sz w:val="18"/>
          <w:szCs w:val="18"/>
          <w:highlight w:val="yellow"/>
          <w:lang w:eastAsia="zh-CN"/>
        </w:rPr>
        <w:t>商务</w:t>
      </w:r>
      <w:r>
        <w:rPr>
          <w:rFonts w:hint="eastAsia" w:ascii="宋体" w:hAnsi="宋体"/>
          <w:b/>
          <w:bCs/>
          <w:sz w:val="18"/>
          <w:szCs w:val="18"/>
          <w:highlight w:val="yellow"/>
        </w:rPr>
        <w:t>文件》、第二册《技术文件》必须分别单独装订、分别单独包封</w:t>
      </w:r>
      <w:r>
        <w:rPr>
          <w:rFonts w:hint="eastAsia" w:ascii="宋体" w:hAnsi="宋体"/>
          <w:b/>
          <w:bCs/>
          <w:sz w:val="18"/>
          <w:szCs w:val="18"/>
          <w:highlight w:val="yellow"/>
          <w:lang w:eastAsia="zh-CN"/>
        </w:rPr>
        <w:t>；装订、密封和标识后，需要进行总包封（即密封在同一个封套中），所有电子文档与第一册包封在同一封套内。</w:t>
      </w:r>
      <w:r>
        <w:rPr>
          <w:rFonts w:hint="eastAsia" w:ascii="宋体" w:hAnsi="宋体"/>
          <w:b/>
          <w:bCs/>
          <w:sz w:val="18"/>
          <w:szCs w:val="18"/>
          <w:highlight w:val="yellow"/>
          <w:lang w:val="en-US" w:eastAsia="zh-CN"/>
        </w:rPr>
        <w:t>其中，第一册文件</w:t>
      </w:r>
      <w:r>
        <w:rPr>
          <w:rFonts w:hint="eastAsia" w:ascii="宋体" w:hAnsi="宋体"/>
          <w:b/>
          <w:bCs/>
          <w:sz w:val="18"/>
          <w:szCs w:val="18"/>
          <w:highlight w:val="yellow"/>
        </w:rPr>
        <w:t>一式两份</w:t>
      </w:r>
      <w:r>
        <w:rPr>
          <w:rFonts w:hint="eastAsia" w:ascii="宋体" w:hAnsi="宋体"/>
          <w:b/>
          <w:bCs/>
          <w:sz w:val="18"/>
          <w:szCs w:val="18"/>
          <w:highlight w:val="yellow"/>
          <w:lang w:val="en-US" w:eastAsia="zh-CN"/>
        </w:rPr>
        <w:t>并</w:t>
      </w:r>
      <w:r>
        <w:rPr>
          <w:rFonts w:hint="eastAsia" w:ascii="宋体" w:hAnsi="宋体"/>
          <w:b/>
          <w:bCs/>
          <w:sz w:val="18"/>
          <w:szCs w:val="18"/>
          <w:highlight w:val="yellow"/>
        </w:rPr>
        <w:t>注明“正本”及“副本”</w:t>
      </w:r>
      <w:r>
        <w:rPr>
          <w:rFonts w:hint="eastAsia" w:ascii="宋体" w:hAnsi="宋体"/>
          <w:b/>
          <w:bCs/>
          <w:sz w:val="18"/>
          <w:szCs w:val="18"/>
          <w:highlight w:val="yellow"/>
          <w:lang w:val="en-US" w:eastAsia="zh-CN"/>
        </w:rPr>
        <w:t>并逐页盖公章</w:t>
      </w:r>
      <w:r>
        <w:rPr>
          <w:rFonts w:hint="eastAsia" w:ascii="宋体" w:hAnsi="宋体"/>
          <w:b/>
          <w:bCs/>
          <w:sz w:val="18"/>
          <w:szCs w:val="18"/>
          <w:highlight w:val="yellow"/>
          <w:lang w:eastAsia="zh-CN"/>
        </w:rPr>
        <w:t>，</w:t>
      </w:r>
      <w:r>
        <w:rPr>
          <w:rFonts w:hint="eastAsia" w:ascii="宋体" w:hAnsi="宋体"/>
          <w:b/>
          <w:bCs/>
          <w:sz w:val="18"/>
          <w:szCs w:val="18"/>
          <w:highlight w:val="yellow"/>
          <w:lang w:val="en-US" w:eastAsia="zh-CN"/>
        </w:rPr>
        <w:t>第二册文件一式两份</w:t>
      </w:r>
      <w:r>
        <w:rPr>
          <w:rFonts w:hint="eastAsia" w:ascii="宋体" w:hAnsi="宋体"/>
          <w:b/>
          <w:bCs/>
          <w:sz w:val="18"/>
          <w:szCs w:val="18"/>
          <w:highlight w:val="yellow"/>
        </w:rPr>
        <w:t>，</w:t>
      </w:r>
      <w:r>
        <w:rPr>
          <w:rFonts w:hint="eastAsia" w:ascii="宋体" w:hAnsi="宋体"/>
          <w:b/>
          <w:bCs/>
          <w:sz w:val="18"/>
          <w:szCs w:val="18"/>
          <w:highlight w:val="yellow"/>
          <w:lang w:val="en-US" w:eastAsia="zh-CN"/>
        </w:rPr>
        <w:t>在各封口处加盖公章。</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重整锅炉水三剂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hint="eastAsia"/>
          <w:lang w:val="en-US" w:eastAsia="zh-CN"/>
        </w:rPr>
      </w:pPr>
      <w:r>
        <w:rPr>
          <w:rFonts w:hint="eastAsia" w:ascii="宋体" w:hAnsi="宋体"/>
          <w:sz w:val="18"/>
          <w:szCs w:val="18"/>
        </w:rPr>
        <w:t>12.参选文件不退还。</w:t>
      </w:r>
    </w:p>
    <w:p>
      <w:pPr>
        <w:spacing w:line="320" w:lineRule="exact"/>
        <w:rPr>
          <w:rFonts w:hint="eastAsia"/>
        </w:rPr>
      </w:pPr>
      <w:r>
        <w:rPr>
          <w:rFonts w:hint="eastAsia" w:ascii="宋体" w:hAnsi="宋体"/>
          <w:sz w:val="18"/>
          <w:szCs w:val="18"/>
          <w:highlight w:val="none"/>
          <w:lang w:val="en-US" w:eastAsia="zh-CN"/>
        </w:rPr>
        <w:t>13.</w:t>
      </w:r>
      <w:r>
        <w:rPr>
          <w:rFonts w:hint="eastAsia" w:ascii="宋体" w:hAnsi="宋体"/>
          <w:color w:val="auto"/>
          <w:sz w:val="18"/>
          <w:szCs w:val="18"/>
          <w:highlight w:val="yellow"/>
          <w:lang w:val="en-US" w:eastAsia="zh-CN"/>
        </w:rPr>
        <w:t>本次重整锅炉水三剂分为商务标和技术标两部分组成，商务标评分比重为60分，技术标评分40分，满分为100分，总得分最高的参选人为中选人。</w:t>
      </w:r>
    </w:p>
    <w:p>
      <w:pPr>
        <w:spacing w:line="320" w:lineRule="exact"/>
        <w:rPr>
          <w:rFonts w:hint="eastAsia" w:ascii="宋体" w:hAnsi="宋体"/>
          <w:b/>
          <w:bCs/>
          <w:sz w:val="36"/>
          <w:szCs w:val="36"/>
        </w:rPr>
      </w:pPr>
      <w:r>
        <w:rPr>
          <w:rFonts w:hint="eastAsia" w:ascii="宋体" w:hAnsi="宋体"/>
          <w:sz w:val="18"/>
          <w:szCs w:val="18"/>
          <w:highlight w:val="none"/>
          <w:lang w:val="en-US" w:eastAsia="zh-CN"/>
        </w:rPr>
        <w:t>14.</w:t>
      </w:r>
      <w:r>
        <w:rPr>
          <w:rFonts w:hint="eastAsia" w:ascii="宋体" w:hAnsi="宋体" w:cs="宋体"/>
          <w:b/>
          <w:kern w:val="0"/>
          <w:sz w:val="24"/>
        </w:rPr>
        <w:t>若报价偏离市场行情，</w:t>
      </w:r>
      <w:r>
        <w:rPr>
          <w:rFonts w:hint="eastAsia" w:ascii="宋体" w:hAnsi="宋体" w:cs="宋体"/>
          <w:b/>
          <w:kern w:val="0"/>
          <w:sz w:val="24"/>
          <w:lang w:eastAsia="zh-CN"/>
        </w:rPr>
        <w:t>腾龙芳烃（漳州）</w:t>
      </w:r>
      <w:r>
        <w:rPr>
          <w:rFonts w:hint="eastAsia" w:ascii="宋体" w:hAnsi="宋体" w:cs="宋体"/>
          <w:b/>
          <w:kern w:val="0"/>
          <w:sz w:val="24"/>
          <w:lang w:eastAsia="zh-CN"/>
        </w:rPr>
        <w:tab/>
      </w:r>
      <w:r>
        <w:rPr>
          <w:rFonts w:hint="eastAsia" w:ascii="宋体" w:hAnsi="宋体" w:cs="宋体"/>
          <w:b/>
          <w:kern w:val="0"/>
          <w:sz w:val="24"/>
          <w:lang w:eastAsia="zh-CN"/>
        </w:rPr>
        <w:t>有限公司</w:t>
      </w:r>
      <w:r>
        <w:rPr>
          <w:rFonts w:hint="eastAsia" w:ascii="宋体" w:hAnsi="宋体" w:cs="宋体"/>
          <w:b/>
          <w:kern w:val="0"/>
          <w:sz w:val="24"/>
        </w:rPr>
        <w:t>有权选择废选。</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pStyle w:val="2"/>
        <w:rPr>
          <w:rFonts w:hint="eastAsia" w:ascii="宋体" w:hAnsi="宋体"/>
          <w:b/>
          <w:bCs/>
          <w:sz w:val="36"/>
          <w:szCs w:val="36"/>
        </w:rPr>
      </w:pPr>
    </w:p>
    <w:p>
      <w:pPr>
        <w:rPr>
          <w:rFonts w:hint="eastAsia" w:ascii="宋体" w:hAnsi="宋体"/>
          <w:b/>
          <w:bCs/>
          <w:sz w:val="36"/>
          <w:szCs w:val="36"/>
        </w:rPr>
      </w:pPr>
    </w:p>
    <w:p>
      <w:pPr>
        <w:pStyle w:val="2"/>
        <w:rPr>
          <w:rFonts w:hint="eastAsia" w:ascii="宋体" w:hAnsi="宋体"/>
          <w:b/>
          <w:bCs/>
          <w:sz w:val="36"/>
          <w:szCs w:val="36"/>
        </w:rPr>
      </w:pPr>
    </w:p>
    <w:p>
      <w:pPr>
        <w:rPr>
          <w:rFonts w:hint="eastAsia" w:ascii="宋体" w:hAnsi="宋体"/>
          <w:b/>
          <w:bCs/>
          <w:sz w:val="36"/>
          <w:szCs w:val="36"/>
        </w:rPr>
      </w:pPr>
    </w:p>
    <w:p>
      <w:pPr>
        <w:pStyle w:val="2"/>
        <w:rPr>
          <w:rFonts w:hint="eastAsia" w:ascii="宋体" w:hAnsi="宋体"/>
          <w:b/>
          <w:bCs/>
          <w:sz w:val="36"/>
          <w:szCs w:val="36"/>
        </w:rPr>
      </w:pPr>
    </w:p>
    <w:p>
      <w:pPr>
        <w:rPr>
          <w:rFonts w:hint="eastAsia" w:ascii="宋体" w:hAnsi="宋体"/>
          <w:b/>
          <w:bCs/>
          <w:sz w:val="36"/>
          <w:szCs w:val="36"/>
        </w:rPr>
      </w:pPr>
    </w:p>
    <w:p>
      <w:pPr>
        <w:pStyle w:val="2"/>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2023-FHC-重整锅炉水三剂-1114</w:t>
      </w:r>
      <w:r>
        <w:rPr>
          <w:rFonts w:hint="eastAsia" w:asciiTheme="minorEastAsia" w:hAnsiTheme="minorEastAsia" w:eastAsiaTheme="minorEastAsia"/>
          <w:bCs/>
          <w:sz w:val="24"/>
          <w:u w:val="single"/>
          <w:lang w:eastAsia="zh-CN"/>
        </w:rPr>
        <w:tab/>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重整锅炉水三剂</w:t>
      </w:r>
      <w:r>
        <w:rPr>
          <w:rFonts w:hint="eastAsia" w:ascii="宋体" w:hAnsi="宋体"/>
          <w:sz w:val="24"/>
          <w:szCs w:val="24"/>
        </w:rPr>
        <w:t>，具体要求如</w:t>
      </w:r>
      <w:r>
        <w:rPr>
          <w:rFonts w:hint="eastAsia" w:ascii="宋体" w:hAnsi="宋体"/>
          <w:sz w:val="24"/>
          <w:szCs w:val="24"/>
          <w:lang w:val="en-US" w:eastAsia="zh-CN"/>
        </w:rPr>
        <w:t>下：</w:t>
      </w:r>
    </w:p>
    <w:p>
      <w:pPr>
        <w:numPr>
          <w:ilvl w:val="0"/>
          <w:numId w:val="6"/>
        </w:num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数量：重整锅炉水三剂以总包的方式进行，合约期限为2024年1月1日-2025年12月31日。</w:t>
      </w:r>
    </w:p>
    <w:p>
      <w:pPr>
        <w:numPr>
          <w:ilvl w:val="0"/>
          <w:numId w:val="6"/>
        </w:num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技术保证值：</w:t>
      </w:r>
    </w:p>
    <w:p>
      <w:pPr>
        <w:numPr>
          <w:ilvl w:val="0"/>
          <w:numId w:val="0"/>
        </w:num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2.1锅炉给水的要求指标（31-AP.E-402）</w:t>
      </w:r>
    </w:p>
    <w:tbl>
      <w:tblPr>
        <w:tblStyle w:val="8"/>
        <w:tblW w:w="3789" w:type="pct"/>
        <w:tblInd w:w="0" w:type="dxa"/>
        <w:tblLayout w:type="autofit"/>
        <w:tblCellMar>
          <w:top w:w="0" w:type="dxa"/>
          <w:left w:w="108" w:type="dxa"/>
          <w:bottom w:w="0" w:type="dxa"/>
          <w:right w:w="108" w:type="dxa"/>
        </w:tblCellMar>
      </w:tblPr>
      <w:tblGrid>
        <w:gridCol w:w="2230"/>
        <w:gridCol w:w="2371"/>
        <w:gridCol w:w="1857"/>
      </w:tblGrid>
      <w:tr>
        <w:tblPrEx>
          <w:tblCellMar>
            <w:top w:w="0" w:type="dxa"/>
            <w:left w:w="108" w:type="dxa"/>
            <w:bottom w:w="0" w:type="dxa"/>
            <w:right w:w="108" w:type="dxa"/>
          </w:tblCellMar>
        </w:tblPrEx>
        <w:trPr>
          <w:trHeight w:val="291" w:hRule="atLeast"/>
        </w:trPr>
        <w:tc>
          <w:tcPr>
            <w:tcW w:w="1726" w:type="pct"/>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项目</w:t>
            </w:r>
          </w:p>
        </w:tc>
        <w:tc>
          <w:tcPr>
            <w:tcW w:w="1835" w:type="pct"/>
            <w:tcBorders>
              <w:top w:val="single" w:color="auto" w:sz="4" w:space="0"/>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指标</w:t>
            </w:r>
          </w:p>
        </w:tc>
        <w:tc>
          <w:tcPr>
            <w:tcW w:w="1437" w:type="pct"/>
            <w:tcBorders>
              <w:top w:val="single" w:color="auto" w:sz="4" w:space="0"/>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单位</w:t>
            </w:r>
          </w:p>
        </w:tc>
      </w:tr>
      <w:tr>
        <w:tblPrEx>
          <w:tblCellMar>
            <w:top w:w="0" w:type="dxa"/>
            <w:left w:w="108" w:type="dxa"/>
            <w:bottom w:w="0" w:type="dxa"/>
            <w:right w:w="108" w:type="dxa"/>
          </w:tblCellMar>
        </w:tblPrEx>
        <w:trPr>
          <w:trHeight w:val="291" w:hRule="atLeast"/>
        </w:trPr>
        <w:tc>
          <w:tcPr>
            <w:tcW w:w="1726"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pH(25℃)</w:t>
            </w:r>
          </w:p>
        </w:tc>
        <w:tc>
          <w:tcPr>
            <w:tcW w:w="1835"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8.8～9.3</w:t>
            </w:r>
          </w:p>
        </w:tc>
        <w:tc>
          <w:tcPr>
            <w:tcW w:w="1437"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p>
        </w:tc>
      </w:tr>
      <w:tr>
        <w:tblPrEx>
          <w:tblCellMar>
            <w:top w:w="0" w:type="dxa"/>
            <w:left w:w="108" w:type="dxa"/>
            <w:bottom w:w="0" w:type="dxa"/>
            <w:right w:w="108" w:type="dxa"/>
          </w:tblCellMar>
        </w:tblPrEx>
        <w:trPr>
          <w:trHeight w:val="291" w:hRule="atLeast"/>
        </w:trPr>
        <w:tc>
          <w:tcPr>
            <w:tcW w:w="1726"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硬度</w:t>
            </w:r>
          </w:p>
        </w:tc>
        <w:tc>
          <w:tcPr>
            <w:tcW w:w="1835"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≤2.0</w:t>
            </w:r>
          </w:p>
        </w:tc>
        <w:tc>
          <w:tcPr>
            <w:tcW w:w="1437"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μmol/L</w:t>
            </w:r>
          </w:p>
        </w:tc>
      </w:tr>
      <w:tr>
        <w:tblPrEx>
          <w:tblCellMar>
            <w:top w:w="0" w:type="dxa"/>
            <w:left w:w="108" w:type="dxa"/>
            <w:bottom w:w="0" w:type="dxa"/>
            <w:right w:w="108" w:type="dxa"/>
          </w:tblCellMar>
        </w:tblPrEx>
        <w:trPr>
          <w:trHeight w:val="291" w:hRule="atLeast"/>
        </w:trPr>
        <w:tc>
          <w:tcPr>
            <w:tcW w:w="1726"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溶解氧</w:t>
            </w:r>
          </w:p>
        </w:tc>
        <w:tc>
          <w:tcPr>
            <w:tcW w:w="1835"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≤15</w:t>
            </w:r>
          </w:p>
        </w:tc>
        <w:tc>
          <w:tcPr>
            <w:tcW w:w="1437"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μg/L</w:t>
            </w:r>
          </w:p>
        </w:tc>
      </w:tr>
      <w:tr>
        <w:tblPrEx>
          <w:tblCellMar>
            <w:top w:w="0" w:type="dxa"/>
            <w:left w:w="108" w:type="dxa"/>
            <w:bottom w:w="0" w:type="dxa"/>
            <w:right w:w="108" w:type="dxa"/>
          </w:tblCellMar>
        </w:tblPrEx>
        <w:trPr>
          <w:trHeight w:val="291" w:hRule="atLeast"/>
        </w:trPr>
        <w:tc>
          <w:tcPr>
            <w:tcW w:w="1726"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铁含量</w:t>
            </w:r>
          </w:p>
        </w:tc>
        <w:tc>
          <w:tcPr>
            <w:tcW w:w="1835"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≤50</w:t>
            </w:r>
          </w:p>
        </w:tc>
        <w:tc>
          <w:tcPr>
            <w:tcW w:w="1437"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μg/L</w:t>
            </w:r>
          </w:p>
        </w:tc>
      </w:tr>
      <w:tr>
        <w:tblPrEx>
          <w:tblCellMar>
            <w:top w:w="0" w:type="dxa"/>
            <w:left w:w="108" w:type="dxa"/>
            <w:bottom w:w="0" w:type="dxa"/>
            <w:right w:w="108" w:type="dxa"/>
          </w:tblCellMar>
        </w:tblPrEx>
        <w:trPr>
          <w:trHeight w:val="299" w:hRule="atLeast"/>
        </w:trPr>
        <w:tc>
          <w:tcPr>
            <w:tcW w:w="1726"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铜含量</w:t>
            </w:r>
          </w:p>
        </w:tc>
        <w:tc>
          <w:tcPr>
            <w:tcW w:w="1835"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≤10</w:t>
            </w:r>
          </w:p>
        </w:tc>
        <w:tc>
          <w:tcPr>
            <w:tcW w:w="1437"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μg/L</w:t>
            </w:r>
          </w:p>
        </w:tc>
      </w:tr>
    </w:tbl>
    <w:p>
      <w:pPr>
        <w:numPr>
          <w:ilvl w:val="0"/>
          <w:numId w:val="0"/>
        </w:num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2.2汽包水（锅炉本体中的锅炉水）的要求指标（32-AP.H-018）</w:t>
      </w:r>
    </w:p>
    <w:tbl>
      <w:tblPr>
        <w:tblStyle w:val="8"/>
        <w:tblW w:w="3789" w:type="pct"/>
        <w:tblInd w:w="0" w:type="dxa"/>
        <w:tblLayout w:type="autofit"/>
        <w:tblCellMar>
          <w:top w:w="0" w:type="dxa"/>
          <w:left w:w="108" w:type="dxa"/>
          <w:bottom w:w="0" w:type="dxa"/>
          <w:right w:w="108" w:type="dxa"/>
        </w:tblCellMar>
      </w:tblPr>
      <w:tblGrid>
        <w:gridCol w:w="2223"/>
        <w:gridCol w:w="2372"/>
        <w:gridCol w:w="1863"/>
      </w:tblGrid>
      <w:tr>
        <w:tblPrEx>
          <w:tblCellMar>
            <w:top w:w="0" w:type="dxa"/>
            <w:left w:w="108" w:type="dxa"/>
            <w:bottom w:w="0" w:type="dxa"/>
            <w:right w:w="108" w:type="dxa"/>
          </w:tblCellMar>
        </w:tblPrEx>
        <w:trPr>
          <w:trHeight w:val="351" w:hRule="atLeast"/>
        </w:trPr>
        <w:tc>
          <w:tcPr>
            <w:tcW w:w="1720" w:type="pct"/>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项目</w:t>
            </w:r>
          </w:p>
        </w:tc>
        <w:tc>
          <w:tcPr>
            <w:tcW w:w="1836" w:type="pct"/>
            <w:tcBorders>
              <w:top w:val="single" w:color="auto" w:sz="4" w:space="0"/>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指标</w:t>
            </w:r>
          </w:p>
        </w:tc>
        <w:tc>
          <w:tcPr>
            <w:tcW w:w="1442" w:type="pct"/>
            <w:tcBorders>
              <w:top w:val="single" w:color="auto" w:sz="4" w:space="0"/>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单位</w:t>
            </w:r>
          </w:p>
        </w:tc>
      </w:tr>
      <w:tr>
        <w:tblPrEx>
          <w:tblCellMar>
            <w:top w:w="0" w:type="dxa"/>
            <w:left w:w="108" w:type="dxa"/>
            <w:bottom w:w="0" w:type="dxa"/>
            <w:right w:w="108" w:type="dxa"/>
          </w:tblCellMar>
        </w:tblPrEx>
        <w:trPr>
          <w:trHeight w:val="351" w:hRule="atLeast"/>
        </w:trPr>
        <w:tc>
          <w:tcPr>
            <w:tcW w:w="1720"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磷酸根</w:t>
            </w:r>
          </w:p>
        </w:tc>
        <w:tc>
          <w:tcPr>
            <w:tcW w:w="1836"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5.0～15</w:t>
            </w:r>
          </w:p>
        </w:tc>
        <w:tc>
          <w:tcPr>
            <w:tcW w:w="1442"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mg/L</w:t>
            </w:r>
          </w:p>
        </w:tc>
      </w:tr>
      <w:tr>
        <w:tblPrEx>
          <w:tblCellMar>
            <w:top w:w="0" w:type="dxa"/>
            <w:left w:w="108" w:type="dxa"/>
            <w:bottom w:w="0" w:type="dxa"/>
            <w:right w:w="108" w:type="dxa"/>
          </w:tblCellMar>
        </w:tblPrEx>
        <w:trPr>
          <w:trHeight w:val="351" w:hRule="atLeast"/>
        </w:trPr>
        <w:tc>
          <w:tcPr>
            <w:tcW w:w="1720"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pH(25℃)</w:t>
            </w:r>
          </w:p>
        </w:tc>
        <w:tc>
          <w:tcPr>
            <w:tcW w:w="1836"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9.0～11.0</w:t>
            </w:r>
          </w:p>
        </w:tc>
        <w:tc>
          <w:tcPr>
            <w:tcW w:w="1442"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p>
        </w:tc>
      </w:tr>
      <w:tr>
        <w:tblPrEx>
          <w:tblCellMar>
            <w:top w:w="0" w:type="dxa"/>
            <w:left w:w="108" w:type="dxa"/>
            <w:bottom w:w="0" w:type="dxa"/>
            <w:right w:w="108" w:type="dxa"/>
          </w:tblCellMar>
        </w:tblPrEx>
        <w:trPr>
          <w:trHeight w:val="351" w:hRule="atLeast"/>
        </w:trPr>
        <w:tc>
          <w:tcPr>
            <w:tcW w:w="1720"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二氧化硅</w:t>
            </w:r>
          </w:p>
        </w:tc>
        <w:tc>
          <w:tcPr>
            <w:tcW w:w="1836"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≤2.0</w:t>
            </w:r>
          </w:p>
        </w:tc>
        <w:tc>
          <w:tcPr>
            <w:tcW w:w="1442"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mg/L</w:t>
            </w:r>
          </w:p>
        </w:tc>
      </w:tr>
      <w:tr>
        <w:tblPrEx>
          <w:tblCellMar>
            <w:top w:w="0" w:type="dxa"/>
            <w:left w:w="108" w:type="dxa"/>
            <w:bottom w:w="0" w:type="dxa"/>
            <w:right w:w="108" w:type="dxa"/>
          </w:tblCellMar>
        </w:tblPrEx>
        <w:trPr>
          <w:trHeight w:val="351" w:hRule="atLeast"/>
        </w:trPr>
        <w:tc>
          <w:tcPr>
            <w:tcW w:w="1720"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电导率(25℃)</w:t>
            </w:r>
          </w:p>
        </w:tc>
        <w:tc>
          <w:tcPr>
            <w:tcW w:w="1836"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≤150</w:t>
            </w:r>
          </w:p>
        </w:tc>
        <w:tc>
          <w:tcPr>
            <w:tcW w:w="1442"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μS/cm</w:t>
            </w:r>
          </w:p>
        </w:tc>
      </w:tr>
      <w:tr>
        <w:tblPrEx>
          <w:tblCellMar>
            <w:top w:w="0" w:type="dxa"/>
            <w:left w:w="108" w:type="dxa"/>
            <w:bottom w:w="0" w:type="dxa"/>
            <w:right w:w="108" w:type="dxa"/>
          </w:tblCellMar>
        </w:tblPrEx>
        <w:trPr>
          <w:trHeight w:val="360" w:hRule="atLeast"/>
        </w:trPr>
        <w:tc>
          <w:tcPr>
            <w:tcW w:w="1720"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氯</w:t>
            </w:r>
          </w:p>
        </w:tc>
        <w:tc>
          <w:tcPr>
            <w:tcW w:w="1836"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1442"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mg/L</w:t>
            </w:r>
          </w:p>
        </w:tc>
      </w:tr>
    </w:tbl>
    <w:p>
      <w:pPr>
        <w:numPr>
          <w:ilvl w:val="0"/>
          <w:numId w:val="0"/>
        </w:num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2.3主蒸汽（4.0MPa）的要求指标（32-AP.H-019）</w:t>
      </w:r>
    </w:p>
    <w:tbl>
      <w:tblPr>
        <w:tblStyle w:val="8"/>
        <w:tblW w:w="3789" w:type="pct"/>
        <w:tblInd w:w="0" w:type="dxa"/>
        <w:tblLayout w:type="autofit"/>
        <w:tblCellMar>
          <w:top w:w="0" w:type="dxa"/>
          <w:left w:w="108" w:type="dxa"/>
          <w:bottom w:w="0" w:type="dxa"/>
          <w:right w:w="108" w:type="dxa"/>
        </w:tblCellMar>
      </w:tblPr>
      <w:tblGrid>
        <w:gridCol w:w="2223"/>
        <w:gridCol w:w="2372"/>
        <w:gridCol w:w="1863"/>
      </w:tblGrid>
      <w:tr>
        <w:tblPrEx>
          <w:tblCellMar>
            <w:top w:w="0" w:type="dxa"/>
            <w:left w:w="108" w:type="dxa"/>
            <w:bottom w:w="0" w:type="dxa"/>
            <w:right w:w="108" w:type="dxa"/>
          </w:tblCellMar>
        </w:tblPrEx>
        <w:trPr>
          <w:trHeight w:val="323" w:hRule="atLeast"/>
        </w:trPr>
        <w:tc>
          <w:tcPr>
            <w:tcW w:w="1720" w:type="pct"/>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项目</w:t>
            </w:r>
          </w:p>
        </w:tc>
        <w:tc>
          <w:tcPr>
            <w:tcW w:w="1836" w:type="pct"/>
            <w:tcBorders>
              <w:top w:val="single" w:color="auto" w:sz="4" w:space="0"/>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指标</w:t>
            </w:r>
          </w:p>
        </w:tc>
        <w:tc>
          <w:tcPr>
            <w:tcW w:w="1442" w:type="pct"/>
            <w:tcBorders>
              <w:top w:val="single" w:color="auto" w:sz="4" w:space="0"/>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单位</w:t>
            </w:r>
          </w:p>
        </w:tc>
      </w:tr>
      <w:tr>
        <w:tblPrEx>
          <w:tblCellMar>
            <w:top w:w="0" w:type="dxa"/>
            <w:left w:w="108" w:type="dxa"/>
            <w:bottom w:w="0" w:type="dxa"/>
            <w:right w:w="108" w:type="dxa"/>
          </w:tblCellMar>
        </w:tblPrEx>
        <w:trPr>
          <w:trHeight w:val="323" w:hRule="atLeast"/>
        </w:trPr>
        <w:tc>
          <w:tcPr>
            <w:tcW w:w="1720"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钠</w:t>
            </w:r>
          </w:p>
        </w:tc>
        <w:tc>
          <w:tcPr>
            <w:tcW w:w="1836"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≤15</w:t>
            </w:r>
          </w:p>
        </w:tc>
        <w:tc>
          <w:tcPr>
            <w:tcW w:w="1442"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μg/kg</w:t>
            </w:r>
          </w:p>
        </w:tc>
      </w:tr>
      <w:tr>
        <w:tblPrEx>
          <w:tblCellMar>
            <w:top w:w="0" w:type="dxa"/>
            <w:left w:w="108" w:type="dxa"/>
            <w:bottom w:w="0" w:type="dxa"/>
            <w:right w:w="108" w:type="dxa"/>
          </w:tblCellMar>
        </w:tblPrEx>
        <w:trPr>
          <w:trHeight w:val="323" w:hRule="atLeast"/>
        </w:trPr>
        <w:tc>
          <w:tcPr>
            <w:tcW w:w="1720"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二氧化硅</w:t>
            </w:r>
          </w:p>
        </w:tc>
        <w:tc>
          <w:tcPr>
            <w:tcW w:w="1836"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≤20</w:t>
            </w:r>
          </w:p>
        </w:tc>
        <w:tc>
          <w:tcPr>
            <w:tcW w:w="1442"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μg/L</w:t>
            </w:r>
          </w:p>
        </w:tc>
      </w:tr>
      <w:tr>
        <w:tblPrEx>
          <w:tblCellMar>
            <w:top w:w="0" w:type="dxa"/>
            <w:left w:w="108" w:type="dxa"/>
            <w:bottom w:w="0" w:type="dxa"/>
            <w:right w:w="108" w:type="dxa"/>
          </w:tblCellMar>
        </w:tblPrEx>
        <w:trPr>
          <w:trHeight w:val="323" w:hRule="atLeast"/>
        </w:trPr>
        <w:tc>
          <w:tcPr>
            <w:tcW w:w="1720"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铁</w:t>
            </w:r>
          </w:p>
        </w:tc>
        <w:tc>
          <w:tcPr>
            <w:tcW w:w="1836"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≤20</w:t>
            </w:r>
          </w:p>
        </w:tc>
        <w:tc>
          <w:tcPr>
            <w:tcW w:w="1442"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μg/L</w:t>
            </w:r>
          </w:p>
        </w:tc>
      </w:tr>
      <w:tr>
        <w:tblPrEx>
          <w:tblCellMar>
            <w:top w:w="0" w:type="dxa"/>
            <w:left w:w="108" w:type="dxa"/>
            <w:bottom w:w="0" w:type="dxa"/>
            <w:right w:w="108" w:type="dxa"/>
          </w:tblCellMar>
        </w:tblPrEx>
        <w:trPr>
          <w:trHeight w:val="331" w:hRule="atLeast"/>
        </w:trPr>
        <w:tc>
          <w:tcPr>
            <w:tcW w:w="1720"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铜</w:t>
            </w:r>
          </w:p>
        </w:tc>
        <w:tc>
          <w:tcPr>
            <w:tcW w:w="1836"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442"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μg/L</w:t>
            </w:r>
          </w:p>
        </w:tc>
      </w:tr>
    </w:tbl>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3、采购指标、质量验收标准：供方提供药剂及相应现场技术服务，确保符合附件《2023年芳烃团队锅炉水药剂处理系统技术要求》要求。</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4、数量验收：以需方使用单位验收入库数据为准。</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5、运输条款：汽车运输，由供方负责并承担运费。</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6、包装方式：采用塑料桶包装或内衬聚乙烯容器，</w:t>
      </w:r>
      <w:r>
        <w:rPr>
          <w:rFonts w:hint="eastAsia" w:ascii="宋体" w:hAnsi="宋体" w:cs="宋体"/>
          <w:sz w:val="24"/>
        </w:rPr>
        <w:t>使用后的空桶由</w:t>
      </w:r>
      <w:r>
        <w:rPr>
          <w:rFonts w:hint="eastAsia" w:ascii="宋体" w:hAnsi="宋体" w:cs="宋体"/>
          <w:sz w:val="24"/>
          <w:lang w:val="en-US" w:eastAsia="zh-CN"/>
        </w:rPr>
        <w:t>供</w:t>
      </w:r>
      <w:r>
        <w:rPr>
          <w:rFonts w:hint="eastAsia" w:ascii="宋体" w:hAnsi="宋体" w:cs="宋体"/>
          <w:sz w:val="24"/>
        </w:rPr>
        <w:t>方进行回收处理</w:t>
      </w:r>
      <w:r>
        <w:rPr>
          <w:rFonts w:hint="eastAsia" w:ascii="宋体" w:hAnsi="宋体" w:cs="宋体"/>
          <w:color w:val="auto"/>
          <w:sz w:val="24"/>
          <w:lang w:val="en-US" w:eastAsia="zh-CN"/>
        </w:rPr>
        <w:t>。</w:t>
      </w:r>
    </w:p>
    <w:p>
      <w:pPr>
        <w:spacing w:line="360" w:lineRule="exact"/>
        <w:jc w:val="left"/>
        <w:rPr>
          <w:rFonts w:ascii="宋体" w:cs="宋体"/>
          <w:color w:val="auto"/>
          <w:sz w:val="24"/>
        </w:rPr>
      </w:pPr>
      <w:r>
        <w:rPr>
          <w:rFonts w:hint="eastAsia" w:ascii="宋体" w:hAnsi="宋体" w:cs="宋体"/>
          <w:color w:val="auto"/>
          <w:sz w:val="24"/>
          <w:lang w:val="en-US" w:eastAsia="zh-CN"/>
        </w:rPr>
        <w:t>7、</w:t>
      </w:r>
      <w:r>
        <w:rPr>
          <w:rFonts w:hint="eastAsia" w:ascii="宋体" w:hAnsi="宋体"/>
          <w:color w:val="auto"/>
          <w:sz w:val="24"/>
        </w:rPr>
        <w:t>到货时间：</w:t>
      </w:r>
      <w:r>
        <w:rPr>
          <w:rFonts w:hint="eastAsia" w:ascii="宋体" w:hAnsi="宋体"/>
          <w:color w:val="auto"/>
          <w:sz w:val="24"/>
          <w:lang w:val="en-US" w:eastAsia="zh-CN"/>
        </w:rPr>
        <w:t>分批到货，首批货物于2023年12月底前具备送货条件，</w:t>
      </w:r>
      <w:r>
        <w:rPr>
          <w:rFonts w:hint="eastAsia" w:ascii="宋体" w:hAnsi="宋体" w:cs="宋体"/>
          <w:color w:val="auto"/>
          <w:sz w:val="24"/>
        </w:rPr>
        <w:t>具体以需方通知为准。</w:t>
      </w:r>
    </w:p>
    <w:p>
      <w:pPr>
        <w:spacing w:line="350" w:lineRule="exact"/>
        <w:jc w:val="left"/>
        <w:rPr>
          <w:rFonts w:ascii="宋体" w:cs="宋体"/>
          <w:color w:val="000000"/>
          <w:sz w:val="24"/>
          <w:highlight w:val="yellow"/>
        </w:rPr>
      </w:pPr>
      <w:r>
        <w:rPr>
          <w:rFonts w:hint="eastAsia" w:ascii="宋体" w:hAnsi="宋体"/>
          <w:bCs/>
          <w:color w:val="000000"/>
          <w:kern w:val="0"/>
          <w:sz w:val="24"/>
          <w:highlight w:val="yellow"/>
          <w:lang w:val="en-US" w:eastAsia="zh-CN"/>
        </w:rPr>
        <w:t>8</w:t>
      </w:r>
      <w:r>
        <w:rPr>
          <w:rFonts w:hint="eastAsia" w:ascii="宋体" w:hAnsi="宋体" w:eastAsia="宋体"/>
          <w:bCs/>
          <w:color w:val="000000"/>
          <w:kern w:val="0"/>
          <w:sz w:val="24"/>
          <w:highlight w:val="yellow"/>
          <w:lang w:val="en-US" w:eastAsia="zh-CN"/>
        </w:rPr>
        <w:t>、</w:t>
      </w:r>
      <w:r>
        <w:rPr>
          <w:rFonts w:hint="eastAsia" w:ascii="宋体" w:hAnsi="宋体" w:eastAsia="宋体"/>
          <w:bCs/>
          <w:color w:val="000000"/>
          <w:kern w:val="0"/>
          <w:sz w:val="24"/>
          <w:highlight w:val="yellow"/>
        </w:rPr>
        <w:t>报价须知：</w:t>
      </w:r>
      <w:r>
        <w:rPr>
          <w:rFonts w:hint="eastAsia" w:ascii="宋体" w:hAnsi="宋体" w:eastAsia="宋体"/>
          <w:bCs/>
          <w:color w:val="000000"/>
          <w:kern w:val="0"/>
          <w:sz w:val="24"/>
          <w:highlight w:val="yellow"/>
          <w:lang w:val="en-US" w:eastAsia="zh-CN"/>
        </w:rPr>
        <w:t>连续重整装置锅炉水三剂为</w:t>
      </w:r>
      <w:r>
        <w:rPr>
          <w:rFonts w:hint="eastAsia" w:ascii="宋体" w:hAnsi="宋体" w:cs="宋体"/>
          <w:color w:val="000000"/>
          <w:sz w:val="24"/>
          <w:highlight w:val="yellow"/>
        </w:rPr>
        <w:t>含税送到价。参选人需对全部比选数量进行报价。</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lang w:eastAsia="zh-CN"/>
        </w:rPr>
      </w:pPr>
      <w:r>
        <w:rPr>
          <w:rFonts w:hint="eastAsia" w:ascii="宋体" w:hAnsi="宋体" w:cs="宋体"/>
          <w:color w:val="auto"/>
          <w:sz w:val="24"/>
          <w:lang w:val="en-US" w:eastAsia="zh-CN"/>
        </w:rPr>
        <w:t>9.</w:t>
      </w:r>
      <w:r>
        <w:rPr>
          <w:rFonts w:hint="eastAsia" w:ascii="宋体" w:hAnsi="宋体" w:cs="宋体"/>
          <w:color w:val="auto"/>
          <w:sz w:val="24"/>
        </w:rPr>
        <w:t>1付款方式：现汇支付</w:t>
      </w:r>
      <w:r>
        <w:rPr>
          <w:rFonts w:hint="eastAsia" w:ascii="宋体" w:hAnsi="宋体" w:cs="宋体"/>
          <w:color w:val="auto"/>
          <w:sz w:val="24"/>
          <w:lang w:eastAsia="zh-CN"/>
        </w:rPr>
        <w:t>，</w:t>
      </w:r>
      <w:r>
        <w:rPr>
          <w:rFonts w:hint="eastAsia" w:ascii="宋体" w:hAnsi="宋体" w:cs="宋体"/>
          <w:color w:val="auto"/>
          <w:sz w:val="24"/>
          <w:lang w:val="en-US" w:eastAsia="zh-CN"/>
        </w:rPr>
        <w:t>按季度考核付款</w:t>
      </w:r>
      <w:r>
        <w:rPr>
          <w:rFonts w:hint="eastAsia" w:ascii="宋体" w:hAnsi="宋体" w:cs="宋体"/>
          <w:color w:val="auto"/>
          <w:sz w:val="24"/>
        </w:rPr>
        <w:t>。</w:t>
      </w:r>
      <w:r>
        <w:rPr>
          <w:rFonts w:hint="eastAsia" w:ascii="宋体" w:hAnsi="宋体" w:cs="宋体"/>
          <w:color w:val="auto"/>
          <w:sz w:val="24"/>
          <w:lang w:val="en-US" w:eastAsia="zh-CN"/>
        </w:rPr>
        <w:t>分批到货、分批付款。</w:t>
      </w:r>
      <w:r>
        <w:rPr>
          <w:rFonts w:hint="eastAsia" w:ascii="宋体" w:hAnsi="宋体" w:cs="宋体"/>
          <w:color w:val="auto"/>
          <w:sz w:val="24"/>
        </w:rPr>
        <w:t>每批产品到货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，经需方或需方指定单位根据双方签订的合同及技术</w:t>
      </w:r>
      <w:r>
        <w:rPr>
          <w:rFonts w:hint="eastAsia" w:ascii="宋体" w:hAnsi="宋体" w:cs="宋体"/>
          <w:color w:val="auto"/>
          <w:sz w:val="24"/>
          <w:lang w:val="en-US" w:eastAsia="zh-CN"/>
        </w:rPr>
        <w:t>要求约定</w:t>
      </w:r>
      <w:r>
        <w:rPr>
          <w:rFonts w:hint="eastAsia" w:ascii="宋体" w:hAnsi="宋体" w:cs="宋体"/>
          <w:color w:val="auto"/>
          <w:sz w:val="24"/>
        </w:rPr>
        <w:t>的</w:t>
      </w:r>
      <w:r>
        <w:rPr>
          <w:rFonts w:hint="eastAsia" w:ascii="宋体" w:hAnsi="宋体" w:cs="宋体"/>
          <w:color w:val="auto"/>
          <w:sz w:val="24"/>
          <w:lang w:val="en-US" w:eastAsia="zh-CN"/>
        </w:rPr>
        <w:t>季度考核周期、</w:t>
      </w:r>
      <w:r>
        <w:rPr>
          <w:rFonts w:hint="eastAsia" w:ascii="宋体" w:hAnsi="宋体" w:cs="宋体"/>
          <w:color w:val="auto"/>
          <w:sz w:val="24"/>
        </w:rPr>
        <w:t>质量、数量</w:t>
      </w:r>
      <w:r>
        <w:rPr>
          <w:rFonts w:hint="eastAsia" w:ascii="宋体" w:hAnsi="宋体" w:cs="宋体"/>
          <w:color w:val="auto"/>
          <w:sz w:val="24"/>
          <w:lang w:val="en-US" w:eastAsia="zh-CN"/>
        </w:rPr>
        <w:t>及产品使用考核结果</w:t>
      </w:r>
      <w:r>
        <w:rPr>
          <w:rFonts w:hint="eastAsia" w:ascii="宋体" w:hAnsi="宋体" w:cs="宋体"/>
          <w:color w:val="auto"/>
          <w:sz w:val="24"/>
        </w:rPr>
        <w:t>，供方提供相应金额的13%增值税专用发票以及结算所需的各类清单，需方收到并确认无误后</w:t>
      </w:r>
      <w:r>
        <w:rPr>
          <w:rFonts w:hint="eastAsia" w:ascii="宋体" w:hAnsi="宋体" w:cs="宋体"/>
          <w:color w:val="auto"/>
          <w:sz w:val="24"/>
          <w:lang w:val="en-US" w:eastAsia="zh-CN"/>
        </w:rPr>
        <w:t>支付</w:t>
      </w:r>
      <w:r>
        <w:rPr>
          <w:rFonts w:hint="eastAsia" w:ascii="宋体" w:hAnsi="宋体" w:cs="宋体"/>
          <w:color w:val="auto"/>
          <w:sz w:val="24"/>
        </w:rPr>
        <w:t>货款</w:t>
      </w:r>
      <w:r>
        <w:rPr>
          <w:rFonts w:hint="eastAsia" w:ascii="宋体" w:hAnsi="宋体" w:cs="宋体"/>
          <w:color w:val="auto"/>
          <w:sz w:val="24"/>
          <w:lang w:eastAsia="zh-CN"/>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.2数量验收：以需方使用单位验收为准。</w:t>
      </w:r>
    </w:p>
    <w:p>
      <w:pPr>
        <w:numPr>
          <w:ilvl w:val="0"/>
          <w:numId w:val="0"/>
        </w:numPr>
        <w:spacing w:line="350" w:lineRule="exact"/>
        <w:jc w:val="left"/>
        <w:rPr>
          <w:rFonts w:ascii="宋体" w:hAnsi="宋体" w:eastAsia="宋体"/>
          <w:color w:val="auto"/>
          <w:kern w:val="0"/>
          <w:sz w:val="24"/>
        </w:rPr>
      </w:pPr>
      <w:r>
        <w:rPr>
          <w:rFonts w:hint="eastAsia" w:ascii="宋体" w:hAnsi="宋体"/>
          <w:color w:val="auto"/>
          <w:sz w:val="24"/>
          <w:lang w:val="en-US" w:eastAsia="zh-CN"/>
        </w:rPr>
        <w:t>10、</w:t>
      </w:r>
      <w:r>
        <w:rPr>
          <w:rFonts w:hint="eastAsia" w:ascii="宋体" w:hAnsi="宋体"/>
          <w:color w:val="auto"/>
          <w:sz w:val="24"/>
        </w:rPr>
        <w:t>运输条款：</w:t>
      </w:r>
      <w:r>
        <w:rPr>
          <w:rFonts w:hint="eastAsia" w:ascii="宋体" w:hAnsi="宋体"/>
          <w:color w:val="auto"/>
          <w:sz w:val="24"/>
          <w:lang w:val="en-US" w:eastAsia="zh-CN"/>
        </w:rPr>
        <w:t>配送到厂、</w:t>
      </w:r>
      <w:r>
        <w:rPr>
          <w:rFonts w:hint="eastAsia" w:ascii="宋体" w:hAnsi="宋体" w:eastAsia="宋体"/>
          <w:color w:val="auto"/>
          <w:sz w:val="24"/>
        </w:rPr>
        <w:t>汽车运输至福建省漳州市古雷开发区腾龙路福建福海创石油化工有限公司指定仓库</w:t>
      </w:r>
      <w:r>
        <w:rPr>
          <w:rFonts w:hint="eastAsia" w:ascii="宋体" w:hAnsi="宋体" w:eastAsia="宋体"/>
          <w:color w:val="auto"/>
          <w:kern w:val="0"/>
          <w:sz w:val="24"/>
        </w:rPr>
        <w:t>。</w:t>
      </w:r>
    </w:p>
    <w:p>
      <w:pPr>
        <w:spacing w:line="360" w:lineRule="exact"/>
        <w:jc w:val="left"/>
        <w:rPr>
          <w:rFonts w:ascii="宋体" w:hAnsi="宋体" w:cs="宋体"/>
          <w:sz w:val="24"/>
        </w:rPr>
      </w:pPr>
      <w:r>
        <w:rPr>
          <w:rFonts w:hint="eastAsia" w:ascii="宋体" w:hAnsi="宋体" w:cs="宋体"/>
          <w:sz w:val="24"/>
          <w:lang w:val="en-US" w:eastAsia="zh-CN"/>
        </w:rPr>
        <w:t>11</w:t>
      </w:r>
      <w:r>
        <w:rPr>
          <w:rFonts w:hint="eastAsia" w:ascii="宋体" w:hAnsi="宋体" w:cs="宋体"/>
          <w:sz w:val="24"/>
        </w:rPr>
        <w:t>.参选文件的递交</w:t>
      </w:r>
    </w:p>
    <w:p>
      <w:pPr>
        <w:spacing w:line="360" w:lineRule="exact"/>
        <w:jc w:val="left"/>
        <w:rPr>
          <w:rFonts w:ascii="宋体" w:hAnsi="宋体" w:cs="宋体"/>
          <w:sz w:val="24"/>
        </w:rPr>
      </w:pPr>
      <w:r>
        <w:rPr>
          <w:rFonts w:hint="eastAsia" w:ascii="宋体" w:hAnsi="宋体" w:cs="宋体"/>
          <w:sz w:val="24"/>
          <w:lang w:val="en-US" w:eastAsia="zh-CN"/>
        </w:rPr>
        <w:t>11</w:t>
      </w:r>
      <w:r>
        <w:rPr>
          <w:rFonts w:hint="eastAsia" w:ascii="宋体" w:hAnsi="宋体" w:cs="宋体"/>
          <w:sz w:val="24"/>
        </w:rPr>
        <w:t>.1参选文件递交截止时间：见比选公告。</w:t>
      </w:r>
    </w:p>
    <w:p>
      <w:pPr>
        <w:spacing w:line="360" w:lineRule="exact"/>
        <w:jc w:val="left"/>
        <w:rPr>
          <w:rFonts w:ascii="宋体" w:hAnsi="宋体" w:cs="宋体"/>
          <w:sz w:val="24"/>
        </w:rPr>
      </w:pPr>
      <w:r>
        <w:rPr>
          <w:rFonts w:hint="eastAsia" w:ascii="宋体" w:hAnsi="宋体" w:cs="宋体"/>
          <w:sz w:val="24"/>
          <w:lang w:val="en-US" w:eastAsia="zh-CN"/>
        </w:rPr>
        <w:t>11</w:t>
      </w:r>
      <w:r>
        <w:rPr>
          <w:rFonts w:hint="eastAsia" w:ascii="宋体" w:hAnsi="宋体" w:cs="宋体"/>
          <w:sz w:val="24"/>
        </w:rPr>
        <w:t>.2参选文件应密封，包含第一册《</w:t>
      </w:r>
      <w:r>
        <w:rPr>
          <w:rFonts w:hint="eastAsia" w:ascii="宋体" w:hAnsi="宋体" w:cs="宋体"/>
          <w:sz w:val="24"/>
          <w:lang w:eastAsia="zh-CN"/>
        </w:rPr>
        <w:t>商务</w:t>
      </w:r>
      <w:r>
        <w:rPr>
          <w:rFonts w:hint="eastAsia" w:ascii="宋体" w:hAnsi="宋体" w:cs="宋体"/>
          <w:sz w:val="24"/>
        </w:rPr>
        <w:t>文件》</w:t>
      </w:r>
      <w:r>
        <w:rPr>
          <w:rFonts w:hint="eastAsia" w:ascii="宋体" w:hAnsi="宋体" w:cs="宋体"/>
          <w:sz w:val="24"/>
          <w:lang w:val="en-US" w:eastAsia="zh-CN"/>
        </w:rPr>
        <w:t>和</w:t>
      </w:r>
      <w:r>
        <w:rPr>
          <w:rFonts w:hint="eastAsia" w:ascii="宋体" w:hAnsi="宋体" w:cs="宋体"/>
          <w:sz w:val="24"/>
        </w:rPr>
        <w:t>第二册《技术文件》</w:t>
      </w:r>
      <w:r>
        <w:rPr>
          <w:rFonts w:hint="eastAsia" w:ascii="宋体" w:hAnsi="宋体" w:cs="宋体"/>
          <w:sz w:val="24"/>
          <w:lang w:val="en-US" w:eastAsia="zh-CN"/>
        </w:rPr>
        <w:t>各一式两份</w:t>
      </w:r>
      <w:r>
        <w:rPr>
          <w:rFonts w:hint="eastAsia" w:ascii="宋体" w:hAnsi="宋体" w:cs="宋体"/>
          <w:sz w:val="24"/>
          <w:lang w:eastAsia="zh-CN"/>
        </w:rPr>
        <w:t>，</w:t>
      </w:r>
      <w:r>
        <w:rPr>
          <w:rFonts w:hint="eastAsia" w:ascii="宋体" w:hAnsi="宋体" w:cs="宋体"/>
          <w:sz w:val="24"/>
          <w:lang w:val="en-US" w:eastAsia="zh-CN"/>
        </w:rPr>
        <w:t>详见参选规定及说明，两册文件</w:t>
      </w:r>
      <w:r>
        <w:rPr>
          <w:rFonts w:hint="eastAsia" w:ascii="宋体" w:hAnsi="宋体"/>
          <w:sz w:val="24"/>
          <w:szCs w:val="24"/>
        </w:rPr>
        <w:t>封套的封口处均</w:t>
      </w:r>
      <w:r>
        <w:rPr>
          <w:rFonts w:hint="eastAsia" w:ascii="宋体" w:hAnsi="宋体"/>
          <w:sz w:val="24"/>
          <w:szCs w:val="24"/>
          <w:lang w:val="en-US" w:eastAsia="zh-CN"/>
        </w:rPr>
        <w:t>需</w:t>
      </w:r>
      <w:r>
        <w:rPr>
          <w:rFonts w:hint="eastAsia" w:ascii="宋体" w:hAnsi="宋体"/>
          <w:sz w:val="24"/>
          <w:szCs w:val="24"/>
        </w:rPr>
        <w:t>密封</w:t>
      </w:r>
      <w:r>
        <w:rPr>
          <w:rFonts w:hint="eastAsia" w:ascii="宋体" w:hAnsi="宋体"/>
          <w:sz w:val="24"/>
          <w:szCs w:val="24"/>
          <w:lang w:val="en-US" w:eastAsia="zh-CN"/>
        </w:rPr>
        <w:t>并加盖公章</w:t>
      </w:r>
      <w:r>
        <w:rPr>
          <w:rFonts w:hint="eastAsia" w:ascii="宋体" w:hAnsi="宋体" w:cs="宋体"/>
          <w:sz w:val="24"/>
        </w:rPr>
        <w:t>。</w:t>
      </w:r>
    </w:p>
    <w:p>
      <w:pPr>
        <w:spacing w:line="360" w:lineRule="exact"/>
        <w:jc w:val="left"/>
        <w:rPr>
          <w:rFonts w:ascii="宋体" w:hAnsi="宋体" w:cs="宋体"/>
          <w:sz w:val="24"/>
        </w:rPr>
      </w:pPr>
      <w:r>
        <w:rPr>
          <w:rFonts w:hint="eastAsia" w:ascii="宋体" w:hAnsi="宋体" w:cs="宋体"/>
          <w:sz w:val="24"/>
          <w:lang w:val="en-US" w:eastAsia="zh-CN"/>
        </w:rPr>
        <w:t>11</w:t>
      </w:r>
      <w:r>
        <w:rPr>
          <w:rFonts w:hint="eastAsia" w:ascii="宋体" w:hAnsi="宋体" w:cs="宋体"/>
          <w:sz w:val="24"/>
        </w:rPr>
        <w:t>.3我公司快递联系方式：公司名称：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360" w:lineRule="exact"/>
        <w:jc w:val="left"/>
        <w:rPr>
          <w:rFonts w:hint="eastAsia"/>
        </w:rPr>
      </w:pPr>
    </w:p>
    <w:p>
      <w:pPr>
        <w:spacing w:line="360" w:lineRule="exact"/>
        <w:jc w:val="left"/>
        <w:rPr>
          <w:rFonts w:hint="eastAsia"/>
        </w:rPr>
      </w:pPr>
    </w:p>
    <w:p>
      <w:pPr>
        <w:spacing w:line="360" w:lineRule="exact"/>
        <w:jc w:val="left"/>
        <w:rPr>
          <w:rFonts w:hint="eastAsia"/>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 </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2023-FHC-重整锅炉水三剂-1114</w:t>
      </w:r>
      <w:r>
        <w:rPr>
          <w:rFonts w:hint="eastAsia" w:ascii="宋体" w:hAnsi="宋体"/>
          <w:sz w:val="24"/>
        </w:rPr>
        <w:t>），被我方正式授权并代表我公司递交下述文件，并对此负责。</w:t>
      </w:r>
    </w:p>
    <w:p>
      <w:pPr>
        <w:spacing w:line="500" w:lineRule="exact"/>
        <w:ind w:firstLine="480" w:firstLineChars="200"/>
        <w:rPr>
          <w:rFonts w:hint="eastAsia" w:ascii="宋体" w:hAnsi="宋体"/>
          <w:sz w:val="24"/>
          <w:highlight w:val="yellow"/>
        </w:rPr>
      </w:pPr>
      <w:r>
        <w:rPr>
          <w:rFonts w:hint="eastAsia" w:ascii="宋体" w:hAnsi="宋体"/>
          <w:sz w:val="24"/>
          <w:highlight w:val="yellow"/>
          <w:lang w:val="en-US" w:eastAsia="zh-CN"/>
        </w:rPr>
        <w:t>1、</w:t>
      </w:r>
      <w:r>
        <w:rPr>
          <w:rFonts w:hint="eastAsia" w:ascii="宋体" w:hAnsi="宋体"/>
          <w:sz w:val="24"/>
          <w:highlight w:val="yellow"/>
        </w:rPr>
        <w:t>第一册</w:t>
      </w:r>
      <w:r>
        <w:rPr>
          <w:rFonts w:hint="eastAsia" w:ascii="宋体" w:hAnsi="宋体"/>
          <w:sz w:val="24"/>
          <w:highlight w:val="yellow"/>
          <w:lang w:eastAsia="zh-CN"/>
        </w:rPr>
        <w:t>商务</w:t>
      </w:r>
      <w:r>
        <w:rPr>
          <w:rFonts w:hint="eastAsia" w:ascii="宋体" w:hAnsi="宋体"/>
          <w:sz w:val="24"/>
          <w:highlight w:val="yellow"/>
        </w:rPr>
        <w:t>文件包含以下内容：</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（1）比选公告</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（2）参选规定及说明</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（3）公开比选文件</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（4）参选书</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（5）法定代表人授权书</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（6）报价单</w:t>
      </w:r>
    </w:p>
    <w:p>
      <w:pPr>
        <w:spacing w:line="500" w:lineRule="exact"/>
        <w:ind w:firstLine="480" w:firstLineChars="200"/>
        <w:rPr>
          <w:rFonts w:hint="eastAsia" w:ascii="宋体" w:hAnsi="宋体"/>
          <w:sz w:val="24"/>
          <w:highlight w:val="yellow"/>
          <w:lang w:eastAsia="zh-CN"/>
        </w:rPr>
      </w:pPr>
      <w:r>
        <w:rPr>
          <w:rFonts w:hint="eastAsia" w:ascii="宋体" w:hAnsi="宋体"/>
          <w:sz w:val="24"/>
          <w:highlight w:val="yellow"/>
          <w:lang w:eastAsia="zh-CN"/>
        </w:rPr>
        <w:t>（</w:t>
      </w:r>
      <w:r>
        <w:rPr>
          <w:rFonts w:hint="eastAsia" w:ascii="宋体" w:hAnsi="宋体"/>
          <w:sz w:val="24"/>
          <w:highlight w:val="yellow"/>
          <w:lang w:val="en-US" w:eastAsia="zh-CN"/>
        </w:rPr>
        <w:t>7</w:t>
      </w:r>
      <w:r>
        <w:rPr>
          <w:rFonts w:hint="eastAsia" w:ascii="宋体" w:hAnsi="宋体"/>
          <w:sz w:val="24"/>
          <w:highlight w:val="yellow"/>
          <w:lang w:eastAsia="zh-CN"/>
        </w:rPr>
        <w:t>）</w:t>
      </w:r>
      <w:r>
        <w:rPr>
          <w:rFonts w:hint="eastAsia" w:ascii="宋体" w:hAnsi="宋体"/>
          <w:sz w:val="24"/>
          <w:highlight w:val="yellow"/>
          <w:lang w:val="en-US" w:eastAsia="zh-CN"/>
        </w:rPr>
        <w:t>技术要求</w:t>
      </w:r>
    </w:p>
    <w:p>
      <w:pPr>
        <w:spacing w:line="500" w:lineRule="exact"/>
        <w:ind w:firstLine="480" w:firstLineChars="200"/>
        <w:rPr>
          <w:rFonts w:hint="eastAsia" w:ascii="宋体" w:hAnsi="宋体"/>
          <w:sz w:val="24"/>
          <w:highlight w:val="yellow"/>
        </w:rPr>
      </w:pPr>
      <w:r>
        <w:rPr>
          <w:rFonts w:hint="eastAsia" w:ascii="宋体" w:hAnsi="宋体"/>
          <w:sz w:val="24"/>
          <w:highlight w:val="yellow"/>
          <w:lang w:val="en-US" w:eastAsia="zh-CN"/>
        </w:rPr>
        <w:t>2、</w:t>
      </w:r>
      <w:r>
        <w:rPr>
          <w:rFonts w:hint="eastAsia" w:ascii="宋体" w:hAnsi="宋体"/>
          <w:sz w:val="24"/>
          <w:highlight w:val="yellow"/>
        </w:rPr>
        <w:t>第二册技术文件包含以下内容：</w:t>
      </w:r>
    </w:p>
    <w:p>
      <w:pPr>
        <w:spacing w:line="500" w:lineRule="exact"/>
        <w:ind w:firstLine="480" w:firstLineChars="200"/>
        <w:rPr>
          <w:rFonts w:hint="eastAsia" w:ascii="宋体" w:hAnsi="宋体"/>
          <w:sz w:val="24"/>
          <w:highlight w:val="yellow"/>
          <w:lang w:val="en-US" w:eastAsia="zh-CN"/>
        </w:rPr>
      </w:pPr>
      <w:r>
        <w:rPr>
          <w:rFonts w:hint="eastAsia" w:ascii="宋体" w:hAnsi="宋体"/>
          <w:sz w:val="24"/>
          <w:highlight w:val="yellow"/>
          <w:lang w:val="en-US" w:eastAsia="zh-CN"/>
        </w:rPr>
        <w:t>项目需求及重难点分析、技术、服务方案、投标人类似项目业绩、服务便捷性、项目服务经验、突发事件的应急措施方案等内容。</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hint="eastAsia" w:ascii="宋体" w:hAnsi="宋体"/>
          <w:b/>
          <w:bCs/>
          <w:sz w:val="36"/>
          <w:szCs w:val="36"/>
        </w:rPr>
      </w:pPr>
      <w:r>
        <w:rPr>
          <w:rFonts w:hint="eastAsia" w:ascii="宋体" w:hAnsi="宋体"/>
          <w:sz w:val="24"/>
        </w:rPr>
        <w:t>被授权代表签字；</w:t>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2023-FHC-重整锅炉水三剂-1114</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hint="eastAsia" w:ascii="宋体" w:hAnsi="宋体"/>
          <w:sz w:val="24"/>
          <w:lang w:eastAsia="zh-CN"/>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2023-FHC-重整锅炉水三剂-1114</w:t>
      </w:r>
      <w:r>
        <w:rPr>
          <w:rFonts w:hint="eastAsia" w:ascii="宋体" w:hAnsi="宋体"/>
          <w:sz w:val="24"/>
        </w:rPr>
        <w:t>），报价如下：</w:t>
      </w:r>
    </w:p>
    <w:p>
      <w:pPr>
        <w:spacing w:line="500" w:lineRule="exact"/>
        <w:rPr>
          <w:rFonts w:ascii="宋体"/>
          <w:color w:val="auto"/>
          <w:sz w:val="24"/>
        </w:rPr>
      </w:pPr>
      <w:r>
        <w:rPr>
          <w:rFonts w:ascii="宋体" w:hAnsi="宋体"/>
          <w:color w:val="auto"/>
          <w:sz w:val="24"/>
        </w:rPr>
        <w:t xml:space="preserve">1. 1. </w:t>
      </w:r>
      <w:r>
        <w:rPr>
          <w:rFonts w:hint="eastAsia" w:ascii="宋体" w:hAnsi="宋体"/>
          <w:color w:val="auto"/>
          <w:sz w:val="24"/>
        </w:rPr>
        <w:t>我公司可按贵司要求供应</w:t>
      </w:r>
      <w:r>
        <w:rPr>
          <w:rFonts w:hint="eastAsia" w:ascii="宋体" w:hAnsi="宋体"/>
          <w:color w:val="auto"/>
          <w:sz w:val="24"/>
          <w:lang w:val="en-US" w:eastAsia="zh-CN"/>
        </w:rPr>
        <w:t>芳烃团队连续重整装置锅炉水三剂</w:t>
      </w:r>
      <w:r>
        <w:rPr>
          <w:rFonts w:hint="eastAsia" w:ascii="宋体" w:hAnsi="宋体"/>
          <w:color w:val="auto"/>
          <w:sz w:val="24"/>
        </w:rPr>
        <w:t>：</w:t>
      </w:r>
    </w:p>
    <w:tbl>
      <w:tblPr>
        <w:tblStyle w:val="8"/>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9"/>
        <w:gridCol w:w="1601"/>
        <w:gridCol w:w="1601"/>
        <w:gridCol w:w="1601"/>
        <w:gridCol w:w="1601"/>
        <w:gridCol w:w="1601"/>
        <w:gridCol w:w="160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759" w:type="dxa"/>
            <w:noWrap w:val="0"/>
            <w:vAlign w:val="top"/>
          </w:tcPr>
          <w:p>
            <w:pPr>
              <w:spacing w:line="360" w:lineRule="auto"/>
              <w:jc w:val="center"/>
              <w:rPr>
                <w:rFonts w:hint="eastAsia" w:ascii="宋体" w:hAnsi="宋体"/>
                <w:sz w:val="24"/>
              </w:rPr>
            </w:pPr>
            <w:r>
              <w:rPr>
                <w:rFonts w:hint="eastAsia" w:ascii="宋体" w:hAnsi="宋体"/>
                <w:sz w:val="24"/>
              </w:rPr>
              <w:t>序</w:t>
            </w:r>
          </w:p>
          <w:p>
            <w:pPr>
              <w:spacing w:line="360" w:lineRule="auto"/>
              <w:jc w:val="center"/>
              <w:rPr>
                <w:rFonts w:hint="eastAsia" w:ascii="宋体" w:hAnsi="宋体"/>
                <w:sz w:val="24"/>
              </w:rPr>
            </w:pPr>
            <w:r>
              <w:rPr>
                <w:rFonts w:hint="eastAsia" w:ascii="宋体" w:hAnsi="宋体"/>
                <w:sz w:val="24"/>
              </w:rPr>
              <w:t>号</w:t>
            </w:r>
          </w:p>
        </w:tc>
        <w:tc>
          <w:tcPr>
            <w:tcW w:w="1601"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药剂名称</w:t>
            </w:r>
          </w:p>
        </w:tc>
        <w:tc>
          <w:tcPr>
            <w:tcW w:w="1601" w:type="dxa"/>
            <w:noWrap w:val="0"/>
            <w:vAlign w:val="center"/>
          </w:tcPr>
          <w:p>
            <w:pPr>
              <w:spacing w:line="360" w:lineRule="auto"/>
              <w:jc w:val="center"/>
              <w:rPr>
                <w:rFonts w:hint="eastAsia" w:ascii="宋体" w:hAnsi="宋体"/>
                <w:sz w:val="24"/>
              </w:rPr>
            </w:pPr>
            <w:r>
              <w:rPr>
                <w:rFonts w:hint="eastAsia" w:ascii="宋体" w:hAnsi="宋体"/>
                <w:sz w:val="24"/>
              </w:rPr>
              <w:t>规格型号</w:t>
            </w:r>
          </w:p>
        </w:tc>
        <w:tc>
          <w:tcPr>
            <w:tcW w:w="1601" w:type="dxa"/>
            <w:tcBorders>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lang w:val="en-US" w:eastAsia="zh-CN"/>
              </w:rPr>
              <w:t>封顶</w:t>
            </w:r>
            <w:r>
              <w:rPr>
                <w:rFonts w:hint="eastAsia" w:ascii="宋体" w:hAnsi="宋体"/>
                <w:sz w:val="24"/>
              </w:rPr>
              <w:t>数量</w:t>
            </w:r>
          </w:p>
          <w:p>
            <w:pPr>
              <w:spacing w:line="360" w:lineRule="auto"/>
              <w:jc w:val="center"/>
              <w:rPr>
                <w:rFonts w:hint="eastAsia" w:ascii="宋体" w:hAnsi="宋体"/>
                <w:sz w:val="24"/>
              </w:rPr>
            </w:pPr>
            <w:r>
              <w:rPr>
                <w:rFonts w:hint="eastAsia" w:ascii="宋体" w:hAnsi="宋体"/>
                <w:sz w:val="24"/>
              </w:rPr>
              <w:t>（吨）</w:t>
            </w:r>
          </w:p>
        </w:tc>
        <w:tc>
          <w:tcPr>
            <w:tcW w:w="1601" w:type="dxa"/>
            <w:tcBorders>
              <w:left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lang w:val="en-US" w:eastAsia="zh-CN"/>
              </w:rPr>
              <w:t>含税</w:t>
            </w:r>
            <w:r>
              <w:rPr>
                <w:rFonts w:hint="eastAsia" w:ascii="宋体" w:hAnsi="宋体"/>
                <w:sz w:val="24"/>
              </w:rPr>
              <w:t>单价</w:t>
            </w:r>
          </w:p>
          <w:p>
            <w:pPr>
              <w:spacing w:line="360" w:lineRule="auto"/>
              <w:jc w:val="center"/>
              <w:rPr>
                <w:rFonts w:hint="eastAsia" w:ascii="宋体" w:hAnsi="宋体"/>
                <w:sz w:val="24"/>
              </w:rPr>
            </w:pPr>
            <w:r>
              <w:rPr>
                <w:rFonts w:hint="eastAsia" w:ascii="宋体" w:hAnsi="宋体"/>
                <w:sz w:val="24"/>
              </w:rPr>
              <w:t>（元/吨）</w:t>
            </w:r>
          </w:p>
        </w:tc>
        <w:tc>
          <w:tcPr>
            <w:tcW w:w="1601" w:type="dxa"/>
            <w:tcBorders>
              <w:left w:val="single" w:color="auto" w:sz="4" w:space="0"/>
            </w:tcBorders>
            <w:noWrap w:val="0"/>
            <w:vAlign w:val="center"/>
          </w:tcPr>
          <w:p>
            <w:pPr>
              <w:spacing w:line="360" w:lineRule="auto"/>
              <w:jc w:val="center"/>
              <w:rPr>
                <w:rFonts w:hint="default" w:ascii="宋体" w:hAnsi="宋体"/>
                <w:sz w:val="24"/>
                <w:lang w:val="en-US" w:eastAsia="zh-CN"/>
              </w:rPr>
            </w:pPr>
            <w:r>
              <w:rPr>
                <w:rFonts w:hint="eastAsia" w:ascii="宋体" w:hAnsi="宋体"/>
                <w:sz w:val="24"/>
                <w:lang w:val="en-US" w:eastAsia="zh-CN"/>
              </w:rPr>
              <w:t>含税金额</w:t>
            </w:r>
          </w:p>
          <w:p>
            <w:pPr>
              <w:spacing w:line="360" w:lineRule="auto"/>
              <w:jc w:val="center"/>
              <w:rPr>
                <w:rFonts w:hint="eastAsia" w:ascii="宋体" w:hAnsi="宋体"/>
                <w:sz w:val="24"/>
              </w:rPr>
            </w:pPr>
            <w:r>
              <w:rPr>
                <w:rFonts w:hint="eastAsia" w:ascii="宋体" w:hAnsi="宋体"/>
                <w:sz w:val="24"/>
              </w:rPr>
              <w:t>（元）</w:t>
            </w:r>
          </w:p>
        </w:tc>
        <w:tc>
          <w:tcPr>
            <w:tcW w:w="1602" w:type="dxa"/>
            <w:tcBorders>
              <w:bottom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759" w:type="dxa"/>
            <w:noWrap w:val="0"/>
            <w:vAlign w:val="top"/>
          </w:tcPr>
          <w:p>
            <w:pPr>
              <w:spacing w:line="360" w:lineRule="auto"/>
              <w:jc w:val="center"/>
              <w:rPr>
                <w:rFonts w:hint="eastAsia" w:ascii="宋体" w:hAnsi="宋体"/>
                <w:sz w:val="24"/>
              </w:rPr>
            </w:pPr>
            <w:r>
              <w:rPr>
                <w:rFonts w:hint="eastAsia" w:ascii="宋体" w:hAnsi="宋体"/>
                <w:sz w:val="24"/>
              </w:rPr>
              <w:t>1</w:t>
            </w:r>
          </w:p>
        </w:tc>
        <w:tc>
          <w:tcPr>
            <w:tcW w:w="1601" w:type="dxa"/>
            <w:noWrap w:val="0"/>
            <w:vAlign w:val="center"/>
          </w:tcPr>
          <w:p>
            <w:pPr>
              <w:spacing w:line="360" w:lineRule="auto"/>
              <w:rPr>
                <w:rFonts w:hint="eastAsia" w:ascii="宋体" w:hAnsi="宋体"/>
                <w:sz w:val="24"/>
                <w:lang w:eastAsia="zh-CN"/>
              </w:rPr>
            </w:pPr>
          </w:p>
        </w:tc>
        <w:tc>
          <w:tcPr>
            <w:tcW w:w="1601" w:type="dxa"/>
            <w:noWrap w:val="0"/>
            <w:vAlign w:val="center"/>
          </w:tcPr>
          <w:p>
            <w:pPr>
              <w:spacing w:line="360" w:lineRule="auto"/>
              <w:rPr>
                <w:rFonts w:hint="eastAsia" w:ascii="宋体" w:hAnsi="宋体"/>
                <w:sz w:val="24"/>
              </w:rPr>
            </w:pPr>
          </w:p>
        </w:tc>
        <w:tc>
          <w:tcPr>
            <w:tcW w:w="1601" w:type="dxa"/>
            <w:tcBorders>
              <w:right w:val="single" w:color="auto" w:sz="4" w:space="0"/>
            </w:tcBorders>
            <w:noWrap w:val="0"/>
            <w:vAlign w:val="center"/>
          </w:tcPr>
          <w:p>
            <w:pPr>
              <w:spacing w:line="360" w:lineRule="auto"/>
              <w:rPr>
                <w:rFonts w:hint="eastAsia" w:ascii="宋体" w:hAnsi="宋体"/>
                <w:sz w:val="24"/>
              </w:rPr>
            </w:pPr>
          </w:p>
        </w:tc>
        <w:tc>
          <w:tcPr>
            <w:tcW w:w="1601" w:type="dxa"/>
            <w:tcBorders>
              <w:left w:val="single" w:color="auto" w:sz="4" w:space="0"/>
              <w:right w:val="single" w:color="auto" w:sz="4" w:space="0"/>
            </w:tcBorders>
            <w:noWrap w:val="0"/>
            <w:vAlign w:val="center"/>
          </w:tcPr>
          <w:p>
            <w:pPr>
              <w:spacing w:line="360" w:lineRule="auto"/>
              <w:rPr>
                <w:rFonts w:hint="eastAsia" w:ascii="宋体" w:hAnsi="宋体"/>
                <w:sz w:val="24"/>
              </w:rPr>
            </w:pPr>
          </w:p>
        </w:tc>
        <w:tc>
          <w:tcPr>
            <w:tcW w:w="1601" w:type="dxa"/>
            <w:tcBorders>
              <w:left w:val="single" w:color="auto" w:sz="4" w:space="0"/>
            </w:tcBorders>
            <w:noWrap w:val="0"/>
            <w:vAlign w:val="center"/>
          </w:tcPr>
          <w:p>
            <w:pPr>
              <w:spacing w:line="360" w:lineRule="auto"/>
              <w:rPr>
                <w:rFonts w:hint="eastAsia" w:ascii="宋体" w:hAnsi="宋体"/>
                <w:sz w:val="24"/>
              </w:rPr>
            </w:pPr>
          </w:p>
        </w:tc>
        <w:tc>
          <w:tcPr>
            <w:tcW w:w="1602" w:type="dxa"/>
            <w:tcBorders>
              <w:top w:val="single" w:color="auto" w:sz="4" w:space="0"/>
            </w:tcBorders>
            <w:noWrap w:val="0"/>
            <w:vAlign w:val="center"/>
          </w:tcPr>
          <w:p>
            <w:pPr>
              <w:spacing w:line="360" w:lineRule="auto"/>
              <w:rPr>
                <w:rFonts w:hint="eastAsia"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759" w:type="dxa"/>
            <w:noWrap w:val="0"/>
            <w:vAlign w:val="top"/>
          </w:tcPr>
          <w:p>
            <w:pPr>
              <w:spacing w:line="360" w:lineRule="auto"/>
              <w:jc w:val="center"/>
              <w:rPr>
                <w:rFonts w:hint="eastAsia" w:ascii="宋体" w:hAnsi="宋体"/>
                <w:sz w:val="24"/>
              </w:rPr>
            </w:pPr>
            <w:r>
              <w:rPr>
                <w:rFonts w:hint="eastAsia" w:ascii="宋体" w:hAnsi="宋体"/>
                <w:sz w:val="24"/>
              </w:rPr>
              <w:t>2</w:t>
            </w:r>
          </w:p>
        </w:tc>
        <w:tc>
          <w:tcPr>
            <w:tcW w:w="1601" w:type="dxa"/>
            <w:noWrap w:val="0"/>
            <w:vAlign w:val="center"/>
          </w:tcPr>
          <w:p>
            <w:pPr>
              <w:spacing w:line="360" w:lineRule="auto"/>
              <w:rPr>
                <w:rFonts w:hint="eastAsia" w:ascii="宋体" w:hAnsi="宋体"/>
                <w:sz w:val="24"/>
              </w:rPr>
            </w:pPr>
          </w:p>
        </w:tc>
        <w:tc>
          <w:tcPr>
            <w:tcW w:w="1601" w:type="dxa"/>
            <w:noWrap w:val="0"/>
            <w:vAlign w:val="center"/>
          </w:tcPr>
          <w:p>
            <w:pPr>
              <w:spacing w:line="360" w:lineRule="auto"/>
              <w:rPr>
                <w:rFonts w:hint="eastAsia" w:ascii="宋体" w:hAnsi="宋体"/>
                <w:sz w:val="24"/>
              </w:rPr>
            </w:pPr>
          </w:p>
        </w:tc>
        <w:tc>
          <w:tcPr>
            <w:tcW w:w="1601" w:type="dxa"/>
            <w:tcBorders>
              <w:right w:val="single" w:color="auto" w:sz="4" w:space="0"/>
            </w:tcBorders>
            <w:noWrap w:val="0"/>
            <w:vAlign w:val="center"/>
          </w:tcPr>
          <w:p>
            <w:pPr>
              <w:spacing w:line="360" w:lineRule="auto"/>
              <w:rPr>
                <w:rFonts w:hint="eastAsia" w:ascii="宋体" w:hAnsi="宋体"/>
                <w:sz w:val="24"/>
              </w:rPr>
            </w:pPr>
          </w:p>
        </w:tc>
        <w:tc>
          <w:tcPr>
            <w:tcW w:w="1601" w:type="dxa"/>
            <w:tcBorders>
              <w:left w:val="single" w:color="auto" w:sz="4" w:space="0"/>
              <w:right w:val="single" w:color="auto" w:sz="4" w:space="0"/>
            </w:tcBorders>
            <w:noWrap w:val="0"/>
            <w:vAlign w:val="center"/>
          </w:tcPr>
          <w:p>
            <w:pPr>
              <w:spacing w:line="360" w:lineRule="auto"/>
              <w:rPr>
                <w:rFonts w:hint="eastAsia" w:ascii="宋体" w:hAnsi="宋体"/>
                <w:sz w:val="24"/>
              </w:rPr>
            </w:pPr>
          </w:p>
        </w:tc>
        <w:tc>
          <w:tcPr>
            <w:tcW w:w="1601" w:type="dxa"/>
            <w:tcBorders>
              <w:left w:val="single" w:color="auto" w:sz="4" w:space="0"/>
            </w:tcBorders>
            <w:noWrap w:val="0"/>
            <w:vAlign w:val="center"/>
          </w:tcPr>
          <w:p>
            <w:pPr>
              <w:spacing w:line="360" w:lineRule="auto"/>
              <w:rPr>
                <w:rFonts w:hint="eastAsia" w:ascii="宋体" w:hAnsi="宋体"/>
                <w:sz w:val="24"/>
              </w:rPr>
            </w:pPr>
          </w:p>
        </w:tc>
        <w:tc>
          <w:tcPr>
            <w:tcW w:w="1602" w:type="dxa"/>
            <w:tcBorders>
              <w:top w:val="single" w:color="auto" w:sz="4" w:space="0"/>
            </w:tcBorders>
            <w:noWrap w:val="0"/>
            <w:vAlign w:val="center"/>
          </w:tcPr>
          <w:p>
            <w:pPr>
              <w:spacing w:line="360" w:lineRule="auto"/>
              <w:rPr>
                <w:rFonts w:hint="eastAsia"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759" w:type="dxa"/>
            <w:noWrap w:val="0"/>
            <w:vAlign w:val="top"/>
          </w:tcPr>
          <w:p>
            <w:pPr>
              <w:spacing w:line="360" w:lineRule="auto"/>
              <w:jc w:val="center"/>
              <w:rPr>
                <w:rFonts w:hint="eastAsia" w:ascii="宋体" w:hAnsi="宋体"/>
                <w:sz w:val="24"/>
              </w:rPr>
            </w:pPr>
            <w:r>
              <w:rPr>
                <w:rFonts w:hint="eastAsia" w:ascii="宋体" w:hAnsi="宋体"/>
                <w:sz w:val="24"/>
              </w:rPr>
              <w:t>3</w:t>
            </w:r>
          </w:p>
        </w:tc>
        <w:tc>
          <w:tcPr>
            <w:tcW w:w="1601" w:type="dxa"/>
            <w:noWrap w:val="0"/>
            <w:vAlign w:val="center"/>
          </w:tcPr>
          <w:p>
            <w:pPr>
              <w:spacing w:line="360" w:lineRule="auto"/>
              <w:rPr>
                <w:rFonts w:hint="eastAsia" w:ascii="宋体" w:hAnsi="宋体"/>
                <w:sz w:val="24"/>
              </w:rPr>
            </w:pPr>
          </w:p>
        </w:tc>
        <w:tc>
          <w:tcPr>
            <w:tcW w:w="1601" w:type="dxa"/>
            <w:noWrap w:val="0"/>
            <w:vAlign w:val="center"/>
          </w:tcPr>
          <w:p>
            <w:pPr>
              <w:spacing w:line="360" w:lineRule="auto"/>
              <w:rPr>
                <w:rFonts w:hint="eastAsia" w:ascii="宋体" w:hAnsi="宋体"/>
                <w:sz w:val="24"/>
              </w:rPr>
            </w:pPr>
          </w:p>
        </w:tc>
        <w:tc>
          <w:tcPr>
            <w:tcW w:w="1601" w:type="dxa"/>
            <w:tcBorders>
              <w:right w:val="single" w:color="auto" w:sz="4" w:space="0"/>
            </w:tcBorders>
            <w:noWrap w:val="0"/>
            <w:vAlign w:val="center"/>
          </w:tcPr>
          <w:p>
            <w:pPr>
              <w:spacing w:line="360" w:lineRule="auto"/>
              <w:rPr>
                <w:rFonts w:hint="eastAsia" w:ascii="宋体" w:hAnsi="宋体"/>
                <w:sz w:val="24"/>
              </w:rPr>
            </w:pPr>
          </w:p>
        </w:tc>
        <w:tc>
          <w:tcPr>
            <w:tcW w:w="1601" w:type="dxa"/>
            <w:tcBorders>
              <w:left w:val="single" w:color="auto" w:sz="4" w:space="0"/>
              <w:right w:val="single" w:color="auto" w:sz="4" w:space="0"/>
            </w:tcBorders>
            <w:noWrap w:val="0"/>
            <w:vAlign w:val="center"/>
          </w:tcPr>
          <w:p>
            <w:pPr>
              <w:spacing w:line="360" w:lineRule="auto"/>
              <w:rPr>
                <w:rFonts w:hint="eastAsia" w:ascii="宋体" w:hAnsi="宋体"/>
                <w:sz w:val="24"/>
              </w:rPr>
            </w:pPr>
          </w:p>
        </w:tc>
        <w:tc>
          <w:tcPr>
            <w:tcW w:w="1601" w:type="dxa"/>
            <w:tcBorders>
              <w:left w:val="single" w:color="auto" w:sz="4" w:space="0"/>
            </w:tcBorders>
            <w:noWrap w:val="0"/>
            <w:vAlign w:val="center"/>
          </w:tcPr>
          <w:p>
            <w:pPr>
              <w:spacing w:line="360" w:lineRule="auto"/>
              <w:rPr>
                <w:rFonts w:hint="eastAsia" w:ascii="宋体" w:hAnsi="宋体"/>
                <w:sz w:val="24"/>
              </w:rPr>
            </w:pPr>
          </w:p>
        </w:tc>
        <w:tc>
          <w:tcPr>
            <w:tcW w:w="1602" w:type="dxa"/>
            <w:tcBorders>
              <w:top w:val="single" w:color="auto" w:sz="4" w:space="0"/>
            </w:tcBorders>
            <w:noWrap w:val="0"/>
            <w:vAlign w:val="center"/>
          </w:tcPr>
          <w:p>
            <w:pPr>
              <w:spacing w:line="360" w:lineRule="auto"/>
              <w:rPr>
                <w:rFonts w:hint="eastAsia" w:ascii="宋体"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10366" w:type="dxa"/>
            <w:gridSpan w:val="7"/>
            <w:noWrap w:val="0"/>
            <w:vAlign w:val="center"/>
          </w:tcPr>
          <w:p>
            <w:pPr>
              <w:widowControl/>
              <w:numPr>
                <w:ilvl w:val="0"/>
                <w:numId w:val="0"/>
              </w:numP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p>
            <w:pPr>
              <w:widowControl/>
              <w:numPr>
                <w:ilvl w:val="0"/>
                <w:numId w:val="0"/>
              </w:numPr>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药剂名称</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规格型号、</w:t>
            </w:r>
            <w:r>
              <w:rPr>
                <w:rFonts w:hint="eastAsia" w:ascii="宋体" w:hAnsi="宋体" w:eastAsia="宋体" w:cs="宋体"/>
                <w:color w:val="000000"/>
                <w:kern w:val="0"/>
                <w:sz w:val="24"/>
                <w:szCs w:val="24"/>
              </w:rPr>
              <w:t>数</w:t>
            </w:r>
            <w:r>
              <w:rPr>
                <w:rFonts w:hint="eastAsia" w:ascii="宋体" w:hAnsi="宋体" w:eastAsia="宋体" w:cs="宋体"/>
                <w:color w:val="000000"/>
                <w:kern w:val="0"/>
                <w:sz w:val="24"/>
                <w:szCs w:val="24"/>
                <w:lang w:eastAsia="zh-CN"/>
              </w:rPr>
              <w:t>量</w:t>
            </w:r>
            <w:r>
              <w:rPr>
                <w:rFonts w:hint="eastAsia" w:ascii="宋体" w:hAnsi="宋体" w:eastAsia="宋体" w:cs="宋体"/>
                <w:color w:val="000000"/>
                <w:kern w:val="0"/>
                <w:sz w:val="24"/>
                <w:szCs w:val="24"/>
                <w:lang w:val="en-US" w:eastAsia="zh-CN"/>
              </w:rPr>
              <w:t>请</w:t>
            </w:r>
            <w:r>
              <w:rPr>
                <w:rFonts w:hint="eastAsia" w:ascii="宋体" w:hAnsi="宋体" w:cs="宋体"/>
                <w:color w:val="000000"/>
                <w:kern w:val="0"/>
                <w:sz w:val="24"/>
                <w:szCs w:val="24"/>
                <w:lang w:val="en-US" w:eastAsia="zh-CN"/>
              </w:rPr>
              <w:t>供方</w:t>
            </w:r>
            <w:r>
              <w:rPr>
                <w:rFonts w:hint="eastAsia" w:ascii="宋体" w:hAnsi="宋体" w:eastAsia="宋体" w:cs="宋体"/>
                <w:color w:val="000000"/>
                <w:kern w:val="0"/>
                <w:sz w:val="24"/>
                <w:szCs w:val="24"/>
                <w:lang w:val="en-US" w:eastAsia="zh-CN"/>
              </w:rPr>
              <w:t>自行根据技术要求填写。</w:t>
            </w:r>
          </w:p>
          <w:p>
            <w:pPr>
              <w:widowControl/>
              <w:numPr>
                <w:ilvl w:val="0"/>
                <w:numId w:val="0"/>
              </w:numP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供方</w:t>
            </w:r>
            <w:r>
              <w:rPr>
                <w:rFonts w:hint="eastAsia" w:ascii="宋体" w:hAnsi="宋体" w:eastAsia="宋体" w:cs="宋体"/>
                <w:color w:val="000000"/>
                <w:kern w:val="0"/>
                <w:sz w:val="24"/>
                <w:szCs w:val="24"/>
              </w:rPr>
              <w:t>提报的数量为</w:t>
            </w:r>
            <w:r>
              <w:rPr>
                <w:rFonts w:hint="eastAsia" w:ascii="宋体" w:hAnsi="宋体" w:eastAsia="宋体" w:cs="宋体"/>
                <w:color w:val="000000"/>
                <w:kern w:val="0"/>
                <w:sz w:val="24"/>
                <w:szCs w:val="24"/>
                <w:lang w:val="en-US" w:eastAsia="zh-CN"/>
              </w:rPr>
              <w:t>202</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年</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月1日</w:t>
            </w:r>
            <w:r>
              <w:rPr>
                <w:rFonts w:hint="eastAsia" w:ascii="宋体" w:hAnsi="宋体" w:eastAsia="宋体" w:cs="宋体"/>
                <w:color w:val="000000"/>
                <w:kern w:val="0"/>
                <w:sz w:val="24"/>
                <w:szCs w:val="24"/>
              </w:rPr>
              <w:t>至20</w:t>
            </w:r>
            <w:r>
              <w:rPr>
                <w:rFonts w:hint="eastAsia" w:ascii="宋体" w:hAnsi="宋体" w:eastAsia="宋体" w:cs="宋体"/>
                <w:color w:val="000000"/>
                <w:kern w:val="0"/>
                <w:sz w:val="24"/>
                <w:szCs w:val="24"/>
                <w:lang w:val="en-US" w:eastAsia="zh-CN"/>
              </w:rPr>
              <w:t>2</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31日</w:t>
            </w:r>
            <w:r>
              <w:rPr>
                <w:rFonts w:hint="eastAsia" w:ascii="宋体" w:hAnsi="宋体" w:eastAsia="宋体" w:cs="宋体"/>
                <w:color w:val="000000"/>
                <w:kern w:val="0"/>
                <w:sz w:val="24"/>
                <w:szCs w:val="24"/>
              </w:rPr>
              <w:t>封顶数量：如果合约期内实际用药数量超过提报</w:t>
            </w:r>
            <w:r>
              <w:rPr>
                <w:rFonts w:hint="eastAsia" w:ascii="宋体" w:hAnsi="宋体" w:eastAsia="宋体" w:cs="宋体"/>
                <w:color w:val="000000"/>
                <w:kern w:val="0"/>
                <w:sz w:val="24"/>
                <w:szCs w:val="24"/>
                <w:lang w:val="en-US" w:eastAsia="zh-CN"/>
              </w:rPr>
              <w:t>封顶</w:t>
            </w:r>
            <w:r>
              <w:rPr>
                <w:rFonts w:hint="eastAsia" w:ascii="宋体" w:hAnsi="宋体" w:eastAsia="宋体" w:cs="宋体"/>
                <w:color w:val="000000"/>
                <w:kern w:val="0"/>
                <w:sz w:val="24"/>
                <w:szCs w:val="24"/>
              </w:rPr>
              <w:t>数量，</w:t>
            </w:r>
            <w:r>
              <w:rPr>
                <w:rFonts w:hint="eastAsia" w:ascii="宋体" w:hAnsi="宋体" w:eastAsia="宋体" w:cs="宋体"/>
                <w:color w:val="000000"/>
                <w:kern w:val="0"/>
                <w:sz w:val="24"/>
                <w:szCs w:val="24"/>
                <w:lang w:val="en-US" w:eastAsia="zh-CN"/>
              </w:rPr>
              <w:t>供方</w:t>
            </w:r>
            <w:r>
              <w:rPr>
                <w:rFonts w:hint="eastAsia" w:ascii="宋体" w:hAnsi="宋体" w:eastAsia="宋体" w:cs="宋体"/>
                <w:color w:val="000000"/>
                <w:kern w:val="0"/>
                <w:sz w:val="24"/>
                <w:szCs w:val="24"/>
              </w:rPr>
              <w:t>无条件补足；如果合约期内实际用药数量少于提报</w:t>
            </w:r>
            <w:r>
              <w:rPr>
                <w:rFonts w:hint="eastAsia" w:ascii="宋体" w:hAnsi="宋体" w:eastAsia="宋体" w:cs="宋体"/>
                <w:color w:val="000000"/>
                <w:kern w:val="0"/>
                <w:sz w:val="24"/>
                <w:szCs w:val="24"/>
                <w:lang w:val="en-US" w:eastAsia="zh-CN"/>
              </w:rPr>
              <w:t>封顶</w:t>
            </w:r>
            <w:r>
              <w:rPr>
                <w:rFonts w:hint="eastAsia" w:ascii="宋体" w:hAnsi="宋体" w:eastAsia="宋体" w:cs="宋体"/>
                <w:color w:val="000000"/>
                <w:kern w:val="0"/>
                <w:sz w:val="24"/>
                <w:szCs w:val="24"/>
              </w:rPr>
              <w:t>数量，则按照实际用药数量进行结算。</w:t>
            </w:r>
          </w:p>
          <w:p>
            <w:pPr>
              <w:widowControl/>
              <w:numPr>
                <w:ilvl w:val="0"/>
                <w:numId w:val="0"/>
              </w:numPr>
              <w:jc w:val="left"/>
              <w:rPr>
                <w:rFonts w:hint="eastAsia" w:ascii="宋体" w:hAnsi="宋体"/>
                <w:sz w:val="24"/>
                <w:lang w:val="en-US" w:eastAsia="zh-CN"/>
              </w:rPr>
            </w:pPr>
            <w:r>
              <w:rPr>
                <w:rFonts w:hint="eastAsia" w:ascii="宋体" w:hAnsi="宋体" w:eastAsia="宋体" w:cs="宋体"/>
                <w:color w:val="000000"/>
                <w:kern w:val="0"/>
                <w:sz w:val="24"/>
                <w:szCs w:val="24"/>
                <w:lang w:val="en-US" w:eastAsia="zh-CN"/>
              </w:rPr>
              <w:t>含税单价包含药剂（含配送到工厂指定仓库）、及技术要求</w:t>
            </w:r>
            <w:r>
              <w:rPr>
                <w:rFonts w:hint="eastAsia" w:ascii="宋体" w:hAnsi="宋体" w:eastAsia="宋体" w:cs="宋体"/>
                <w:color w:val="000000"/>
                <w:kern w:val="0"/>
                <w:sz w:val="24"/>
                <w:szCs w:val="24"/>
              </w:rPr>
              <w:t>中</w:t>
            </w:r>
            <w:r>
              <w:rPr>
                <w:rFonts w:hint="eastAsia" w:ascii="宋体" w:hAnsi="宋体" w:eastAsia="宋体" w:cs="宋体"/>
                <w:color w:val="000000"/>
                <w:kern w:val="0"/>
                <w:sz w:val="24"/>
                <w:szCs w:val="24"/>
                <w:lang w:val="en-US" w:eastAsia="zh-CN"/>
              </w:rPr>
              <w:t>所需技术服务的费用。</w:t>
            </w:r>
          </w:p>
        </w:tc>
      </w:tr>
    </w:tbl>
    <w:p>
      <w:pPr>
        <w:spacing w:line="360" w:lineRule="auto"/>
        <w:rPr>
          <w:rFonts w:hint="eastAsia" w:ascii="宋体" w:hAnsi="宋体"/>
          <w:sz w:val="24"/>
          <w:lang w:val="en-US" w:eastAsia="zh-CN"/>
        </w:rPr>
      </w:pPr>
      <w:r>
        <w:rPr>
          <w:rFonts w:hint="eastAsia" w:ascii="宋体" w:hAnsi="宋体"/>
          <w:b/>
          <w:bCs/>
          <w:sz w:val="24"/>
        </w:rPr>
        <w:t>含税一票送到</w:t>
      </w:r>
      <w:r>
        <w:rPr>
          <w:rFonts w:hint="eastAsia" w:ascii="宋体" w:hAnsi="宋体"/>
          <w:b/>
          <w:bCs/>
          <w:sz w:val="24"/>
          <w:lang w:val="en-US" w:eastAsia="zh-CN"/>
        </w:rPr>
        <w:t>总金额</w:t>
      </w:r>
      <w:r>
        <w:rPr>
          <w:rFonts w:hint="eastAsia" w:ascii="宋体" w:hAnsi="宋体"/>
          <w:sz w:val="24"/>
          <w:lang w:eastAsia="zh-CN"/>
        </w:rPr>
        <w:t>（</w:t>
      </w:r>
      <w:r>
        <w:rPr>
          <w:rFonts w:hint="eastAsia" w:ascii="宋体" w:hAnsi="宋体"/>
          <w:sz w:val="24"/>
          <w:lang w:val="en-US" w:eastAsia="zh-CN"/>
        </w:rPr>
        <w:t>含技术要求中约定的技术服务</w:t>
      </w:r>
      <w:r>
        <w:rPr>
          <w:rFonts w:hint="eastAsia" w:ascii="宋体" w:hAnsi="宋体"/>
          <w:sz w:val="24"/>
          <w:lang w:eastAsia="zh-CN"/>
        </w:rPr>
        <w:t>）</w:t>
      </w:r>
      <w:r>
        <w:rPr>
          <w:rFonts w:hint="eastAsia" w:ascii="宋体" w:hAnsi="宋体"/>
          <w:sz w:val="24"/>
        </w:rPr>
        <w:t>=</w:t>
      </w:r>
      <w:r>
        <w:rPr>
          <w:rFonts w:hint="eastAsia" w:ascii="宋体" w:hAnsi="宋体"/>
          <w:sz w:val="24"/>
          <w:u w:val="single"/>
        </w:rPr>
        <w:t xml:space="preserve">             </w:t>
      </w:r>
      <w:r>
        <w:rPr>
          <w:rFonts w:hint="eastAsia" w:ascii="宋体" w:hAnsi="宋体"/>
          <w:sz w:val="24"/>
        </w:rPr>
        <w:t>元</w:t>
      </w:r>
      <w:r>
        <w:rPr>
          <w:rFonts w:hint="eastAsia" w:ascii="宋体" w:hAnsi="宋体"/>
          <w:sz w:val="24"/>
          <w:lang w:eastAsia="zh-CN"/>
        </w:rPr>
        <w:t>（</w:t>
      </w:r>
      <w:r>
        <w:rPr>
          <w:rFonts w:hint="eastAsia" w:ascii="宋体" w:hAnsi="宋体"/>
          <w:sz w:val="24"/>
          <w:lang w:val="en-US" w:eastAsia="zh-CN"/>
        </w:rPr>
        <w:t>该值</w:t>
      </w:r>
    </w:p>
    <w:p>
      <w:pPr>
        <w:spacing w:line="360" w:lineRule="auto"/>
        <w:rPr>
          <w:rFonts w:hint="eastAsia" w:ascii="宋体" w:hAnsi="宋体"/>
          <w:sz w:val="24"/>
        </w:rPr>
      </w:pPr>
      <w:r>
        <w:rPr>
          <w:rFonts w:hint="eastAsia" w:ascii="宋体" w:hAnsi="宋体"/>
          <w:sz w:val="24"/>
          <w:lang w:val="en-US" w:eastAsia="zh-CN"/>
        </w:rPr>
        <w:t>为上表三种药剂封顶数量×单价之总和</w:t>
      </w:r>
      <w:r>
        <w:rPr>
          <w:rFonts w:hint="eastAsia" w:ascii="宋体" w:hAnsi="宋体"/>
          <w:sz w:val="24"/>
          <w:lang w:eastAsia="zh-CN"/>
        </w:rPr>
        <w:t>）</w:t>
      </w:r>
      <w:r>
        <w:rPr>
          <w:rFonts w:hint="eastAsia" w:ascii="宋体" w:hAnsi="宋体"/>
          <w:sz w:val="24"/>
        </w:rPr>
        <w:t>。</w:t>
      </w:r>
    </w:p>
    <w:p>
      <w:pPr>
        <w:numPr>
          <w:ilvl w:val="0"/>
          <w:numId w:val="0"/>
        </w:numPr>
        <w:spacing w:line="360" w:lineRule="auto"/>
        <w:ind w:leftChars="0"/>
        <w:rPr>
          <w:rFonts w:hint="eastAsia" w:ascii="宋体" w:hAnsi="宋体"/>
          <w:sz w:val="24"/>
          <w:lang w:val="en-US" w:eastAsia="zh-CN"/>
        </w:rPr>
      </w:pPr>
      <w:r>
        <w:rPr>
          <w:rFonts w:hint="eastAsia" w:ascii="宋体" w:hAnsi="宋体"/>
          <w:sz w:val="24"/>
          <w:lang w:val="en-US" w:eastAsia="zh-CN"/>
        </w:rPr>
        <w:t>2、技术保证值：</w:t>
      </w:r>
    </w:p>
    <w:p>
      <w:pPr>
        <w:numPr>
          <w:ilvl w:val="0"/>
          <w:numId w:val="0"/>
        </w:num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2.1锅炉给水的要求指标（31-AP.E-402）</w:t>
      </w:r>
    </w:p>
    <w:tbl>
      <w:tblPr>
        <w:tblStyle w:val="8"/>
        <w:tblW w:w="3789" w:type="pct"/>
        <w:tblInd w:w="0" w:type="dxa"/>
        <w:tblLayout w:type="autofit"/>
        <w:tblCellMar>
          <w:top w:w="0" w:type="dxa"/>
          <w:left w:w="108" w:type="dxa"/>
          <w:bottom w:w="0" w:type="dxa"/>
          <w:right w:w="108" w:type="dxa"/>
        </w:tblCellMar>
      </w:tblPr>
      <w:tblGrid>
        <w:gridCol w:w="2230"/>
        <w:gridCol w:w="2371"/>
        <w:gridCol w:w="1857"/>
      </w:tblGrid>
      <w:tr>
        <w:tblPrEx>
          <w:tblCellMar>
            <w:top w:w="0" w:type="dxa"/>
            <w:left w:w="108" w:type="dxa"/>
            <w:bottom w:w="0" w:type="dxa"/>
            <w:right w:w="108" w:type="dxa"/>
          </w:tblCellMar>
        </w:tblPrEx>
        <w:trPr>
          <w:trHeight w:val="291" w:hRule="atLeast"/>
        </w:trPr>
        <w:tc>
          <w:tcPr>
            <w:tcW w:w="1726" w:type="pct"/>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项目</w:t>
            </w:r>
          </w:p>
        </w:tc>
        <w:tc>
          <w:tcPr>
            <w:tcW w:w="1835" w:type="pct"/>
            <w:tcBorders>
              <w:top w:val="single" w:color="auto" w:sz="4" w:space="0"/>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指标</w:t>
            </w:r>
          </w:p>
        </w:tc>
        <w:tc>
          <w:tcPr>
            <w:tcW w:w="1437" w:type="pct"/>
            <w:tcBorders>
              <w:top w:val="single" w:color="auto" w:sz="4" w:space="0"/>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单位</w:t>
            </w:r>
          </w:p>
        </w:tc>
      </w:tr>
      <w:tr>
        <w:tblPrEx>
          <w:tblCellMar>
            <w:top w:w="0" w:type="dxa"/>
            <w:left w:w="108" w:type="dxa"/>
            <w:bottom w:w="0" w:type="dxa"/>
            <w:right w:w="108" w:type="dxa"/>
          </w:tblCellMar>
        </w:tblPrEx>
        <w:trPr>
          <w:trHeight w:val="291" w:hRule="atLeast"/>
        </w:trPr>
        <w:tc>
          <w:tcPr>
            <w:tcW w:w="1726"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pH(25℃)</w:t>
            </w:r>
          </w:p>
        </w:tc>
        <w:tc>
          <w:tcPr>
            <w:tcW w:w="1835"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8.8～9.3</w:t>
            </w:r>
          </w:p>
        </w:tc>
        <w:tc>
          <w:tcPr>
            <w:tcW w:w="1437"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p>
        </w:tc>
      </w:tr>
      <w:tr>
        <w:tblPrEx>
          <w:tblCellMar>
            <w:top w:w="0" w:type="dxa"/>
            <w:left w:w="108" w:type="dxa"/>
            <w:bottom w:w="0" w:type="dxa"/>
            <w:right w:w="108" w:type="dxa"/>
          </w:tblCellMar>
        </w:tblPrEx>
        <w:trPr>
          <w:trHeight w:val="291" w:hRule="atLeast"/>
        </w:trPr>
        <w:tc>
          <w:tcPr>
            <w:tcW w:w="1726"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硬度</w:t>
            </w:r>
          </w:p>
        </w:tc>
        <w:tc>
          <w:tcPr>
            <w:tcW w:w="1835"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≤2.0</w:t>
            </w:r>
          </w:p>
        </w:tc>
        <w:tc>
          <w:tcPr>
            <w:tcW w:w="1437"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μmol/L</w:t>
            </w:r>
          </w:p>
        </w:tc>
      </w:tr>
      <w:tr>
        <w:tblPrEx>
          <w:tblCellMar>
            <w:top w:w="0" w:type="dxa"/>
            <w:left w:w="108" w:type="dxa"/>
            <w:bottom w:w="0" w:type="dxa"/>
            <w:right w:w="108" w:type="dxa"/>
          </w:tblCellMar>
        </w:tblPrEx>
        <w:trPr>
          <w:trHeight w:val="291" w:hRule="atLeast"/>
        </w:trPr>
        <w:tc>
          <w:tcPr>
            <w:tcW w:w="1726"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溶解氧</w:t>
            </w:r>
          </w:p>
        </w:tc>
        <w:tc>
          <w:tcPr>
            <w:tcW w:w="1835"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≤15</w:t>
            </w:r>
          </w:p>
        </w:tc>
        <w:tc>
          <w:tcPr>
            <w:tcW w:w="1437"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μg/L</w:t>
            </w:r>
          </w:p>
        </w:tc>
      </w:tr>
      <w:tr>
        <w:tblPrEx>
          <w:tblCellMar>
            <w:top w:w="0" w:type="dxa"/>
            <w:left w:w="108" w:type="dxa"/>
            <w:bottom w:w="0" w:type="dxa"/>
            <w:right w:w="108" w:type="dxa"/>
          </w:tblCellMar>
        </w:tblPrEx>
        <w:trPr>
          <w:trHeight w:val="291" w:hRule="atLeast"/>
        </w:trPr>
        <w:tc>
          <w:tcPr>
            <w:tcW w:w="1726"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铁含量</w:t>
            </w:r>
          </w:p>
        </w:tc>
        <w:tc>
          <w:tcPr>
            <w:tcW w:w="1835"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≤50</w:t>
            </w:r>
          </w:p>
        </w:tc>
        <w:tc>
          <w:tcPr>
            <w:tcW w:w="1437"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μg/L</w:t>
            </w:r>
          </w:p>
        </w:tc>
      </w:tr>
      <w:tr>
        <w:tblPrEx>
          <w:tblCellMar>
            <w:top w:w="0" w:type="dxa"/>
            <w:left w:w="108" w:type="dxa"/>
            <w:bottom w:w="0" w:type="dxa"/>
            <w:right w:w="108" w:type="dxa"/>
          </w:tblCellMar>
        </w:tblPrEx>
        <w:trPr>
          <w:trHeight w:val="299" w:hRule="atLeast"/>
        </w:trPr>
        <w:tc>
          <w:tcPr>
            <w:tcW w:w="1726"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铜含量</w:t>
            </w:r>
          </w:p>
        </w:tc>
        <w:tc>
          <w:tcPr>
            <w:tcW w:w="1835"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≤10</w:t>
            </w:r>
          </w:p>
        </w:tc>
        <w:tc>
          <w:tcPr>
            <w:tcW w:w="1437"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μg/L</w:t>
            </w:r>
          </w:p>
        </w:tc>
      </w:tr>
    </w:tbl>
    <w:p>
      <w:pPr>
        <w:numPr>
          <w:ilvl w:val="0"/>
          <w:numId w:val="0"/>
        </w:num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2.2汽包水（锅炉本体中的锅炉水）的要求指标（32-AP.H-018）</w:t>
      </w:r>
    </w:p>
    <w:tbl>
      <w:tblPr>
        <w:tblStyle w:val="8"/>
        <w:tblW w:w="3789" w:type="pct"/>
        <w:tblInd w:w="0" w:type="dxa"/>
        <w:tblLayout w:type="autofit"/>
        <w:tblCellMar>
          <w:top w:w="0" w:type="dxa"/>
          <w:left w:w="108" w:type="dxa"/>
          <w:bottom w:w="0" w:type="dxa"/>
          <w:right w:w="108" w:type="dxa"/>
        </w:tblCellMar>
      </w:tblPr>
      <w:tblGrid>
        <w:gridCol w:w="2223"/>
        <w:gridCol w:w="2372"/>
        <w:gridCol w:w="1863"/>
      </w:tblGrid>
      <w:tr>
        <w:tblPrEx>
          <w:tblCellMar>
            <w:top w:w="0" w:type="dxa"/>
            <w:left w:w="108" w:type="dxa"/>
            <w:bottom w:w="0" w:type="dxa"/>
            <w:right w:w="108" w:type="dxa"/>
          </w:tblCellMar>
        </w:tblPrEx>
        <w:trPr>
          <w:trHeight w:val="351" w:hRule="atLeast"/>
        </w:trPr>
        <w:tc>
          <w:tcPr>
            <w:tcW w:w="1720" w:type="pct"/>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项目</w:t>
            </w:r>
          </w:p>
        </w:tc>
        <w:tc>
          <w:tcPr>
            <w:tcW w:w="1836" w:type="pct"/>
            <w:tcBorders>
              <w:top w:val="single" w:color="auto" w:sz="4" w:space="0"/>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指标</w:t>
            </w:r>
          </w:p>
        </w:tc>
        <w:tc>
          <w:tcPr>
            <w:tcW w:w="1442" w:type="pct"/>
            <w:tcBorders>
              <w:top w:val="single" w:color="auto" w:sz="4" w:space="0"/>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单位</w:t>
            </w:r>
          </w:p>
        </w:tc>
      </w:tr>
      <w:tr>
        <w:tblPrEx>
          <w:tblCellMar>
            <w:top w:w="0" w:type="dxa"/>
            <w:left w:w="108" w:type="dxa"/>
            <w:bottom w:w="0" w:type="dxa"/>
            <w:right w:w="108" w:type="dxa"/>
          </w:tblCellMar>
        </w:tblPrEx>
        <w:trPr>
          <w:trHeight w:val="351" w:hRule="atLeast"/>
        </w:trPr>
        <w:tc>
          <w:tcPr>
            <w:tcW w:w="1720"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磷酸根</w:t>
            </w:r>
          </w:p>
        </w:tc>
        <w:tc>
          <w:tcPr>
            <w:tcW w:w="1836"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5.0～15</w:t>
            </w:r>
          </w:p>
        </w:tc>
        <w:tc>
          <w:tcPr>
            <w:tcW w:w="1442"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mg/L</w:t>
            </w:r>
          </w:p>
        </w:tc>
      </w:tr>
      <w:tr>
        <w:tblPrEx>
          <w:tblCellMar>
            <w:top w:w="0" w:type="dxa"/>
            <w:left w:w="108" w:type="dxa"/>
            <w:bottom w:w="0" w:type="dxa"/>
            <w:right w:w="108" w:type="dxa"/>
          </w:tblCellMar>
        </w:tblPrEx>
        <w:trPr>
          <w:trHeight w:val="351" w:hRule="atLeast"/>
        </w:trPr>
        <w:tc>
          <w:tcPr>
            <w:tcW w:w="1720"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pH(25℃)</w:t>
            </w:r>
          </w:p>
        </w:tc>
        <w:tc>
          <w:tcPr>
            <w:tcW w:w="1836"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9.0～11.0</w:t>
            </w:r>
          </w:p>
        </w:tc>
        <w:tc>
          <w:tcPr>
            <w:tcW w:w="1442"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p>
        </w:tc>
      </w:tr>
      <w:tr>
        <w:tblPrEx>
          <w:tblCellMar>
            <w:top w:w="0" w:type="dxa"/>
            <w:left w:w="108" w:type="dxa"/>
            <w:bottom w:w="0" w:type="dxa"/>
            <w:right w:w="108" w:type="dxa"/>
          </w:tblCellMar>
        </w:tblPrEx>
        <w:trPr>
          <w:trHeight w:val="351" w:hRule="atLeast"/>
        </w:trPr>
        <w:tc>
          <w:tcPr>
            <w:tcW w:w="1720"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二氧化硅</w:t>
            </w:r>
          </w:p>
        </w:tc>
        <w:tc>
          <w:tcPr>
            <w:tcW w:w="1836"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≤2.0</w:t>
            </w:r>
          </w:p>
        </w:tc>
        <w:tc>
          <w:tcPr>
            <w:tcW w:w="1442"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mg/L</w:t>
            </w:r>
          </w:p>
        </w:tc>
      </w:tr>
      <w:tr>
        <w:tblPrEx>
          <w:tblCellMar>
            <w:top w:w="0" w:type="dxa"/>
            <w:left w:w="108" w:type="dxa"/>
            <w:bottom w:w="0" w:type="dxa"/>
            <w:right w:w="108" w:type="dxa"/>
          </w:tblCellMar>
        </w:tblPrEx>
        <w:trPr>
          <w:trHeight w:val="351" w:hRule="atLeast"/>
        </w:trPr>
        <w:tc>
          <w:tcPr>
            <w:tcW w:w="1720"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电导率(25℃)</w:t>
            </w:r>
          </w:p>
        </w:tc>
        <w:tc>
          <w:tcPr>
            <w:tcW w:w="1836"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≤150</w:t>
            </w:r>
          </w:p>
        </w:tc>
        <w:tc>
          <w:tcPr>
            <w:tcW w:w="1442"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μS/cm</w:t>
            </w:r>
          </w:p>
        </w:tc>
      </w:tr>
      <w:tr>
        <w:tblPrEx>
          <w:tblCellMar>
            <w:top w:w="0" w:type="dxa"/>
            <w:left w:w="108" w:type="dxa"/>
            <w:bottom w:w="0" w:type="dxa"/>
            <w:right w:w="108" w:type="dxa"/>
          </w:tblCellMar>
        </w:tblPrEx>
        <w:trPr>
          <w:trHeight w:val="360" w:hRule="atLeast"/>
        </w:trPr>
        <w:tc>
          <w:tcPr>
            <w:tcW w:w="1720"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氯</w:t>
            </w:r>
          </w:p>
        </w:tc>
        <w:tc>
          <w:tcPr>
            <w:tcW w:w="1836"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1442"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mg/L</w:t>
            </w:r>
          </w:p>
        </w:tc>
      </w:tr>
    </w:tbl>
    <w:p>
      <w:pPr>
        <w:numPr>
          <w:ilvl w:val="0"/>
          <w:numId w:val="0"/>
        </w:num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2.3主蒸汽（4.0MPa）的要求指标（32-AP.H-019）</w:t>
      </w:r>
    </w:p>
    <w:tbl>
      <w:tblPr>
        <w:tblStyle w:val="8"/>
        <w:tblW w:w="3789" w:type="pct"/>
        <w:tblInd w:w="0" w:type="dxa"/>
        <w:tblLayout w:type="autofit"/>
        <w:tblCellMar>
          <w:top w:w="0" w:type="dxa"/>
          <w:left w:w="108" w:type="dxa"/>
          <w:bottom w:w="0" w:type="dxa"/>
          <w:right w:w="108" w:type="dxa"/>
        </w:tblCellMar>
      </w:tblPr>
      <w:tblGrid>
        <w:gridCol w:w="2223"/>
        <w:gridCol w:w="2372"/>
        <w:gridCol w:w="1863"/>
      </w:tblGrid>
      <w:tr>
        <w:tblPrEx>
          <w:tblCellMar>
            <w:top w:w="0" w:type="dxa"/>
            <w:left w:w="108" w:type="dxa"/>
            <w:bottom w:w="0" w:type="dxa"/>
            <w:right w:w="108" w:type="dxa"/>
          </w:tblCellMar>
        </w:tblPrEx>
        <w:trPr>
          <w:trHeight w:val="323" w:hRule="atLeast"/>
        </w:trPr>
        <w:tc>
          <w:tcPr>
            <w:tcW w:w="1720" w:type="pct"/>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项目</w:t>
            </w:r>
          </w:p>
        </w:tc>
        <w:tc>
          <w:tcPr>
            <w:tcW w:w="1836" w:type="pct"/>
            <w:tcBorders>
              <w:top w:val="single" w:color="auto" w:sz="4" w:space="0"/>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指标</w:t>
            </w:r>
          </w:p>
        </w:tc>
        <w:tc>
          <w:tcPr>
            <w:tcW w:w="1442" w:type="pct"/>
            <w:tcBorders>
              <w:top w:val="single" w:color="auto" w:sz="4" w:space="0"/>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单位</w:t>
            </w:r>
          </w:p>
        </w:tc>
      </w:tr>
      <w:tr>
        <w:tblPrEx>
          <w:tblCellMar>
            <w:top w:w="0" w:type="dxa"/>
            <w:left w:w="108" w:type="dxa"/>
            <w:bottom w:w="0" w:type="dxa"/>
            <w:right w:w="108" w:type="dxa"/>
          </w:tblCellMar>
        </w:tblPrEx>
        <w:trPr>
          <w:trHeight w:val="323" w:hRule="atLeast"/>
        </w:trPr>
        <w:tc>
          <w:tcPr>
            <w:tcW w:w="1720"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钠</w:t>
            </w:r>
          </w:p>
        </w:tc>
        <w:tc>
          <w:tcPr>
            <w:tcW w:w="1836"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≤15</w:t>
            </w:r>
          </w:p>
        </w:tc>
        <w:tc>
          <w:tcPr>
            <w:tcW w:w="1442"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μg/kg</w:t>
            </w:r>
          </w:p>
        </w:tc>
      </w:tr>
      <w:tr>
        <w:tblPrEx>
          <w:tblCellMar>
            <w:top w:w="0" w:type="dxa"/>
            <w:left w:w="108" w:type="dxa"/>
            <w:bottom w:w="0" w:type="dxa"/>
            <w:right w:w="108" w:type="dxa"/>
          </w:tblCellMar>
        </w:tblPrEx>
        <w:trPr>
          <w:trHeight w:val="323" w:hRule="atLeast"/>
        </w:trPr>
        <w:tc>
          <w:tcPr>
            <w:tcW w:w="1720"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二氧化硅</w:t>
            </w:r>
          </w:p>
        </w:tc>
        <w:tc>
          <w:tcPr>
            <w:tcW w:w="1836"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≤20</w:t>
            </w:r>
          </w:p>
        </w:tc>
        <w:tc>
          <w:tcPr>
            <w:tcW w:w="1442"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μg/L</w:t>
            </w:r>
          </w:p>
        </w:tc>
      </w:tr>
      <w:tr>
        <w:tblPrEx>
          <w:tblCellMar>
            <w:top w:w="0" w:type="dxa"/>
            <w:left w:w="108" w:type="dxa"/>
            <w:bottom w:w="0" w:type="dxa"/>
            <w:right w:w="108" w:type="dxa"/>
          </w:tblCellMar>
        </w:tblPrEx>
        <w:trPr>
          <w:trHeight w:val="323" w:hRule="atLeast"/>
        </w:trPr>
        <w:tc>
          <w:tcPr>
            <w:tcW w:w="1720"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铁</w:t>
            </w:r>
          </w:p>
        </w:tc>
        <w:tc>
          <w:tcPr>
            <w:tcW w:w="1836"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≤20</w:t>
            </w:r>
          </w:p>
        </w:tc>
        <w:tc>
          <w:tcPr>
            <w:tcW w:w="1442"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μg/L</w:t>
            </w:r>
          </w:p>
        </w:tc>
      </w:tr>
      <w:tr>
        <w:tblPrEx>
          <w:tblCellMar>
            <w:top w:w="0" w:type="dxa"/>
            <w:left w:w="108" w:type="dxa"/>
            <w:bottom w:w="0" w:type="dxa"/>
            <w:right w:w="108" w:type="dxa"/>
          </w:tblCellMar>
        </w:tblPrEx>
        <w:trPr>
          <w:trHeight w:val="331" w:hRule="atLeast"/>
        </w:trPr>
        <w:tc>
          <w:tcPr>
            <w:tcW w:w="1720" w:type="pct"/>
            <w:tcBorders>
              <w:top w:val="nil"/>
              <w:left w:val="single" w:color="auto" w:sz="4" w:space="0"/>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铜</w:t>
            </w:r>
          </w:p>
        </w:tc>
        <w:tc>
          <w:tcPr>
            <w:tcW w:w="1836"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442" w:type="pct"/>
            <w:tcBorders>
              <w:top w:val="nil"/>
              <w:left w:val="nil"/>
              <w:bottom w:val="single" w:color="auto" w:sz="4" w:space="0"/>
              <w:right w:val="single" w:color="auto" w:sz="4" w:space="0"/>
            </w:tcBorders>
            <w:noWrap/>
            <w:vAlign w:val="center"/>
          </w:tcPr>
          <w:p>
            <w:pPr>
              <w:numPr>
                <w:ilvl w:val="0"/>
                <w:numId w:val="0"/>
              </w:numPr>
              <w:spacing w:line="36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μg/L</w:t>
            </w:r>
          </w:p>
        </w:tc>
      </w:tr>
    </w:tbl>
    <w:p>
      <w:pPr>
        <w:numPr>
          <w:ilvl w:val="0"/>
          <w:numId w:val="0"/>
        </w:numPr>
        <w:spacing w:line="312" w:lineRule="auto"/>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产品的</w:t>
      </w:r>
      <w:r>
        <w:rPr>
          <w:rFonts w:hint="eastAsia" w:ascii="宋体" w:hAnsi="宋体"/>
          <w:color w:val="auto"/>
          <w:sz w:val="24"/>
          <w:lang w:val="en-US" w:eastAsia="zh-CN"/>
        </w:rPr>
        <w:t>包装：采用塑料桶包装或内衬聚乙烯容器，</w:t>
      </w:r>
      <w:r>
        <w:rPr>
          <w:rFonts w:hint="eastAsia" w:ascii="宋体" w:hAnsi="宋体" w:cs="宋体"/>
          <w:sz w:val="24"/>
        </w:rPr>
        <w:t>使用后的空桶由</w:t>
      </w:r>
      <w:r>
        <w:rPr>
          <w:rFonts w:hint="eastAsia" w:ascii="宋体" w:hAnsi="宋体" w:cs="宋体"/>
          <w:sz w:val="24"/>
          <w:lang w:val="en-US" w:eastAsia="zh-CN"/>
        </w:rPr>
        <w:t>供</w:t>
      </w:r>
      <w:r>
        <w:rPr>
          <w:rFonts w:hint="eastAsia" w:ascii="宋体" w:hAnsi="宋体" w:cs="宋体"/>
          <w:sz w:val="24"/>
        </w:rPr>
        <w:t>方进行回收处理</w:t>
      </w:r>
      <w:r>
        <w:rPr>
          <w:rFonts w:hint="eastAsia" w:ascii="宋体" w:hAnsi="宋体"/>
          <w:color w:val="auto"/>
          <w:sz w:val="24"/>
          <w:lang w:val="en-US" w:eastAsia="zh-CN"/>
        </w:rPr>
        <w:t>。</w:t>
      </w:r>
    </w:p>
    <w:p>
      <w:pPr>
        <w:numPr>
          <w:ilvl w:val="0"/>
          <w:numId w:val="0"/>
        </w:numPr>
        <w:spacing w:line="312" w:lineRule="auto"/>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 xml:space="preserve">质量验收标准 </w:t>
      </w:r>
      <w:r>
        <w:rPr>
          <w:rFonts w:hint="eastAsia" w:ascii="宋体" w:hAnsi="宋体"/>
          <w:color w:val="auto"/>
          <w:sz w:val="24"/>
          <w:lang w:eastAsia="zh-CN"/>
        </w:rPr>
        <w:t>：</w:t>
      </w:r>
      <w:r>
        <w:rPr>
          <w:rFonts w:hint="eastAsia" w:ascii="宋体" w:hAnsi="宋体"/>
          <w:color w:val="auto"/>
          <w:sz w:val="24"/>
        </w:rPr>
        <w:t>详见附件</w:t>
      </w:r>
      <w:r>
        <w:rPr>
          <w:rFonts w:hint="eastAsia" w:ascii="宋体" w:hAnsi="宋体"/>
          <w:color w:val="auto"/>
          <w:sz w:val="24"/>
          <w:lang w:val="en-US" w:eastAsia="zh-CN"/>
        </w:rPr>
        <w:t>技术要求</w:t>
      </w:r>
      <w:r>
        <w:rPr>
          <w:rFonts w:hint="eastAsia" w:ascii="宋体" w:hAnsi="宋体"/>
          <w:color w:val="auto"/>
          <w:sz w:val="24"/>
        </w:rPr>
        <w:t>。</w:t>
      </w:r>
    </w:p>
    <w:p>
      <w:pPr>
        <w:numPr>
          <w:ilvl w:val="0"/>
          <w:numId w:val="0"/>
        </w:numPr>
        <w:spacing w:line="312" w:lineRule="auto"/>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我公司（供方）负责进厂交货途中的一切责任由我司（供方）承担。</w:t>
      </w:r>
    </w:p>
    <w:p>
      <w:pPr>
        <w:numPr>
          <w:ilvl w:val="0"/>
          <w:numId w:val="0"/>
        </w:numPr>
        <w:spacing w:line="312" w:lineRule="auto"/>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我司同意在投标前缴纳保证金</w:t>
      </w:r>
      <w:r>
        <w:rPr>
          <w:rFonts w:hint="eastAsia" w:ascii="宋体" w:hAnsi="宋体"/>
          <w:color w:val="auto"/>
          <w:sz w:val="24"/>
          <w:highlight w:val="none"/>
          <w:lang w:val="en-US" w:eastAsia="zh-CN"/>
        </w:rPr>
        <w:t>叁万伍仟元整，若我司中选，我司同意按照技术要求待合同期满后申请无息返还</w:t>
      </w:r>
      <w:r>
        <w:rPr>
          <w:rFonts w:hint="eastAsia" w:ascii="宋体" w:hAnsi="宋体"/>
          <w:color w:val="auto"/>
          <w:sz w:val="24"/>
          <w:highlight w:val="none"/>
        </w:rPr>
        <w:t>。</w:t>
      </w:r>
    </w:p>
    <w:p>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color w:val="auto"/>
          <w:sz w:val="24"/>
          <w:lang w:val="en-US" w:eastAsia="zh-CN"/>
        </w:rPr>
        <w:t>分批到货，首批货物于2023年12月底具备到货条件，</w:t>
      </w:r>
      <w:r>
        <w:rPr>
          <w:rFonts w:hint="eastAsia" w:ascii="宋体" w:hAnsi="宋体" w:cs="宋体"/>
          <w:color w:val="auto"/>
          <w:sz w:val="24"/>
        </w:rPr>
        <w:t>具体以需方通知为准。</w:t>
      </w:r>
    </w:p>
    <w:p>
      <w:pPr>
        <w:spacing w:line="360" w:lineRule="auto"/>
        <w:jc w:val="left"/>
        <w:rPr>
          <w:rFonts w:hint="eastAsia" w:ascii="宋体" w:hAnsi="宋体"/>
          <w:color w:val="auto"/>
          <w:sz w:val="24"/>
          <w:lang w:eastAsia="zh-CN"/>
        </w:rPr>
      </w:pPr>
      <w:r>
        <w:rPr>
          <w:rFonts w:hint="eastAsia" w:ascii="宋体" w:hAnsi="宋体"/>
          <w:color w:val="auto"/>
          <w:sz w:val="24"/>
        </w:rPr>
        <w:t>三、报价及结算方式</w:t>
      </w:r>
      <w:r>
        <w:rPr>
          <w:rFonts w:hint="eastAsia" w:ascii="宋体" w:hAnsi="宋体"/>
          <w:color w:val="auto"/>
          <w:sz w:val="24"/>
          <w:lang w:eastAsia="zh-CN"/>
        </w:rPr>
        <w:t>：</w:t>
      </w:r>
    </w:p>
    <w:p>
      <w:pPr>
        <w:numPr>
          <w:ilvl w:val="0"/>
          <w:numId w:val="0"/>
        </w:numPr>
        <w:spacing w:line="312" w:lineRule="auto"/>
        <w:rPr>
          <w:rFonts w:hint="eastAsia" w:ascii="宋体" w:hAnsi="宋体"/>
          <w:color w:val="auto"/>
          <w:sz w:val="24"/>
          <w:lang w:val="en-US" w:eastAsia="zh-CN"/>
        </w:rPr>
      </w:pPr>
      <w:r>
        <w:rPr>
          <w:rFonts w:hint="eastAsia" w:ascii="宋体" w:hAnsi="宋体"/>
          <w:color w:val="auto"/>
          <w:sz w:val="24"/>
          <w:lang w:val="en-US" w:eastAsia="zh-CN"/>
        </w:rPr>
        <w:t>1、含13%增值税送到厂价。</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val="en-US" w:eastAsia="zh-CN"/>
        </w:rPr>
        <w:t>2、付款方式：</w:t>
      </w:r>
      <w:r>
        <w:rPr>
          <w:rFonts w:hint="eastAsia" w:ascii="宋体" w:hAnsi="宋体"/>
          <w:color w:val="auto"/>
          <w:sz w:val="24"/>
        </w:rPr>
        <w:t>现汇支付</w:t>
      </w:r>
      <w:r>
        <w:rPr>
          <w:rFonts w:hint="eastAsia" w:ascii="宋体" w:hAnsi="宋体"/>
          <w:color w:val="auto"/>
          <w:sz w:val="24"/>
          <w:lang w:eastAsia="zh-CN"/>
        </w:rPr>
        <w:t>，</w:t>
      </w:r>
      <w:r>
        <w:rPr>
          <w:rFonts w:hint="eastAsia" w:ascii="宋体" w:hAnsi="宋体"/>
          <w:color w:val="auto"/>
          <w:sz w:val="24"/>
          <w:lang w:val="en-US" w:eastAsia="zh-CN"/>
        </w:rPr>
        <w:t>按季度考核付款</w:t>
      </w:r>
      <w:r>
        <w:rPr>
          <w:rFonts w:hint="eastAsia" w:ascii="宋体" w:hAnsi="宋体"/>
          <w:color w:val="auto"/>
          <w:sz w:val="24"/>
        </w:rPr>
        <w:t>。</w:t>
      </w:r>
      <w:r>
        <w:rPr>
          <w:rFonts w:hint="eastAsia" w:ascii="宋体" w:hAnsi="宋体"/>
          <w:color w:val="auto"/>
          <w:sz w:val="24"/>
          <w:lang w:val="en-US" w:eastAsia="zh-CN"/>
        </w:rPr>
        <w:t>分批到货、分批付款。</w:t>
      </w:r>
      <w:r>
        <w:rPr>
          <w:rFonts w:hint="eastAsia" w:ascii="宋体" w:hAnsi="宋体"/>
          <w:color w:val="auto"/>
          <w:sz w:val="24"/>
        </w:rPr>
        <w:t>每批产品到货</w:t>
      </w:r>
      <w:r>
        <w:rPr>
          <w:rFonts w:hint="eastAsia" w:ascii="宋体" w:hAnsi="宋体"/>
          <w:color w:val="auto"/>
          <w:sz w:val="24"/>
          <w:lang w:val="en-US" w:eastAsia="zh-CN"/>
        </w:rPr>
        <w:t>后</w:t>
      </w:r>
      <w:r>
        <w:rPr>
          <w:rFonts w:hint="eastAsia" w:ascii="宋体" w:hAnsi="宋体"/>
          <w:color w:val="auto"/>
          <w:sz w:val="24"/>
        </w:rPr>
        <w:t>，经需方或需方指定单位根据双方签订的合同及技术</w:t>
      </w:r>
      <w:r>
        <w:rPr>
          <w:rFonts w:hint="eastAsia" w:ascii="宋体" w:hAnsi="宋体"/>
          <w:color w:val="auto"/>
          <w:sz w:val="24"/>
          <w:lang w:val="en-US" w:eastAsia="zh-CN"/>
        </w:rPr>
        <w:t>要求约定</w:t>
      </w:r>
      <w:r>
        <w:rPr>
          <w:rFonts w:hint="eastAsia" w:ascii="宋体" w:hAnsi="宋体"/>
          <w:color w:val="auto"/>
          <w:sz w:val="24"/>
        </w:rPr>
        <w:t>的</w:t>
      </w:r>
      <w:r>
        <w:rPr>
          <w:rFonts w:hint="eastAsia" w:ascii="宋体" w:hAnsi="宋体"/>
          <w:color w:val="auto"/>
          <w:sz w:val="24"/>
          <w:lang w:val="en-US" w:eastAsia="zh-CN"/>
        </w:rPr>
        <w:t>季度考核周期、</w:t>
      </w:r>
      <w:r>
        <w:rPr>
          <w:rFonts w:hint="eastAsia" w:ascii="宋体" w:hAnsi="宋体"/>
          <w:color w:val="auto"/>
          <w:sz w:val="24"/>
        </w:rPr>
        <w:t>质量、数量</w:t>
      </w:r>
      <w:r>
        <w:rPr>
          <w:rFonts w:hint="eastAsia" w:ascii="宋体" w:hAnsi="宋体"/>
          <w:color w:val="auto"/>
          <w:sz w:val="24"/>
          <w:lang w:val="en-US" w:eastAsia="zh-CN"/>
        </w:rPr>
        <w:t>及产品使用考核结果</w:t>
      </w:r>
      <w:r>
        <w:rPr>
          <w:rFonts w:hint="eastAsia" w:ascii="宋体" w:hAnsi="宋体"/>
          <w:color w:val="auto"/>
          <w:sz w:val="24"/>
        </w:rPr>
        <w:t>，供方提供相应金额的13%增值税专用发票以及结算所需的各类清单，需方收到并确认无误后</w:t>
      </w:r>
      <w:r>
        <w:rPr>
          <w:rFonts w:hint="eastAsia" w:ascii="宋体" w:hAnsi="宋体"/>
          <w:color w:val="auto"/>
          <w:sz w:val="24"/>
          <w:lang w:val="en-US" w:eastAsia="zh-CN"/>
        </w:rPr>
        <w:t>支付</w:t>
      </w:r>
      <w:r>
        <w:rPr>
          <w:rFonts w:hint="eastAsia" w:ascii="宋体" w:hAnsi="宋体"/>
          <w:color w:val="auto"/>
          <w:sz w:val="24"/>
        </w:rPr>
        <w:t>货款</w:t>
      </w:r>
      <w:r>
        <w:rPr>
          <w:rFonts w:hint="eastAsia" w:ascii="宋体" w:hAnsi="宋体"/>
          <w:color w:val="auto"/>
          <w:sz w:val="24"/>
          <w:lang w:eastAsia="zh-CN"/>
        </w:rPr>
        <w:t>。</w:t>
      </w:r>
    </w:p>
    <w:p>
      <w:pPr>
        <w:spacing w:line="360" w:lineRule="auto"/>
        <w:rPr>
          <w:rFonts w:hint="default" w:ascii="宋体" w:hAnsi="宋体"/>
          <w:color w:val="auto"/>
          <w:sz w:val="24"/>
          <w:lang w:val="en-US" w:eastAsia="zh-CN"/>
        </w:rPr>
      </w:pPr>
      <w:r>
        <w:rPr>
          <w:rFonts w:hint="eastAsia" w:ascii="宋体" w:hAnsi="宋体"/>
          <w:color w:val="auto"/>
          <w:sz w:val="24"/>
          <w:lang w:val="en-US" w:eastAsia="zh-CN"/>
        </w:rPr>
        <w:t>3、结算说明：药剂现场试用合格后，每三个月进行一次结算，结算周期费用=药剂单价*药剂结算量（</w:t>
      </w:r>
      <w:r>
        <w:rPr>
          <w:rFonts w:hint="eastAsia" w:ascii="宋体" w:hAnsi="宋体"/>
          <w:sz w:val="24"/>
        </w:rPr>
        <w:t>合约期内实际用药数量超过</w:t>
      </w:r>
      <w:r>
        <w:rPr>
          <w:rFonts w:hint="eastAsia" w:ascii="宋体" w:hAnsi="宋体"/>
          <w:sz w:val="24"/>
          <w:lang w:val="en-US" w:eastAsia="zh-CN"/>
        </w:rPr>
        <w:t>合同约定封顶</w:t>
      </w:r>
      <w:r>
        <w:rPr>
          <w:rFonts w:hint="eastAsia" w:ascii="宋体" w:hAnsi="宋体"/>
          <w:sz w:val="24"/>
        </w:rPr>
        <w:t>数量，</w:t>
      </w:r>
      <w:r>
        <w:rPr>
          <w:rFonts w:hint="eastAsia" w:ascii="宋体" w:hAnsi="宋体"/>
          <w:sz w:val="24"/>
          <w:lang w:val="en-US" w:eastAsia="zh-CN"/>
        </w:rPr>
        <w:t>供方</w:t>
      </w:r>
      <w:r>
        <w:rPr>
          <w:rFonts w:hint="eastAsia" w:ascii="宋体" w:hAnsi="宋体"/>
          <w:sz w:val="24"/>
        </w:rPr>
        <w:t>无条件补足；如果合约期内实际用药数量少于</w:t>
      </w:r>
      <w:r>
        <w:rPr>
          <w:rFonts w:hint="eastAsia" w:ascii="宋体" w:hAnsi="宋体"/>
          <w:sz w:val="24"/>
          <w:lang w:val="en-US" w:eastAsia="zh-CN"/>
        </w:rPr>
        <w:t>合同约定封顶</w:t>
      </w:r>
      <w:r>
        <w:rPr>
          <w:rFonts w:hint="eastAsia" w:ascii="宋体" w:hAnsi="宋体"/>
          <w:sz w:val="24"/>
        </w:rPr>
        <w:t>数量，则按照实际用药数量进行结算</w:t>
      </w:r>
      <w:r>
        <w:rPr>
          <w:rFonts w:hint="eastAsia" w:ascii="宋体" w:hAnsi="宋体"/>
          <w:color w:val="auto"/>
          <w:sz w:val="24"/>
          <w:lang w:val="en-US" w:eastAsia="zh-CN"/>
        </w:rPr>
        <w:t>）。</w:t>
      </w:r>
    </w:p>
    <w:p>
      <w:pPr>
        <w:rPr>
          <w:rFonts w:hint="eastAsia" w:ascii="宋体" w:hAnsi="宋体" w:eastAsia="宋体"/>
          <w:color w:val="auto"/>
          <w:sz w:val="24"/>
          <w:lang w:val="en-US" w:eastAsia="zh-CN"/>
        </w:rPr>
      </w:pPr>
      <w:r>
        <w:rPr>
          <w:rFonts w:hint="eastAsia" w:ascii="宋体" w:hAnsi="宋体"/>
          <w:color w:val="auto"/>
          <w:sz w:val="24"/>
          <w:lang w:val="en-US" w:eastAsia="zh-CN"/>
        </w:rPr>
        <w:t>四、</w:t>
      </w:r>
      <w:r>
        <w:rPr>
          <w:rFonts w:hint="eastAsia" w:ascii="宋体" w:hAnsi="宋体"/>
          <w:sz w:val="24"/>
        </w:rPr>
        <w:t>相关技术要求，以福建福海创石油化工有限公司要求为准！</w:t>
      </w:r>
    </w:p>
    <w:p>
      <w:pPr>
        <w:numPr>
          <w:ilvl w:val="0"/>
          <w:numId w:val="8"/>
        </w:numPr>
        <w:spacing w:line="312" w:lineRule="auto"/>
        <w:rPr>
          <w:rFonts w:ascii="宋体" w:hAnsi="宋体"/>
          <w:color w:val="auto"/>
          <w:sz w:val="24"/>
        </w:rPr>
      </w:pPr>
      <w:r>
        <w:rPr>
          <w:rFonts w:hint="eastAsia" w:ascii="宋体" w:hAnsi="宋体"/>
          <w:color w:val="auto"/>
          <w:sz w:val="24"/>
        </w:rPr>
        <w:t>执行时间：</w:t>
      </w:r>
      <w:r>
        <w:rPr>
          <w:rFonts w:hint="eastAsia" w:ascii="宋体" w:hAnsi="宋体"/>
          <w:color w:val="auto"/>
          <w:sz w:val="24"/>
          <w:lang w:val="en-US" w:eastAsia="zh-CN"/>
        </w:rPr>
        <w:t>产品</w:t>
      </w:r>
      <w:r>
        <w:rPr>
          <w:rFonts w:hint="eastAsia" w:ascii="宋体" w:hAnsi="宋体"/>
          <w:color w:val="auto"/>
          <w:sz w:val="24"/>
        </w:rPr>
        <w:t>供货期为202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1</w:t>
      </w:r>
      <w:r>
        <w:rPr>
          <w:rFonts w:hint="eastAsia" w:ascii="宋体" w:hAnsi="宋体"/>
          <w:color w:val="auto"/>
          <w:sz w:val="24"/>
        </w:rPr>
        <w:t>月</w:t>
      </w:r>
      <w:r>
        <w:rPr>
          <w:rFonts w:hint="eastAsia" w:ascii="宋体" w:hAnsi="宋体"/>
          <w:color w:val="auto"/>
          <w:sz w:val="24"/>
          <w:lang w:val="en-US" w:eastAsia="zh-CN"/>
        </w:rPr>
        <w:t>1</w:t>
      </w:r>
      <w:r>
        <w:rPr>
          <w:rFonts w:hint="eastAsia" w:ascii="宋体" w:hAnsi="宋体"/>
          <w:color w:val="auto"/>
          <w:sz w:val="24"/>
        </w:rPr>
        <w:t>日~202</w:t>
      </w:r>
      <w:r>
        <w:rPr>
          <w:rFonts w:hint="eastAsia" w:ascii="宋体" w:hAnsi="宋体"/>
          <w:color w:val="auto"/>
          <w:sz w:val="24"/>
          <w:lang w:val="en-US" w:eastAsia="zh-CN"/>
        </w:rPr>
        <w:t>5</w:t>
      </w:r>
      <w:r>
        <w:rPr>
          <w:rFonts w:hint="eastAsia" w:ascii="宋体" w:hAnsi="宋体"/>
          <w:color w:val="auto"/>
          <w:sz w:val="24"/>
        </w:rPr>
        <w:t>年12月31日</w:t>
      </w:r>
      <w:r>
        <w:rPr>
          <w:rFonts w:hint="eastAsia" w:ascii="宋体" w:hAnsi="宋体"/>
          <w:color w:val="auto"/>
          <w:sz w:val="24"/>
          <w:lang w:eastAsia="zh-CN"/>
        </w:rPr>
        <w:t>。</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pPr>
      <w:r>
        <w:rPr>
          <w:rFonts w:hint="eastAsia" w:ascii="宋体" w:hAnsi="宋体"/>
          <w:color w:val="auto"/>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w:t>
      </w:r>
      <w:r>
        <w:rPr>
          <w:rFonts w:hint="eastAsia" w:ascii="宋体" w:hAnsi="宋体"/>
          <w:sz w:val="28"/>
          <w:szCs w:val="28"/>
          <w:lang w:eastAsia="zh-CN"/>
        </w:rPr>
        <w:tab/>
      </w:r>
      <w:r>
        <w:rPr>
          <w:rFonts w:hint="eastAsia" w:ascii="宋体" w:hAnsi="宋体"/>
          <w:sz w:val="28"/>
          <w:szCs w:val="28"/>
          <w:lang w:eastAsia="zh-CN"/>
        </w:rPr>
        <w:t>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2023-FHC-重整锅炉水三剂-1114</w:t>
      </w:r>
      <w:r>
        <w:rPr>
          <w:rFonts w:hint="eastAsia" w:ascii="宋体" w:hAnsi="宋体"/>
          <w:sz w:val="28"/>
          <w:szCs w:val="28"/>
        </w:rPr>
        <w:t>），</w:t>
      </w:r>
      <w:bookmarkStart w:id="1" w:name="_Hlk59783074"/>
      <w:r>
        <w:rPr>
          <w:rFonts w:hint="eastAsia" w:ascii="宋体" w:hAnsi="宋体"/>
          <w:sz w:val="28"/>
          <w:szCs w:val="28"/>
        </w:rPr>
        <w:t>供货质量</w:t>
      </w:r>
      <w:bookmarkEnd w:id="1"/>
      <w:r>
        <w:rPr>
          <w:rFonts w:hint="eastAsia" w:ascii="宋体" w:hAnsi="宋体"/>
          <w:sz w:val="28"/>
          <w:szCs w:val="28"/>
          <w:u w:val="single"/>
        </w:rPr>
        <w:t>详见</w:t>
      </w:r>
      <w:r>
        <w:rPr>
          <w:rFonts w:hint="eastAsia" w:ascii="宋体" w:hAnsi="宋体"/>
          <w:sz w:val="28"/>
          <w:szCs w:val="28"/>
          <w:u w:val="single"/>
          <w:lang w:val="en-US" w:eastAsia="zh-CN"/>
        </w:rPr>
        <w:t>技术要求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b/>
          <w:szCs w:val="21"/>
          <w:lang w:val="en-US" w:eastAsia="zh-CN"/>
        </w:rPr>
      </w:pPr>
      <w:r>
        <w:rPr>
          <w:rFonts w:hint="eastAsia" w:ascii="宋体" w:hAnsi="宋体"/>
          <w:b/>
          <w:szCs w:val="21"/>
          <w:lang w:val="en-US" w:eastAsia="zh-CN"/>
        </w:rPr>
        <w:t xml:space="preserve">                                </w:t>
      </w:r>
    </w:p>
    <w:p>
      <w:pPr>
        <w:spacing w:line="280" w:lineRule="exact"/>
        <w:ind w:firstLine="3373" w:firstLineChars="1600"/>
        <w:rPr>
          <w:rFonts w:hint="eastAsia" w:ascii="宋体" w:hAnsi="宋体" w:eastAsia="宋体"/>
          <w:b/>
          <w:szCs w:val="21"/>
          <w:lang w:val="en-US" w:eastAsia="zh-CN"/>
        </w:rPr>
      </w:pPr>
      <w:r>
        <w:rPr>
          <w:rFonts w:hint="eastAsia" w:ascii="宋体" w:hAnsi="宋体"/>
          <w:b/>
          <w:szCs w:val="21"/>
          <w:lang w:val="en-US" w:eastAsia="zh-CN"/>
        </w:rPr>
        <w:t>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b/>
          <w:color w:val="000000"/>
          <w:szCs w:val="21"/>
          <w:lang w:val="en-US" w:eastAsia="zh-CN"/>
        </w:rPr>
      </w:pPr>
      <w:r>
        <w:rPr>
          <w:rFonts w:hint="eastAsia" w:ascii="宋体" w:hAnsi="宋体"/>
          <w:b/>
          <w:szCs w:val="21"/>
        </w:rPr>
        <w:t>需方：</w:t>
      </w:r>
      <w:r>
        <w:rPr>
          <w:rFonts w:hint="eastAsia"/>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8"/>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740"/>
        <w:gridCol w:w="1112"/>
        <w:gridCol w:w="811"/>
        <w:gridCol w:w="750"/>
        <w:gridCol w:w="723"/>
        <w:gridCol w:w="832"/>
        <w:gridCol w:w="1093"/>
        <w:gridCol w:w="925"/>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74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11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11"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75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72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832" w:type="dxa"/>
            <w:vAlign w:val="center"/>
          </w:tcPr>
          <w:p>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未税金额</w:t>
            </w:r>
          </w:p>
        </w:tc>
        <w:tc>
          <w:tcPr>
            <w:tcW w:w="1093" w:type="dxa"/>
            <w:vAlign w:val="center"/>
          </w:tcPr>
          <w:p>
            <w:pPr>
              <w:spacing w:line="280" w:lineRule="exact"/>
              <w:jc w:val="center"/>
              <w:rPr>
                <w:rFonts w:hint="eastAsia" w:ascii="宋体" w:hAnsi="宋体"/>
                <w:color w:val="000000"/>
                <w:szCs w:val="21"/>
                <w:lang w:val="en-US" w:eastAsia="zh-CN"/>
              </w:rPr>
            </w:pPr>
            <w:r>
              <w:rPr>
                <w:rFonts w:hint="eastAsia" w:ascii="宋体" w:hAnsi="宋体"/>
                <w:color w:val="000000"/>
                <w:szCs w:val="21"/>
                <w:lang w:val="en-US" w:eastAsia="zh-CN"/>
              </w:rPr>
              <w:t>税额</w:t>
            </w:r>
          </w:p>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（元）</w:t>
            </w:r>
          </w:p>
        </w:tc>
        <w:tc>
          <w:tcPr>
            <w:tcW w:w="92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302" w:type="dxa"/>
            <w:vAlign w:val="center"/>
          </w:tcPr>
          <w:p>
            <w:pPr>
              <w:spacing w:line="28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22" w:type="dxa"/>
            <w:vAlign w:val="center"/>
          </w:tcPr>
          <w:p>
            <w:pPr>
              <w:spacing w:line="280" w:lineRule="exact"/>
              <w:jc w:val="both"/>
              <w:rPr>
                <w:rFonts w:hint="default" w:ascii="宋体" w:hAnsi="宋体" w:eastAsia="宋体"/>
                <w:color w:val="000000"/>
                <w:sz w:val="21"/>
                <w:szCs w:val="21"/>
                <w:lang w:val="en-US" w:eastAsia="zh-CN"/>
              </w:rPr>
            </w:pPr>
          </w:p>
        </w:tc>
        <w:tc>
          <w:tcPr>
            <w:tcW w:w="740" w:type="dxa"/>
            <w:vAlign w:val="center"/>
          </w:tcPr>
          <w:p>
            <w:pPr>
              <w:spacing w:line="280" w:lineRule="exact"/>
              <w:jc w:val="both"/>
              <w:rPr>
                <w:rFonts w:hint="eastAsia" w:ascii="宋体" w:hAnsi="宋体" w:cs="Times New Roman"/>
                <w:color w:val="000000"/>
                <w:sz w:val="21"/>
                <w:szCs w:val="21"/>
                <w:lang w:val="en-US" w:eastAsia="zh-CN"/>
              </w:rPr>
            </w:pPr>
          </w:p>
        </w:tc>
        <w:tc>
          <w:tcPr>
            <w:tcW w:w="1112" w:type="dxa"/>
            <w:vAlign w:val="center"/>
          </w:tcPr>
          <w:p>
            <w:pPr>
              <w:spacing w:line="280" w:lineRule="exact"/>
              <w:jc w:val="center"/>
              <w:rPr>
                <w:rFonts w:hint="default" w:ascii="宋体" w:hAnsi="宋体" w:cs="Times New Roman"/>
                <w:color w:val="000000"/>
                <w:sz w:val="21"/>
                <w:szCs w:val="21"/>
                <w:lang w:val="en-US" w:eastAsia="zh-CN"/>
              </w:rPr>
            </w:pPr>
          </w:p>
        </w:tc>
        <w:tc>
          <w:tcPr>
            <w:tcW w:w="811" w:type="dxa"/>
            <w:vAlign w:val="center"/>
          </w:tcPr>
          <w:p>
            <w:pPr>
              <w:spacing w:line="280" w:lineRule="exact"/>
              <w:jc w:val="center"/>
              <w:rPr>
                <w:rFonts w:hint="default" w:ascii="宋体" w:hAnsi="宋体" w:cs="Times New Roman"/>
                <w:color w:val="000000"/>
                <w:sz w:val="21"/>
                <w:szCs w:val="21"/>
                <w:lang w:val="en-US" w:eastAsia="zh-CN"/>
              </w:rPr>
            </w:pPr>
          </w:p>
        </w:tc>
        <w:tc>
          <w:tcPr>
            <w:tcW w:w="750" w:type="dxa"/>
            <w:vAlign w:val="center"/>
          </w:tcPr>
          <w:p>
            <w:pPr>
              <w:spacing w:line="280" w:lineRule="exact"/>
              <w:jc w:val="center"/>
              <w:rPr>
                <w:rFonts w:hint="default" w:ascii="宋体" w:hAnsi="宋体" w:cs="Times New Roman"/>
                <w:color w:val="000000"/>
                <w:sz w:val="21"/>
                <w:szCs w:val="21"/>
                <w:lang w:val="en-US" w:eastAsia="zh-CN"/>
              </w:rPr>
            </w:pPr>
          </w:p>
        </w:tc>
        <w:tc>
          <w:tcPr>
            <w:tcW w:w="723" w:type="dxa"/>
            <w:vAlign w:val="center"/>
          </w:tcPr>
          <w:p>
            <w:pPr>
              <w:spacing w:line="280" w:lineRule="exact"/>
              <w:jc w:val="center"/>
              <w:rPr>
                <w:rFonts w:hint="default" w:ascii="宋体" w:hAnsi="宋体" w:cs="Times New Roman"/>
                <w:color w:val="000000"/>
                <w:sz w:val="21"/>
                <w:szCs w:val="21"/>
                <w:lang w:val="en-US" w:eastAsia="zh-CN"/>
              </w:rPr>
            </w:pPr>
          </w:p>
        </w:tc>
        <w:tc>
          <w:tcPr>
            <w:tcW w:w="832"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925" w:type="dxa"/>
            <w:vAlign w:val="center"/>
          </w:tcPr>
          <w:p>
            <w:pPr>
              <w:spacing w:line="280" w:lineRule="exact"/>
              <w:jc w:val="center"/>
              <w:rPr>
                <w:rFonts w:hint="eastAsia" w:ascii="宋体" w:hAnsi="宋体" w:cs="Times New Roman"/>
                <w:color w:val="000000"/>
                <w:sz w:val="21"/>
                <w:szCs w:val="21"/>
                <w:lang w:val="en-US" w:eastAsia="zh-CN"/>
              </w:rPr>
            </w:pPr>
          </w:p>
        </w:tc>
        <w:tc>
          <w:tcPr>
            <w:tcW w:w="1302" w:type="dxa"/>
            <w:vAlign w:val="center"/>
          </w:tcPr>
          <w:p>
            <w:pPr>
              <w:spacing w:line="280" w:lineRule="exact"/>
              <w:jc w:val="center"/>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22" w:type="dxa"/>
            <w:vAlign w:val="center"/>
          </w:tcPr>
          <w:p>
            <w:pPr>
              <w:spacing w:line="280" w:lineRule="exact"/>
              <w:jc w:val="both"/>
              <w:rPr>
                <w:rFonts w:hint="default" w:ascii="宋体" w:hAnsi="宋体" w:eastAsia="宋体"/>
                <w:color w:val="000000"/>
                <w:sz w:val="21"/>
                <w:szCs w:val="21"/>
                <w:lang w:val="en-US" w:eastAsia="zh-CN"/>
              </w:rPr>
            </w:pPr>
          </w:p>
        </w:tc>
        <w:tc>
          <w:tcPr>
            <w:tcW w:w="740" w:type="dxa"/>
            <w:vAlign w:val="center"/>
          </w:tcPr>
          <w:p>
            <w:pPr>
              <w:spacing w:line="280" w:lineRule="exact"/>
              <w:jc w:val="both"/>
              <w:rPr>
                <w:rFonts w:hint="eastAsia" w:ascii="宋体" w:hAnsi="宋体" w:cs="Times New Roman"/>
                <w:color w:val="000000"/>
                <w:sz w:val="21"/>
                <w:szCs w:val="21"/>
                <w:lang w:val="en-US" w:eastAsia="zh-CN"/>
              </w:rPr>
            </w:pPr>
          </w:p>
        </w:tc>
        <w:tc>
          <w:tcPr>
            <w:tcW w:w="1112" w:type="dxa"/>
            <w:vAlign w:val="center"/>
          </w:tcPr>
          <w:p>
            <w:pPr>
              <w:spacing w:line="280" w:lineRule="exact"/>
              <w:jc w:val="center"/>
              <w:rPr>
                <w:rFonts w:hint="default" w:ascii="宋体" w:hAnsi="宋体" w:cs="Times New Roman"/>
                <w:color w:val="000000"/>
                <w:sz w:val="21"/>
                <w:szCs w:val="21"/>
                <w:lang w:val="en-US" w:eastAsia="zh-CN"/>
              </w:rPr>
            </w:pPr>
          </w:p>
        </w:tc>
        <w:tc>
          <w:tcPr>
            <w:tcW w:w="811" w:type="dxa"/>
            <w:vAlign w:val="center"/>
          </w:tcPr>
          <w:p>
            <w:pPr>
              <w:spacing w:line="280" w:lineRule="exact"/>
              <w:jc w:val="center"/>
              <w:rPr>
                <w:rFonts w:hint="default" w:ascii="宋体" w:hAnsi="宋体" w:cs="Times New Roman"/>
                <w:color w:val="000000"/>
                <w:sz w:val="21"/>
                <w:szCs w:val="21"/>
                <w:lang w:val="en-US" w:eastAsia="zh-CN"/>
              </w:rPr>
            </w:pPr>
          </w:p>
        </w:tc>
        <w:tc>
          <w:tcPr>
            <w:tcW w:w="750" w:type="dxa"/>
            <w:vAlign w:val="center"/>
          </w:tcPr>
          <w:p>
            <w:pPr>
              <w:spacing w:line="280" w:lineRule="exact"/>
              <w:jc w:val="center"/>
              <w:rPr>
                <w:rFonts w:hint="default" w:ascii="宋体" w:hAnsi="宋体" w:cs="Times New Roman"/>
                <w:color w:val="000000"/>
                <w:sz w:val="21"/>
                <w:szCs w:val="21"/>
                <w:lang w:val="en-US" w:eastAsia="zh-CN"/>
              </w:rPr>
            </w:pPr>
          </w:p>
        </w:tc>
        <w:tc>
          <w:tcPr>
            <w:tcW w:w="723" w:type="dxa"/>
            <w:vAlign w:val="center"/>
          </w:tcPr>
          <w:p>
            <w:pPr>
              <w:spacing w:line="280" w:lineRule="exact"/>
              <w:jc w:val="center"/>
              <w:rPr>
                <w:rFonts w:hint="default" w:ascii="宋体" w:hAnsi="宋体" w:cs="Times New Roman"/>
                <w:color w:val="000000"/>
                <w:sz w:val="21"/>
                <w:szCs w:val="21"/>
                <w:lang w:val="en-US" w:eastAsia="zh-CN"/>
              </w:rPr>
            </w:pPr>
          </w:p>
        </w:tc>
        <w:tc>
          <w:tcPr>
            <w:tcW w:w="832"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925" w:type="dxa"/>
            <w:vAlign w:val="center"/>
          </w:tcPr>
          <w:p>
            <w:pPr>
              <w:spacing w:line="280" w:lineRule="exact"/>
              <w:jc w:val="center"/>
              <w:rPr>
                <w:rFonts w:hint="eastAsia" w:ascii="宋体" w:hAnsi="宋体" w:cs="Times New Roman"/>
                <w:color w:val="000000"/>
                <w:sz w:val="21"/>
                <w:szCs w:val="21"/>
                <w:lang w:val="en-US" w:eastAsia="zh-CN"/>
              </w:rPr>
            </w:pPr>
          </w:p>
        </w:tc>
        <w:tc>
          <w:tcPr>
            <w:tcW w:w="1302" w:type="dxa"/>
            <w:vAlign w:val="center"/>
          </w:tcPr>
          <w:p>
            <w:pPr>
              <w:spacing w:line="280" w:lineRule="exact"/>
              <w:jc w:val="center"/>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22" w:type="dxa"/>
            <w:vAlign w:val="center"/>
          </w:tcPr>
          <w:p>
            <w:pPr>
              <w:spacing w:line="280" w:lineRule="exact"/>
              <w:jc w:val="both"/>
              <w:rPr>
                <w:rFonts w:hint="default" w:ascii="宋体" w:hAnsi="宋体" w:eastAsia="宋体"/>
                <w:color w:val="000000"/>
                <w:sz w:val="21"/>
                <w:szCs w:val="21"/>
                <w:lang w:val="en-US" w:eastAsia="zh-CN"/>
              </w:rPr>
            </w:pPr>
          </w:p>
        </w:tc>
        <w:tc>
          <w:tcPr>
            <w:tcW w:w="740" w:type="dxa"/>
            <w:vAlign w:val="center"/>
          </w:tcPr>
          <w:p>
            <w:pPr>
              <w:spacing w:line="280" w:lineRule="exact"/>
              <w:jc w:val="both"/>
              <w:rPr>
                <w:rFonts w:hint="eastAsia" w:ascii="宋体" w:hAnsi="宋体" w:cs="Times New Roman"/>
                <w:color w:val="000000"/>
                <w:sz w:val="21"/>
                <w:szCs w:val="21"/>
                <w:lang w:val="en-US" w:eastAsia="zh-CN"/>
              </w:rPr>
            </w:pPr>
          </w:p>
        </w:tc>
        <w:tc>
          <w:tcPr>
            <w:tcW w:w="1112" w:type="dxa"/>
            <w:vAlign w:val="center"/>
          </w:tcPr>
          <w:p>
            <w:pPr>
              <w:spacing w:line="280" w:lineRule="exact"/>
              <w:jc w:val="center"/>
              <w:rPr>
                <w:rFonts w:hint="default" w:ascii="宋体" w:hAnsi="宋体" w:cs="Times New Roman"/>
                <w:color w:val="000000"/>
                <w:sz w:val="21"/>
                <w:szCs w:val="21"/>
                <w:lang w:val="en-US" w:eastAsia="zh-CN"/>
              </w:rPr>
            </w:pPr>
          </w:p>
        </w:tc>
        <w:tc>
          <w:tcPr>
            <w:tcW w:w="811" w:type="dxa"/>
            <w:vAlign w:val="center"/>
          </w:tcPr>
          <w:p>
            <w:pPr>
              <w:spacing w:line="280" w:lineRule="exact"/>
              <w:jc w:val="center"/>
              <w:rPr>
                <w:rFonts w:hint="default" w:ascii="宋体" w:hAnsi="宋体" w:cs="Times New Roman"/>
                <w:color w:val="000000"/>
                <w:sz w:val="21"/>
                <w:szCs w:val="21"/>
                <w:lang w:val="en-US" w:eastAsia="zh-CN"/>
              </w:rPr>
            </w:pPr>
          </w:p>
        </w:tc>
        <w:tc>
          <w:tcPr>
            <w:tcW w:w="750" w:type="dxa"/>
            <w:vAlign w:val="center"/>
          </w:tcPr>
          <w:p>
            <w:pPr>
              <w:spacing w:line="280" w:lineRule="exact"/>
              <w:jc w:val="center"/>
              <w:rPr>
                <w:rFonts w:hint="default" w:ascii="宋体" w:hAnsi="宋体" w:cs="Times New Roman"/>
                <w:color w:val="000000"/>
                <w:sz w:val="21"/>
                <w:szCs w:val="21"/>
                <w:lang w:val="en-US" w:eastAsia="zh-CN"/>
              </w:rPr>
            </w:pPr>
          </w:p>
        </w:tc>
        <w:tc>
          <w:tcPr>
            <w:tcW w:w="723" w:type="dxa"/>
            <w:vAlign w:val="center"/>
          </w:tcPr>
          <w:p>
            <w:pPr>
              <w:spacing w:line="280" w:lineRule="exact"/>
              <w:jc w:val="center"/>
              <w:rPr>
                <w:rFonts w:hint="default" w:ascii="宋体" w:hAnsi="宋体" w:cs="Times New Roman"/>
                <w:color w:val="000000"/>
                <w:sz w:val="21"/>
                <w:szCs w:val="21"/>
                <w:lang w:val="en-US" w:eastAsia="zh-CN"/>
              </w:rPr>
            </w:pPr>
          </w:p>
        </w:tc>
        <w:tc>
          <w:tcPr>
            <w:tcW w:w="832"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925" w:type="dxa"/>
            <w:vAlign w:val="center"/>
          </w:tcPr>
          <w:p>
            <w:pPr>
              <w:spacing w:line="280" w:lineRule="exact"/>
              <w:jc w:val="center"/>
              <w:rPr>
                <w:rFonts w:hint="eastAsia" w:ascii="宋体" w:hAnsi="宋体" w:cs="Times New Roman"/>
                <w:color w:val="000000"/>
                <w:sz w:val="21"/>
                <w:szCs w:val="21"/>
                <w:lang w:val="en-US" w:eastAsia="zh-CN"/>
              </w:rPr>
            </w:pPr>
          </w:p>
        </w:tc>
        <w:tc>
          <w:tcPr>
            <w:tcW w:w="1302" w:type="dxa"/>
            <w:vAlign w:val="center"/>
          </w:tcPr>
          <w:p>
            <w:pPr>
              <w:spacing w:line="280" w:lineRule="exact"/>
              <w:jc w:val="center"/>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7"/>
            <w:vAlign w:val="center"/>
          </w:tcPr>
          <w:p>
            <w:pPr>
              <w:spacing w:line="280" w:lineRule="exact"/>
              <w:rPr>
                <w:rFonts w:hint="eastAsia" w:ascii="宋体" w:hAnsi="宋体"/>
                <w:color w:val="000000"/>
                <w:szCs w:val="21"/>
              </w:rPr>
            </w:pPr>
          </w:p>
        </w:tc>
      </w:tr>
    </w:tbl>
    <w:p>
      <w:pPr>
        <w:spacing w:line="280" w:lineRule="exact"/>
        <w:ind w:firstLine="420" w:firstLineChars="200"/>
        <w:rPr>
          <w:rFonts w:hint="eastAsia" w:ascii="宋体" w:hAnsi="宋体"/>
          <w:b/>
          <w:color w:val="000000"/>
          <w:szCs w:val="21"/>
        </w:rPr>
      </w:pPr>
      <w:r>
        <w:rPr>
          <w:rFonts w:hint="eastAsia" w:ascii="宋体" w:hAnsi="宋体"/>
          <w:b w:val="0"/>
          <w:bCs/>
          <w:color w:val="000000"/>
          <w:szCs w:val="21"/>
        </w:rPr>
        <w:t>上述数量及总金额均为暂定，</w:t>
      </w:r>
      <w:r>
        <w:rPr>
          <w:rFonts w:hint="eastAsia" w:ascii="宋体" w:hAnsi="宋体"/>
          <w:b w:val="0"/>
          <w:bCs/>
          <w:color w:val="000000"/>
          <w:szCs w:val="21"/>
          <w:lang w:val="en-US" w:eastAsia="zh-CN"/>
        </w:rPr>
        <w:t>根据附件技术要求上述数量</w:t>
      </w:r>
      <w:r>
        <w:rPr>
          <w:rFonts w:hint="eastAsia" w:ascii="宋体" w:hAnsi="宋体"/>
          <w:b w:val="0"/>
          <w:bCs/>
          <w:color w:val="000000"/>
          <w:szCs w:val="21"/>
        </w:rPr>
        <w:t>为</w:t>
      </w:r>
      <w:r>
        <w:rPr>
          <w:rFonts w:hint="eastAsia" w:ascii="宋体" w:hAnsi="宋体"/>
          <w:b w:val="0"/>
          <w:bCs/>
          <w:color w:val="000000"/>
          <w:szCs w:val="21"/>
          <w:lang w:val="en-US" w:eastAsia="zh-CN"/>
        </w:rPr>
        <w:t>2024年1月1日</w:t>
      </w:r>
      <w:r>
        <w:rPr>
          <w:rFonts w:hint="eastAsia" w:ascii="宋体" w:hAnsi="宋体"/>
          <w:b w:val="0"/>
          <w:bCs/>
          <w:color w:val="000000"/>
          <w:szCs w:val="21"/>
        </w:rPr>
        <w:t>至20</w:t>
      </w:r>
      <w:r>
        <w:rPr>
          <w:rFonts w:hint="eastAsia" w:ascii="宋体" w:hAnsi="宋体"/>
          <w:b w:val="0"/>
          <w:bCs/>
          <w:color w:val="000000"/>
          <w:szCs w:val="21"/>
          <w:lang w:val="en-US" w:eastAsia="zh-CN"/>
        </w:rPr>
        <w:t>25</w:t>
      </w:r>
      <w:r>
        <w:rPr>
          <w:rFonts w:hint="eastAsia" w:ascii="宋体" w:hAnsi="宋体"/>
          <w:b w:val="0"/>
          <w:bCs/>
          <w:color w:val="000000"/>
          <w:szCs w:val="21"/>
        </w:rPr>
        <w:t>年</w:t>
      </w:r>
      <w:r>
        <w:rPr>
          <w:rFonts w:hint="eastAsia" w:ascii="宋体" w:hAnsi="宋体"/>
          <w:b w:val="0"/>
          <w:bCs/>
          <w:color w:val="000000"/>
          <w:szCs w:val="21"/>
          <w:lang w:val="en-US" w:eastAsia="zh-CN"/>
        </w:rPr>
        <w:t>12</w:t>
      </w:r>
      <w:r>
        <w:rPr>
          <w:rFonts w:hint="eastAsia" w:ascii="宋体" w:hAnsi="宋体"/>
          <w:b w:val="0"/>
          <w:bCs/>
          <w:color w:val="000000"/>
          <w:szCs w:val="21"/>
        </w:rPr>
        <w:t>月</w:t>
      </w:r>
      <w:r>
        <w:rPr>
          <w:rFonts w:hint="eastAsia" w:ascii="宋体" w:hAnsi="宋体"/>
          <w:b w:val="0"/>
          <w:bCs/>
          <w:color w:val="000000"/>
          <w:szCs w:val="21"/>
          <w:lang w:val="en-US" w:eastAsia="zh-CN"/>
        </w:rPr>
        <w:t>31日</w:t>
      </w:r>
      <w:r>
        <w:rPr>
          <w:rFonts w:hint="eastAsia" w:ascii="宋体" w:hAnsi="宋体"/>
          <w:b w:val="0"/>
          <w:bCs/>
          <w:color w:val="000000"/>
          <w:szCs w:val="21"/>
        </w:rPr>
        <w:t>封顶数量：如果合约期内实际用药数量超过</w:t>
      </w:r>
      <w:r>
        <w:rPr>
          <w:rFonts w:hint="eastAsia" w:ascii="宋体" w:hAnsi="宋体"/>
          <w:b w:val="0"/>
          <w:bCs/>
          <w:color w:val="000000"/>
          <w:szCs w:val="21"/>
          <w:lang w:val="en-US" w:eastAsia="zh-CN"/>
        </w:rPr>
        <w:t>上述数量</w:t>
      </w:r>
      <w:r>
        <w:rPr>
          <w:rFonts w:hint="eastAsia" w:ascii="宋体" w:hAnsi="宋体"/>
          <w:b w:val="0"/>
          <w:bCs/>
          <w:color w:val="000000"/>
          <w:szCs w:val="21"/>
        </w:rPr>
        <w:t>，供方无条件补足；如果合约期内实际用药数量少于</w:t>
      </w:r>
      <w:r>
        <w:rPr>
          <w:rFonts w:hint="eastAsia" w:ascii="宋体" w:hAnsi="宋体"/>
          <w:b w:val="0"/>
          <w:bCs/>
          <w:color w:val="000000"/>
          <w:szCs w:val="21"/>
          <w:lang w:val="en-US" w:eastAsia="zh-CN"/>
        </w:rPr>
        <w:t>上述数量</w:t>
      </w:r>
      <w:r>
        <w:rPr>
          <w:rFonts w:hint="eastAsia" w:ascii="宋体" w:hAnsi="宋体"/>
          <w:b w:val="0"/>
          <w:bCs/>
          <w:color w:val="000000"/>
          <w:szCs w:val="21"/>
        </w:rPr>
        <w:t>，则按照实际用药数量进行结算。</w:t>
      </w:r>
    </w:p>
    <w:p>
      <w:pPr>
        <w:spacing w:line="280" w:lineRule="exact"/>
        <w:rPr>
          <w:rFonts w:ascii="宋体" w:hAnsi="宋体"/>
          <w:b/>
          <w:color w:val="000000"/>
          <w:szCs w:val="21"/>
        </w:rPr>
      </w:pPr>
      <w:r>
        <w:rPr>
          <w:rFonts w:hint="eastAsia" w:ascii="宋体" w:hAnsi="宋体"/>
          <w:b/>
          <w:color w:val="000000"/>
          <w:szCs w:val="21"/>
        </w:rPr>
        <w:t>二、供货有效期：</w:t>
      </w:r>
    </w:p>
    <w:p>
      <w:pPr>
        <w:numPr>
          <w:ilvl w:val="0"/>
          <w:numId w:val="0"/>
        </w:numPr>
        <w:spacing w:line="280" w:lineRule="exact"/>
        <w:ind w:leftChars="0" w:firstLine="420" w:firstLineChars="200"/>
        <w:rPr>
          <w:rFonts w:hint="eastAsia" w:ascii="宋体" w:hAnsi="宋体"/>
          <w:b/>
          <w:szCs w:val="21"/>
        </w:rPr>
      </w:pPr>
      <w:r>
        <w:rPr>
          <w:rFonts w:hint="eastAsia" w:ascii="宋体" w:hAnsi="宋体"/>
          <w:color w:val="000000"/>
          <w:szCs w:val="21"/>
          <w:lang w:val="en-US" w:eastAsia="zh-CN"/>
        </w:rPr>
        <w:t xml:space="preserve">本合同供货有效期：从 </w:t>
      </w:r>
      <w:r>
        <w:rPr>
          <w:rFonts w:hint="eastAsia" w:ascii="宋体" w:hAnsi="宋体"/>
          <w:color w:val="000000"/>
          <w:szCs w:val="21"/>
          <w:u w:val="single"/>
          <w:lang w:val="en-US" w:eastAsia="zh-CN"/>
        </w:rPr>
        <w:t>2023</w:t>
      </w:r>
      <w:r>
        <w:rPr>
          <w:rFonts w:hint="eastAsia" w:ascii="宋体" w:hAnsi="宋体"/>
          <w:color w:val="000000"/>
          <w:szCs w:val="21"/>
          <w:lang w:val="en-US" w:eastAsia="zh-CN"/>
        </w:rPr>
        <w:t>年</w:t>
      </w:r>
      <w:r>
        <w:rPr>
          <w:rFonts w:hint="eastAsia" w:ascii="宋体" w:hAnsi="宋体"/>
          <w:color w:val="000000"/>
          <w:szCs w:val="21"/>
          <w:u w:val="single"/>
          <w:lang w:val="en-US" w:eastAsia="zh-CN"/>
        </w:rPr>
        <w:t xml:space="preserve"> 12 </w:t>
      </w:r>
      <w:r>
        <w:rPr>
          <w:rFonts w:hint="eastAsia" w:ascii="宋体" w:hAnsi="宋体"/>
          <w:color w:val="000000"/>
          <w:szCs w:val="21"/>
          <w:lang w:val="en-US" w:eastAsia="zh-CN"/>
        </w:rPr>
        <w:t>月</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日至 </w:t>
      </w:r>
      <w:r>
        <w:rPr>
          <w:rFonts w:hint="eastAsia" w:ascii="宋体" w:hAnsi="宋体"/>
          <w:color w:val="000000"/>
          <w:szCs w:val="21"/>
          <w:u w:val="single"/>
          <w:lang w:val="en-US" w:eastAsia="zh-CN"/>
        </w:rPr>
        <w:t xml:space="preserve">2025 </w:t>
      </w:r>
      <w:r>
        <w:rPr>
          <w:rFonts w:hint="eastAsia" w:ascii="宋体" w:hAnsi="宋体"/>
          <w:color w:val="000000"/>
          <w:szCs w:val="21"/>
          <w:lang w:val="en-US" w:eastAsia="zh-CN"/>
        </w:rPr>
        <w:t>年</w:t>
      </w:r>
      <w:r>
        <w:rPr>
          <w:rFonts w:hint="eastAsia" w:ascii="宋体" w:hAnsi="宋体"/>
          <w:color w:val="000000"/>
          <w:szCs w:val="21"/>
          <w:u w:val="single"/>
          <w:lang w:val="en-US" w:eastAsia="zh-CN"/>
        </w:rPr>
        <w:t xml:space="preserve"> 12 </w:t>
      </w:r>
      <w:r>
        <w:rPr>
          <w:rFonts w:hint="eastAsia" w:ascii="宋体" w:hAnsi="宋体"/>
          <w:color w:val="000000"/>
          <w:szCs w:val="21"/>
          <w:lang w:val="en-US" w:eastAsia="zh-CN"/>
        </w:rPr>
        <w:t>月</w:t>
      </w:r>
      <w:r>
        <w:rPr>
          <w:rFonts w:hint="eastAsia" w:ascii="宋体" w:hAnsi="宋体"/>
          <w:color w:val="000000"/>
          <w:szCs w:val="21"/>
          <w:u w:val="single"/>
          <w:lang w:val="en-US" w:eastAsia="zh-CN"/>
        </w:rPr>
        <w:t xml:space="preserve"> 31</w:t>
      </w:r>
      <w:r>
        <w:rPr>
          <w:rFonts w:hint="eastAsia" w:ascii="宋体" w:hAnsi="宋体"/>
          <w:color w:val="000000"/>
          <w:szCs w:val="21"/>
          <w:lang w:val="en-US" w:eastAsia="zh-CN"/>
        </w:rPr>
        <w:t>日。本合同供货有效期届满与否，不影响本合同其他条款和组成部分的效力。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三</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default" w:ascii="宋体" w:hAnsi="宋体" w:cs="Arial"/>
          <w:color w:val="000000"/>
          <w:sz w:val="21"/>
          <w:szCs w:val="21"/>
          <w:u w:val="single"/>
          <w:lang w:val="en-US"/>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u w:val="single"/>
          <w:lang w:val="en-US" w:eastAsia="zh-CN"/>
        </w:rPr>
        <w:t xml:space="preserve"> 见附件技术要求。 </w:t>
      </w:r>
    </w:p>
    <w:p>
      <w:pPr>
        <w:spacing w:line="280" w:lineRule="exact"/>
        <w:rPr>
          <w:rFonts w:hint="eastAsia" w:ascii="宋体" w:hAnsi="宋体"/>
          <w:szCs w:val="21"/>
        </w:rPr>
      </w:pPr>
      <w:r>
        <w:rPr>
          <w:rFonts w:hint="eastAsia" w:ascii="宋体" w:hAnsi="宋体"/>
          <w:b/>
          <w:szCs w:val="21"/>
          <w:lang w:val="en-US" w:eastAsia="zh-CN"/>
        </w:rPr>
        <w:t>四</w:t>
      </w:r>
      <w:r>
        <w:rPr>
          <w:rFonts w:hint="eastAsia" w:ascii="宋体" w:hAnsi="宋体"/>
          <w:b/>
          <w:szCs w:val="21"/>
        </w:rPr>
        <w:t>、包装方式：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1</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桶包装，供方负责对空桶的回收</w:t>
      </w:r>
      <w:r>
        <w:rPr>
          <w:rFonts w:hint="eastAsia" w:ascii="宋体" w:hAnsi="宋体"/>
          <w:szCs w:val="21"/>
          <w:u w:val="single"/>
        </w:rPr>
        <w:t xml:space="preserve">  </w:t>
      </w:r>
      <w:r>
        <w:rPr>
          <w:rFonts w:hint="eastAsia" w:ascii="宋体" w:hAnsi="宋体"/>
          <w:szCs w:val="21"/>
        </w:rPr>
        <w:t>3.散装：</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lang w:val="en-US" w:eastAsia="zh-CN"/>
        </w:rPr>
        <w:t>五</w:t>
      </w:r>
      <w:r>
        <w:rPr>
          <w:rFonts w:hint="eastAsia" w:ascii="宋体" w:hAnsi="宋体"/>
          <w:b/>
          <w:szCs w:val="21"/>
        </w:rPr>
        <w:t>、货款结算与支付方式：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现汇支付，按季度考核付款。分批到货、分批付款。每批产品到货后，经需方或需方指定单位</w:t>
      </w:r>
      <w:r>
        <w:rPr>
          <w:rFonts w:hint="eastAsia" w:ascii="宋体" w:hAnsi="宋体"/>
          <w:szCs w:val="21"/>
        </w:rPr>
        <w:t>：</w:t>
      </w:r>
      <w:r>
        <w:rPr>
          <w:rFonts w:hint="eastAsia" w:ascii="宋体" w:hAnsi="宋体"/>
          <w:szCs w:val="21"/>
          <w:u w:val="single"/>
          <w:lang w:eastAsia="zh-CN"/>
        </w:rPr>
        <w:t>腾龙芳烃</w:t>
      </w:r>
      <w:r>
        <w:rPr>
          <w:rFonts w:hint="eastAsia" w:ascii="宋体" w:hAnsi="宋体"/>
          <w:szCs w:val="21"/>
          <w:u w:val="single"/>
          <w:lang w:val="en-US" w:eastAsia="zh-CN"/>
        </w:rPr>
        <w:t>（漳州）</w:t>
      </w:r>
      <w:r>
        <w:rPr>
          <w:rFonts w:hint="eastAsia" w:ascii="宋体" w:hAnsi="宋体"/>
          <w:szCs w:val="21"/>
          <w:u w:val="single"/>
        </w:rPr>
        <w:t>有限公司</w:t>
      </w:r>
      <w:r>
        <w:rPr>
          <w:rFonts w:hint="eastAsia" w:ascii="宋体" w:hAnsi="宋体"/>
          <w:szCs w:val="21"/>
        </w:rPr>
        <w:t>（本合同中统称“需方”）</w:t>
      </w:r>
      <w:r>
        <w:rPr>
          <w:rFonts w:hint="eastAsia" w:ascii="宋体" w:hAnsi="宋体"/>
          <w:b w:val="0"/>
          <w:bCs/>
          <w:szCs w:val="21"/>
        </w:rPr>
        <w:t>根据</w:t>
      </w:r>
      <w:r>
        <w:rPr>
          <w:rFonts w:hint="eastAsia" w:ascii="宋体" w:hAnsi="宋体"/>
          <w:b w:val="0"/>
          <w:bCs/>
          <w:szCs w:val="21"/>
          <w:lang w:val="en-US" w:eastAsia="zh-CN"/>
        </w:rPr>
        <w:t>本</w:t>
      </w:r>
      <w:r>
        <w:rPr>
          <w:rFonts w:hint="eastAsia" w:ascii="宋体" w:hAnsi="宋体"/>
          <w:b w:val="0"/>
          <w:bCs/>
          <w:szCs w:val="21"/>
        </w:rPr>
        <w:t>签订的合同及技术要求约定的季度考核周期、质量、数量及产品使用考核结果，供方提供相应金额的13%增值税专用发票以及结算所需的各类清单，需方收到并确认无误后支付货款。</w:t>
      </w:r>
    </w:p>
    <w:p>
      <w:pPr>
        <w:spacing w:line="280" w:lineRule="exact"/>
        <w:rPr>
          <w:rFonts w:ascii="宋体" w:hAnsi="宋体"/>
          <w:szCs w:val="21"/>
        </w:rPr>
      </w:pPr>
      <w:r>
        <w:rPr>
          <w:rFonts w:hint="eastAsia" w:ascii="宋体" w:hAnsi="宋体"/>
          <w:b/>
          <w:szCs w:val="21"/>
          <w:lang w:val="en-US" w:eastAsia="zh-CN"/>
        </w:rPr>
        <w:t>六</w:t>
      </w:r>
      <w:r>
        <w:rPr>
          <w:rFonts w:hint="eastAsia" w:ascii="宋体" w:hAnsi="宋体"/>
          <w:b/>
          <w:szCs w:val="21"/>
        </w:rPr>
        <w:t>、交付期限：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分批到货，货物于2023年12月底具备到货条件，具体到货时间以需方通知为准。</w:t>
      </w:r>
    </w:p>
    <w:p>
      <w:pPr>
        <w:spacing w:line="280" w:lineRule="exact"/>
        <w:rPr>
          <w:rFonts w:ascii="宋体" w:hAnsi="宋体"/>
          <w:sz w:val="24"/>
        </w:rPr>
      </w:pPr>
      <w:r>
        <w:rPr>
          <w:rFonts w:hint="eastAsia" w:ascii="宋体" w:hAnsi="宋体"/>
          <w:b/>
          <w:szCs w:val="21"/>
          <w:lang w:val="en-US" w:eastAsia="zh-CN"/>
        </w:rPr>
        <w:t>七</w:t>
      </w:r>
      <w:r>
        <w:rPr>
          <w:rFonts w:hint="eastAsia" w:ascii="宋体" w:hAnsi="宋体"/>
          <w:b/>
          <w:szCs w:val="21"/>
        </w:rPr>
        <w:t>、交付方式：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lang w:val="en-US" w:eastAsia="zh-CN"/>
        </w:rPr>
        <w:t>八</w:t>
      </w:r>
      <w:r>
        <w:rPr>
          <w:rFonts w:hint="eastAsia" w:ascii="宋体" w:hAnsi="宋体"/>
          <w:b/>
          <w:szCs w:val="21"/>
        </w:rPr>
        <w:t>、</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8"/>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腾龙芳烃（漳州）有限公司</w:t>
            </w:r>
          </w:p>
        </w:tc>
      </w:tr>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 </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12" w:hRule="atLeast"/>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w:t>
      </w:r>
      <w:r>
        <w:rPr>
          <w:rFonts w:hint="eastAsia" w:ascii="宋体" w:hAnsi="宋体"/>
          <w:szCs w:val="21"/>
          <w:u w:val="single"/>
          <w:lang w:val="en-US" w:eastAsia="zh-CN"/>
        </w:rPr>
        <w:t>贰</w:t>
      </w:r>
      <w:r>
        <w:rPr>
          <w:rFonts w:hint="eastAsia" w:ascii="宋体" w:hAnsi="宋体"/>
          <w:szCs w:val="21"/>
          <w:u w:val="single"/>
        </w:rPr>
        <w:t xml:space="preserve">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5.1供方根据需方要求缴纳履约保证金，金额为人民币叁万伍仟元整。合同履约后供方按合同约定全面履约的情况下，需方于供方提交返还履约保证金申请后30天内无息返还。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5.2性能保证、验收结算及赔偿和技术服务范围详见附件技术要求。</w:t>
      </w:r>
    </w:p>
    <w:p>
      <w:pPr>
        <w:pStyle w:val="2"/>
        <w:rPr>
          <w:rFonts w:hint="eastAsia"/>
          <w:szCs w:val="21"/>
          <w:lang w:val="en-US" w:eastAsia="zh-CN"/>
        </w:rPr>
      </w:pPr>
    </w:p>
    <w:p>
      <w:pPr>
        <w:pStyle w:val="2"/>
        <w:rPr>
          <w:rFonts w:hint="default"/>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t>6</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19100"/>
    <w:multiLevelType w:val="singleLevel"/>
    <w:tmpl w:val="A6019100"/>
    <w:lvl w:ilvl="0" w:tentative="0">
      <w:start w:val="1"/>
      <w:numFmt w:val="decimal"/>
      <w:suff w:val="nothing"/>
      <w:lvlText w:val="%1、"/>
      <w:lvlJc w:val="left"/>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370500D3"/>
    <w:multiLevelType w:val="multilevel"/>
    <w:tmpl w:val="370500D3"/>
    <w:lvl w:ilvl="0" w:tentative="0">
      <w:start w:val="1"/>
      <w:numFmt w:val="decimal"/>
      <w:pStyle w:val="3"/>
      <w:suff w:val="space"/>
      <w:lvlText w:val="8.1.%1 "/>
      <w:lvlJc w:val="left"/>
      <w:pPr>
        <w:ind w:left="0" w:firstLine="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5"/>
  </w:num>
  <w:num w:numId="2">
    <w:abstractNumId w:val="2"/>
  </w:num>
  <w:num w:numId="3">
    <w:abstractNumId w:val="7"/>
  </w:num>
  <w:num w:numId="4">
    <w:abstractNumId w:val="4"/>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yMDg1OTQwODEwN2JmMzQ5MTkwOTRiOGQ3Y2UyNDI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44285"/>
    <w:rsid w:val="0087235C"/>
    <w:rsid w:val="00873D2A"/>
    <w:rsid w:val="00885BF2"/>
    <w:rsid w:val="008A20B6"/>
    <w:rsid w:val="008F2BBE"/>
    <w:rsid w:val="00941C53"/>
    <w:rsid w:val="00976A7D"/>
    <w:rsid w:val="00997D30"/>
    <w:rsid w:val="009A1584"/>
    <w:rsid w:val="009B1FFF"/>
    <w:rsid w:val="009C7849"/>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036C9"/>
    <w:rsid w:val="00F139DE"/>
    <w:rsid w:val="00F27F02"/>
    <w:rsid w:val="00F33EB3"/>
    <w:rsid w:val="00F43CBE"/>
    <w:rsid w:val="00F564F6"/>
    <w:rsid w:val="00F66DB4"/>
    <w:rsid w:val="00F7626A"/>
    <w:rsid w:val="00FE0371"/>
    <w:rsid w:val="010D09A4"/>
    <w:rsid w:val="010D427B"/>
    <w:rsid w:val="010E293E"/>
    <w:rsid w:val="015679D0"/>
    <w:rsid w:val="01AB4154"/>
    <w:rsid w:val="01C14C2F"/>
    <w:rsid w:val="02003C03"/>
    <w:rsid w:val="02185493"/>
    <w:rsid w:val="021D391B"/>
    <w:rsid w:val="022C6513"/>
    <w:rsid w:val="023F054C"/>
    <w:rsid w:val="024C0384"/>
    <w:rsid w:val="02773EF6"/>
    <w:rsid w:val="02BD75DA"/>
    <w:rsid w:val="02CC4E1D"/>
    <w:rsid w:val="02D53A40"/>
    <w:rsid w:val="03033536"/>
    <w:rsid w:val="03182CF8"/>
    <w:rsid w:val="03261A08"/>
    <w:rsid w:val="032857C7"/>
    <w:rsid w:val="032D15FD"/>
    <w:rsid w:val="032F04D8"/>
    <w:rsid w:val="03647A2E"/>
    <w:rsid w:val="03887981"/>
    <w:rsid w:val="03A9303F"/>
    <w:rsid w:val="03DC17EA"/>
    <w:rsid w:val="03E270E3"/>
    <w:rsid w:val="03E5328D"/>
    <w:rsid w:val="041A4C52"/>
    <w:rsid w:val="042207A6"/>
    <w:rsid w:val="042D4439"/>
    <w:rsid w:val="04444FBA"/>
    <w:rsid w:val="04675C1C"/>
    <w:rsid w:val="046B7835"/>
    <w:rsid w:val="046E24C0"/>
    <w:rsid w:val="046F7ACF"/>
    <w:rsid w:val="04785792"/>
    <w:rsid w:val="049270F9"/>
    <w:rsid w:val="04E97E95"/>
    <w:rsid w:val="050A1AB4"/>
    <w:rsid w:val="05264C66"/>
    <w:rsid w:val="053A64CB"/>
    <w:rsid w:val="0546217C"/>
    <w:rsid w:val="055746BC"/>
    <w:rsid w:val="056A13D6"/>
    <w:rsid w:val="056C22B6"/>
    <w:rsid w:val="057373C3"/>
    <w:rsid w:val="059A34DA"/>
    <w:rsid w:val="059B734C"/>
    <w:rsid w:val="05C112E8"/>
    <w:rsid w:val="05CE4353"/>
    <w:rsid w:val="05CF5BDF"/>
    <w:rsid w:val="05D81DD9"/>
    <w:rsid w:val="060A0277"/>
    <w:rsid w:val="061013A0"/>
    <w:rsid w:val="064416AA"/>
    <w:rsid w:val="067508F8"/>
    <w:rsid w:val="06A3708D"/>
    <w:rsid w:val="06AB00B1"/>
    <w:rsid w:val="06BC02D5"/>
    <w:rsid w:val="06CC1CD7"/>
    <w:rsid w:val="06DA70D7"/>
    <w:rsid w:val="06F85085"/>
    <w:rsid w:val="070356B5"/>
    <w:rsid w:val="073E518E"/>
    <w:rsid w:val="077632ED"/>
    <w:rsid w:val="07811622"/>
    <w:rsid w:val="07817814"/>
    <w:rsid w:val="078A61DF"/>
    <w:rsid w:val="079E2963"/>
    <w:rsid w:val="07A62C34"/>
    <w:rsid w:val="07C04CC8"/>
    <w:rsid w:val="07E8524C"/>
    <w:rsid w:val="07E878CC"/>
    <w:rsid w:val="07E87C6B"/>
    <w:rsid w:val="07F06C92"/>
    <w:rsid w:val="07FB0E0D"/>
    <w:rsid w:val="080C77FA"/>
    <w:rsid w:val="080F7CCD"/>
    <w:rsid w:val="08237440"/>
    <w:rsid w:val="083568BD"/>
    <w:rsid w:val="08374DE3"/>
    <w:rsid w:val="08804899"/>
    <w:rsid w:val="08834CC9"/>
    <w:rsid w:val="088B1472"/>
    <w:rsid w:val="08BD716A"/>
    <w:rsid w:val="08F514FA"/>
    <w:rsid w:val="090A2F1F"/>
    <w:rsid w:val="09273ADC"/>
    <w:rsid w:val="097036E7"/>
    <w:rsid w:val="098E656B"/>
    <w:rsid w:val="099447D3"/>
    <w:rsid w:val="09B554AF"/>
    <w:rsid w:val="09D05CBA"/>
    <w:rsid w:val="09D7548C"/>
    <w:rsid w:val="09E63A80"/>
    <w:rsid w:val="0A3A75BC"/>
    <w:rsid w:val="0A4D0638"/>
    <w:rsid w:val="0A58515B"/>
    <w:rsid w:val="0A8B6BF2"/>
    <w:rsid w:val="0A9F5CB5"/>
    <w:rsid w:val="0AA062B1"/>
    <w:rsid w:val="0AB96449"/>
    <w:rsid w:val="0ACC3EB5"/>
    <w:rsid w:val="0ADD75BB"/>
    <w:rsid w:val="0B0D38CD"/>
    <w:rsid w:val="0B1C170E"/>
    <w:rsid w:val="0B35169E"/>
    <w:rsid w:val="0B487285"/>
    <w:rsid w:val="0B4A13AC"/>
    <w:rsid w:val="0B8E420A"/>
    <w:rsid w:val="0BA80E28"/>
    <w:rsid w:val="0BDE4A05"/>
    <w:rsid w:val="0BE060AB"/>
    <w:rsid w:val="0C370F69"/>
    <w:rsid w:val="0C3D7481"/>
    <w:rsid w:val="0C7454D4"/>
    <w:rsid w:val="0C8A677F"/>
    <w:rsid w:val="0C8B217D"/>
    <w:rsid w:val="0CB75B53"/>
    <w:rsid w:val="0CF127D7"/>
    <w:rsid w:val="0CFA5163"/>
    <w:rsid w:val="0D097641"/>
    <w:rsid w:val="0D4F5FEC"/>
    <w:rsid w:val="0D9372C2"/>
    <w:rsid w:val="0D980021"/>
    <w:rsid w:val="0DA163F9"/>
    <w:rsid w:val="0DAD56B9"/>
    <w:rsid w:val="0DBC0F9A"/>
    <w:rsid w:val="0DD566C4"/>
    <w:rsid w:val="0E02486F"/>
    <w:rsid w:val="0E3D2F5D"/>
    <w:rsid w:val="0E3F22A2"/>
    <w:rsid w:val="0E772EE5"/>
    <w:rsid w:val="0E8B20AA"/>
    <w:rsid w:val="0E9503CA"/>
    <w:rsid w:val="0ECC0381"/>
    <w:rsid w:val="0EE26DF9"/>
    <w:rsid w:val="0EE30943"/>
    <w:rsid w:val="0EF80318"/>
    <w:rsid w:val="0F3141ED"/>
    <w:rsid w:val="0F4E62EA"/>
    <w:rsid w:val="0F821B8F"/>
    <w:rsid w:val="0F8C0A60"/>
    <w:rsid w:val="0FA07C0F"/>
    <w:rsid w:val="0FA364D6"/>
    <w:rsid w:val="0FCE6C96"/>
    <w:rsid w:val="0FE34343"/>
    <w:rsid w:val="0FF86012"/>
    <w:rsid w:val="10167D42"/>
    <w:rsid w:val="1051101C"/>
    <w:rsid w:val="105A2ADD"/>
    <w:rsid w:val="105B6F62"/>
    <w:rsid w:val="105D7650"/>
    <w:rsid w:val="105E41AB"/>
    <w:rsid w:val="108E2EA4"/>
    <w:rsid w:val="10B3063E"/>
    <w:rsid w:val="10C613A6"/>
    <w:rsid w:val="10CC64D5"/>
    <w:rsid w:val="10F1561E"/>
    <w:rsid w:val="111E4EA7"/>
    <w:rsid w:val="1145659D"/>
    <w:rsid w:val="11715093"/>
    <w:rsid w:val="118A38B5"/>
    <w:rsid w:val="122E4A94"/>
    <w:rsid w:val="12481006"/>
    <w:rsid w:val="125F61EF"/>
    <w:rsid w:val="126F2ADF"/>
    <w:rsid w:val="12737A03"/>
    <w:rsid w:val="1281025F"/>
    <w:rsid w:val="12837C22"/>
    <w:rsid w:val="12A94333"/>
    <w:rsid w:val="12CF31F9"/>
    <w:rsid w:val="12EA195B"/>
    <w:rsid w:val="12F479DF"/>
    <w:rsid w:val="12FC2C6F"/>
    <w:rsid w:val="132E735B"/>
    <w:rsid w:val="13331A89"/>
    <w:rsid w:val="1363320F"/>
    <w:rsid w:val="1387789C"/>
    <w:rsid w:val="13B74194"/>
    <w:rsid w:val="13D05E45"/>
    <w:rsid w:val="13DF42D8"/>
    <w:rsid w:val="14131493"/>
    <w:rsid w:val="141E33C4"/>
    <w:rsid w:val="142F7DC3"/>
    <w:rsid w:val="1445647A"/>
    <w:rsid w:val="14494FEA"/>
    <w:rsid w:val="147B6B42"/>
    <w:rsid w:val="14937361"/>
    <w:rsid w:val="14977C8B"/>
    <w:rsid w:val="149868E6"/>
    <w:rsid w:val="14992D4C"/>
    <w:rsid w:val="14C1177D"/>
    <w:rsid w:val="14DA401C"/>
    <w:rsid w:val="14FC5116"/>
    <w:rsid w:val="15033088"/>
    <w:rsid w:val="150647E6"/>
    <w:rsid w:val="15101A52"/>
    <w:rsid w:val="15125849"/>
    <w:rsid w:val="153A6E8B"/>
    <w:rsid w:val="154E7EC4"/>
    <w:rsid w:val="15763D45"/>
    <w:rsid w:val="15BF2E22"/>
    <w:rsid w:val="15C23309"/>
    <w:rsid w:val="15C31A47"/>
    <w:rsid w:val="15E04C71"/>
    <w:rsid w:val="15F16D9A"/>
    <w:rsid w:val="15F24792"/>
    <w:rsid w:val="15F305D1"/>
    <w:rsid w:val="15F51CC1"/>
    <w:rsid w:val="15FE1378"/>
    <w:rsid w:val="15FE1EB4"/>
    <w:rsid w:val="160E7363"/>
    <w:rsid w:val="16172661"/>
    <w:rsid w:val="16270A04"/>
    <w:rsid w:val="165069FC"/>
    <w:rsid w:val="16A920DF"/>
    <w:rsid w:val="173B43BC"/>
    <w:rsid w:val="178C691A"/>
    <w:rsid w:val="179453BC"/>
    <w:rsid w:val="183256DA"/>
    <w:rsid w:val="183B0D71"/>
    <w:rsid w:val="184968FC"/>
    <w:rsid w:val="185D1C5F"/>
    <w:rsid w:val="188C5585"/>
    <w:rsid w:val="18C27F65"/>
    <w:rsid w:val="18C402D3"/>
    <w:rsid w:val="18E37943"/>
    <w:rsid w:val="18FA6BBD"/>
    <w:rsid w:val="19151A93"/>
    <w:rsid w:val="191A3D61"/>
    <w:rsid w:val="192A2CC6"/>
    <w:rsid w:val="19332266"/>
    <w:rsid w:val="19832ED4"/>
    <w:rsid w:val="19B02F2D"/>
    <w:rsid w:val="19C36058"/>
    <w:rsid w:val="19DA3B6D"/>
    <w:rsid w:val="19EF4D4D"/>
    <w:rsid w:val="19F04AD4"/>
    <w:rsid w:val="1A247E7E"/>
    <w:rsid w:val="1A2F6DF9"/>
    <w:rsid w:val="1A3168AB"/>
    <w:rsid w:val="1A3E2349"/>
    <w:rsid w:val="1A4C05AB"/>
    <w:rsid w:val="1A4F0A64"/>
    <w:rsid w:val="1A747000"/>
    <w:rsid w:val="1AAD18E5"/>
    <w:rsid w:val="1ABC38F7"/>
    <w:rsid w:val="1AD272D5"/>
    <w:rsid w:val="1AF22A1C"/>
    <w:rsid w:val="1AFD66F4"/>
    <w:rsid w:val="1B233A0E"/>
    <w:rsid w:val="1B657395"/>
    <w:rsid w:val="1B7C1123"/>
    <w:rsid w:val="1B8F7883"/>
    <w:rsid w:val="1B927AE6"/>
    <w:rsid w:val="1BA142B9"/>
    <w:rsid w:val="1BB72DA5"/>
    <w:rsid w:val="1BC93515"/>
    <w:rsid w:val="1BD16179"/>
    <w:rsid w:val="1BD331B7"/>
    <w:rsid w:val="1C1B3FE4"/>
    <w:rsid w:val="1C1C3DEE"/>
    <w:rsid w:val="1C230F64"/>
    <w:rsid w:val="1C2A6CE8"/>
    <w:rsid w:val="1C513BF0"/>
    <w:rsid w:val="1C8261A0"/>
    <w:rsid w:val="1CB80E0B"/>
    <w:rsid w:val="1CBA4E5F"/>
    <w:rsid w:val="1CF31038"/>
    <w:rsid w:val="1D0113C9"/>
    <w:rsid w:val="1D05782C"/>
    <w:rsid w:val="1D0D2F01"/>
    <w:rsid w:val="1D434E54"/>
    <w:rsid w:val="1D447135"/>
    <w:rsid w:val="1D632E00"/>
    <w:rsid w:val="1D6F78F4"/>
    <w:rsid w:val="1D7757F1"/>
    <w:rsid w:val="1D841F34"/>
    <w:rsid w:val="1DB72E7F"/>
    <w:rsid w:val="1DDB74E0"/>
    <w:rsid w:val="1DF003E7"/>
    <w:rsid w:val="1E2F61EF"/>
    <w:rsid w:val="1E3264F3"/>
    <w:rsid w:val="1E600A9D"/>
    <w:rsid w:val="1E750E13"/>
    <w:rsid w:val="1EB505E6"/>
    <w:rsid w:val="1EBD3B62"/>
    <w:rsid w:val="1F02429F"/>
    <w:rsid w:val="1F133081"/>
    <w:rsid w:val="1F550880"/>
    <w:rsid w:val="1F590291"/>
    <w:rsid w:val="1F8046AD"/>
    <w:rsid w:val="1FA12681"/>
    <w:rsid w:val="1FC61DFA"/>
    <w:rsid w:val="1FC85C1D"/>
    <w:rsid w:val="1FE068DF"/>
    <w:rsid w:val="1FE8712A"/>
    <w:rsid w:val="20014B53"/>
    <w:rsid w:val="20150C7D"/>
    <w:rsid w:val="205A10AE"/>
    <w:rsid w:val="207E3421"/>
    <w:rsid w:val="208A175C"/>
    <w:rsid w:val="2090579A"/>
    <w:rsid w:val="20AF45AF"/>
    <w:rsid w:val="215846DF"/>
    <w:rsid w:val="216412DB"/>
    <w:rsid w:val="21BD6DBB"/>
    <w:rsid w:val="21C45BE8"/>
    <w:rsid w:val="21E14DFB"/>
    <w:rsid w:val="21F04A25"/>
    <w:rsid w:val="220D4E25"/>
    <w:rsid w:val="22345BE0"/>
    <w:rsid w:val="22521DD3"/>
    <w:rsid w:val="227B0690"/>
    <w:rsid w:val="22835CF3"/>
    <w:rsid w:val="228E5A58"/>
    <w:rsid w:val="22A35795"/>
    <w:rsid w:val="22A62B30"/>
    <w:rsid w:val="22ED3ED6"/>
    <w:rsid w:val="230F2CF6"/>
    <w:rsid w:val="2325120A"/>
    <w:rsid w:val="2338088B"/>
    <w:rsid w:val="23464916"/>
    <w:rsid w:val="23496B54"/>
    <w:rsid w:val="23532FBD"/>
    <w:rsid w:val="23745791"/>
    <w:rsid w:val="23751ADF"/>
    <w:rsid w:val="237B661E"/>
    <w:rsid w:val="238B4E5F"/>
    <w:rsid w:val="239520D3"/>
    <w:rsid w:val="23BF50C8"/>
    <w:rsid w:val="23CC07DA"/>
    <w:rsid w:val="23F24C55"/>
    <w:rsid w:val="23FA0237"/>
    <w:rsid w:val="240510B5"/>
    <w:rsid w:val="241D1936"/>
    <w:rsid w:val="247C7073"/>
    <w:rsid w:val="2496308D"/>
    <w:rsid w:val="24987DF2"/>
    <w:rsid w:val="24A9374C"/>
    <w:rsid w:val="250A70DF"/>
    <w:rsid w:val="250E72F9"/>
    <w:rsid w:val="258777C9"/>
    <w:rsid w:val="2589209A"/>
    <w:rsid w:val="25B40CD0"/>
    <w:rsid w:val="25BD4C4D"/>
    <w:rsid w:val="25CB1E8B"/>
    <w:rsid w:val="25D9170E"/>
    <w:rsid w:val="25E0040C"/>
    <w:rsid w:val="25F3676D"/>
    <w:rsid w:val="26035576"/>
    <w:rsid w:val="26115B91"/>
    <w:rsid w:val="2663317F"/>
    <w:rsid w:val="2665006F"/>
    <w:rsid w:val="26976211"/>
    <w:rsid w:val="26A124F9"/>
    <w:rsid w:val="26AA092A"/>
    <w:rsid w:val="271C65E1"/>
    <w:rsid w:val="273A5487"/>
    <w:rsid w:val="274761A1"/>
    <w:rsid w:val="27937EDA"/>
    <w:rsid w:val="27C62288"/>
    <w:rsid w:val="27CF60B0"/>
    <w:rsid w:val="27D36696"/>
    <w:rsid w:val="27E234BC"/>
    <w:rsid w:val="28012C6B"/>
    <w:rsid w:val="280475E2"/>
    <w:rsid w:val="282C18E9"/>
    <w:rsid w:val="2833742E"/>
    <w:rsid w:val="28566230"/>
    <w:rsid w:val="285B7C69"/>
    <w:rsid w:val="2874680A"/>
    <w:rsid w:val="287D1655"/>
    <w:rsid w:val="289968CF"/>
    <w:rsid w:val="28A837EA"/>
    <w:rsid w:val="28B0150E"/>
    <w:rsid w:val="28D51D40"/>
    <w:rsid w:val="28D92271"/>
    <w:rsid w:val="293555E2"/>
    <w:rsid w:val="299A1AD2"/>
    <w:rsid w:val="299A61C2"/>
    <w:rsid w:val="29A97068"/>
    <w:rsid w:val="29AC4DAC"/>
    <w:rsid w:val="29B80978"/>
    <w:rsid w:val="29CE07E6"/>
    <w:rsid w:val="29D17C38"/>
    <w:rsid w:val="29DA1C97"/>
    <w:rsid w:val="29F84926"/>
    <w:rsid w:val="29FC37D4"/>
    <w:rsid w:val="2A094DD6"/>
    <w:rsid w:val="2A587284"/>
    <w:rsid w:val="2A7427E2"/>
    <w:rsid w:val="2A893557"/>
    <w:rsid w:val="2A8B1681"/>
    <w:rsid w:val="2A8B37C2"/>
    <w:rsid w:val="2A933574"/>
    <w:rsid w:val="2AAB2012"/>
    <w:rsid w:val="2AAC09BF"/>
    <w:rsid w:val="2ABC59CB"/>
    <w:rsid w:val="2AC0562D"/>
    <w:rsid w:val="2AC11AAE"/>
    <w:rsid w:val="2ADD2233"/>
    <w:rsid w:val="2AE84D10"/>
    <w:rsid w:val="2B0E039C"/>
    <w:rsid w:val="2B1D757C"/>
    <w:rsid w:val="2B2F6BD9"/>
    <w:rsid w:val="2B4658AA"/>
    <w:rsid w:val="2B4A75F4"/>
    <w:rsid w:val="2B690619"/>
    <w:rsid w:val="2B787142"/>
    <w:rsid w:val="2B8E1B57"/>
    <w:rsid w:val="2B8E71EA"/>
    <w:rsid w:val="2B957AF1"/>
    <w:rsid w:val="2B960845"/>
    <w:rsid w:val="2BA705F6"/>
    <w:rsid w:val="2BCF5867"/>
    <w:rsid w:val="2BD36FC0"/>
    <w:rsid w:val="2BE04E2E"/>
    <w:rsid w:val="2C0B2A13"/>
    <w:rsid w:val="2C201604"/>
    <w:rsid w:val="2C201C04"/>
    <w:rsid w:val="2C31119D"/>
    <w:rsid w:val="2C3328C4"/>
    <w:rsid w:val="2C5548F9"/>
    <w:rsid w:val="2D2B1461"/>
    <w:rsid w:val="2DA319DC"/>
    <w:rsid w:val="2DAE631A"/>
    <w:rsid w:val="2DC259B9"/>
    <w:rsid w:val="2DCC162C"/>
    <w:rsid w:val="2DE2692E"/>
    <w:rsid w:val="2DF06759"/>
    <w:rsid w:val="2E0742D7"/>
    <w:rsid w:val="2E12514F"/>
    <w:rsid w:val="2E351771"/>
    <w:rsid w:val="2E87428B"/>
    <w:rsid w:val="2EA23694"/>
    <w:rsid w:val="2EAD2321"/>
    <w:rsid w:val="2EDC494F"/>
    <w:rsid w:val="2EDF7533"/>
    <w:rsid w:val="2EF7551C"/>
    <w:rsid w:val="2F1F4355"/>
    <w:rsid w:val="2F210D6D"/>
    <w:rsid w:val="2F37233F"/>
    <w:rsid w:val="2F4A6641"/>
    <w:rsid w:val="2F7C2C25"/>
    <w:rsid w:val="2F8E0962"/>
    <w:rsid w:val="2FA30B14"/>
    <w:rsid w:val="2FBC4452"/>
    <w:rsid w:val="2FBD5AB0"/>
    <w:rsid w:val="2FFE7C5C"/>
    <w:rsid w:val="30071591"/>
    <w:rsid w:val="30243F4A"/>
    <w:rsid w:val="303240F6"/>
    <w:rsid w:val="30725A8E"/>
    <w:rsid w:val="30826FF9"/>
    <w:rsid w:val="30985912"/>
    <w:rsid w:val="309A6E65"/>
    <w:rsid w:val="30E60CDF"/>
    <w:rsid w:val="30FF36B2"/>
    <w:rsid w:val="31183D8E"/>
    <w:rsid w:val="312B136C"/>
    <w:rsid w:val="314B0324"/>
    <w:rsid w:val="3165141F"/>
    <w:rsid w:val="31771119"/>
    <w:rsid w:val="31934494"/>
    <w:rsid w:val="319D55BA"/>
    <w:rsid w:val="31BD1137"/>
    <w:rsid w:val="31CE1FAB"/>
    <w:rsid w:val="31F1162F"/>
    <w:rsid w:val="31F21635"/>
    <w:rsid w:val="31F46862"/>
    <w:rsid w:val="321859D2"/>
    <w:rsid w:val="322E5C7B"/>
    <w:rsid w:val="323845E4"/>
    <w:rsid w:val="323D28AC"/>
    <w:rsid w:val="32492609"/>
    <w:rsid w:val="324E4221"/>
    <w:rsid w:val="326920C0"/>
    <w:rsid w:val="328F6057"/>
    <w:rsid w:val="32A75EF3"/>
    <w:rsid w:val="32AE7831"/>
    <w:rsid w:val="32B37FA4"/>
    <w:rsid w:val="32C178A8"/>
    <w:rsid w:val="32DB1F0F"/>
    <w:rsid w:val="33413E8A"/>
    <w:rsid w:val="334F40FB"/>
    <w:rsid w:val="335E264F"/>
    <w:rsid w:val="337530C8"/>
    <w:rsid w:val="338059AD"/>
    <w:rsid w:val="33DB2E5A"/>
    <w:rsid w:val="33EA7F3E"/>
    <w:rsid w:val="33F1490B"/>
    <w:rsid w:val="33FD5E57"/>
    <w:rsid w:val="340C24DE"/>
    <w:rsid w:val="340F4394"/>
    <w:rsid w:val="342D7E99"/>
    <w:rsid w:val="344736EB"/>
    <w:rsid w:val="345B10E7"/>
    <w:rsid w:val="346720B7"/>
    <w:rsid w:val="346C65E7"/>
    <w:rsid w:val="347C5E46"/>
    <w:rsid w:val="35165627"/>
    <w:rsid w:val="352C0C5B"/>
    <w:rsid w:val="35490544"/>
    <w:rsid w:val="357A4D33"/>
    <w:rsid w:val="35904376"/>
    <w:rsid w:val="35A0166C"/>
    <w:rsid w:val="35A83AE8"/>
    <w:rsid w:val="35B058C7"/>
    <w:rsid w:val="35DE34F2"/>
    <w:rsid w:val="35F871FB"/>
    <w:rsid w:val="35FC498E"/>
    <w:rsid w:val="36417C8D"/>
    <w:rsid w:val="366436B8"/>
    <w:rsid w:val="36777699"/>
    <w:rsid w:val="36886515"/>
    <w:rsid w:val="368A2F91"/>
    <w:rsid w:val="368B1D4A"/>
    <w:rsid w:val="369D33CF"/>
    <w:rsid w:val="369F3C73"/>
    <w:rsid w:val="36AC3A23"/>
    <w:rsid w:val="36B40637"/>
    <w:rsid w:val="36E954BF"/>
    <w:rsid w:val="36FA78CD"/>
    <w:rsid w:val="37370B6E"/>
    <w:rsid w:val="37426F96"/>
    <w:rsid w:val="3768338E"/>
    <w:rsid w:val="37836ECB"/>
    <w:rsid w:val="37865C12"/>
    <w:rsid w:val="37945B49"/>
    <w:rsid w:val="37991A10"/>
    <w:rsid w:val="379D3B99"/>
    <w:rsid w:val="37A77783"/>
    <w:rsid w:val="37D45539"/>
    <w:rsid w:val="37ED7F2D"/>
    <w:rsid w:val="37FC2378"/>
    <w:rsid w:val="381C0BFA"/>
    <w:rsid w:val="38227768"/>
    <w:rsid w:val="387939C8"/>
    <w:rsid w:val="38814998"/>
    <w:rsid w:val="388611D4"/>
    <w:rsid w:val="38895880"/>
    <w:rsid w:val="38A94FE7"/>
    <w:rsid w:val="38BA64A1"/>
    <w:rsid w:val="38F04E1B"/>
    <w:rsid w:val="38FE6B47"/>
    <w:rsid w:val="39057ED7"/>
    <w:rsid w:val="39137A71"/>
    <w:rsid w:val="3955569C"/>
    <w:rsid w:val="39657C8F"/>
    <w:rsid w:val="3969383E"/>
    <w:rsid w:val="39882841"/>
    <w:rsid w:val="39897C3B"/>
    <w:rsid w:val="39ED2847"/>
    <w:rsid w:val="3A0277CE"/>
    <w:rsid w:val="3A4967DD"/>
    <w:rsid w:val="3A500A72"/>
    <w:rsid w:val="3A5116BA"/>
    <w:rsid w:val="3A5B7748"/>
    <w:rsid w:val="3A87079F"/>
    <w:rsid w:val="3A8C3BAF"/>
    <w:rsid w:val="3A9D73FB"/>
    <w:rsid w:val="3AD63889"/>
    <w:rsid w:val="3ADE5E05"/>
    <w:rsid w:val="3B053E48"/>
    <w:rsid w:val="3B106478"/>
    <w:rsid w:val="3B293E28"/>
    <w:rsid w:val="3B2B3146"/>
    <w:rsid w:val="3B2F7891"/>
    <w:rsid w:val="3B573FA4"/>
    <w:rsid w:val="3BD4036B"/>
    <w:rsid w:val="3C1D4BEF"/>
    <w:rsid w:val="3C1E5B01"/>
    <w:rsid w:val="3C333506"/>
    <w:rsid w:val="3C3C0E2E"/>
    <w:rsid w:val="3C656913"/>
    <w:rsid w:val="3C8D6D94"/>
    <w:rsid w:val="3C94066E"/>
    <w:rsid w:val="3CFE624A"/>
    <w:rsid w:val="3D1251D3"/>
    <w:rsid w:val="3D173430"/>
    <w:rsid w:val="3D470E27"/>
    <w:rsid w:val="3D475A63"/>
    <w:rsid w:val="3DCB73E0"/>
    <w:rsid w:val="3E032F87"/>
    <w:rsid w:val="3E287885"/>
    <w:rsid w:val="3E402055"/>
    <w:rsid w:val="3E447FF5"/>
    <w:rsid w:val="3E536639"/>
    <w:rsid w:val="3E565DBA"/>
    <w:rsid w:val="3E741B5D"/>
    <w:rsid w:val="3EEE28F9"/>
    <w:rsid w:val="3EF2473A"/>
    <w:rsid w:val="3F1539A0"/>
    <w:rsid w:val="3F1E4982"/>
    <w:rsid w:val="3F4A4ECD"/>
    <w:rsid w:val="3F516B77"/>
    <w:rsid w:val="3FBB3A60"/>
    <w:rsid w:val="3FC512A1"/>
    <w:rsid w:val="3FDC6027"/>
    <w:rsid w:val="3FEE6A4A"/>
    <w:rsid w:val="401876B8"/>
    <w:rsid w:val="401F30A7"/>
    <w:rsid w:val="402A4D00"/>
    <w:rsid w:val="40457BFD"/>
    <w:rsid w:val="40705383"/>
    <w:rsid w:val="40831E81"/>
    <w:rsid w:val="40891F67"/>
    <w:rsid w:val="408C76E2"/>
    <w:rsid w:val="409057BD"/>
    <w:rsid w:val="40C10231"/>
    <w:rsid w:val="410778C2"/>
    <w:rsid w:val="41186225"/>
    <w:rsid w:val="414E2379"/>
    <w:rsid w:val="416F5968"/>
    <w:rsid w:val="417A6877"/>
    <w:rsid w:val="418324AC"/>
    <w:rsid w:val="41A04200"/>
    <w:rsid w:val="41A32F85"/>
    <w:rsid w:val="41B858E8"/>
    <w:rsid w:val="41C37A4F"/>
    <w:rsid w:val="41D27A00"/>
    <w:rsid w:val="41DC2AD7"/>
    <w:rsid w:val="420F20F6"/>
    <w:rsid w:val="42203971"/>
    <w:rsid w:val="42257F84"/>
    <w:rsid w:val="422D3D55"/>
    <w:rsid w:val="42526B31"/>
    <w:rsid w:val="42680DF6"/>
    <w:rsid w:val="42757300"/>
    <w:rsid w:val="428E4E02"/>
    <w:rsid w:val="42AB04B4"/>
    <w:rsid w:val="42BF0693"/>
    <w:rsid w:val="42DA60A9"/>
    <w:rsid w:val="42DC0DDB"/>
    <w:rsid w:val="430F46B4"/>
    <w:rsid w:val="43396FCF"/>
    <w:rsid w:val="43434628"/>
    <w:rsid w:val="43482915"/>
    <w:rsid w:val="4351032C"/>
    <w:rsid w:val="4355293C"/>
    <w:rsid w:val="4357425E"/>
    <w:rsid w:val="43577058"/>
    <w:rsid w:val="438A19A8"/>
    <w:rsid w:val="439439C5"/>
    <w:rsid w:val="4395062C"/>
    <w:rsid w:val="439E472C"/>
    <w:rsid w:val="439E7A84"/>
    <w:rsid w:val="43D46D19"/>
    <w:rsid w:val="44026924"/>
    <w:rsid w:val="44236751"/>
    <w:rsid w:val="448C78B8"/>
    <w:rsid w:val="44B2410D"/>
    <w:rsid w:val="44CB1108"/>
    <w:rsid w:val="44E4129A"/>
    <w:rsid w:val="45253CD9"/>
    <w:rsid w:val="452C5A2B"/>
    <w:rsid w:val="453F611C"/>
    <w:rsid w:val="454D6E39"/>
    <w:rsid w:val="45C94E39"/>
    <w:rsid w:val="45CD5D18"/>
    <w:rsid w:val="45D568DB"/>
    <w:rsid w:val="45D82B59"/>
    <w:rsid w:val="45E64357"/>
    <w:rsid w:val="46051FED"/>
    <w:rsid w:val="46125FF1"/>
    <w:rsid w:val="461420C8"/>
    <w:rsid w:val="46225C31"/>
    <w:rsid w:val="46320679"/>
    <w:rsid w:val="463F6633"/>
    <w:rsid w:val="46495A0E"/>
    <w:rsid w:val="464B079B"/>
    <w:rsid w:val="465948A3"/>
    <w:rsid w:val="468077A8"/>
    <w:rsid w:val="46893CE6"/>
    <w:rsid w:val="468E6ECD"/>
    <w:rsid w:val="46973555"/>
    <w:rsid w:val="469A6E48"/>
    <w:rsid w:val="46AB53AC"/>
    <w:rsid w:val="46D40991"/>
    <w:rsid w:val="46E07413"/>
    <w:rsid w:val="46EA56DB"/>
    <w:rsid w:val="4704021F"/>
    <w:rsid w:val="47616CD0"/>
    <w:rsid w:val="47621A0F"/>
    <w:rsid w:val="476C6251"/>
    <w:rsid w:val="47921A6D"/>
    <w:rsid w:val="479C322F"/>
    <w:rsid w:val="47A06F4B"/>
    <w:rsid w:val="47A978DA"/>
    <w:rsid w:val="48037F6C"/>
    <w:rsid w:val="480C6C1B"/>
    <w:rsid w:val="48295411"/>
    <w:rsid w:val="486E5E36"/>
    <w:rsid w:val="48A92062"/>
    <w:rsid w:val="48B268BC"/>
    <w:rsid w:val="48B70BA6"/>
    <w:rsid w:val="48DF13FB"/>
    <w:rsid w:val="49157196"/>
    <w:rsid w:val="492D0C09"/>
    <w:rsid w:val="493B7D23"/>
    <w:rsid w:val="494B6BC0"/>
    <w:rsid w:val="49545F4C"/>
    <w:rsid w:val="497038CD"/>
    <w:rsid w:val="497205C6"/>
    <w:rsid w:val="49730A66"/>
    <w:rsid w:val="499A66C3"/>
    <w:rsid w:val="49AC538B"/>
    <w:rsid w:val="49F220F0"/>
    <w:rsid w:val="4A532137"/>
    <w:rsid w:val="4A784075"/>
    <w:rsid w:val="4A9E208F"/>
    <w:rsid w:val="4AC67A0D"/>
    <w:rsid w:val="4AEC33B6"/>
    <w:rsid w:val="4B04418D"/>
    <w:rsid w:val="4B242E77"/>
    <w:rsid w:val="4B2451E8"/>
    <w:rsid w:val="4B302753"/>
    <w:rsid w:val="4B320889"/>
    <w:rsid w:val="4B3D4012"/>
    <w:rsid w:val="4B4A24A6"/>
    <w:rsid w:val="4B8F2E5B"/>
    <w:rsid w:val="4B945212"/>
    <w:rsid w:val="4BC2454D"/>
    <w:rsid w:val="4BE96A67"/>
    <w:rsid w:val="4BEA1865"/>
    <w:rsid w:val="4BF27690"/>
    <w:rsid w:val="4BF34AFA"/>
    <w:rsid w:val="4C204881"/>
    <w:rsid w:val="4C775DE6"/>
    <w:rsid w:val="4C82133E"/>
    <w:rsid w:val="4CA3109F"/>
    <w:rsid w:val="4CB47B10"/>
    <w:rsid w:val="4CD9455C"/>
    <w:rsid w:val="4CE3486E"/>
    <w:rsid w:val="4CEB5B8E"/>
    <w:rsid w:val="4CF91653"/>
    <w:rsid w:val="4D13604C"/>
    <w:rsid w:val="4D245859"/>
    <w:rsid w:val="4D2671DF"/>
    <w:rsid w:val="4D29163E"/>
    <w:rsid w:val="4D2D6907"/>
    <w:rsid w:val="4D365F26"/>
    <w:rsid w:val="4D376EA9"/>
    <w:rsid w:val="4D845D59"/>
    <w:rsid w:val="4D8B3B2A"/>
    <w:rsid w:val="4DA80E22"/>
    <w:rsid w:val="4DB81F38"/>
    <w:rsid w:val="4DBF64D9"/>
    <w:rsid w:val="4DDB52DD"/>
    <w:rsid w:val="4DE92DD7"/>
    <w:rsid w:val="4DFE7BC4"/>
    <w:rsid w:val="4E0062C6"/>
    <w:rsid w:val="4E0D5475"/>
    <w:rsid w:val="4E6B6CEB"/>
    <w:rsid w:val="4E7B3B9E"/>
    <w:rsid w:val="4EA1757E"/>
    <w:rsid w:val="4EA52677"/>
    <w:rsid w:val="4EAD5D22"/>
    <w:rsid w:val="4ECE6225"/>
    <w:rsid w:val="4F2D087A"/>
    <w:rsid w:val="4F697E04"/>
    <w:rsid w:val="4F7714C8"/>
    <w:rsid w:val="4F796063"/>
    <w:rsid w:val="4F7B6890"/>
    <w:rsid w:val="4F8D5360"/>
    <w:rsid w:val="4F9667B6"/>
    <w:rsid w:val="4FA265C1"/>
    <w:rsid w:val="4FAF2ACB"/>
    <w:rsid w:val="4FE0775F"/>
    <w:rsid w:val="4FE84A65"/>
    <w:rsid w:val="4FF14958"/>
    <w:rsid w:val="503B5A8A"/>
    <w:rsid w:val="505852F6"/>
    <w:rsid w:val="50666B51"/>
    <w:rsid w:val="507D56CD"/>
    <w:rsid w:val="507E72C1"/>
    <w:rsid w:val="508235A6"/>
    <w:rsid w:val="50BB3ACD"/>
    <w:rsid w:val="50DE33C7"/>
    <w:rsid w:val="512F6EC2"/>
    <w:rsid w:val="513242BC"/>
    <w:rsid w:val="513403C7"/>
    <w:rsid w:val="518B38CB"/>
    <w:rsid w:val="518B4FD1"/>
    <w:rsid w:val="518E0C97"/>
    <w:rsid w:val="51914CA6"/>
    <w:rsid w:val="51E071FB"/>
    <w:rsid w:val="51E145FD"/>
    <w:rsid w:val="51E51CC3"/>
    <w:rsid w:val="51E75811"/>
    <w:rsid w:val="520F62ED"/>
    <w:rsid w:val="52350240"/>
    <w:rsid w:val="52670AC3"/>
    <w:rsid w:val="529A77A5"/>
    <w:rsid w:val="52B74512"/>
    <w:rsid w:val="52C5623B"/>
    <w:rsid w:val="53396CC8"/>
    <w:rsid w:val="534D5B9F"/>
    <w:rsid w:val="534E3B27"/>
    <w:rsid w:val="53523F58"/>
    <w:rsid w:val="536C4A8A"/>
    <w:rsid w:val="53B11D35"/>
    <w:rsid w:val="53EB1F23"/>
    <w:rsid w:val="53ED6794"/>
    <w:rsid w:val="53EF1D95"/>
    <w:rsid w:val="542657F3"/>
    <w:rsid w:val="542A50A2"/>
    <w:rsid w:val="542D5399"/>
    <w:rsid w:val="543E14AB"/>
    <w:rsid w:val="549F3616"/>
    <w:rsid w:val="54B643C9"/>
    <w:rsid w:val="54CF10E0"/>
    <w:rsid w:val="54DD2BD3"/>
    <w:rsid w:val="54F25A4E"/>
    <w:rsid w:val="553625CD"/>
    <w:rsid w:val="553E317D"/>
    <w:rsid w:val="554D2C1E"/>
    <w:rsid w:val="556D7264"/>
    <w:rsid w:val="559230BD"/>
    <w:rsid w:val="5599662E"/>
    <w:rsid w:val="559F6FC9"/>
    <w:rsid w:val="55E907A3"/>
    <w:rsid w:val="55E92CB5"/>
    <w:rsid w:val="56325307"/>
    <w:rsid w:val="5659474A"/>
    <w:rsid w:val="566D23BD"/>
    <w:rsid w:val="56732B47"/>
    <w:rsid w:val="56931A5A"/>
    <w:rsid w:val="56A65531"/>
    <w:rsid w:val="56C452D1"/>
    <w:rsid w:val="56D504BB"/>
    <w:rsid w:val="570F5D54"/>
    <w:rsid w:val="570F6504"/>
    <w:rsid w:val="5733660F"/>
    <w:rsid w:val="57343CB7"/>
    <w:rsid w:val="573834F1"/>
    <w:rsid w:val="57463334"/>
    <w:rsid w:val="574B6739"/>
    <w:rsid w:val="574D21DE"/>
    <w:rsid w:val="578B6597"/>
    <w:rsid w:val="57942C39"/>
    <w:rsid w:val="57EB2081"/>
    <w:rsid w:val="57FC2F43"/>
    <w:rsid w:val="583F04BE"/>
    <w:rsid w:val="5845276D"/>
    <w:rsid w:val="584A1000"/>
    <w:rsid w:val="58641F03"/>
    <w:rsid w:val="58BD4EAA"/>
    <w:rsid w:val="58C534B8"/>
    <w:rsid w:val="58CB5722"/>
    <w:rsid w:val="58DA20C8"/>
    <w:rsid w:val="58EB6201"/>
    <w:rsid w:val="58F8378F"/>
    <w:rsid w:val="58FE6BB9"/>
    <w:rsid w:val="592521E5"/>
    <w:rsid w:val="592E0C31"/>
    <w:rsid w:val="5930567C"/>
    <w:rsid w:val="593259F3"/>
    <w:rsid w:val="59390D03"/>
    <w:rsid w:val="594531C0"/>
    <w:rsid w:val="59A2106F"/>
    <w:rsid w:val="59A25083"/>
    <w:rsid w:val="59B02771"/>
    <w:rsid w:val="59B64E5B"/>
    <w:rsid w:val="59C41AA5"/>
    <w:rsid w:val="59E92304"/>
    <w:rsid w:val="5A196198"/>
    <w:rsid w:val="5A36290A"/>
    <w:rsid w:val="5A6951F3"/>
    <w:rsid w:val="5AAE2321"/>
    <w:rsid w:val="5AB52004"/>
    <w:rsid w:val="5AC454CC"/>
    <w:rsid w:val="5AE623A0"/>
    <w:rsid w:val="5AED7240"/>
    <w:rsid w:val="5B004781"/>
    <w:rsid w:val="5B3C0D3E"/>
    <w:rsid w:val="5B416702"/>
    <w:rsid w:val="5B4A514D"/>
    <w:rsid w:val="5B4E445F"/>
    <w:rsid w:val="5B510FBA"/>
    <w:rsid w:val="5B5E370D"/>
    <w:rsid w:val="5B713427"/>
    <w:rsid w:val="5B733CC7"/>
    <w:rsid w:val="5B767F36"/>
    <w:rsid w:val="5B8152A6"/>
    <w:rsid w:val="5B964C3B"/>
    <w:rsid w:val="5BF3746A"/>
    <w:rsid w:val="5BF847A4"/>
    <w:rsid w:val="5C11749F"/>
    <w:rsid w:val="5C1F20CC"/>
    <w:rsid w:val="5C20337F"/>
    <w:rsid w:val="5C4D30E7"/>
    <w:rsid w:val="5C4F430C"/>
    <w:rsid w:val="5C514191"/>
    <w:rsid w:val="5C7560D1"/>
    <w:rsid w:val="5C8B0489"/>
    <w:rsid w:val="5CF73949"/>
    <w:rsid w:val="5D3038FF"/>
    <w:rsid w:val="5D4208CB"/>
    <w:rsid w:val="5D7A7717"/>
    <w:rsid w:val="5DBA71CA"/>
    <w:rsid w:val="5DCB432F"/>
    <w:rsid w:val="5DD6127D"/>
    <w:rsid w:val="5DD956B5"/>
    <w:rsid w:val="5DE04163"/>
    <w:rsid w:val="5DEC7C19"/>
    <w:rsid w:val="5DFC0EB0"/>
    <w:rsid w:val="5E086E60"/>
    <w:rsid w:val="5E5B4B1E"/>
    <w:rsid w:val="5E806603"/>
    <w:rsid w:val="5EA54320"/>
    <w:rsid w:val="5EDC2437"/>
    <w:rsid w:val="5EE41272"/>
    <w:rsid w:val="5EEC1F4F"/>
    <w:rsid w:val="5F0D17C2"/>
    <w:rsid w:val="5F196376"/>
    <w:rsid w:val="5F3C0936"/>
    <w:rsid w:val="5F5A2BA2"/>
    <w:rsid w:val="5F683B20"/>
    <w:rsid w:val="5F6A1B70"/>
    <w:rsid w:val="5F715923"/>
    <w:rsid w:val="5F74528F"/>
    <w:rsid w:val="5F7973A9"/>
    <w:rsid w:val="5F905960"/>
    <w:rsid w:val="5F9674EF"/>
    <w:rsid w:val="5F9D0E57"/>
    <w:rsid w:val="5FAD0C82"/>
    <w:rsid w:val="600E16AB"/>
    <w:rsid w:val="603C6B90"/>
    <w:rsid w:val="60687778"/>
    <w:rsid w:val="608B4D11"/>
    <w:rsid w:val="60B146AA"/>
    <w:rsid w:val="60B87759"/>
    <w:rsid w:val="60CE5E74"/>
    <w:rsid w:val="60E930B4"/>
    <w:rsid w:val="61034DA8"/>
    <w:rsid w:val="611356EE"/>
    <w:rsid w:val="612D5C44"/>
    <w:rsid w:val="61391E0A"/>
    <w:rsid w:val="616A0794"/>
    <w:rsid w:val="61716ECA"/>
    <w:rsid w:val="61984689"/>
    <w:rsid w:val="619B0D95"/>
    <w:rsid w:val="61A00D6C"/>
    <w:rsid w:val="61A33B40"/>
    <w:rsid w:val="61EC3C39"/>
    <w:rsid w:val="61FB49BD"/>
    <w:rsid w:val="62093EA3"/>
    <w:rsid w:val="620B0745"/>
    <w:rsid w:val="620B6B90"/>
    <w:rsid w:val="6229181C"/>
    <w:rsid w:val="62293292"/>
    <w:rsid w:val="623C5690"/>
    <w:rsid w:val="624469DA"/>
    <w:rsid w:val="625B2CD4"/>
    <w:rsid w:val="62772330"/>
    <w:rsid w:val="629851A9"/>
    <w:rsid w:val="62B657FF"/>
    <w:rsid w:val="62C03657"/>
    <w:rsid w:val="62C525E6"/>
    <w:rsid w:val="62DA407B"/>
    <w:rsid w:val="62DF584D"/>
    <w:rsid w:val="62F96812"/>
    <w:rsid w:val="632D1B08"/>
    <w:rsid w:val="634B6B7B"/>
    <w:rsid w:val="635D7843"/>
    <w:rsid w:val="637729C4"/>
    <w:rsid w:val="63813430"/>
    <w:rsid w:val="638505A5"/>
    <w:rsid w:val="63A40F54"/>
    <w:rsid w:val="63E76134"/>
    <w:rsid w:val="64383FFB"/>
    <w:rsid w:val="64487926"/>
    <w:rsid w:val="6457654C"/>
    <w:rsid w:val="64834708"/>
    <w:rsid w:val="649B41FB"/>
    <w:rsid w:val="64A956EF"/>
    <w:rsid w:val="64AC0A38"/>
    <w:rsid w:val="64CB2839"/>
    <w:rsid w:val="64D43A06"/>
    <w:rsid w:val="64D45316"/>
    <w:rsid w:val="64D7550B"/>
    <w:rsid w:val="651A5C4B"/>
    <w:rsid w:val="653116C9"/>
    <w:rsid w:val="653A164C"/>
    <w:rsid w:val="653D52B2"/>
    <w:rsid w:val="65546F31"/>
    <w:rsid w:val="655E5E77"/>
    <w:rsid w:val="659D3CDD"/>
    <w:rsid w:val="65B31BCC"/>
    <w:rsid w:val="65B6554A"/>
    <w:rsid w:val="65B87A10"/>
    <w:rsid w:val="65C824C9"/>
    <w:rsid w:val="65CD0AC2"/>
    <w:rsid w:val="65D35C16"/>
    <w:rsid w:val="65ED535C"/>
    <w:rsid w:val="6606215B"/>
    <w:rsid w:val="661E42CD"/>
    <w:rsid w:val="66540648"/>
    <w:rsid w:val="666879C6"/>
    <w:rsid w:val="668C4743"/>
    <w:rsid w:val="66B261DF"/>
    <w:rsid w:val="66B74724"/>
    <w:rsid w:val="66EA1E3B"/>
    <w:rsid w:val="66ED5049"/>
    <w:rsid w:val="67087B42"/>
    <w:rsid w:val="671B3499"/>
    <w:rsid w:val="6769282B"/>
    <w:rsid w:val="6774663E"/>
    <w:rsid w:val="67956067"/>
    <w:rsid w:val="67B53825"/>
    <w:rsid w:val="67B71CB2"/>
    <w:rsid w:val="67C26FE6"/>
    <w:rsid w:val="680032E1"/>
    <w:rsid w:val="68031777"/>
    <w:rsid w:val="68353249"/>
    <w:rsid w:val="685272E2"/>
    <w:rsid w:val="68767A40"/>
    <w:rsid w:val="68B03C37"/>
    <w:rsid w:val="68C11D22"/>
    <w:rsid w:val="68D01D60"/>
    <w:rsid w:val="68D575AA"/>
    <w:rsid w:val="68EB7C0C"/>
    <w:rsid w:val="68F0116E"/>
    <w:rsid w:val="68F73295"/>
    <w:rsid w:val="69085BD7"/>
    <w:rsid w:val="69154FCB"/>
    <w:rsid w:val="693D0F3F"/>
    <w:rsid w:val="69680059"/>
    <w:rsid w:val="69882A50"/>
    <w:rsid w:val="69931B97"/>
    <w:rsid w:val="699879F8"/>
    <w:rsid w:val="69C8110F"/>
    <w:rsid w:val="69CC12FA"/>
    <w:rsid w:val="6A152CA1"/>
    <w:rsid w:val="6A287ACE"/>
    <w:rsid w:val="6A544FCD"/>
    <w:rsid w:val="6A7F0D88"/>
    <w:rsid w:val="6AB13FED"/>
    <w:rsid w:val="6AC26EA2"/>
    <w:rsid w:val="6AC44695"/>
    <w:rsid w:val="6AD139A6"/>
    <w:rsid w:val="6AD25A4D"/>
    <w:rsid w:val="6B477EF6"/>
    <w:rsid w:val="6B513865"/>
    <w:rsid w:val="6B903974"/>
    <w:rsid w:val="6B99331C"/>
    <w:rsid w:val="6B9A256C"/>
    <w:rsid w:val="6BA373FF"/>
    <w:rsid w:val="6BA55F00"/>
    <w:rsid w:val="6BD57A5F"/>
    <w:rsid w:val="6BDA6DF3"/>
    <w:rsid w:val="6BEB1E5F"/>
    <w:rsid w:val="6C4957FC"/>
    <w:rsid w:val="6C515BF6"/>
    <w:rsid w:val="6C53730E"/>
    <w:rsid w:val="6C5534FB"/>
    <w:rsid w:val="6C61176F"/>
    <w:rsid w:val="6C666306"/>
    <w:rsid w:val="6CCC2D95"/>
    <w:rsid w:val="6CE81FA7"/>
    <w:rsid w:val="6CFB0D6C"/>
    <w:rsid w:val="6D387925"/>
    <w:rsid w:val="6D3E0CE6"/>
    <w:rsid w:val="6D5A7AE3"/>
    <w:rsid w:val="6D6E3F95"/>
    <w:rsid w:val="6DA265FA"/>
    <w:rsid w:val="6DB151E2"/>
    <w:rsid w:val="6DBF39F3"/>
    <w:rsid w:val="6DC0644E"/>
    <w:rsid w:val="6DCF6202"/>
    <w:rsid w:val="6DE71080"/>
    <w:rsid w:val="6E137528"/>
    <w:rsid w:val="6E3E07AD"/>
    <w:rsid w:val="6E80463B"/>
    <w:rsid w:val="6E895A0C"/>
    <w:rsid w:val="6EBB05F6"/>
    <w:rsid w:val="6EC56FAA"/>
    <w:rsid w:val="6EDD6AFE"/>
    <w:rsid w:val="6EE63336"/>
    <w:rsid w:val="6F22793F"/>
    <w:rsid w:val="6F457884"/>
    <w:rsid w:val="6F531B65"/>
    <w:rsid w:val="6F570F4E"/>
    <w:rsid w:val="6F7C1012"/>
    <w:rsid w:val="6F883155"/>
    <w:rsid w:val="6F8C7070"/>
    <w:rsid w:val="6F937EE8"/>
    <w:rsid w:val="6F9E118C"/>
    <w:rsid w:val="6FA2085B"/>
    <w:rsid w:val="6FE70842"/>
    <w:rsid w:val="6FEA4E60"/>
    <w:rsid w:val="6FF53E70"/>
    <w:rsid w:val="700713B2"/>
    <w:rsid w:val="701A2DBF"/>
    <w:rsid w:val="703D260A"/>
    <w:rsid w:val="704F233D"/>
    <w:rsid w:val="70642ED3"/>
    <w:rsid w:val="706D7CE4"/>
    <w:rsid w:val="70763652"/>
    <w:rsid w:val="70A15996"/>
    <w:rsid w:val="70A2792D"/>
    <w:rsid w:val="70C0193D"/>
    <w:rsid w:val="70E57A35"/>
    <w:rsid w:val="70F43E95"/>
    <w:rsid w:val="713779A1"/>
    <w:rsid w:val="715168D7"/>
    <w:rsid w:val="71806AFE"/>
    <w:rsid w:val="718A55DC"/>
    <w:rsid w:val="71D60F68"/>
    <w:rsid w:val="71FE5EAA"/>
    <w:rsid w:val="720C6BF9"/>
    <w:rsid w:val="72146D0A"/>
    <w:rsid w:val="72447793"/>
    <w:rsid w:val="724E26A6"/>
    <w:rsid w:val="725517B3"/>
    <w:rsid w:val="72642D7F"/>
    <w:rsid w:val="727601AB"/>
    <w:rsid w:val="72953F4C"/>
    <w:rsid w:val="72BA2638"/>
    <w:rsid w:val="72D10B29"/>
    <w:rsid w:val="72E24278"/>
    <w:rsid w:val="72EB6860"/>
    <w:rsid w:val="72F247EE"/>
    <w:rsid w:val="73046E24"/>
    <w:rsid w:val="73085A6D"/>
    <w:rsid w:val="73117CBC"/>
    <w:rsid w:val="731D3DC6"/>
    <w:rsid w:val="73501BC3"/>
    <w:rsid w:val="73785811"/>
    <w:rsid w:val="73843B37"/>
    <w:rsid w:val="73AA2AB8"/>
    <w:rsid w:val="73D8014A"/>
    <w:rsid w:val="73EF00BF"/>
    <w:rsid w:val="73F076FD"/>
    <w:rsid w:val="743D1C12"/>
    <w:rsid w:val="7448595E"/>
    <w:rsid w:val="74490D87"/>
    <w:rsid w:val="746E1E39"/>
    <w:rsid w:val="74A148F5"/>
    <w:rsid w:val="74A25915"/>
    <w:rsid w:val="74D0444D"/>
    <w:rsid w:val="74E55809"/>
    <w:rsid w:val="74FC5B9B"/>
    <w:rsid w:val="750000AA"/>
    <w:rsid w:val="750A7ABF"/>
    <w:rsid w:val="752657BA"/>
    <w:rsid w:val="754931B4"/>
    <w:rsid w:val="75706FDE"/>
    <w:rsid w:val="75775492"/>
    <w:rsid w:val="759077E6"/>
    <w:rsid w:val="75940C8C"/>
    <w:rsid w:val="75BB2BFD"/>
    <w:rsid w:val="75C624A0"/>
    <w:rsid w:val="75C940ED"/>
    <w:rsid w:val="75CE763E"/>
    <w:rsid w:val="75D06E17"/>
    <w:rsid w:val="75E83013"/>
    <w:rsid w:val="75F4785B"/>
    <w:rsid w:val="76043CA1"/>
    <w:rsid w:val="761C3731"/>
    <w:rsid w:val="765748C8"/>
    <w:rsid w:val="76680ED5"/>
    <w:rsid w:val="76AC7129"/>
    <w:rsid w:val="76D15FF3"/>
    <w:rsid w:val="76D71D89"/>
    <w:rsid w:val="77360C17"/>
    <w:rsid w:val="773C2D8E"/>
    <w:rsid w:val="77440722"/>
    <w:rsid w:val="77550A67"/>
    <w:rsid w:val="77786603"/>
    <w:rsid w:val="77970411"/>
    <w:rsid w:val="779F7ADE"/>
    <w:rsid w:val="77B83BB6"/>
    <w:rsid w:val="77BA2D12"/>
    <w:rsid w:val="7855561B"/>
    <w:rsid w:val="7856516E"/>
    <w:rsid w:val="7856695F"/>
    <w:rsid w:val="7866427B"/>
    <w:rsid w:val="7894362F"/>
    <w:rsid w:val="78A65DD0"/>
    <w:rsid w:val="78B06E49"/>
    <w:rsid w:val="78F70F79"/>
    <w:rsid w:val="78F732D8"/>
    <w:rsid w:val="790F1791"/>
    <w:rsid w:val="791F3849"/>
    <w:rsid w:val="795E601F"/>
    <w:rsid w:val="797350BA"/>
    <w:rsid w:val="79775EC9"/>
    <w:rsid w:val="799464C4"/>
    <w:rsid w:val="79D00415"/>
    <w:rsid w:val="79EE2754"/>
    <w:rsid w:val="7A1A7F37"/>
    <w:rsid w:val="7A1C7B11"/>
    <w:rsid w:val="7A227394"/>
    <w:rsid w:val="7A2F4AE0"/>
    <w:rsid w:val="7A3179C2"/>
    <w:rsid w:val="7A37206F"/>
    <w:rsid w:val="7A741385"/>
    <w:rsid w:val="7A7E5483"/>
    <w:rsid w:val="7A7E56CA"/>
    <w:rsid w:val="7A7F20BA"/>
    <w:rsid w:val="7AAF231C"/>
    <w:rsid w:val="7ABD1167"/>
    <w:rsid w:val="7AC84743"/>
    <w:rsid w:val="7AEC20F3"/>
    <w:rsid w:val="7B2F1AD6"/>
    <w:rsid w:val="7B6C0247"/>
    <w:rsid w:val="7B7027FC"/>
    <w:rsid w:val="7B740622"/>
    <w:rsid w:val="7B7848C7"/>
    <w:rsid w:val="7B8D786E"/>
    <w:rsid w:val="7B994BC5"/>
    <w:rsid w:val="7BDC7402"/>
    <w:rsid w:val="7BE145C1"/>
    <w:rsid w:val="7C152DD9"/>
    <w:rsid w:val="7C253132"/>
    <w:rsid w:val="7C440ADF"/>
    <w:rsid w:val="7C520931"/>
    <w:rsid w:val="7C632F18"/>
    <w:rsid w:val="7C9B2B8D"/>
    <w:rsid w:val="7CCE390B"/>
    <w:rsid w:val="7CD535CF"/>
    <w:rsid w:val="7CE633A8"/>
    <w:rsid w:val="7D34076E"/>
    <w:rsid w:val="7D4C75A5"/>
    <w:rsid w:val="7D53381A"/>
    <w:rsid w:val="7D624404"/>
    <w:rsid w:val="7D7477AD"/>
    <w:rsid w:val="7DBB0FE6"/>
    <w:rsid w:val="7DEB2B99"/>
    <w:rsid w:val="7DF25444"/>
    <w:rsid w:val="7DF27933"/>
    <w:rsid w:val="7E1A21B9"/>
    <w:rsid w:val="7E2C708B"/>
    <w:rsid w:val="7E6B4778"/>
    <w:rsid w:val="7E9B2B28"/>
    <w:rsid w:val="7EB910BD"/>
    <w:rsid w:val="7EC21E88"/>
    <w:rsid w:val="7F476E1E"/>
    <w:rsid w:val="7FA15EE9"/>
    <w:rsid w:val="7FA77E3B"/>
    <w:rsid w:val="7FF10E47"/>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1"/>
    <w:unhideWhenUsed/>
    <w:qFormat/>
    <w:uiPriority w:val="0"/>
    <w:pPr>
      <w:numPr>
        <w:ilvl w:val="0"/>
        <w:numId w:val="1"/>
      </w:numPr>
      <w:spacing w:line="360" w:lineRule="auto"/>
      <w:ind w:firstLine="480" w:firstLineChars="200"/>
      <w:jc w:val="left"/>
      <w:outlineLvl w:val="1"/>
    </w:pPr>
    <w:rPr>
      <w:rFonts w:ascii="Arial" w:hAnsi="Arial" w:eastAsia="宋体" w:cs="Times New Roman"/>
      <w:color w:val="000000" w:themeColor="text1"/>
      <w:sz w:val="24"/>
      <w:szCs w:val="2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5">
    <w:name w:val="Body Text"/>
    <w:basedOn w:val="1"/>
    <w:qFormat/>
    <w:uiPriority w:val="1"/>
    <w:rPr>
      <w:sz w:val="24"/>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unhideWhenUsed/>
    <w:qFormat/>
    <w:uiPriority w:val="0"/>
    <w:rPr>
      <w:color w:val="0091F2"/>
      <w:sz w:val="18"/>
      <w:szCs w:val="18"/>
      <w:u w:val="none"/>
    </w:rPr>
  </w:style>
  <w:style w:type="character" w:styleId="13">
    <w:name w:val="Hyperlink"/>
    <w:basedOn w:val="10"/>
    <w:unhideWhenUsed/>
    <w:qFormat/>
    <w:uiPriority w:val="0"/>
    <w:rPr>
      <w:color w:val="0091F2"/>
      <w:sz w:val="18"/>
      <w:szCs w:val="18"/>
      <w:u w:val="none"/>
    </w:rPr>
  </w:style>
  <w:style w:type="character" w:styleId="14">
    <w:name w:val="HTML Code"/>
    <w:basedOn w:val="10"/>
    <w:unhideWhenUsed/>
    <w:qFormat/>
    <w:uiPriority w:val="0"/>
    <w:rPr>
      <w:rFonts w:ascii="Courier New" w:hAnsi="Courier New"/>
      <w:sz w:val="20"/>
    </w:rPr>
  </w:style>
  <w:style w:type="paragraph" w:customStyle="1" w:styleId="15">
    <w:name w:val="列表段落1"/>
    <w:basedOn w:val="1"/>
    <w:qFormat/>
    <w:uiPriority w:val="34"/>
    <w:pPr>
      <w:spacing w:before="206"/>
      <w:ind w:left="959" w:hanging="361"/>
    </w:pPr>
  </w:style>
  <w:style w:type="character" w:customStyle="1" w:styleId="16">
    <w:name w:val="cd_message"/>
    <w:basedOn w:val="10"/>
    <w:qFormat/>
    <w:uiPriority w:val="0"/>
  </w:style>
  <w:style w:type="paragraph" w:customStyle="1" w:styleId="1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列出段落1"/>
    <w:basedOn w:val="1"/>
    <w:qFormat/>
    <w:uiPriority w:val="99"/>
    <w:pPr>
      <w:ind w:firstLine="420" w:firstLineChars="200"/>
    </w:pPr>
  </w:style>
  <w:style w:type="character" w:customStyle="1" w:styleId="19">
    <w:name w:val="页眉 Char"/>
    <w:basedOn w:val="10"/>
    <w:link w:val="7"/>
    <w:qFormat/>
    <w:uiPriority w:val="0"/>
    <w:rPr>
      <w:kern w:val="2"/>
      <w:sz w:val="18"/>
      <w:szCs w:val="18"/>
    </w:rPr>
  </w:style>
  <w:style w:type="character" w:customStyle="1" w:styleId="20">
    <w:name w:val="common_over_page_btn1"/>
    <w:basedOn w:val="10"/>
    <w:qFormat/>
    <w:uiPriority w:val="0"/>
  </w:style>
  <w:style w:type="character" w:customStyle="1" w:styleId="21">
    <w:name w:val="common_over_page_btn2"/>
    <w:basedOn w:val="10"/>
    <w:qFormat/>
    <w:uiPriority w:val="0"/>
    <w:rPr>
      <w:color w:val="999999"/>
      <w:bdr w:val="single" w:color="D4D4D4" w:sz="6" w:space="0"/>
      <w:shd w:val="clear" w:color="auto" w:fill="FFFFFF"/>
    </w:rPr>
  </w:style>
  <w:style w:type="paragraph" w:customStyle="1" w:styleId="22">
    <w:name w:val="Table Paragraph"/>
    <w:basedOn w:val="1"/>
    <w:qFormat/>
    <w:uiPriority w:val="1"/>
  </w:style>
  <w:style w:type="paragraph" w:customStyle="1" w:styleId="23">
    <w:name w:val="List Paragraph"/>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8340</Words>
  <Characters>8799</Characters>
  <Lines>36</Lines>
  <Paragraphs>10</Paragraphs>
  <TotalTime>9</TotalTime>
  <ScaleCrop>false</ScaleCrop>
  <LinksUpToDate>false</LinksUpToDate>
  <CharactersWithSpaces>9309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lucy</cp:lastModifiedBy>
  <dcterms:modified xsi:type="dcterms:W3CDTF">2023-11-21T07:06:27Z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0CCB45109742491C9608F5CFE7FDA0D2</vt:lpwstr>
  </property>
</Properties>
</file>