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p>
    <w:p>
      <w:pPr>
        <w:pStyle w:val="20"/>
        <w:jc w:val="center"/>
        <w:rPr>
          <w:rFonts w:ascii="微软雅黑" w:eastAsia="微软雅黑"/>
          <w:b/>
          <w:sz w:val="36"/>
          <w:szCs w:val="36"/>
          <w:u w:val="single"/>
          <w:lang w:eastAsia="zh-CN"/>
        </w:rPr>
      </w:pPr>
      <w:r>
        <w:rPr>
          <w:rFonts w:hint="eastAsia" w:ascii="微软雅黑" w:eastAsia="微软雅黑"/>
          <w:b/>
          <w:sz w:val="36"/>
          <w:szCs w:val="36"/>
          <w:u w:val="single"/>
          <w:lang w:eastAsia="zh-CN"/>
        </w:rPr>
        <w:t>储运团队租赁燃料油6转运槽车年约项目</w:t>
      </w:r>
    </w:p>
    <w:p>
      <w:pPr>
        <w:pStyle w:val="20"/>
        <w:jc w:val="center"/>
        <w:rPr>
          <w:rFonts w:ascii="微软雅黑" w:eastAsia="微软雅黑"/>
          <w:b/>
          <w:sz w:val="52"/>
          <w:szCs w:val="52"/>
          <w:lang w:eastAsia="zh-CN"/>
        </w:rPr>
      </w:pPr>
    </w:p>
    <w:p>
      <w:pPr>
        <w:pStyle w:val="20"/>
        <w:jc w:val="center"/>
        <w:rPr>
          <w:rFonts w:ascii="微软雅黑" w:eastAsia="微软雅黑"/>
          <w:b/>
          <w:sz w:val="52"/>
          <w:szCs w:val="52"/>
          <w:lang w:eastAsia="zh-CN"/>
        </w:rPr>
      </w:pPr>
    </w:p>
    <w:p>
      <w:pPr>
        <w:pStyle w:val="20"/>
        <w:jc w:val="center"/>
        <w:rPr>
          <w:rFonts w:ascii="微软雅黑" w:eastAsia="微软雅黑"/>
          <w:b/>
          <w:sz w:val="52"/>
          <w:szCs w:val="52"/>
          <w:lang w:eastAsia="zh-CN"/>
        </w:rPr>
      </w:pPr>
      <w:r>
        <w:rPr>
          <w:rFonts w:hint="eastAsia" w:ascii="微软雅黑" w:eastAsia="微软雅黑"/>
          <w:b/>
          <w:sz w:val="52"/>
          <w:szCs w:val="52"/>
          <w:lang w:eastAsia="zh-CN"/>
        </w:rPr>
        <w:t>比选文件</w:t>
      </w:r>
    </w:p>
    <w:p>
      <w:pPr>
        <w:pStyle w:val="2"/>
        <w:jc w:val="center"/>
        <w:rPr>
          <w:sz w:val="28"/>
          <w:szCs w:val="28"/>
        </w:rPr>
      </w:pPr>
      <w:r>
        <w:rPr>
          <w:rFonts w:hint="eastAsia"/>
          <w:sz w:val="28"/>
          <w:szCs w:val="28"/>
        </w:rPr>
        <w:t>（文件编号：</w:t>
      </w:r>
      <w:r>
        <w:rPr>
          <w:sz w:val="28"/>
          <w:szCs w:val="28"/>
          <w:u w:val="single"/>
        </w:rPr>
        <w:t>FHC-PTCG202</w:t>
      </w:r>
      <w:r>
        <w:rPr>
          <w:rFonts w:hint="eastAsia"/>
          <w:sz w:val="28"/>
          <w:szCs w:val="28"/>
          <w:u w:val="single"/>
          <w:lang w:val="en-US" w:eastAsia="zh-CN"/>
        </w:rPr>
        <w:t>3</w:t>
      </w:r>
      <w:r>
        <w:rPr>
          <w:rFonts w:hint="eastAsia"/>
          <w:sz w:val="28"/>
          <w:szCs w:val="28"/>
          <w:u w:val="single"/>
        </w:rPr>
        <w:t>09</w:t>
      </w:r>
      <w:r>
        <w:rPr>
          <w:rFonts w:hint="eastAsia"/>
          <w:sz w:val="28"/>
          <w:szCs w:val="28"/>
          <w:u w:val="single"/>
          <w:lang w:val="en-US" w:eastAsia="zh-CN"/>
        </w:rPr>
        <w:t>30</w:t>
      </w:r>
      <w:r>
        <w:rPr>
          <w:rFonts w:hint="eastAsia"/>
          <w:sz w:val="28"/>
          <w:szCs w:val="28"/>
          <w:u w:val="single"/>
        </w:rPr>
        <w:t>002</w:t>
      </w:r>
      <w:r>
        <w:rPr>
          <w:sz w:val="28"/>
          <w:szCs w:val="28"/>
          <w:u w:val="single"/>
        </w:rPr>
        <w:t xml:space="preserve"> </w:t>
      </w:r>
      <w:r>
        <w:rPr>
          <w:rFonts w:hint="eastAsia"/>
          <w:sz w:val="28"/>
          <w:szCs w:val="28"/>
        </w:rPr>
        <w:t xml:space="preserve"> ）</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福建福海创石油化工</w:t>
      </w:r>
      <w:r>
        <w:rPr>
          <w:rFonts w:ascii="微软雅黑" w:hAnsi="微软雅黑" w:eastAsia="微软雅黑"/>
          <w:b/>
          <w:sz w:val="28"/>
          <w:szCs w:val="28"/>
        </w:rPr>
        <w:t>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三</w:t>
      </w:r>
      <w:r>
        <w:rPr>
          <w:rFonts w:hint="eastAsia" w:ascii="微软雅黑" w:eastAsia="微软雅黑"/>
          <w:b/>
          <w:w w:val="95"/>
          <w:sz w:val="32"/>
          <w:lang w:eastAsia="zh-CN"/>
        </w:rPr>
        <w:t>年</w:t>
      </w:r>
      <w:r>
        <w:rPr>
          <w:rFonts w:hint="eastAsia" w:ascii="微软雅黑" w:eastAsia="微软雅黑"/>
          <w:b/>
          <w:w w:val="95"/>
          <w:sz w:val="32"/>
          <w:lang w:val="en-US" w:eastAsia="zh-CN"/>
        </w:rPr>
        <w:t>十一</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spacing w:line="360" w:lineRule="auto"/>
        <w:jc w:val="center"/>
        <w:rPr>
          <w:b/>
          <w:i/>
          <w:iCs/>
          <w:color w:val="C00000"/>
          <w:sz w:val="30"/>
          <w:szCs w:val="30"/>
          <w:lang w:eastAsia="zh-CN"/>
        </w:rPr>
      </w:pPr>
      <w:r>
        <w:rPr>
          <w:rFonts w:hint="eastAsia"/>
          <w:b/>
          <w:i/>
          <w:iCs/>
          <w:color w:val="C00000"/>
          <w:sz w:val="30"/>
          <w:szCs w:val="30"/>
          <w:lang w:eastAsia="zh-CN"/>
        </w:rPr>
        <w:t>参选文件编写说明</w:t>
      </w:r>
    </w:p>
    <w:p>
      <w:pPr>
        <w:spacing w:line="360" w:lineRule="auto"/>
        <w:jc w:val="center"/>
        <w:rPr>
          <w:b/>
          <w:i/>
          <w:iCs/>
          <w:color w:val="C00000"/>
          <w:sz w:val="30"/>
          <w:szCs w:val="30"/>
          <w:u w:val="double"/>
          <w:lang w:eastAsia="zh-CN"/>
        </w:rPr>
      </w:pPr>
      <w:r>
        <w:rPr>
          <w:rFonts w:hint="eastAsia"/>
          <w:b/>
          <w:i/>
          <w:iCs/>
          <w:color w:val="C00000"/>
          <w:sz w:val="30"/>
          <w:szCs w:val="30"/>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封口处均需加盖骑缝章。商务参选文件和技术参选文件电子拷贝一份（随商务参选文件包装）。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30"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8、以下文件中红色字体部分，打印时请删除。</w:t>
      </w:r>
    </w:p>
    <w:p>
      <w:pPr>
        <w:rPr>
          <w:szCs w:val="21"/>
          <w:lang w:eastAsia="zh-CN"/>
        </w:rPr>
      </w:pPr>
    </w:p>
    <w:p>
      <w:pPr>
        <w:pStyle w:val="2"/>
      </w:pPr>
    </w:p>
    <w:p>
      <w:pPr>
        <w:pStyle w:val="2"/>
      </w:pPr>
    </w:p>
    <w:p>
      <w:pPr>
        <w:pStyle w:val="2"/>
      </w:pPr>
    </w:p>
    <w:p>
      <w:pPr>
        <w:pStyle w:val="2"/>
      </w:pPr>
    </w:p>
    <w:p>
      <w:pPr>
        <w:pStyle w:val="2"/>
        <w:spacing w:line="400" w:lineRule="exact"/>
        <w:jc w:val="center"/>
        <w:rPr>
          <w:rFonts w:asciiTheme="majorEastAsia" w:hAnsiTheme="majorEastAsia" w:eastAsiaTheme="majorEastAsia"/>
          <w:bCs/>
          <w:sz w:val="32"/>
          <w:szCs w:val="32"/>
        </w:rPr>
      </w:pPr>
      <w:r>
        <w:rPr>
          <w:rFonts w:hint="eastAsia"/>
          <w:sz w:val="32"/>
          <w:szCs w:val="32"/>
        </w:rPr>
        <w:t>储运团队租赁</w:t>
      </w:r>
      <w:r>
        <w:rPr>
          <w:rFonts w:hint="eastAsia"/>
          <w:sz w:val="32"/>
          <w:szCs w:val="32"/>
          <w:lang w:eastAsia="zh-CN"/>
        </w:rPr>
        <w:t>燃料油6</w:t>
      </w:r>
      <w:r>
        <w:rPr>
          <w:rFonts w:hint="eastAsia"/>
          <w:sz w:val="32"/>
          <w:szCs w:val="32"/>
        </w:rPr>
        <w:t>转运槽车年约</w:t>
      </w:r>
      <w:r>
        <w:rPr>
          <w:rFonts w:hint="eastAsia" w:asciiTheme="majorEastAsia" w:hAnsiTheme="majorEastAsia" w:eastAsiaTheme="majorEastAsia"/>
          <w:bCs/>
          <w:sz w:val="32"/>
          <w:szCs w:val="32"/>
        </w:rPr>
        <w:t>项目</w:t>
      </w:r>
    </w:p>
    <w:p>
      <w:pPr>
        <w:pStyle w:val="2"/>
        <w:spacing w:line="400" w:lineRule="exact"/>
        <w:jc w:val="center"/>
        <w:rPr>
          <w:rFonts w:asciiTheme="majorEastAsia" w:hAnsiTheme="majorEastAsia" w:eastAsiaTheme="majorEastAsia"/>
          <w:bCs/>
          <w:sz w:val="32"/>
          <w:szCs w:val="32"/>
        </w:rPr>
      </w:pPr>
      <w:r>
        <w:rPr>
          <w:rFonts w:hint="eastAsia" w:asciiTheme="majorEastAsia" w:hAnsiTheme="majorEastAsia" w:eastAsiaTheme="majorEastAsia"/>
          <w:bCs/>
          <w:sz w:val="32"/>
          <w:szCs w:val="32"/>
        </w:rPr>
        <w:t>比选公告</w:t>
      </w:r>
    </w:p>
    <w:p>
      <w:pPr>
        <w:spacing w:before="38" w:line="360" w:lineRule="auto"/>
        <w:ind w:left="172" w:leftChars="78" w:firstLine="480" w:firstLineChars="200"/>
        <w:rPr>
          <w:rFonts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福建福海创石油化工</w:t>
      </w:r>
      <w:r>
        <w:rPr>
          <w:rFonts w:asciiTheme="majorEastAsia" w:hAnsiTheme="majorEastAsia" w:eastAsiaTheme="majorEastAsia"/>
          <w:sz w:val="24"/>
          <w:szCs w:val="24"/>
          <w:lang w:eastAsia="zh-CN"/>
        </w:rPr>
        <w:t>有限公司拟对本公司</w:t>
      </w:r>
      <w:r>
        <w:rPr>
          <w:rFonts w:hint="eastAsia" w:asciiTheme="majorEastAsia" w:hAnsiTheme="majorEastAsia" w:eastAsiaTheme="majorEastAsia"/>
          <w:sz w:val="24"/>
          <w:szCs w:val="24"/>
          <w:lang w:eastAsia="zh-CN"/>
        </w:rPr>
        <w:t>租赁</w:t>
      </w:r>
      <w:r>
        <w:rPr>
          <w:rFonts w:hint="eastAsia" w:asciiTheme="majorEastAsia" w:hAnsiTheme="majorEastAsia" w:eastAsiaTheme="majorEastAsia"/>
          <w:sz w:val="24"/>
          <w:szCs w:val="24"/>
          <w:u w:val="single"/>
          <w:lang w:eastAsia="zh-CN"/>
        </w:rPr>
        <w:t>燃料油6转运槽车租赁年约项目（项目编号：FHC-PTCG202</w:t>
      </w:r>
      <w:r>
        <w:rPr>
          <w:rFonts w:hint="eastAsia" w:asciiTheme="majorEastAsia" w:hAnsiTheme="majorEastAsia" w:eastAsiaTheme="majorEastAsia"/>
          <w:sz w:val="24"/>
          <w:szCs w:val="24"/>
          <w:u w:val="single"/>
          <w:lang w:val="en-US" w:eastAsia="zh-CN"/>
        </w:rPr>
        <w:t>3</w:t>
      </w:r>
      <w:r>
        <w:rPr>
          <w:rFonts w:hint="eastAsia" w:asciiTheme="majorEastAsia" w:hAnsiTheme="majorEastAsia" w:eastAsiaTheme="majorEastAsia"/>
          <w:sz w:val="24"/>
          <w:szCs w:val="24"/>
          <w:u w:val="single"/>
          <w:lang w:eastAsia="zh-CN"/>
        </w:rPr>
        <w:t>09</w:t>
      </w:r>
      <w:r>
        <w:rPr>
          <w:rFonts w:hint="eastAsia" w:asciiTheme="majorEastAsia" w:hAnsiTheme="majorEastAsia" w:eastAsiaTheme="majorEastAsia"/>
          <w:sz w:val="24"/>
          <w:szCs w:val="24"/>
          <w:u w:val="single"/>
          <w:lang w:val="en-US" w:eastAsia="zh-CN"/>
        </w:rPr>
        <w:t>30</w:t>
      </w:r>
      <w:r>
        <w:rPr>
          <w:rFonts w:hint="eastAsia" w:asciiTheme="majorEastAsia" w:hAnsiTheme="majorEastAsia" w:eastAsiaTheme="majorEastAsia"/>
          <w:sz w:val="24"/>
          <w:szCs w:val="24"/>
          <w:u w:val="single"/>
          <w:lang w:eastAsia="zh-CN"/>
        </w:rPr>
        <w:t>002）</w:t>
      </w:r>
      <w:r>
        <w:rPr>
          <w:sz w:val="24"/>
          <w:szCs w:val="24"/>
          <w:lang w:eastAsia="zh-CN"/>
        </w:rPr>
        <w:t>进行</w:t>
      </w:r>
      <w:r>
        <w:rPr>
          <w:rFonts w:hint="eastAsia"/>
          <w:sz w:val="24"/>
          <w:szCs w:val="24"/>
          <w:lang w:eastAsia="zh-CN"/>
        </w:rPr>
        <w:t>国内</w:t>
      </w:r>
      <w:r>
        <w:rPr>
          <w:sz w:val="24"/>
          <w:szCs w:val="24"/>
          <w:lang w:eastAsia="zh-CN"/>
        </w:rPr>
        <w:t>公开比选。为了“公开、公平、公正、透明”，引导参选人进行正确参选，特制定本规定文件</w:t>
      </w:r>
      <w:r>
        <w:rPr>
          <w:rFonts w:hint="eastAsia"/>
          <w:sz w:val="24"/>
          <w:szCs w:val="24"/>
          <w:lang w:eastAsia="zh-CN"/>
        </w:rPr>
        <w:t>，欢迎国内符合条件的供应商积极参选</w:t>
      </w:r>
      <w:r>
        <w:rPr>
          <w:sz w:val="24"/>
          <w:szCs w:val="24"/>
          <w:lang w:eastAsia="zh-CN"/>
        </w:rPr>
        <w:t>。</w:t>
      </w:r>
    </w:p>
    <w:p>
      <w:pPr>
        <w:pStyle w:val="70"/>
        <w:numPr>
          <w:ilvl w:val="0"/>
          <w:numId w:val="6"/>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项目概况</w:t>
      </w:r>
    </w:p>
    <w:p>
      <w:pPr>
        <w:pStyle w:val="70"/>
        <w:numPr>
          <w:ilvl w:val="0"/>
          <w:numId w:val="7"/>
        </w:numPr>
        <w:autoSpaceDE/>
        <w:autoSpaceDN/>
        <w:spacing w:before="0" w:line="360" w:lineRule="auto"/>
        <w:ind w:left="426" w:firstLine="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项目名称：</w:t>
      </w:r>
      <w:r>
        <w:rPr>
          <w:rFonts w:hint="eastAsia"/>
          <w:sz w:val="24"/>
          <w:lang w:eastAsia="zh-CN"/>
        </w:rPr>
        <w:t>储运团队租赁燃料油6转运槽车年约</w:t>
      </w:r>
    </w:p>
    <w:p>
      <w:pPr>
        <w:pStyle w:val="70"/>
        <w:numPr>
          <w:ilvl w:val="0"/>
          <w:numId w:val="7"/>
        </w:numPr>
        <w:autoSpaceDE/>
        <w:autoSpaceDN/>
        <w:spacing w:before="0" w:line="360" w:lineRule="auto"/>
        <w:ind w:left="426" w:firstLine="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比选项目简要说明：</w:t>
      </w:r>
      <w:r>
        <w:rPr>
          <w:rFonts w:hint="eastAsia"/>
          <w:sz w:val="24"/>
          <w:szCs w:val="24"/>
          <w:shd w:val="clear" w:color="auto" w:fill="FFFFFF"/>
          <w:lang w:eastAsia="zh-CN"/>
        </w:rPr>
        <w:t>燃料油6罐车从储运团队装车站装燃料油6运至九号码头和PTA罐区（每月2次，每次约33吨，每次约40</w:t>
      </w:r>
      <w:r>
        <w:rPr>
          <w:rFonts w:hint="eastAsia"/>
          <w:i/>
          <w:iCs/>
          <w:sz w:val="24"/>
          <w:szCs w:val="24"/>
          <w:shd w:val="clear" w:color="auto" w:fill="FFFFFF"/>
          <w:lang w:eastAsia="zh-CN"/>
        </w:rPr>
        <w:t>公</w:t>
      </w:r>
      <w:r>
        <w:rPr>
          <w:rFonts w:hint="eastAsia"/>
          <w:sz w:val="24"/>
          <w:szCs w:val="24"/>
          <w:shd w:val="clear" w:color="auto" w:fill="FFFFFF"/>
          <w:lang w:eastAsia="zh-CN"/>
        </w:rPr>
        <w:t>里）</w:t>
      </w:r>
      <w:r>
        <w:rPr>
          <w:rFonts w:hint="eastAsia" w:asciiTheme="majorEastAsia" w:hAnsiTheme="majorEastAsia" w:eastAsiaTheme="majorEastAsia"/>
          <w:sz w:val="24"/>
          <w:szCs w:val="24"/>
          <w:lang w:eastAsia="zh-CN"/>
        </w:rPr>
        <w:t xml:space="preserve">                    </w:t>
      </w:r>
    </w:p>
    <w:p>
      <w:pPr>
        <w:pStyle w:val="70"/>
        <w:numPr>
          <w:ilvl w:val="0"/>
          <w:numId w:val="7"/>
        </w:numPr>
        <w:autoSpaceDE/>
        <w:autoSpaceDN/>
        <w:spacing w:before="0" w:line="360" w:lineRule="auto"/>
        <w:ind w:left="426" w:firstLine="0"/>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rPr>
        <w:t>比选控制价：</w:t>
      </w:r>
      <w:r>
        <w:rPr>
          <w:rFonts w:hint="eastAsia" w:asciiTheme="majorEastAsia" w:hAnsiTheme="majorEastAsia" w:eastAsiaTheme="majorEastAsia"/>
          <w:bCs/>
          <w:sz w:val="24"/>
          <w:szCs w:val="24"/>
          <w:lang w:eastAsia="zh-CN"/>
        </w:rPr>
        <w:t>144000.00元</w:t>
      </w:r>
    </w:p>
    <w:p>
      <w:pPr>
        <w:pStyle w:val="70"/>
        <w:numPr>
          <w:ilvl w:val="0"/>
          <w:numId w:val="7"/>
        </w:numPr>
        <w:autoSpaceDE/>
        <w:autoSpaceDN/>
        <w:spacing w:before="0" w:line="360" w:lineRule="auto"/>
        <w:ind w:left="426" w:firstLine="0"/>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lang w:eastAsia="zh-CN"/>
        </w:rPr>
        <w:t>服务期限；24个月</w:t>
      </w:r>
    </w:p>
    <w:p>
      <w:pPr>
        <w:pStyle w:val="70"/>
        <w:numPr>
          <w:ilvl w:val="0"/>
          <w:numId w:val="6"/>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参选人资格要求</w:t>
      </w:r>
    </w:p>
    <w:p>
      <w:pPr>
        <w:pStyle w:val="70"/>
        <w:widowControl/>
        <w:autoSpaceDE/>
        <w:autoSpaceDN/>
        <w:spacing w:before="0" w:line="360" w:lineRule="auto"/>
        <w:ind w:left="426" w:firstLine="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70"/>
        <w:widowControl/>
        <w:autoSpaceDE/>
        <w:autoSpaceDN/>
        <w:spacing w:before="0" w:line="360" w:lineRule="auto"/>
        <w:ind w:left="426"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70"/>
        <w:widowControl/>
        <w:autoSpaceDE/>
        <w:autoSpaceDN/>
        <w:spacing w:before="0" w:line="360" w:lineRule="auto"/>
        <w:ind w:left="427" w:leftChars="194"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pStyle w:val="70"/>
        <w:widowControl/>
        <w:autoSpaceDE/>
        <w:autoSpaceDN/>
        <w:spacing w:before="0" w:line="360" w:lineRule="auto"/>
        <w:ind w:left="427" w:leftChars="194"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本项目不接受联合体投标</w:t>
      </w:r>
      <w:r>
        <w:rPr>
          <w:rFonts w:hint="eastAsia"/>
          <w:sz w:val="24"/>
          <w:szCs w:val="24"/>
          <w:lang w:eastAsia="zh-CN"/>
        </w:rPr>
        <w:t>。</w:t>
      </w:r>
    </w:p>
    <w:p>
      <w:pPr>
        <w:pStyle w:val="70"/>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  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9</w:t>
      </w:r>
      <w:r>
        <w:rPr>
          <w:rFonts w:hint="eastAsia" w:asciiTheme="majorEastAsia" w:hAnsiTheme="majorEastAsia" w:eastAsiaTheme="majorEastAsia"/>
          <w:sz w:val="24"/>
          <w:szCs w:val="24"/>
          <w:lang w:eastAsia="zh-CN"/>
        </w:rPr>
        <w:t>日至1</w:t>
      </w: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16</w:t>
      </w:r>
      <w:r>
        <w:rPr>
          <w:rFonts w:hint="eastAsia" w:asciiTheme="majorEastAsia" w:hAnsiTheme="majorEastAsia" w:eastAsiaTheme="majorEastAsia"/>
          <w:sz w:val="24"/>
          <w:szCs w:val="24"/>
          <w:lang w:eastAsia="zh-CN"/>
        </w:rPr>
        <w:t>日（共</w:t>
      </w: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lang w:eastAsia="zh-CN"/>
        </w:rPr>
        <w:t>天）</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53"/>
          <w:rFonts w:hint="eastAsia" w:asciiTheme="majorEastAsia" w:hAnsiTheme="majorEastAsia" w:eastAsiaTheme="majorEastAsia"/>
          <w:sz w:val="24"/>
          <w:szCs w:val="24"/>
          <w:lang w:val="en-US" w:eastAsia="zh-CN"/>
        </w:rPr>
        <w:t>zyhe</w:t>
      </w:r>
      <w:r>
        <w:rPr>
          <w:rStyle w:val="53"/>
          <w:rFonts w:hint="eastAsia" w:asciiTheme="majorEastAsia" w:hAnsiTheme="majorEastAsia" w:eastAsiaTheme="majorEastAsia"/>
          <w:sz w:val="24"/>
          <w:szCs w:val="24"/>
          <w:lang w:eastAsia="zh-CN"/>
        </w:rPr>
        <w:t>@fhcpec.com.cn</w:t>
      </w:r>
      <w:r>
        <w:rPr>
          <w:rStyle w:val="53"/>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w:t>
      </w:r>
      <w:bookmarkStart w:id="1" w:name="_GoBack"/>
      <w:bookmarkEnd w:id="1"/>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未报名的参选人不能参加本项目比选。</w:t>
      </w:r>
    </w:p>
    <w:p>
      <w:pPr>
        <w:pStyle w:val="3"/>
        <w:spacing w:line="360" w:lineRule="auto"/>
        <w:ind w:left="0" w:firstLine="458" w:firstLineChars="20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递交截止时间：报名截止时间延后2个工作日</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10"/>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何震洋</w:t>
      </w:r>
      <w:r>
        <w:rPr>
          <w:rFonts w:hint="eastAsia" w:cs="宋体" w:asciiTheme="majorEastAsia" w:hAnsiTheme="majorEastAsia" w:eastAsiaTheme="majorEastAsia"/>
          <w:bCs/>
          <w:szCs w:val="24"/>
        </w:rPr>
        <w:t xml:space="preserve">  电话：</w:t>
      </w:r>
      <w:r>
        <w:rPr>
          <w:rFonts w:hint="eastAsia" w:cs="宋体" w:asciiTheme="majorEastAsia" w:hAnsiTheme="majorEastAsia" w:eastAsiaTheme="majorEastAsia"/>
          <w:bCs/>
          <w:szCs w:val="24"/>
          <w:lang w:val="en-US" w:eastAsia="zh-CN"/>
        </w:rPr>
        <w:t>15259232765</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t>zyhe</w:t>
      </w:r>
      <w:r>
        <w:rPr>
          <w:rFonts w:hint="eastAsia" w:cs="宋体" w:asciiTheme="majorEastAsia" w:hAnsiTheme="majorEastAsia" w:eastAsiaTheme="majorEastAsia"/>
          <w:bCs/>
          <w:szCs w:val="24"/>
        </w:rPr>
        <w:t>@fhcpec.com.cn</w:t>
      </w:r>
    </w:p>
    <w:p>
      <w:pPr>
        <w:pStyle w:val="10"/>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 xml:space="preserve">纪检监察室电话：0596-6311774  </w:t>
      </w:r>
    </w:p>
    <w:p>
      <w:pPr>
        <w:pStyle w:val="10"/>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pStyle w:val="2"/>
        <w:rPr>
          <w:b/>
          <w:sz w:val="28"/>
          <w:szCs w:val="28"/>
        </w:rPr>
      </w:pPr>
      <w:r>
        <w:rPr>
          <w:rFonts w:hint="eastAsia"/>
          <w:b/>
          <w:sz w:val="28"/>
          <w:szCs w:val="28"/>
        </w:rPr>
        <w:t>一、</w:t>
      </w:r>
    </w:p>
    <w:p>
      <w:pPr>
        <w:spacing w:line="360" w:lineRule="auto"/>
        <w:rPr>
          <w:color w:val="000000"/>
          <w:sz w:val="24"/>
          <w:szCs w:val="24"/>
          <w:lang w:eastAsia="zh-CN"/>
        </w:rPr>
      </w:pPr>
      <w:r>
        <w:rPr>
          <w:rFonts w:hint="eastAsia"/>
          <w:color w:val="000000"/>
          <w:sz w:val="24"/>
          <w:szCs w:val="24"/>
          <w:lang w:eastAsia="zh-CN"/>
        </w:rPr>
        <w:t>1、参选单位企业概况（包含但不限于企业简介、营业执照、开户许可证、经营状况等其他可以证明参选人的相关材料，凡弄虚作假的，一经查实，比选人有权取消其中选资格）。</w:t>
      </w:r>
    </w:p>
    <w:p>
      <w:pPr>
        <w:pStyle w:val="3"/>
        <w:spacing w:line="360" w:lineRule="auto"/>
        <w:ind w:left="0"/>
        <w:rPr>
          <w:sz w:val="24"/>
          <w:szCs w:val="24"/>
          <w:lang w:eastAsia="zh-CN"/>
        </w:rPr>
      </w:pPr>
      <w:r>
        <w:rPr>
          <w:rFonts w:hint="eastAsia"/>
          <w:color w:val="000000"/>
          <w:sz w:val="24"/>
          <w:szCs w:val="24"/>
          <w:lang w:eastAsia="zh-CN"/>
        </w:rPr>
        <w:t>2、</w:t>
      </w:r>
      <w:r>
        <w:rPr>
          <w:w w:val="95"/>
          <w:sz w:val="24"/>
          <w:szCs w:val="24"/>
          <w:lang w:eastAsia="zh-CN"/>
        </w:rPr>
        <w:t>参选保证金</w:t>
      </w:r>
    </w:p>
    <w:p>
      <w:pPr>
        <w:widowControl/>
        <w:autoSpaceDE/>
        <w:autoSpaceDN/>
        <w:spacing w:line="360" w:lineRule="auto"/>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1）参选保证金的金额为：人民币三仟元整（3000.00元）；</w:t>
      </w:r>
    </w:p>
    <w:p>
      <w:pPr>
        <w:widowControl/>
        <w:autoSpaceDE/>
        <w:autoSpaceDN/>
        <w:spacing w:line="360" w:lineRule="auto"/>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应从参选人基本账户以电汇或银行转账方式提交（以款项到达时间为准），并在电汇或银行转账单上注明为本项目的参选保证金；</w:t>
      </w:r>
    </w:p>
    <w:p>
      <w:pPr>
        <w:widowControl/>
        <w:autoSpaceDE/>
        <w:autoSpaceDN/>
        <w:spacing w:line="360" w:lineRule="auto"/>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color w:val="333333"/>
          <w:sz w:val="24"/>
          <w:szCs w:val="24"/>
          <w:lang w:eastAsia="zh-CN"/>
        </w:rPr>
        <w:t>租赁</w:t>
      </w:r>
      <w:r>
        <w:rPr>
          <w:rFonts w:hint="eastAsia" w:asciiTheme="majorEastAsia" w:hAnsiTheme="majorEastAsia" w:eastAsiaTheme="majorEastAsia"/>
          <w:b/>
          <w:sz w:val="24"/>
          <w:szCs w:val="24"/>
          <w:lang w:eastAsia="zh-CN"/>
        </w:rPr>
        <w:t>转运槽车年约项目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w:t>
      </w:r>
    </w:p>
    <w:p>
      <w:pPr>
        <w:pStyle w:val="20"/>
        <w:spacing w:line="360" w:lineRule="auto"/>
        <w:ind w:right="121"/>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spacing w:line="360" w:lineRule="auto"/>
        <w:ind w:firstLine="360" w:firstLineChars="150"/>
        <w:rPr>
          <w:color w:val="000000"/>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ind w:left="0"/>
        <w:rPr>
          <w:sz w:val="24"/>
          <w:szCs w:val="24"/>
          <w:lang w:eastAsia="zh-CN"/>
        </w:rPr>
      </w:pPr>
      <w:r>
        <w:rPr>
          <w:rFonts w:hint="eastAsia"/>
          <w:w w:val="95"/>
          <w:sz w:val="24"/>
          <w:szCs w:val="24"/>
          <w:lang w:eastAsia="zh-CN"/>
        </w:rPr>
        <w:t>3</w:t>
      </w:r>
      <w:r>
        <w:rPr>
          <w:w w:val="95"/>
          <w:sz w:val="24"/>
          <w:szCs w:val="24"/>
          <w:lang w:eastAsia="zh-CN"/>
        </w:rPr>
        <w:t>、参选文件的递交</w:t>
      </w:r>
    </w:p>
    <w:p>
      <w:pPr>
        <w:pStyle w:val="4"/>
        <w:tabs>
          <w:tab w:val="left" w:pos="6879"/>
        </w:tabs>
        <w:spacing w:line="360" w:lineRule="auto"/>
        <w:ind w:left="0" w:right="106"/>
        <w:rPr>
          <w:lang w:eastAsia="zh-CN"/>
        </w:rPr>
      </w:pPr>
      <w:r>
        <w:rPr>
          <w:lang w:eastAsia="zh-CN"/>
        </w:rPr>
        <w:t>1</w:t>
      </w:r>
      <w:r>
        <w:rPr>
          <w:rFonts w:hint="eastAsia"/>
          <w:lang w:eastAsia="zh-CN"/>
        </w:rPr>
        <w:t>）</w:t>
      </w:r>
      <w:r>
        <w:rPr>
          <w:lang w:eastAsia="zh-CN"/>
        </w:rPr>
        <w:t>参选文件递交的截止时间：</w:t>
      </w:r>
      <w:r>
        <w:rPr>
          <w:rFonts w:hint="eastAsia"/>
          <w:lang w:eastAsia="zh-CN"/>
        </w:rPr>
        <w:t>见比选公告</w:t>
      </w:r>
    </w:p>
    <w:p>
      <w:pPr>
        <w:pStyle w:val="4"/>
        <w:tabs>
          <w:tab w:val="left" w:pos="6879"/>
        </w:tabs>
        <w:spacing w:line="360" w:lineRule="auto"/>
        <w:ind w:left="0" w:right="106"/>
        <w:rPr>
          <w:spacing w:val="-57"/>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办公楼</w:t>
      </w:r>
      <w:r>
        <w:rPr>
          <w:spacing w:val="4"/>
          <w:lang w:eastAsia="zh-CN"/>
        </w:rPr>
        <w:t>（</w:t>
      </w:r>
      <w:r>
        <w:rPr>
          <w:rFonts w:hint="eastAsia"/>
          <w:spacing w:val="4"/>
          <w:lang w:eastAsia="zh-CN"/>
        </w:rPr>
        <w:t>漳州市漳浦县杜浔镇杜昌路9号</w:t>
      </w:r>
      <w:r>
        <w:rPr>
          <w:spacing w:val="4"/>
          <w:lang w:eastAsia="zh-CN"/>
        </w:rPr>
        <w:t>）</w:t>
      </w:r>
    </w:p>
    <w:p>
      <w:pPr>
        <w:pStyle w:val="4"/>
        <w:tabs>
          <w:tab w:val="left" w:pos="6879"/>
        </w:tabs>
        <w:spacing w:line="360" w:lineRule="auto"/>
        <w:ind w:left="627" w:leftChars="285" w:right="106" w:firstLine="1299" w:firstLineChars="539"/>
        <w:rPr>
          <w:rFonts w:hint="default"/>
          <w:lang w:val="en-US" w:eastAsia="zh-CN"/>
        </w:rPr>
      </w:pPr>
      <w:r>
        <w:rPr>
          <w:rFonts w:hint="eastAsia"/>
          <w:lang w:eastAsia="zh-CN"/>
        </w:rPr>
        <w:t>商务</w:t>
      </w:r>
      <w:r>
        <w:rPr>
          <w:lang w:eastAsia="zh-CN"/>
        </w:rPr>
        <w:t>联系人</w:t>
      </w:r>
      <w:r>
        <w:rPr>
          <w:spacing w:val="-56"/>
          <w:lang w:eastAsia="zh-CN"/>
        </w:rPr>
        <w:t>：</w:t>
      </w:r>
      <w:r>
        <w:rPr>
          <w:rFonts w:hint="eastAsia"/>
          <w:bCs w:val="0"/>
          <w:lang w:val="en-US" w:eastAsia="zh-CN"/>
        </w:rPr>
        <w:t>何震洋</w:t>
      </w:r>
      <w:r>
        <w:rPr>
          <w:rFonts w:hint="eastAsia"/>
          <w:lang w:eastAsia="zh-CN"/>
        </w:rPr>
        <w:t xml:space="preserve">  </w:t>
      </w:r>
      <w:r>
        <w:rPr>
          <w:spacing w:val="-6"/>
          <w:lang w:eastAsia="zh-CN"/>
        </w:rPr>
        <w:t xml:space="preserve"> </w:t>
      </w:r>
      <w:r>
        <w:rPr>
          <w:rFonts w:hint="eastAsia"/>
          <w:spacing w:val="-6"/>
          <w:lang w:eastAsia="zh-CN"/>
        </w:rPr>
        <w:t xml:space="preserve"> </w:t>
      </w:r>
      <w:r>
        <w:rPr>
          <w:rFonts w:hint="eastAsia"/>
          <w:spacing w:val="-6"/>
          <w:lang w:val="en-US" w:eastAsia="zh-CN"/>
        </w:rPr>
        <w:t xml:space="preserve">  </w:t>
      </w:r>
      <w:r>
        <w:rPr>
          <w:rFonts w:hint="eastAsia"/>
          <w:spacing w:val="-6"/>
          <w:lang w:eastAsia="zh-CN"/>
        </w:rPr>
        <w:t xml:space="preserve">  </w:t>
      </w:r>
      <w:r>
        <w:rPr>
          <w:rFonts w:hint="eastAsia"/>
          <w:spacing w:val="-6"/>
          <w:lang w:val="en-US" w:eastAsia="zh-CN"/>
        </w:rPr>
        <w:t>15259232765</w:t>
      </w:r>
    </w:p>
    <w:p>
      <w:pPr>
        <w:spacing w:line="360" w:lineRule="auto"/>
        <w:rPr>
          <w:b/>
          <w:bCs/>
          <w:spacing w:val="-4"/>
          <w:sz w:val="24"/>
          <w:szCs w:val="24"/>
          <w:lang w:eastAsia="zh-CN"/>
        </w:rPr>
      </w:pPr>
      <w:r>
        <w:rPr>
          <w:rFonts w:hint="eastAsia"/>
          <w:sz w:val="24"/>
          <w:szCs w:val="24"/>
          <w:lang w:eastAsia="zh-CN"/>
        </w:rPr>
        <w:t xml:space="preserve">                </w:t>
      </w:r>
      <w:r>
        <w:rPr>
          <w:rFonts w:hint="eastAsia"/>
          <w:b/>
          <w:bCs/>
          <w:sz w:val="24"/>
          <w:szCs w:val="24"/>
          <w:lang w:eastAsia="zh-CN"/>
        </w:rPr>
        <w:t xml:space="preserve">技术联系人：陈灿锋        </w:t>
      </w:r>
      <w:r>
        <w:rPr>
          <w:rFonts w:hint="eastAsia"/>
          <w:b/>
          <w:sz w:val="24"/>
          <w:szCs w:val="24"/>
          <w:shd w:val="clear" w:color="auto" w:fill="FFFFFF"/>
          <w:lang w:eastAsia="zh-CN"/>
        </w:rPr>
        <w:t>15260065964</w:t>
      </w:r>
    </w:p>
    <w:p>
      <w:pPr>
        <w:spacing w:line="360" w:lineRule="auto"/>
        <w:rPr>
          <w:b/>
          <w:sz w:val="24"/>
          <w:szCs w:val="24"/>
          <w:lang w:eastAsia="zh-CN"/>
        </w:rPr>
      </w:pPr>
      <w:r>
        <w:rPr>
          <w:b/>
          <w:sz w:val="24"/>
          <w:szCs w:val="24"/>
          <w:lang w:eastAsia="zh-CN"/>
        </w:rPr>
        <w:t>注：请使用顺丰快递或中国邮政 EMS 快递，其他快递不能保证送达目的地</w:t>
      </w:r>
      <w:r>
        <w:rPr>
          <w:rFonts w:hint="eastAsia"/>
          <w:b/>
          <w:sz w:val="24"/>
          <w:szCs w:val="24"/>
          <w:lang w:eastAsia="zh-CN"/>
        </w:rPr>
        <w:t>（费用自理）</w:t>
      </w:r>
      <w:r>
        <w:rPr>
          <w:b/>
          <w:sz w:val="24"/>
          <w:szCs w:val="24"/>
          <w:lang w:eastAsia="zh-CN"/>
        </w:rPr>
        <w:t>。</w:t>
      </w:r>
    </w:p>
    <w:p>
      <w:pPr>
        <w:pStyle w:val="20"/>
        <w:spacing w:line="360" w:lineRule="auto"/>
        <w:rPr>
          <w:lang w:eastAsia="zh-CN"/>
        </w:rPr>
      </w:pPr>
      <w:r>
        <w:rPr>
          <w:lang w:eastAsia="zh-CN"/>
        </w:rPr>
        <w:t>3</w:t>
      </w:r>
      <w:r>
        <w:rPr>
          <w:rFonts w:hint="eastAsia"/>
          <w:lang w:eastAsia="zh-CN"/>
        </w:rPr>
        <w:t>)</w:t>
      </w:r>
      <w:r>
        <w:rPr>
          <w:spacing w:val="-4"/>
          <w:lang w:eastAsia="zh-CN"/>
        </w:rPr>
        <w:t>逾期送达的或未送达指定地点或参选文件密封不符合规定要求的参选文件，比选人不予受理。参选人所提交的比选文件在评选结束后，无论中选与否都不退还。</w:t>
      </w:r>
      <w:r>
        <w:rPr>
          <w:lang w:eastAsia="zh-CN"/>
        </w:rPr>
        <w:t xml:space="preserve"> </w:t>
      </w:r>
    </w:p>
    <w:p>
      <w:pPr>
        <w:pStyle w:val="20"/>
        <w:spacing w:line="360" w:lineRule="auto"/>
        <w:ind w:right="106"/>
        <w:jc w:val="both"/>
        <w:rPr>
          <w:lang w:eastAsia="zh-CN"/>
        </w:rPr>
      </w:pPr>
      <w:r>
        <w:rPr>
          <w:lang w:eastAsia="zh-CN"/>
        </w:rPr>
        <w:t>4</w:t>
      </w:r>
      <w:r>
        <w:rPr>
          <w:rFonts w:hint="eastAsia"/>
          <w:lang w:eastAsia="zh-CN"/>
        </w:rPr>
        <w:t>)</w:t>
      </w:r>
      <w:r>
        <w:rPr>
          <w:spacing w:val="-9"/>
          <w:lang w:eastAsia="zh-CN"/>
        </w:rPr>
        <w:t>参选人收到比选文件后，如有疑问需要澄清，请以书面形式在规定时间内报比选人汇总。</w:t>
      </w:r>
    </w:p>
    <w:p>
      <w:pPr>
        <w:pStyle w:val="20"/>
        <w:spacing w:line="360" w:lineRule="auto"/>
        <w:ind w:right="106"/>
        <w:jc w:val="both"/>
        <w:rPr>
          <w:lang w:eastAsia="zh-CN"/>
        </w:rPr>
      </w:pPr>
      <w:r>
        <w:rPr>
          <w:lang w:eastAsia="zh-CN"/>
        </w:rPr>
        <w:t>5</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20"/>
        <w:spacing w:line="360" w:lineRule="auto"/>
        <w:ind w:right="106"/>
        <w:jc w:val="both"/>
        <w:rPr>
          <w:spacing w:val="-9"/>
          <w:lang w:eastAsia="zh-CN"/>
        </w:rPr>
      </w:pPr>
      <w:r>
        <w:rPr>
          <w:lang w:eastAsia="zh-CN"/>
        </w:rPr>
        <w:t>6</w:t>
      </w:r>
      <w:r>
        <w:rPr>
          <w:rFonts w:hint="eastAsia"/>
          <w:lang w:eastAsia="zh-CN"/>
        </w:rPr>
        <w:t>)</w:t>
      </w:r>
      <w:r>
        <w:rPr>
          <w:rFonts w:hint="eastAsia"/>
          <w:b/>
          <w:spacing w:val="-9"/>
          <w:lang w:eastAsia="zh-CN"/>
        </w:rPr>
        <w:t>递交的参选文件中须包含</w:t>
      </w:r>
      <w:r>
        <w:rPr>
          <w:rFonts w:hint="eastAsia"/>
          <w:b/>
          <w:color w:val="000000"/>
          <w:lang w:eastAsia="zh-CN"/>
        </w:rPr>
        <w:t>参选保证金汇款底单（</w:t>
      </w:r>
      <w:r>
        <w:rPr>
          <w:rFonts w:hint="eastAsia"/>
          <w:b/>
          <w:spacing w:val="8"/>
          <w:lang w:eastAsia="zh-CN"/>
        </w:rPr>
        <w:t>加盖单位公章的复印件</w:t>
      </w:r>
      <w:r>
        <w:rPr>
          <w:rFonts w:hint="eastAsia"/>
          <w:b/>
          <w:color w:val="000000"/>
          <w:lang w:eastAsia="zh-CN"/>
        </w:rPr>
        <w:t>）</w:t>
      </w:r>
    </w:p>
    <w:p>
      <w:pPr>
        <w:spacing w:before="15" w:line="360" w:lineRule="auto"/>
        <w:rPr>
          <w:b/>
          <w:w w:val="95"/>
          <w:sz w:val="24"/>
          <w:szCs w:val="24"/>
          <w:lang w:eastAsia="zh-CN"/>
        </w:rPr>
      </w:pPr>
      <w:r>
        <w:rPr>
          <w:rFonts w:hint="eastAsia"/>
          <w:b/>
          <w:w w:val="95"/>
          <w:sz w:val="24"/>
          <w:szCs w:val="24"/>
          <w:lang w:eastAsia="zh-CN"/>
        </w:rPr>
        <w:t>4</w:t>
      </w:r>
      <w:r>
        <w:rPr>
          <w:b/>
          <w:w w:val="95"/>
          <w:sz w:val="24"/>
          <w:szCs w:val="24"/>
          <w:lang w:eastAsia="zh-CN"/>
        </w:rPr>
        <w:t>、评选办法</w:t>
      </w:r>
    </w:p>
    <w:p>
      <w:pPr>
        <w:pStyle w:val="20"/>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144000.00元（含税价）</w:t>
      </w:r>
      <w:r>
        <w:rPr>
          <w:rFonts w:hint="eastAsia"/>
          <w:lang w:eastAsia="zh-CN"/>
        </w:rPr>
        <w:t>。参选人所填报的报价高于本项目最高限价的，其参选将被比选小组予以否决。</w:t>
      </w:r>
    </w:p>
    <w:p>
      <w:pPr>
        <w:spacing w:line="520" w:lineRule="exact"/>
        <w:ind w:firstLine="480" w:firstLineChars="200"/>
        <w:rPr>
          <w:color w:val="FF0000"/>
          <w:sz w:val="24"/>
          <w:szCs w:val="24"/>
          <w:lang w:eastAsia="zh-CN"/>
        </w:rPr>
      </w:pPr>
      <w:r>
        <w:rPr>
          <w:rFonts w:hint="eastAsia"/>
          <w:sz w:val="24"/>
          <w:szCs w:val="24"/>
          <w:lang w:eastAsia="zh-CN"/>
        </w:rPr>
        <w:t>本项目采用商务报价决标的评标办法，</w:t>
      </w:r>
      <w:r>
        <w:rPr>
          <w:sz w:val="24"/>
          <w:szCs w:val="24"/>
          <w:lang w:eastAsia="zh-CN"/>
        </w:rPr>
        <w:t>评选委员会将对通过资格的各合格参选人，</w:t>
      </w:r>
      <w:r>
        <w:rPr>
          <w:rFonts w:hint="eastAsia"/>
          <w:sz w:val="24"/>
          <w:szCs w:val="24"/>
          <w:lang w:eastAsia="zh-CN"/>
        </w:rPr>
        <w:t>进行商务报价的评选，未税总价最低者作为中选单位</w:t>
      </w:r>
      <w:r>
        <w:rPr>
          <w:sz w:val="24"/>
          <w:szCs w:val="24"/>
          <w:lang w:eastAsia="zh-CN"/>
        </w:rPr>
        <w:t>。</w:t>
      </w:r>
    </w:p>
    <w:p>
      <w:pPr>
        <w:spacing w:line="520" w:lineRule="exact"/>
        <w:rPr>
          <w:i/>
          <w:color w:val="FF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sz w:val="28"/>
          <w:szCs w:val="28"/>
        </w:rPr>
      </w:pPr>
      <w:r>
        <w:rPr>
          <w:rFonts w:hint="eastAsia"/>
          <w:b/>
          <w:sz w:val="28"/>
          <w:szCs w:val="28"/>
        </w:rPr>
        <w:t>二、</w:t>
      </w: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spacing w:line="500" w:lineRule="exact"/>
        <w:jc w:val="both"/>
        <w:rPr>
          <w:b/>
          <w:sz w:val="28"/>
          <w:szCs w:val="28"/>
          <w:lang w:eastAsia="zh-CN"/>
        </w:rPr>
      </w:pPr>
    </w:p>
    <w:p>
      <w:pPr>
        <w:spacing w:line="500" w:lineRule="exact"/>
        <w:jc w:val="both"/>
        <w:rPr>
          <w:b/>
          <w:bCs/>
          <w:sz w:val="28"/>
          <w:szCs w:val="28"/>
          <w:lang w:eastAsia="zh-CN"/>
        </w:rPr>
      </w:pPr>
      <w:r>
        <w:rPr>
          <w:rFonts w:hint="eastAsia"/>
          <w:b/>
          <w:sz w:val="28"/>
          <w:szCs w:val="28"/>
          <w:lang w:eastAsia="zh-CN"/>
        </w:rPr>
        <w:t>三、</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储运团队租赁燃料油6转运槽车年约项目</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b/>
          <w:sz w:val="28"/>
          <w:szCs w:val="28"/>
          <w:lang w:eastAsia="zh-CN"/>
        </w:rPr>
      </w:pPr>
      <w:r>
        <w:rPr>
          <w:rFonts w:hint="eastAsia"/>
          <w:b/>
          <w:sz w:val="28"/>
          <w:szCs w:val="28"/>
          <w:lang w:eastAsia="zh-CN"/>
        </w:rPr>
        <w:t>四、</w:t>
      </w:r>
    </w:p>
    <w:p>
      <w:pPr>
        <w:pStyle w:val="2"/>
      </w:pPr>
    </w:p>
    <w:p>
      <w:pPr>
        <w:pStyle w:val="2"/>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inorEastAsia" w:hAnsiTheme="minorEastAsia" w:eastAsiaTheme="minorEastAsia"/>
          <w:sz w:val="24"/>
          <w:szCs w:val="24"/>
          <w:u w:val="single"/>
          <w:lang w:eastAsia="zh-CN"/>
        </w:rPr>
        <w:t>储运团队租赁燃料油6转运槽车年约项目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72"/>
        <w:spacing w:beforeLines="0" w:afterLines="0" w:line="240" w:lineRule="auto"/>
        <w:ind w:firstLine="562"/>
        <w:rPr>
          <w:rFonts w:cs="Times New Roman"/>
          <w:b/>
          <w:bCs w:val="0"/>
          <w:lang w:eastAsia="zh-CN"/>
        </w:rPr>
      </w:pPr>
      <w:r>
        <w:rPr>
          <w:rFonts w:hint="eastAsia" w:cs="Times New Roman"/>
          <w:b/>
          <w:bCs w:val="0"/>
          <w:lang w:eastAsia="zh-CN"/>
        </w:rPr>
        <w:t>五、</w:t>
      </w: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72"/>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72"/>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储运团队租赁燃料油6转运槽车年约项目</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 （</w:t>
      </w:r>
      <w:r>
        <w:rPr>
          <w:rFonts w:hint="eastAsia"/>
          <w:sz w:val="24"/>
          <w:szCs w:val="24"/>
          <w:lang w:val="en-US" w:eastAsia="zh-CN"/>
        </w:rPr>
        <w:t>2年24个月的总费用</w:t>
      </w:r>
      <w:r>
        <w:rPr>
          <w:rFonts w:hint="eastAsia"/>
          <w:sz w:val="24"/>
          <w:szCs w:val="24"/>
          <w:lang w:eastAsia="zh-CN"/>
        </w:rPr>
        <w:t>）</w:t>
      </w:r>
    </w:p>
    <w:p>
      <w:pPr>
        <w:pStyle w:val="2"/>
        <w:spacing w:line="360" w:lineRule="auto"/>
        <w:rPr>
          <w:sz w:val="24"/>
          <w:szCs w:val="24"/>
        </w:rPr>
      </w:pPr>
      <w:r>
        <w:rPr>
          <w:rFonts w:hint="eastAsia"/>
        </w:rPr>
        <w:t xml:space="preserve">       </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72"/>
        <w:spacing w:beforeLines="0" w:afterLines="0"/>
        <w:ind w:firstLine="0" w:firstLineChars="0"/>
        <w:rPr>
          <w:rFonts w:ascii="Times New Roman"/>
          <w:b/>
          <w:bCs w:val="0"/>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r>
        <w:rPr>
          <w:rFonts w:hint="eastAsia" w:ascii="Times New Roman"/>
          <w:b/>
          <w:bCs/>
          <w:lang w:eastAsia="zh-CN"/>
        </w:rPr>
        <w:t>附件一、</w:t>
      </w:r>
    </w:p>
    <w:p>
      <w:pPr>
        <w:spacing w:line="480" w:lineRule="exact"/>
        <w:jc w:val="center"/>
        <w:rPr>
          <w:b/>
          <w:sz w:val="30"/>
          <w:szCs w:val="30"/>
          <w:lang w:eastAsia="zh-CN"/>
        </w:rPr>
      </w:pPr>
      <w:bookmarkStart w:id="0" w:name="_Toc251742852"/>
      <w:r>
        <w:rPr>
          <w:rFonts w:hint="eastAsia"/>
          <w:b/>
          <w:sz w:val="30"/>
          <w:szCs w:val="30"/>
          <w:lang w:eastAsia="zh-CN"/>
        </w:rPr>
        <w:t>腾龙芳烃（漳州）有限公司</w:t>
      </w:r>
    </w:p>
    <w:p>
      <w:pPr>
        <w:pStyle w:val="2"/>
        <w:spacing w:line="360" w:lineRule="auto"/>
        <w:jc w:val="center"/>
        <w:rPr>
          <w:b/>
          <w:sz w:val="28"/>
          <w:szCs w:val="28"/>
        </w:rPr>
      </w:pPr>
      <w:r>
        <w:rPr>
          <w:rFonts w:hint="eastAsia" w:asciiTheme="minorEastAsia" w:hAnsiTheme="minorEastAsia" w:eastAsiaTheme="minorEastAsia"/>
          <w:b/>
          <w:sz w:val="28"/>
          <w:szCs w:val="28"/>
        </w:rPr>
        <w:t>储运团队租赁</w:t>
      </w:r>
      <w:r>
        <w:rPr>
          <w:rFonts w:hint="eastAsia" w:asciiTheme="minorEastAsia" w:hAnsiTheme="minorEastAsia" w:eastAsiaTheme="minorEastAsia"/>
          <w:b/>
          <w:sz w:val="28"/>
          <w:szCs w:val="28"/>
          <w:lang w:eastAsia="zh-CN"/>
        </w:rPr>
        <w:t>燃料油6</w:t>
      </w:r>
      <w:r>
        <w:rPr>
          <w:rFonts w:hint="eastAsia" w:asciiTheme="minorEastAsia" w:hAnsiTheme="minorEastAsia" w:eastAsiaTheme="minorEastAsia"/>
          <w:b/>
          <w:sz w:val="28"/>
          <w:szCs w:val="28"/>
        </w:rPr>
        <w:t>转运槽车年约</w:t>
      </w:r>
      <w:r>
        <w:rPr>
          <w:rFonts w:hint="eastAsia"/>
          <w:b/>
          <w:sz w:val="28"/>
          <w:szCs w:val="28"/>
        </w:rPr>
        <w:t>合同</w:t>
      </w:r>
    </w:p>
    <w:tbl>
      <w:tblPr>
        <w:tblStyle w:val="47"/>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36"/>
        <w:gridCol w:w="283"/>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pPr>
              <w:spacing w:line="360" w:lineRule="auto"/>
              <w:rPr>
                <w:sz w:val="24"/>
                <w:lang w:eastAsia="zh-CN"/>
              </w:rPr>
            </w:pPr>
            <w:r>
              <w:rPr>
                <w:rFonts w:hint="eastAsia"/>
                <w:sz w:val="24"/>
                <w:lang w:eastAsia="zh-CN"/>
              </w:rPr>
              <w:t xml:space="preserve">                                                                                      </w:t>
            </w:r>
          </w:p>
        </w:tc>
        <w:tc>
          <w:tcPr>
            <w:tcW w:w="283" w:type="dxa"/>
          </w:tcPr>
          <w:p>
            <w:pPr>
              <w:spacing w:line="360" w:lineRule="auto"/>
              <w:rPr>
                <w:sz w:val="24"/>
                <w:lang w:eastAsia="zh-CN"/>
              </w:rPr>
            </w:pPr>
          </w:p>
        </w:tc>
        <w:tc>
          <w:tcPr>
            <w:tcW w:w="1418" w:type="dxa"/>
          </w:tcPr>
          <w:p>
            <w:pPr>
              <w:spacing w:line="360" w:lineRule="auto"/>
              <w:rPr>
                <w:szCs w:val="21"/>
              </w:rPr>
            </w:pPr>
            <w:r>
              <w:rPr>
                <w:rFonts w:hint="eastAsia"/>
                <w:szCs w:val="21"/>
              </w:rPr>
              <w:t>合同编号：</w:t>
            </w:r>
          </w:p>
        </w:tc>
        <w:tc>
          <w:tcPr>
            <w:tcW w:w="3649" w:type="dxa"/>
          </w:tcPr>
          <w:p>
            <w:pPr>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pPr>
              <w:spacing w:line="360" w:lineRule="auto"/>
              <w:rPr>
                <w:sz w:val="24"/>
                <w:lang w:eastAsia="zh-CN"/>
              </w:rPr>
            </w:pPr>
            <w:r>
              <w:rPr>
                <w:rFonts w:hint="eastAsia"/>
                <w:sz w:val="24"/>
                <w:lang w:eastAsia="zh-CN"/>
              </w:rPr>
              <w:t>甲方：腾龙芳烃（漳州）有限公司</w:t>
            </w:r>
          </w:p>
        </w:tc>
        <w:tc>
          <w:tcPr>
            <w:tcW w:w="283" w:type="dxa"/>
          </w:tcPr>
          <w:p>
            <w:pPr>
              <w:spacing w:line="360" w:lineRule="auto"/>
              <w:rPr>
                <w:sz w:val="24"/>
                <w:lang w:eastAsia="zh-CN"/>
              </w:rPr>
            </w:pPr>
            <w:r>
              <w:rPr>
                <w:rFonts w:hint="eastAsia"/>
                <w:sz w:val="24"/>
                <w:lang w:eastAsia="zh-CN"/>
              </w:rPr>
              <w:t xml:space="preserve">                                     </w:t>
            </w:r>
          </w:p>
        </w:tc>
        <w:tc>
          <w:tcPr>
            <w:tcW w:w="1418" w:type="dxa"/>
          </w:tcPr>
          <w:p>
            <w:pPr>
              <w:spacing w:line="360" w:lineRule="auto"/>
              <w:rPr>
                <w:szCs w:val="21"/>
              </w:rPr>
            </w:pPr>
            <w:r>
              <w:rPr>
                <w:rFonts w:hint="eastAsia"/>
                <w:szCs w:val="21"/>
              </w:rPr>
              <w:t>签订地点：</w:t>
            </w:r>
          </w:p>
        </w:tc>
        <w:tc>
          <w:tcPr>
            <w:tcW w:w="3649" w:type="dxa"/>
          </w:tcPr>
          <w:p>
            <w:pPr>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pPr>
              <w:spacing w:line="360" w:lineRule="auto"/>
              <w:rPr>
                <w:sz w:val="24"/>
                <w:lang w:eastAsia="zh-CN"/>
              </w:rPr>
            </w:pPr>
            <w:r>
              <w:rPr>
                <w:rFonts w:hint="eastAsia"/>
                <w:sz w:val="24"/>
                <w:lang w:eastAsia="zh-CN"/>
              </w:rPr>
              <w:t>乙方：</w:t>
            </w:r>
            <w:r>
              <w:rPr>
                <w:sz w:val="24"/>
                <w:lang w:eastAsia="zh-CN"/>
              </w:rPr>
              <w:t xml:space="preserve"> </w:t>
            </w:r>
          </w:p>
        </w:tc>
        <w:tc>
          <w:tcPr>
            <w:tcW w:w="283" w:type="dxa"/>
          </w:tcPr>
          <w:p>
            <w:pPr>
              <w:spacing w:line="360" w:lineRule="auto"/>
              <w:rPr>
                <w:sz w:val="24"/>
                <w:lang w:eastAsia="zh-CN"/>
              </w:rPr>
            </w:pPr>
          </w:p>
        </w:tc>
        <w:tc>
          <w:tcPr>
            <w:tcW w:w="1418" w:type="dxa"/>
          </w:tcPr>
          <w:p>
            <w:pPr>
              <w:spacing w:line="360" w:lineRule="auto"/>
              <w:rPr>
                <w:szCs w:val="21"/>
              </w:rPr>
            </w:pPr>
            <w:r>
              <w:rPr>
                <w:rFonts w:hint="eastAsia"/>
                <w:szCs w:val="21"/>
              </w:rPr>
              <w:t>签订日期：</w:t>
            </w:r>
          </w:p>
        </w:tc>
        <w:tc>
          <w:tcPr>
            <w:tcW w:w="3649" w:type="dxa"/>
          </w:tcPr>
          <w:p>
            <w:pPr>
              <w:spacing w:line="360" w:lineRule="auto"/>
              <w:rPr>
                <w:sz w:val="24"/>
              </w:rPr>
            </w:pPr>
          </w:p>
        </w:tc>
      </w:tr>
    </w:tbl>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lang w:eastAsia="zh-CN"/>
        </w:rPr>
        <w:t>根据甲方燃料油6转运需求，</w:t>
      </w:r>
      <w:r>
        <w:rPr>
          <w:rFonts w:hint="eastAsia"/>
          <w:color w:val="000000"/>
          <w:sz w:val="24"/>
          <w:szCs w:val="24"/>
          <w:lang w:eastAsia="zh-CN"/>
        </w:rPr>
        <w:t>依照《中华人民共和国民法典》及相关法律、法规的规定，遵循平等、自愿、公平和诚实信用的原则，经双方协商，就租赁燃料油6槽车的相关事宜达成协议如下：</w:t>
      </w:r>
    </w:p>
    <w:p>
      <w:pPr>
        <w:spacing w:line="360" w:lineRule="auto"/>
        <w:rPr>
          <w:color w:val="000000"/>
          <w:sz w:val="24"/>
          <w:szCs w:val="24"/>
          <w:lang w:eastAsia="zh-CN"/>
        </w:rPr>
      </w:pPr>
      <w:r>
        <w:rPr>
          <w:rFonts w:hint="eastAsia"/>
          <w:b/>
          <w:color w:val="000000"/>
          <w:sz w:val="24"/>
          <w:szCs w:val="24"/>
          <w:lang w:eastAsia="zh-CN"/>
        </w:rPr>
        <w:t>第一条</w:t>
      </w:r>
      <w:r>
        <w:rPr>
          <w:rFonts w:hint="eastAsia"/>
          <w:color w:val="000000"/>
          <w:sz w:val="24"/>
          <w:szCs w:val="24"/>
          <w:lang w:eastAsia="zh-CN"/>
        </w:rPr>
        <w:t xml:space="preserve">  燃料油6槽车租赁及租金计算与支付</w:t>
      </w:r>
    </w:p>
    <w:p>
      <w:pPr>
        <w:spacing w:line="360" w:lineRule="auto"/>
        <w:ind w:firstLine="480" w:firstLineChars="200"/>
        <w:rPr>
          <w:color w:val="000000"/>
          <w:sz w:val="24"/>
          <w:szCs w:val="24"/>
          <w:lang w:eastAsia="zh-CN"/>
        </w:rPr>
      </w:pPr>
      <w:r>
        <w:rPr>
          <w:rFonts w:hint="eastAsia"/>
          <w:color w:val="000000"/>
          <w:sz w:val="24"/>
          <w:szCs w:val="24"/>
          <w:lang w:eastAsia="zh-CN"/>
        </w:rPr>
        <w:t>1、燃料油6槽车租赁年约租金：</w:t>
      </w:r>
      <w:r>
        <w:rPr>
          <w:rFonts w:hint="eastAsia"/>
          <w:color w:val="000000"/>
          <w:sz w:val="24"/>
          <w:szCs w:val="24"/>
          <w:u w:val="single"/>
          <w:lang w:eastAsia="zh-CN"/>
        </w:rPr>
        <w:t xml:space="preserve">          </w:t>
      </w:r>
      <w:r>
        <w:rPr>
          <w:rFonts w:hint="eastAsia"/>
          <w:color w:val="000000"/>
          <w:sz w:val="24"/>
          <w:szCs w:val="24"/>
          <w:lang w:eastAsia="zh-CN"/>
        </w:rPr>
        <w:t>元整</w:t>
      </w:r>
    </w:p>
    <w:p>
      <w:pPr>
        <w:spacing w:line="360" w:lineRule="auto"/>
        <w:ind w:firstLine="480" w:firstLineChars="200"/>
        <w:rPr>
          <w:color w:val="000000"/>
          <w:sz w:val="24"/>
          <w:szCs w:val="24"/>
          <w:lang w:eastAsia="zh-CN"/>
        </w:rPr>
      </w:pPr>
      <w:r>
        <w:rPr>
          <w:rFonts w:hint="eastAsia"/>
          <w:color w:val="000000"/>
          <w:sz w:val="24"/>
          <w:szCs w:val="24"/>
          <w:lang w:eastAsia="zh-CN"/>
        </w:rPr>
        <w:t>注：（1）以上价格含税（税率为</w:t>
      </w:r>
      <w:r>
        <w:rPr>
          <w:rFonts w:hint="eastAsia"/>
          <w:color w:val="000000"/>
          <w:sz w:val="24"/>
          <w:szCs w:val="24"/>
          <w:u w:val="single"/>
          <w:lang w:eastAsia="zh-CN"/>
        </w:rPr>
        <w:t xml:space="preserve">   </w:t>
      </w:r>
      <w:r>
        <w:rPr>
          <w:rFonts w:hint="eastAsia"/>
          <w:color w:val="000000"/>
          <w:sz w:val="24"/>
          <w:szCs w:val="24"/>
          <w:lang w:eastAsia="zh-CN"/>
        </w:rPr>
        <w:t>%）、含车辆使用费、乙方操作人员（含司机等，以下同）服务费用、燃油费用、维护修理费用、车辆进出甲方场所的费用等乙方提供本合同项下租赁服务可以获得的全部费用，除非另有约定，甲方不再承担其他费用。</w:t>
      </w:r>
    </w:p>
    <w:p>
      <w:pPr>
        <w:spacing w:line="360" w:lineRule="auto"/>
        <w:ind w:firstLine="480" w:firstLineChars="200"/>
        <w:rPr>
          <w:color w:val="000000"/>
          <w:sz w:val="24"/>
          <w:szCs w:val="24"/>
          <w:lang w:eastAsia="zh-CN"/>
        </w:rPr>
      </w:pPr>
      <w:r>
        <w:rPr>
          <w:rFonts w:hint="eastAsia"/>
          <w:color w:val="000000"/>
          <w:sz w:val="24"/>
          <w:szCs w:val="24"/>
          <w:lang w:eastAsia="zh-CN"/>
        </w:rPr>
        <w:t>（2）乙方车辆的作业工作量须经甲方确认后，方可作为结算依据。</w:t>
      </w:r>
    </w:p>
    <w:p>
      <w:pPr>
        <w:spacing w:line="360" w:lineRule="auto"/>
        <w:ind w:firstLine="480" w:firstLineChars="200"/>
        <w:rPr>
          <w:color w:val="000000"/>
          <w:sz w:val="24"/>
          <w:szCs w:val="24"/>
          <w:lang w:eastAsia="zh-CN"/>
        </w:rPr>
      </w:pPr>
      <w:r>
        <w:rPr>
          <w:rFonts w:hint="eastAsia"/>
          <w:color w:val="000000"/>
          <w:sz w:val="24"/>
          <w:szCs w:val="24"/>
          <w:lang w:eastAsia="zh-CN"/>
        </w:rPr>
        <w:t>2、租赁期限：承租期限两年，从自</w:t>
      </w:r>
      <w:r>
        <w:rPr>
          <w:rFonts w:hint="eastAsia"/>
          <w:color w:val="000000"/>
          <w:sz w:val="24"/>
          <w:szCs w:val="24"/>
          <w:u w:val="single"/>
          <w:lang w:eastAsia="zh-CN"/>
        </w:rPr>
        <w:t>202</w:t>
      </w:r>
      <w:r>
        <w:rPr>
          <w:rFonts w:hint="eastAsia"/>
          <w:color w:val="000000"/>
          <w:sz w:val="24"/>
          <w:szCs w:val="24"/>
          <w:u w:val="single"/>
          <w:lang w:val="en-US" w:eastAsia="zh-CN"/>
        </w:rPr>
        <w:t>3</w:t>
      </w:r>
      <w:r>
        <w:rPr>
          <w:rFonts w:hint="eastAsia"/>
          <w:color w:val="000000"/>
          <w:sz w:val="24"/>
          <w:szCs w:val="24"/>
          <w:lang w:eastAsia="zh-CN"/>
        </w:rPr>
        <w:t>年</w:t>
      </w:r>
      <w:r>
        <w:rPr>
          <w:sz w:val="24"/>
          <w:szCs w:val="24"/>
          <w:u w:val="single"/>
          <w:lang w:eastAsia="zh-CN"/>
        </w:rPr>
        <w:t xml:space="preserve"> </w:t>
      </w:r>
      <w:r>
        <w:rPr>
          <w:rFonts w:hint="eastAsia"/>
          <w:sz w:val="24"/>
          <w:szCs w:val="24"/>
          <w:u w:val="single"/>
          <w:lang w:eastAsia="zh-CN"/>
        </w:rPr>
        <w:t>1</w:t>
      </w:r>
      <w:r>
        <w:rPr>
          <w:rFonts w:hint="eastAsia"/>
          <w:sz w:val="24"/>
          <w:szCs w:val="24"/>
          <w:u w:val="single"/>
          <w:lang w:val="en-US" w:eastAsia="zh-CN"/>
        </w:rPr>
        <w:t>1</w:t>
      </w:r>
      <w:r>
        <w:rPr>
          <w:sz w:val="24"/>
          <w:szCs w:val="24"/>
          <w:u w:val="single"/>
          <w:lang w:eastAsia="zh-CN"/>
        </w:rPr>
        <w:t xml:space="preserve"> </w:t>
      </w:r>
      <w:r>
        <w:rPr>
          <w:rFonts w:hint="eastAsia"/>
          <w:color w:val="000000"/>
          <w:sz w:val="24"/>
          <w:szCs w:val="24"/>
          <w:lang w:eastAsia="zh-CN"/>
        </w:rPr>
        <w:t>月</w:t>
      </w:r>
      <w:r>
        <w:rPr>
          <w:sz w:val="24"/>
          <w:szCs w:val="24"/>
          <w:u w:val="single"/>
          <w:lang w:eastAsia="zh-CN"/>
        </w:rPr>
        <w:t xml:space="preserve">     </w:t>
      </w:r>
      <w:r>
        <w:rPr>
          <w:rFonts w:hint="eastAsia"/>
          <w:color w:val="000000"/>
          <w:sz w:val="24"/>
          <w:szCs w:val="24"/>
          <w:lang w:eastAsia="zh-CN"/>
        </w:rPr>
        <w:t>日起至</w:t>
      </w:r>
      <w:r>
        <w:rPr>
          <w:sz w:val="24"/>
          <w:szCs w:val="24"/>
          <w:u w:val="single"/>
          <w:lang w:eastAsia="zh-CN"/>
        </w:rPr>
        <w:t xml:space="preserve"> </w:t>
      </w:r>
      <w:r>
        <w:rPr>
          <w:rFonts w:hint="eastAsia"/>
          <w:sz w:val="24"/>
          <w:szCs w:val="24"/>
          <w:u w:val="single"/>
          <w:lang w:eastAsia="zh-CN"/>
        </w:rPr>
        <w:t>202</w:t>
      </w:r>
      <w:r>
        <w:rPr>
          <w:rFonts w:hint="eastAsia"/>
          <w:sz w:val="24"/>
          <w:szCs w:val="24"/>
          <w:u w:val="single"/>
          <w:lang w:val="en-US" w:eastAsia="zh-CN"/>
        </w:rPr>
        <w:t>5</w:t>
      </w:r>
      <w:r>
        <w:rPr>
          <w:sz w:val="24"/>
          <w:szCs w:val="24"/>
          <w:u w:val="single"/>
          <w:lang w:eastAsia="zh-CN"/>
        </w:rPr>
        <w:t xml:space="preserve"> </w:t>
      </w:r>
      <w:r>
        <w:rPr>
          <w:rFonts w:hint="eastAsia"/>
          <w:color w:val="000000"/>
          <w:sz w:val="24"/>
          <w:szCs w:val="24"/>
          <w:lang w:eastAsia="zh-CN"/>
        </w:rPr>
        <w:t>年</w:t>
      </w:r>
      <w:r>
        <w:rPr>
          <w:sz w:val="24"/>
          <w:szCs w:val="24"/>
          <w:u w:val="single"/>
          <w:lang w:eastAsia="zh-CN"/>
        </w:rPr>
        <w:t xml:space="preserve"> </w:t>
      </w:r>
      <w:r>
        <w:rPr>
          <w:rFonts w:hint="eastAsia"/>
          <w:sz w:val="24"/>
          <w:szCs w:val="24"/>
          <w:u w:val="single"/>
          <w:lang w:eastAsia="zh-CN"/>
        </w:rPr>
        <w:t>0</w:t>
      </w:r>
      <w:r>
        <w:rPr>
          <w:rFonts w:hint="eastAsia"/>
          <w:sz w:val="24"/>
          <w:szCs w:val="24"/>
          <w:u w:val="single"/>
          <w:lang w:val="en-US" w:eastAsia="zh-CN"/>
        </w:rPr>
        <w:t>10</w:t>
      </w:r>
      <w:r>
        <w:rPr>
          <w:sz w:val="24"/>
          <w:szCs w:val="24"/>
          <w:u w:val="single"/>
          <w:lang w:eastAsia="zh-CN"/>
        </w:rPr>
        <w:t xml:space="preserve"> </w:t>
      </w:r>
      <w:r>
        <w:rPr>
          <w:rFonts w:hint="eastAsia"/>
          <w:color w:val="000000"/>
          <w:sz w:val="24"/>
          <w:szCs w:val="24"/>
          <w:lang w:eastAsia="zh-CN"/>
        </w:rPr>
        <w:t>月</w:t>
      </w:r>
      <w:r>
        <w:rPr>
          <w:sz w:val="24"/>
          <w:szCs w:val="24"/>
          <w:u w:val="single"/>
          <w:lang w:eastAsia="zh-CN"/>
        </w:rPr>
        <w:t xml:space="preserve">     </w:t>
      </w:r>
      <w:r>
        <w:rPr>
          <w:rFonts w:hint="eastAsia"/>
          <w:color w:val="000000"/>
          <w:sz w:val="24"/>
          <w:szCs w:val="24"/>
          <w:lang w:eastAsia="zh-CN"/>
        </w:rPr>
        <w:t>日止。乙方应在约定的租赁期限起算日提供燃料油6槽车并进场作业，逾期每日应向甲方支付违约金人民币</w:t>
      </w:r>
      <w:r>
        <w:rPr>
          <w:sz w:val="24"/>
          <w:szCs w:val="24"/>
          <w:u w:val="single"/>
          <w:lang w:eastAsia="zh-CN"/>
        </w:rPr>
        <w:t xml:space="preserve"> </w:t>
      </w:r>
      <w:r>
        <w:rPr>
          <w:rFonts w:hint="eastAsia"/>
          <w:sz w:val="24"/>
          <w:szCs w:val="24"/>
          <w:u w:val="single"/>
          <w:lang w:eastAsia="zh-CN"/>
        </w:rPr>
        <w:t>1000</w:t>
      </w:r>
      <w:r>
        <w:rPr>
          <w:sz w:val="24"/>
          <w:szCs w:val="24"/>
          <w:u w:val="single"/>
          <w:lang w:eastAsia="zh-CN"/>
        </w:rPr>
        <w:t xml:space="preserve"> </w:t>
      </w:r>
      <w:r>
        <w:rPr>
          <w:rFonts w:hint="eastAsia"/>
          <w:color w:val="000000"/>
          <w:sz w:val="24"/>
          <w:szCs w:val="24"/>
          <w:lang w:eastAsia="zh-CN"/>
        </w:rPr>
        <w:t>元。</w:t>
      </w:r>
    </w:p>
    <w:p>
      <w:pPr>
        <w:spacing w:line="360" w:lineRule="auto"/>
        <w:ind w:firstLine="480" w:firstLineChars="200"/>
        <w:rPr>
          <w:rFonts w:hint="eastAsia"/>
          <w:color w:val="000000"/>
          <w:sz w:val="24"/>
          <w:szCs w:val="24"/>
          <w:lang w:eastAsia="zh-CN"/>
        </w:rPr>
      </w:pPr>
      <w:r>
        <w:rPr>
          <w:rFonts w:hint="eastAsia"/>
          <w:color w:val="000000"/>
          <w:sz w:val="24"/>
          <w:szCs w:val="24"/>
          <w:lang w:eastAsia="zh-CN"/>
        </w:rPr>
        <w:t>3、租金支付方式：</w:t>
      </w:r>
    </w:p>
    <w:p>
      <w:pPr>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1）</w:t>
      </w:r>
      <w:r>
        <w:rPr>
          <w:rFonts w:hint="eastAsia"/>
          <w:color w:val="000000"/>
          <w:sz w:val="24"/>
          <w:szCs w:val="24"/>
          <w:lang w:eastAsia="zh-CN"/>
        </w:rPr>
        <w:t>采取</w:t>
      </w:r>
      <w:r>
        <w:rPr>
          <w:rFonts w:hint="eastAsia"/>
          <w:color w:val="000000"/>
          <w:sz w:val="24"/>
          <w:szCs w:val="24"/>
          <w:lang w:val="en-US" w:eastAsia="zh-CN"/>
        </w:rPr>
        <w:t>总价包干方式，</w:t>
      </w:r>
      <w:r>
        <w:rPr>
          <w:rFonts w:hint="eastAsia"/>
          <w:color w:val="000000"/>
          <w:sz w:val="24"/>
          <w:szCs w:val="24"/>
          <w:lang w:eastAsia="zh-CN"/>
        </w:rPr>
        <w:t>单次固定价格为</w:t>
      </w:r>
      <w:r>
        <w:rPr>
          <w:rFonts w:hint="eastAsia"/>
          <w:color w:val="000000"/>
          <w:sz w:val="24"/>
          <w:szCs w:val="24"/>
          <w:lang w:val="en-US" w:eastAsia="zh-CN"/>
        </w:rPr>
        <w:t xml:space="preserve">    元。</w:t>
      </w:r>
    </w:p>
    <w:p>
      <w:pPr>
        <w:spacing w:line="360" w:lineRule="auto"/>
        <w:ind w:firstLine="480" w:firstLineChars="200"/>
        <w:rPr>
          <w:rFonts w:hint="default"/>
          <w:color w:val="000000"/>
          <w:sz w:val="24"/>
          <w:szCs w:val="24"/>
          <w:lang w:val="en-US" w:eastAsia="zh-CN"/>
        </w:rPr>
      </w:pPr>
      <w:r>
        <w:rPr>
          <w:rFonts w:hint="eastAsia"/>
          <w:color w:val="000000"/>
          <w:sz w:val="24"/>
          <w:szCs w:val="24"/>
          <w:lang w:val="en-US" w:eastAsia="zh-CN"/>
        </w:rPr>
        <w:t>2）计算方式：总价/24个月/每月两次=单次固定价格。</w:t>
      </w:r>
    </w:p>
    <w:p>
      <w:pPr>
        <w:spacing w:line="360" w:lineRule="auto"/>
        <w:ind w:firstLine="480" w:firstLineChars="200"/>
        <w:rPr>
          <w:color w:val="000000"/>
          <w:sz w:val="24"/>
          <w:szCs w:val="24"/>
          <w:lang w:eastAsia="zh-CN"/>
        </w:rPr>
      </w:pPr>
      <w:r>
        <w:rPr>
          <w:rFonts w:hint="eastAsia"/>
          <w:color w:val="000000"/>
          <w:sz w:val="24"/>
          <w:szCs w:val="24"/>
          <w:lang w:val="en-US" w:eastAsia="zh-CN"/>
        </w:rPr>
        <w:t>3）</w:t>
      </w:r>
      <w:r>
        <w:rPr>
          <w:rFonts w:hint="eastAsia"/>
          <w:color w:val="000000"/>
          <w:sz w:val="24"/>
          <w:szCs w:val="24"/>
          <w:lang w:eastAsia="zh-CN"/>
        </w:rPr>
        <w:t>租金根据双方计算确认的金额按季度支付。每季度起始之前，双方确认上季度应付金额；乙方提供相应金额增值税专用发票，甲方收到发票后</w:t>
      </w:r>
      <w:r>
        <w:rPr>
          <w:sz w:val="24"/>
          <w:szCs w:val="24"/>
          <w:u w:val="single"/>
          <w:lang w:eastAsia="zh-CN"/>
        </w:rPr>
        <w:t xml:space="preserve"> </w:t>
      </w:r>
      <w:r>
        <w:rPr>
          <w:rFonts w:hint="eastAsia"/>
          <w:sz w:val="24"/>
          <w:szCs w:val="24"/>
          <w:u w:val="single"/>
          <w:lang w:eastAsia="zh-CN"/>
        </w:rPr>
        <w:t>20</w:t>
      </w:r>
      <w:r>
        <w:rPr>
          <w:sz w:val="24"/>
          <w:szCs w:val="24"/>
          <w:u w:val="single"/>
          <w:lang w:eastAsia="zh-CN"/>
        </w:rPr>
        <w:t xml:space="preserve"> </w:t>
      </w:r>
      <w:r>
        <w:rPr>
          <w:rFonts w:hint="eastAsia"/>
          <w:color w:val="000000"/>
          <w:sz w:val="24"/>
          <w:szCs w:val="24"/>
          <w:lang w:eastAsia="zh-CN"/>
        </w:rPr>
        <w:t>日内支付上季度租金。</w:t>
      </w:r>
    </w:p>
    <w:p>
      <w:pPr>
        <w:pStyle w:val="2"/>
        <w:spacing w:line="360" w:lineRule="auto"/>
        <w:rPr>
          <w:rFonts w:asciiTheme="majorEastAsia" w:hAnsiTheme="majorEastAsia" w:eastAsiaTheme="majorEastAsia"/>
          <w:sz w:val="24"/>
          <w:szCs w:val="24"/>
        </w:rPr>
      </w:pPr>
      <w:r>
        <w:rPr>
          <w:rFonts w:hint="eastAsia"/>
          <w:sz w:val="24"/>
          <w:szCs w:val="24"/>
        </w:rPr>
        <w:t xml:space="preserve">    </w:t>
      </w:r>
      <w:r>
        <w:rPr>
          <w:rFonts w:hint="eastAsia"/>
          <w:sz w:val="24"/>
          <w:szCs w:val="24"/>
          <w:lang w:val="en-US" w:eastAsia="zh-CN"/>
        </w:rPr>
        <w:t>4</w:t>
      </w:r>
      <w:r>
        <w:rPr>
          <w:rFonts w:hint="eastAsia"/>
          <w:sz w:val="24"/>
          <w:szCs w:val="24"/>
        </w:rPr>
        <w:t>）</w:t>
      </w:r>
      <w:r>
        <w:rPr>
          <w:rFonts w:hint="eastAsia" w:asciiTheme="majorEastAsia" w:hAnsiTheme="majorEastAsia" w:eastAsiaTheme="majorEastAsia"/>
          <w:sz w:val="24"/>
          <w:szCs w:val="24"/>
        </w:rPr>
        <w:t>参选保证金将在合同签订后自动转为履约保证金，将于合同周期完成后1</w:t>
      </w:r>
      <w:r>
        <w:rPr>
          <w:rFonts w:asciiTheme="majorEastAsia" w:hAnsiTheme="majorEastAsia" w:eastAsiaTheme="majorEastAsia"/>
          <w:sz w:val="24"/>
          <w:szCs w:val="24"/>
        </w:rPr>
        <w:t>5</w:t>
      </w:r>
      <w:r>
        <w:rPr>
          <w:rFonts w:hint="eastAsia" w:asciiTheme="majorEastAsia" w:hAnsiTheme="majorEastAsia" w:eastAsiaTheme="majorEastAsia"/>
          <w:sz w:val="24"/>
          <w:szCs w:val="24"/>
        </w:rPr>
        <w:t>个工作日内，甲方无息退还履约保证金；</w:t>
      </w:r>
    </w:p>
    <w:p>
      <w:pPr>
        <w:spacing w:line="360" w:lineRule="auto"/>
        <w:ind w:hanging="1"/>
        <w:rPr>
          <w:color w:val="000000"/>
          <w:sz w:val="24"/>
          <w:szCs w:val="24"/>
          <w:lang w:eastAsia="zh-CN"/>
        </w:rPr>
      </w:pPr>
      <w:r>
        <w:rPr>
          <w:rFonts w:hint="eastAsia"/>
          <w:b/>
          <w:color w:val="000000"/>
          <w:sz w:val="24"/>
          <w:szCs w:val="24"/>
          <w:lang w:eastAsia="zh-CN"/>
        </w:rPr>
        <w:t>第二条</w:t>
      </w:r>
      <w:r>
        <w:rPr>
          <w:rFonts w:hint="eastAsia"/>
          <w:color w:val="000000"/>
          <w:sz w:val="24"/>
          <w:szCs w:val="24"/>
          <w:lang w:eastAsia="zh-CN"/>
        </w:rPr>
        <w:t xml:space="preserve">  使用地点、运量及次数</w:t>
      </w:r>
    </w:p>
    <w:p>
      <w:pPr>
        <w:spacing w:line="360" w:lineRule="auto"/>
        <w:ind w:firstLine="480" w:firstLineChars="200"/>
        <w:rPr>
          <w:sz w:val="24"/>
          <w:szCs w:val="24"/>
          <w:shd w:val="clear" w:color="auto" w:fill="FFFFFF"/>
          <w:lang w:eastAsia="zh-CN"/>
        </w:rPr>
      </w:pPr>
      <w:r>
        <w:rPr>
          <w:rFonts w:hint="eastAsia"/>
          <w:color w:val="000000"/>
          <w:sz w:val="24"/>
          <w:szCs w:val="24"/>
          <w:lang w:eastAsia="zh-CN"/>
        </w:rPr>
        <w:t>使用地点：由甲方</w:t>
      </w:r>
      <w:r>
        <w:rPr>
          <w:rFonts w:hint="eastAsia"/>
          <w:sz w:val="24"/>
          <w:szCs w:val="24"/>
          <w:shd w:val="clear" w:color="auto" w:fill="FFFFFF"/>
          <w:lang w:eastAsia="zh-CN"/>
        </w:rPr>
        <w:t>储运团队装车站装燃料油6运至九号码头和PTA罐区；</w:t>
      </w:r>
    </w:p>
    <w:p>
      <w:pPr>
        <w:spacing w:line="360" w:lineRule="auto"/>
        <w:ind w:firstLine="480" w:firstLineChars="200"/>
        <w:rPr>
          <w:color w:val="000000"/>
          <w:sz w:val="24"/>
          <w:szCs w:val="24"/>
          <w:u w:val="single"/>
          <w:lang w:eastAsia="zh-CN"/>
        </w:rPr>
      </w:pPr>
      <w:r>
        <w:rPr>
          <w:rFonts w:hint="eastAsia"/>
          <w:sz w:val="24"/>
          <w:szCs w:val="24"/>
          <w:shd w:val="clear" w:color="auto" w:fill="FFFFFF"/>
          <w:lang w:eastAsia="zh-CN"/>
        </w:rPr>
        <w:t>运量次数：每月2次，每次约33吨</w:t>
      </w:r>
      <w:r>
        <w:rPr>
          <w:rFonts w:hint="eastAsia"/>
          <w:color w:val="000000"/>
          <w:sz w:val="24"/>
          <w:szCs w:val="24"/>
          <w:lang w:eastAsia="zh-CN"/>
        </w:rPr>
        <w:t>。</w:t>
      </w:r>
    </w:p>
    <w:p>
      <w:pPr>
        <w:spacing w:line="360" w:lineRule="auto"/>
        <w:rPr>
          <w:color w:val="000000"/>
          <w:sz w:val="24"/>
          <w:szCs w:val="24"/>
          <w:lang w:eastAsia="zh-CN"/>
        </w:rPr>
      </w:pPr>
      <w:r>
        <w:rPr>
          <w:rFonts w:hint="eastAsia"/>
          <w:b/>
          <w:color w:val="000000"/>
          <w:sz w:val="24"/>
          <w:szCs w:val="24"/>
          <w:lang w:eastAsia="zh-CN"/>
        </w:rPr>
        <w:t>第三条</w:t>
      </w:r>
      <w:r>
        <w:rPr>
          <w:rFonts w:hint="eastAsia"/>
          <w:color w:val="000000"/>
          <w:sz w:val="24"/>
          <w:szCs w:val="24"/>
          <w:lang w:eastAsia="zh-CN"/>
        </w:rPr>
        <w:t xml:space="preserve">   车辆操作、维护与修理</w:t>
      </w:r>
    </w:p>
    <w:p>
      <w:pPr>
        <w:spacing w:line="360" w:lineRule="auto"/>
        <w:ind w:firstLine="480" w:firstLineChars="200"/>
        <w:rPr>
          <w:color w:val="000000"/>
          <w:sz w:val="24"/>
          <w:szCs w:val="24"/>
          <w:lang w:eastAsia="zh-CN"/>
        </w:rPr>
      </w:pPr>
      <w:r>
        <w:rPr>
          <w:rFonts w:hint="eastAsia"/>
          <w:color w:val="000000"/>
          <w:sz w:val="24"/>
          <w:szCs w:val="24"/>
          <w:lang w:eastAsia="zh-CN"/>
        </w:rPr>
        <w:t>1．双方约定燃料油6槽车由乙方负责操作及维护。</w:t>
      </w:r>
    </w:p>
    <w:p>
      <w:pPr>
        <w:spacing w:line="360" w:lineRule="auto"/>
        <w:ind w:firstLine="480" w:firstLineChars="200"/>
        <w:rPr>
          <w:color w:val="000000"/>
          <w:sz w:val="24"/>
          <w:szCs w:val="24"/>
          <w:lang w:eastAsia="zh-CN"/>
        </w:rPr>
      </w:pPr>
      <w:r>
        <w:rPr>
          <w:rFonts w:hint="eastAsia"/>
          <w:color w:val="000000"/>
          <w:sz w:val="24"/>
          <w:szCs w:val="24"/>
          <w:lang w:eastAsia="zh-CN"/>
        </w:rPr>
        <w:t>2．因不可归责于甲方的原因造成车辆无法正常作业的，自无法作业时起起免收租金直至车辆恢复正常作业止。但车辆故障系因甲方违章指挥、违章作业造成的，甲方仍应支付停工期间的租金。</w:t>
      </w:r>
    </w:p>
    <w:p>
      <w:pPr>
        <w:spacing w:line="360" w:lineRule="auto"/>
        <w:rPr>
          <w:color w:val="000000"/>
          <w:sz w:val="24"/>
          <w:szCs w:val="24"/>
          <w:lang w:eastAsia="zh-CN"/>
        </w:rPr>
      </w:pPr>
      <w:r>
        <w:rPr>
          <w:rFonts w:hint="eastAsia"/>
          <w:b/>
          <w:color w:val="000000"/>
          <w:sz w:val="24"/>
          <w:szCs w:val="24"/>
          <w:lang w:eastAsia="zh-CN"/>
        </w:rPr>
        <w:t>第四条</w:t>
      </w:r>
      <w:r>
        <w:rPr>
          <w:rFonts w:hint="eastAsia"/>
          <w:color w:val="000000"/>
          <w:sz w:val="24"/>
          <w:szCs w:val="24"/>
          <w:lang w:eastAsia="zh-CN"/>
        </w:rPr>
        <w:t xml:space="preserve">    双方权利义务</w:t>
      </w:r>
    </w:p>
    <w:p>
      <w:pPr>
        <w:spacing w:line="360" w:lineRule="auto"/>
        <w:ind w:firstLine="480" w:firstLineChars="200"/>
        <w:rPr>
          <w:color w:val="000000"/>
          <w:sz w:val="24"/>
          <w:szCs w:val="24"/>
          <w:lang w:eastAsia="zh-CN"/>
        </w:rPr>
      </w:pPr>
      <w:r>
        <w:rPr>
          <w:rFonts w:hint="eastAsia"/>
          <w:color w:val="000000"/>
          <w:sz w:val="24"/>
          <w:szCs w:val="24"/>
          <w:lang w:eastAsia="zh-CN"/>
        </w:rPr>
        <w:t>一、甲方权利义务</w:t>
      </w:r>
    </w:p>
    <w:p>
      <w:pPr>
        <w:spacing w:line="360" w:lineRule="auto"/>
        <w:ind w:firstLine="480" w:firstLineChars="200"/>
        <w:rPr>
          <w:color w:val="000000"/>
          <w:sz w:val="24"/>
          <w:szCs w:val="24"/>
          <w:lang w:eastAsia="zh-CN"/>
        </w:rPr>
      </w:pPr>
      <w:r>
        <w:rPr>
          <w:rFonts w:hint="eastAsia"/>
          <w:color w:val="000000"/>
          <w:sz w:val="24"/>
          <w:szCs w:val="24"/>
          <w:lang w:eastAsia="zh-CN"/>
        </w:rPr>
        <w:t>1．有权要求乙方按照事先约定提供符合要求的燃料油6槽车。</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2．因乙方原因导致车辆毁损、灭失或者出现故障无法使用的，甲方有权要求乙方更换燃料油6槽车。</w:t>
      </w:r>
    </w:p>
    <w:p>
      <w:pPr>
        <w:spacing w:line="360" w:lineRule="auto"/>
        <w:ind w:firstLine="480" w:firstLineChars="200"/>
        <w:rPr>
          <w:color w:val="000000"/>
          <w:sz w:val="24"/>
          <w:szCs w:val="24"/>
          <w:lang w:eastAsia="zh-CN"/>
        </w:rPr>
      </w:pPr>
      <w:r>
        <w:rPr>
          <w:rFonts w:hint="eastAsia"/>
          <w:color w:val="000000"/>
          <w:sz w:val="24"/>
          <w:szCs w:val="24"/>
          <w:lang w:eastAsia="zh-CN"/>
        </w:rPr>
        <w:t>3．按照合同约定的时间、方式和金额支付租金。</w:t>
      </w:r>
    </w:p>
    <w:p>
      <w:pPr>
        <w:spacing w:line="360" w:lineRule="auto"/>
        <w:ind w:left="363" w:leftChars="165" w:firstLine="120" w:firstLineChars="50"/>
        <w:rPr>
          <w:color w:val="000000"/>
          <w:sz w:val="24"/>
          <w:szCs w:val="24"/>
          <w:lang w:eastAsia="zh-CN"/>
        </w:rPr>
      </w:pPr>
      <w:r>
        <w:rPr>
          <w:rFonts w:hint="eastAsia"/>
          <w:color w:val="000000"/>
          <w:sz w:val="24"/>
          <w:szCs w:val="24"/>
          <w:lang w:eastAsia="zh-CN"/>
        </w:rPr>
        <w:t>4．为车辆提供进出场作业、维护保养作业的便利和安全作业环境。</w:t>
      </w:r>
    </w:p>
    <w:p>
      <w:pPr>
        <w:spacing w:line="360" w:lineRule="auto"/>
        <w:ind w:left="363" w:leftChars="165" w:firstLine="120" w:firstLineChars="50"/>
        <w:rPr>
          <w:color w:val="000000"/>
          <w:sz w:val="24"/>
          <w:szCs w:val="24"/>
          <w:lang w:eastAsia="zh-CN"/>
        </w:rPr>
      </w:pPr>
      <w:r>
        <w:rPr>
          <w:rFonts w:hint="eastAsia"/>
          <w:color w:val="000000"/>
          <w:sz w:val="24"/>
          <w:szCs w:val="24"/>
          <w:lang w:eastAsia="zh-CN"/>
        </w:rPr>
        <w:t>5．转运前甲方向乙方操作人员提供任务情况，并负责安全技术交底。</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6．乙方操作人员必须服从甲方现场人员的管理，在甲方指定时间、指定地点内工作。</w:t>
      </w:r>
    </w:p>
    <w:p>
      <w:pPr>
        <w:spacing w:line="360" w:lineRule="auto"/>
        <w:ind w:left="363" w:leftChars="165" w:firstLine="120" w:firstLineChars="50"/>
        <w:rPr>
          <w:color w:val="000000"/>
          <w:sz w:val="24"/>
          <w:szCs w:val="24"/>
          <w:lang w:eastAsia="zh-CN"/>
        </w:rPr>
      </w:pPr>
      <w:r>
        <w:rPr>
          <w:rFonts w:hint="eastAsia"/>
          <w:color w:val="000000"/>
          <w:sz w:val="24"/>
          <w:szCs w:val="24"/>
          <w:lang w:eastAsia="zh-CN"/>
        </w:rPr>
        <w:t>7．由乙方指派的操作人员必须持证上岗。</w:t>
      </w:r>
    </w:p>
    <w:p>
      <w:pPr>
        <w:spacing w:line="360" w:lineRule="auto"/>
        <w:ind w:firstLine="480" w:firstLineChars="200"/>
        <w:rPr>
          <w:color w:val="000000"/>
          <w:sz w:val="24"/>
          <w:szCs w:val="24"/>
          <w:lang w:eastAsia="zh-CN"/>
        </w:rPr>
      </w:pPr>
      <w:r>
        <w:rPr>
          <w:rFonts w:hint="eastAsia"/>
          <w:color w:val="000000"/>
          <w:sz w:val="24"/>
          <w:szCs w:val="24"/>
          <w:lang w:eastAsia="zh-CN"/>
        </w:rPr>
        <w:t>二、乙方权利义务</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1．乙方保证车辆状况符合国家的相关规定，手续齐全，具备所需的有效证件，有权按照合同约定按期收取租金。</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2．提供符合合同约定燃料油6槽车。车辆进场前，应认真地进行维修和保养，保证进场车辆的完好性。</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3．在租赁期间，乙方操作人员应严格遵守甲、乙双方有关的劳动纪律，严格遵守安全操作规程，服从甲方正常的工作安排，为甲方提供优质服务，同时有权拒绝甲方提出的违章指挥和违章作业。若出现司机等乙方人员违反或不能满足上述要求，甲方有权要求撤换，乙方应及时协调处理直至更换。</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4、作业期间，因不可归责于甲方的原因造成乙方及其作业人员人身、财产损害的，相应责任由乙方自行承担；造成甲方或第三方人身、财产损害的，乙方承担赔偿责任。</w:t>
      </w:r>
    </w:p>
    <w:p>
      <w:pPr>
        <w:spacing w:line="360" w:lineRule="auto"/>
        <w:rPr>
          <w:color w:val="000000"/>
          <w:sz w:val="24"/>
          <w:szCs w:val="24"/>
          <w:lang w:eastAsia="zh-CN"/>
        </w:rPr>
      </w:pPr>
      <w:r>
        <w:rPr>
          <w:rFonts w:hint="eastAsia"/>
          <w:b/>
          <w:color w:val="000000"/>
          <w:sz w:val="24"/>
          <w:szCs w:val="24"/>
          <w:lang w:eastAsia="zh-CN"/>
        </w:rPr>
        <w:t>第五条</w:t>
      </w:r>
      <w:r>
        <w:rPr>
          <w:rFonts w:hint="eastAsia"/>
          <w:color w:val="000000"/>
          <w:sz w:val="24"/>
          <w:szCs w:val="24"/>
          <w:lang w:eastAsia="zh-CN"/>
        </w:rPr>
        <w:t xml:space="preserve">   双方安全责任</w:t>
      </w:r>
    </w:p>
    <w:p>
      <w:pPr>
        <w:spacing w:line="360" w:lineRule="auto"/>
        <w:ind w:firstLine="480" w:firstLineChars="200"/>
        <w:rPr>
          <w:color w:val="000000"/>
          <w:sz w:val="24"/>
          <w:szCs w:val="24"/>
          <w:lang w:eastAsia="zh-CN"/>
        </w:rPr>
      </w:pPr>
      <w:r>
        <w:rPr>
          <w:rFonts w:hint="eastAsia"/>
          <w:color w:val="000000"/>
          <w:sz w:val="24"/>
          <w:szCs w:val="24"/>
          <w:lang w:eastAsia="zh-CN"/>
        </w:rPr>
        <w:t>一、甲方安全责任</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1． 工作现场有多台车辆交叉作业时，甲方协助乙方制定并实施防止车辆相互碰撞的安全措施。</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2．甲方负责做好车辆周边的高压线、障碍物的防护工作，乙方应履行谨慎，注意义务。</w:t>
      </w:r>
    </w:p>
    <w:p>
      <w:pPr>
        <w:spacing w:line="360" w:lineRule="auto"/>
        <w:ind w:firstLine="480" w:firstLineChars="200"/>
        <w:rPr>
          <w:color w:val="000000"/>
          <w:sz w:val="24"/>
          <w:szCs w:val="24"/>
          <w:lang w:eastAsia="zh-CN"/>
        </w:rPr>
      </w:pPr>
      <w:r>
        <w:rPr>
          <w:rFonts w:hint="eastAsia"/>
          <w:color w:val="000000"/>
          <w:sz w:val="24"/>
          <w:szCs w:val="24"/>
          <w:lang w:eastAsia="zh-CN"/>
        </w:rPr>
        <w:t>二、乙方安全责任</w:t>
      </w:r>
    </w:p>
    <w:p>
      <w:pPr>
        <w:spacing w:line="360" w:lineRule="auto"/>
        <w:ind w:firstLine="480" w:firstLineChars="200"/>
        <w:rPr>
          <w:color w:val="000000"/>
          <w:sz w:val="24"/>
          <w:szCs w:val="24"/>
          <w:lang w:eastAsia="zh-CN"/>
        </w:rPr>
      </w:pPr>
      <w:r>
        <w:rPr>
          <w:rFonts w:hint="eastAsia"/>
          <w:color w:val="000000"/>
          <w:sz w:val="24"/>
          <w:szCs w:val="24"/>
          <w:lang w:eastAsia="zh-CN"/>
        </w:rPr>
        <w:t>1．燃料油6槽车应服从甲方人员的调遣使用，确保车辆处于良好的工作状态。</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2．当车辆出现故障或者发生异常情况时，乙方操作人员应及时通知甲乙双方相关人员，车辆应立即停止使用，乙方应组织人员及时排除故障之后方可重新投入使用。</w:t>
      </w:r>
    </w:p>
    <w:p>
      <w:pPr>
        <w:spacing w:line="360" w:lineRule="auto"/>
        <w:ind w:firstLine="506" w:firstLineChars="211"/>
        <w:rPr>
          <w:color w:val="000000"/>
          <w:sz w:val="24"/>
          <w:szCs w:val="24"/>
          <w:lang w:eastAsia="zh-CN"/>
        </w:rPr>
      </w:pPr>
      <w:r>
        <w:rPr>
          <w:rFonts w:hint="eastAsia"/>
          <w:color w:val="000000"/>
          <w:sz w:val="24"/>
          <w:szCs w:val="24"/>
          <w:lang w:eastAsia="zh-CN"/>
        </w:rPr>
        <w:t>3．燃料油6槽车作业应严格执行国家相关作业安全规程.</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4．乙方应认真贯彻执行国家《安全生产法》、《安全生产条例》、《消防法》、《环境保护法》、《劳动法》和《职业卫生防治法》等法律法规，以及遵守甲方的各项安全管理制度。</w:t>
      </w:r>
    </w:p>
    <w:p>
      <w:pPr>
        <w:spacing w:line="360" w:lineRule="auto"/>
        <w:ind w:left="873" w:leftChars="233" w:hanging="360" w:hangingChars="150"/>
        <w:rPr>
          <w:color w:val="000000"/>
          <w:sz w:val="24"/>
          <w:szCs w:val="24"/>
          <w:lang w:eastAsia="zh-CN"/>
        </w:rPr>
      </w:pPr>
      <w:r>
        <w:rPr>
          <w:rFonts w:hint="eastAsia"/>
          <w:color w:val="000000"/>
          <w:sz w:val="24"/>
          <w:szCs w:val="24"/>
          <w:lang w:eastAsia="zh-CN"/>
        </w:rPr>
        <w:t>5. 乙方人员未经装置现场甲方人员同意，不得随意动用装置现场的设备、管路、阀门等。</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6. 乙方进入厂区的车辆应遵守厂内交通管理有关规定和各种安全制度，按厂内行停车标志认真执行。</w:t>
      </w:r>
    </w:p>
    <w:p>
      <w:pPr>
        <w:spacing w:line="360" w:lineRule="auto"/>
        <w:ind w:firstLine="480" w:firstLineChars="200"/>
        <w:rPr>
          <w:color w:val="000000"/>
          <w:sz w:val="24"/>
          <w:szCs w:val="24"/>
          <w:lang w:eastAsia="zh-CN"/>
        </w:rPr>
      </w:pPr>
      <w:r>
        <w:rPr>
          <w:rFonts w:hint="eastAsia"/>
          <w:color w:val="000000"/>
          <w:sz w:val="24"/>
          <w:szCs w:val="24"/>
          <w:lang w:eastAsia="zh-CN"/>
        </w:rPr>
        <w:t>三、双方共同安全责任</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1．本着“谁违章谁承担责任”的原则，甲、乙双方均应遵守车辆安全操作规程，严禁违章指挥、违章操作。严禁强令工人违章冒险作业，严禁车辆带病运行。</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2．车辆在使用过程中，甲乙双方均应对司机、小工进行日常安全教育和技术交底，督促上述人员遵守安全操作规程，规范作业方式，确保作业符合安全要求。</w:t>
      </w:r>
    </w:p>
    <w:p>
      <w:pPr>
        <w:tabs>
          <w:tab w:val="left" w:pos="8440"/>
        </w:tabs>
        <w:spacing w:line="360" w:lineRule="auto"/>
        <w:rPr>
          <w:color w:val="000000"/>
          <w:sz w:val="24"/>
          <w:szCs w:val="24"/>
          <w:lang w:eastAsia="zh-CN"/>
        </w:rPr>
      </w:pPr>
      <w:r>
        <w:rPr>
          <w:rFonts w:hint="eastAsia"/>
          <w:b/>
          <w:color w:val="000000"/>
          <w:sz w:val="24"/>
          <w:szCs w:val="24"/>
          <w:lang w:eastAsia="zh-CN"/>
        </w:rPr>
        <w:t>第六条</w:t>
      </w:r>
      <w:r>
        <w:rPr>
          <w:rFonts w:hint="eastAsia"/>
          <w:color w:val="000000"/>
          <w:sz w:val="24"/>
          <w:szCs w:val="24"/>
          <w:lang w:eastAsia="zh-CN"/>
        </w:rPr>
        <w:t xml:space="preserve">    违约责任</w:t>
      </w:r>
      <w:r>
        <w:rPr>
          <w:color w:val="000000"/>
          <w:sz w:val="24"/>
          <w:szCs w:val="24"/>
          <w:lang w:eastAsia="zh-CN"/>
        </w:rPr>
        <w:tab/>
      </w:r>
    </w:p>
    <w:p>
      <w:pPr>
        <w:spacing w:line="360" w:lineRule="auto"/>
        <w:ind w:firstLine="480" w:firstLineChars="200"/>
        <w:rPr>
          <w:color w:val="000000"/>
          <w:sz w:val="24"/>
          <w:szCs w:val="24"/>
          <w:lang w:eastAsia="zh-CN"/>
        </w:rPr>
      </w:pPr>
      <w:r>
        <w:rPr>
          <w:rFonts w:hint="eastAsia"/>
          <w:color w:val="000000"/>
          <w:sz w:val="24"/>
          <w:szCs w:val="24"/>
          <w:lang w:eastAsia="zh-CN"/>
        </w:rPr>
        <w:t>一、甲方违约责任：</w:t>
      </w:r>
    </w:p>
    <w:p>
      <w:pPr>
        <w:spacing w:line="360" w:lineRule="auto"/>
        <w:ind w:firstLine="480" w:firstLineChars="200"/>
        <w:rPr>
          <w:color w:val="000000"/>
          <w:sz w:val="24"/>
          <w:szCs w:val="24"/>
          <w:lang w:eastAsia="zh-CN"/>
        </w:rPr>
      </w:pPr>
      <w:r>
        <w:rPr>
          <w:rFonts w:hint="eastAsia"/>
          <w:color w:val="000000"/>
          <w:sz w:val="24"/>
          <w:szCs w:val="24"/>
          <w:lang w:eastAsia="zh-CN"/>
        </w:rPr>
        <w:t>按合同约定的进场时间，若因甲方原因影响车辆进场作业的，乙方有权按车辆到厂时间开始收取租金。</w:t>
      </w:r>
    </w:p>
    <w:p>
      <w:pPr>
        <w:spacing w:line="360" w:lineRule="auto"/>
        <w:ind w:firstLine="480" w:firstLineChars="200"/>
        <w:rPr>
          <w:color w:val="000000"/>
          <w:sz w:val="24"/>
          <w:szCs w:val="24"/>
          <w:lang w:eastAsia="zh-CN"/>
        </w:rPr>
      </w:pPr>
      <w:r>
        <w:rPr>
          <w:rFonts w:hint="eastAsia"/>
          <w:color w:val="000000"/>
          <w:sz w:val="24"/>
          <w:szCs w:val="24"/>
          <w:lang w:eastAsia="zh-CN"/>
        </w:rPr>
        <w:t>二、乙方违约责任：</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1．乙方没有提供双方约定的车辆，导致作业无法进行的，甲方有权要求乙方重新提供并按照本合同第一条第2款约定标准支付违约金。如造成甲方损失的，甲方有权要求乙方赔偿。</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2．在合同期间因乙方及其操作人员原因导致车辆停工的，停工期间不算租金，乙方还应按照本合同第一条第2款约定标准支付违约金。如造成甲方损失的，甲方有权要求乙方赔偿。</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3、乙方违反本合同约定义务，且未在甲方指定期限内更正的，甲方有权要求乙方赔偿损失并视情况决定是否提前解除本合同。甲方行使合同解除权的，还有权拒绝支付应付款项（含租金余款）。</w:t>
      </w:r>
    </w:p>
    <w:p>
      <w:pPr>
        <w:spacing w:line="360" w:lineRule="auto"/>
        <w:rPr>
          <w:color w:val="000000"/>
          <w:sz w:val="24"/>
          <w:szCs w:val="24"/>
          <w:lang w:eastAsia="zh-CN"/>
        </w:rPr>
      </w:pPr>
      <w:r>
        <w:rPr>
          <w:rFonts w:hint="eastAsia"/>
          <w:b/>
          <w:color w:val="000000"/>
          <w:sz w:val="24"/>
          <w:szCs w:val="24"/>
          <w:lang w:eastAsia="zh-CN"/>
        </w:rPr>
        <w:t>第七条</w:t>
      </w:r>
      <w:r>
        <w:rPr>
          <w:rFonts w:hint="eastAsia"/>
          <w:color w:val="000000"/>
          <w:sz w:val="24"/>
          <w:szCs w:val="24"/>
          <w:lang w:eastAsia="zh-CN"/>
        </w:rPr>
        <w:t xml:space="preserve">    不可抗力</w:t>
      </w:r>
    </w:p>
    <w:p>
      <w:pPr>
        <w:spacing w:line="360" w:lineRule="auto"/>
        <w:ind w:firstLine="480" w:firstLineChars="200"/>
        <w:rPr>
          <w:color w:val="000000"/>
          <w:sz w:val="24"/>
          <w:szCs w:val="24"/>
          <w:lang w:eastAsia="zh-CN"/>
        </w:rPr>
      </w:pPr>
      <w:r>
        <w:rPr>
          <w:rFonts w:hint="eastAsia"/>
          <w:color w:val="000000"/>
          <w:sz w:val="24"/>
          <w:szCs w:val="24"/>
          <w:lang w:eastAsia="zh-CN"/>
        </w:rPr>
        <w:t>当事人一方因不可抗力不能按照合同约定履行本合同的，根据不可抗力的影响，可部分或全部</w:t>
      </w:r>
      <w:r>
        <w:rPr>
          <w:rFonts w:hint="eastAsia"/>
          <w:color w:val="000000"/>
          <w:spacing w:val="6"/>
          <w:sz w:val="24"/>
          <w:szCs w:val="24"/>
          <w:lang w:eastAsia="zh-CN"/>
        </w:rPr>
        <w:t>免除责任；当事人一方因不可抗力不能履行合同的，应当及时告知对方，并自不可抗力结束之日起2</w:t>
      </w:r>
      <w:r>
        <w:rPr>
          <w:rFonts w:hint="eastAsia"/>
          <w:color w:val="000000"/>
          <w:sz w:val="24"/>
          <w:szCs w:val="24"/>
          <w:lang w:eastAsia="zh-CN"/>
        </w:rPr>
        <w:t>日内向对方当事人提供证明。</w:t>
      </w:r>
    </w:p>
    <w:p>
      <w:pPr>
        <w:spacing w:line="360" w:lineRule="auto"/>
        <w:rPr>
          <w:color w:val="000000"/>
          <w:sz w:val="24"/>
          <w:szCs w:val="24"/>
          <w:lang w:eastAsia="zh-CN"/>
        </w:rPr>
      </w:pPr>
      <w:r>
        <w:rPr>
          <w:rFonts w:hint="eastAsia"/>
          <w:b/>
          <w:color w:val="000000"/>
          <w:sz w:val="24"/>
          <w:szCs w:val="24"/>
          <w:lang w:eastAsia="zh-CN"/>
        </w:rPr>
        <w:t>第八条</w:t>
      </w:r>
      <w:r>
        <w:rPr>
          <w:rFonts w:hint="eastAsia"/>
          <w:color w:val="000000"/>
          <w:sz w:val="24"/>
          <w:szCs w:val="24"/>
          <w:lang w:eastAsia="zh-CN"/>
        </w:rPr>
        <w:t xml:space="preserve">    争议解决</w:t>
      </w:r>
    </w:p>
    <w:p>
      <w:pPr>
        <w:spacing w:line="360" w:lineRule="auto"/>
        <w:ind w:firstLine="480" w:firstLineChars="200"/>
        <w:rPr>
          <w:color w:val="000000"/>
          <w:sz w:val="24"/>
          <w:szCs w:val="24"/>
          <w:lang w:eastAsia="zh-CN"/>
        </w:rPr>
      </w:pPr>
      <w:r>
        <w:rPr>
          <w:rFonts w:hint="eastAsia"/>
          <w:color w:val="000000"/>
          <w:sz w:val="24"/>
          <w:szCs w:val="24"/>
          <w:lang w:eastAsia="zh-CN"/>
        </w:rPr>
        <w:t>本合同项下发生的争议，由双方协商解决。协商不成，采取下列第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color w:val="000000"/>
          <w:sz w:val="24"/>
          <w:szCs w:val="24"/>
          <w:lang w:eastAsia="zh-CN"/>
        </w:rPr>
        <w:t>种方式解决：</w:t>
      </w:r>
    </w:p>
    <w:p>
      <w:pPr>
        <w:autoSpaceDE/>
        <w:autoSpaceDN/>
        <w:spacing w:line="360" w:lineRule="auto"/>
        <w:ind w:firstLine="480" w:firstLineChars="200"/>
        <w:jc w:val="both"/>
        <w:rPr>
          <w:color w:val="000000"/>
          <w:sz w:val="24"/>
          <w:szCs w:val="24"/>
          <w:lang w:eastAsia="zh-CN"/>
        </w:rPr>
      </w:pPr>
      <w:r>
        <w:rPr>
          <w:rFonts w:hint="eastAsia"/>
          <w:color w:val="000000"/>
          <w:sz w:val="24"/>
          <w:szCs w:val="24"/>
          <w:lang w:eastAsia="zh-CN"/>
        </w:rPr>
        <w:t>1、向甲方所在地人民法院提起诉讼；</w:t>
      </w:r>
    </w:p>
    <w:p>
      <w:pPr>
        <w:spacing w:line="360" w:lineRule="auto"/>
        <w:ind w:firstLine="480" w:firstLineChars="200"/>
        <w:rPr>
          <w:color w:val="000000"/>
          <w:sz w:val="24"/>
          <w:szCs w:val="24"/>
          <w:lang w:eastAsia="zh-CN"/>
        </w:rPr>
      </w:pPr>
      <w:r>
        <w:rPr>
          <w:rFonts w:hint="eastAsia"/>
          <w:color w:val="000000"/>
          <w:sz w:val="24"/>
          <w:szCs w:val="24"/>
          <w:lang w:eastAsia="zh-CN"/>
        </w:rPr>
        <w:t>2、向</w:t>
      </w:r>
      <w:r>
        <w:rPr>
          <w:sz w:val="24"/>
          <w:szCs w:val="24"/>
          <w:u w:val="single"/>
          <w:lang w:eastAsia="zh-CN"/>
        </w:rPr>
        <w:t xml:space="preserve">         </w:t>
      </w:r>
      <w:r>
        <w:rPr>
          <w:rFonts w:hint="eastAsia"/>
          <w:color w:val="000000"/>
          <w:sz w:val="24"/>
          <w:szCs w:val="24"/>
          <w:lang w:eastAsia="zh-CN"/>
        </w:rPr>
        <w:t>仲裁委员会申请仲裁。</w:t>
      </w:r>
    </w:p>
    <w:p>
      <w:pPr>
        <w:spacing w:line="360" w:lineRule="auto"/>
        <w:rPr>
          <w:color w:val="000000"/>
          <w:sz w:val="24"/>
          <w:szCs w:val="24"/>
          <w:lang w:eastAsia="zh-CN"/>
        </w:rPr>
      </w:pPr>
      <w:r>
        <w:rPr>
          <w:rFonts w:hint="eastAsia"/>
          <w:b/>
          <w:color w:val="000000"/>
          <w:sz w:val="24"/>
          <w:szCs w:val="24"/>
          <w:lang w:eastAsia="zh-CN"/>
        </w:rPr>
        <w:t>第九条</w:t>
      </w:r>
      <w:r>
        <w:rPr>
          <w:rFonts w:hint="eastAsia"/>
          <w:color w:val="000000"/>
          <w:sz w:val="24"/>
          <w:szCs w:val="24"/>
          <w:lang w:eastAsia="zh-CN"/>
        </w:rPr>
        <w:t xml:space="preserve">    其他条款</w:t>
      </w:r>
    </w:p>
    <w:p>
      <w:pPr>
        <w:spacing w:line="360" w:lineRule="auto"/>
        <w:ind w:firstLine="480" w:firstLineChars="200"/>
        <w:rPr>
          <w:color w:val="000000"/>
          <w:sz w:val="24"/>
          <w:szCs w:val="24"/>
          <w:lang w:eastAsia="zh-CN"/>
        </w:rPr>
      </w:pPr>
      <w:r>
        <w:rPr>
          <w:rFonts w:hint="eastAsia"/>
          <w:color w:val="000000"/>
          <w:sz w:val="24"/>
          <w:szCs w:val="24"/>
          <w:lang w:eastAsia="zh-CN"/>
        </w:rPr>
        <w:t>1、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color w:val="000000"/>
          <w:sz w:val="24"/>
          <w:szCs w:val="24"/>
          <w:lang w:eastAsia="zh-CN"/>
        </w:rPr>
      </w:pPr>
      <w:r>
        <w:rPr>
          <w:rFonts w:hint="eastAsia"/>
          <w:color w:val="000000"/>
          <w:sz w:val="24"/>
          <w:szCs w:val="24"/>
          <w:lang w:eastAsia="zh-CN"/>
        </w:rPr>
        <w:t>2．本合同自双方签订后生效。本合同及附件一式</w:t>
      </w:r>
      <w:r>
        <w:rPr>
          <w:rFonts w:hint="eastAsia"/>
          <w:sz w:val="24"/>
          <w:szCs w:val="24"/>
          <w:u w:val="single"/>
          <w:lang w:val="en-US" w:eastAsia="zh-CN"/>
        </w:rPr>
        <w:t>4</w:t>
      </w:r>
      <w:r>
        <w:rPr>
          <w:sz w:val="24"/>
          <w:szCs w:val="24"/>
          <w:u w:val="single"/>
          <w:lang w:eastAsia="zh-CN"/>
        </w:rPr>
        <w:t xml:space="preserve"> </w:t>
      </w:r>
      <w:r>
        <w:rPr>
          <w:rFonts w:hint="eastAsia"/>
          <w:color w:val="000000"/>
          <w:sz w:val="24"/>
          <w:szCs w:val="24"/>
          <w:lang w:eastAsia="zh-CN"/>
        </w:rPr>
        <w:t>份，具有同等法律效力，其中甲方</w:t>
      </w:r>
      <w:r>
        <w:rPr>
          <w:sz w:val="24"/>
          <w:szCs w:val="24"/>
          <w:u w:val="single"/>
          <w:lang w:eastAsia="zh-CN"/>
        </w:rPr>
        <w:t xml:space="preserve"> </w:t>
      </w:r>
      <w:r>
        <w:rPr>
          <w:rFonts w:hint="eastAsia"/>
          <w:sz w:val="24"/>
          <w:szCs w:val="24"/>
          <w:u w:val="single"/>
          <w:lang w:val="en-US" w:eastAsia="zh-CN"/>
        </w:rPr>
        <w:t>3</w:t>
      </w:r>
      <w:r>
        <w:rPr>
          <w:sz w:val="24"/>
          <w:szCs w:val="24"/>
          <w:u w:val="single"/>
          <w:lang w:eastAsia="zh-CN"/>
        </w:rPr>
        <w:t xml:space="preserve"> </w:t>
      </w:r>
      <w:r>
        <w:rPr>
          <w:rFonts w:hint="eastAsia"/>
          <w:color w:val="000000"/>
          <w:sz w:val="24"/>
          <w:szCs w:val="24"/>
          <w:lang w:eastAsia="zh-CN"/>
        </w:rPr>
        <w:t>份，乙方</w:t>
      </w:r>
      <w:r>
        <w:rPr>
          <w:sz w:val="24"/>
          <w:szCs w:val="24"/>
          <w:u w:val="single"/>
          <w:lang w:eastAsia="zh-CN"/>
        </w:rPr>
        <w:t xml:space="preserve"> </w:t>
      </w:r>
      <w:r>
        <w:rPr>
          <w:rFonts w:hint="eastAsia"/>
          <w:sz w:val="24"/>
          <w:szCs w:val="24"/>
          <w:u w:val="single"/>
          <w:lang w:val="en-US" w:eastAsia="zh-CN"/>
        </w:rPr>
        <w:t>1</w:t>
      </w:r>
      <w:r>
        <w:rPr>
          <w:sz w:val="24"/>
          <w:szCs w:val="24"/>
          <w:u w:val="single"/>
          <w:lang w:eastAsia="zh-CN"/>
        </w:rPr>
        <w:t xml:space="preserve"> </w:t>
      </w:r>
      <w:r>
        <w:rPr>
          <w:rFonts w:hint="eastAsia"/>
          <w:color w:val="000000"/>
          <w:sz w:val="24"/>
          <w:szCs w:val="24"/>
          <w:lang w:eastAsia="zh-CN"/>
        </w:rPr>
        <w:t>份。</w:t>
      </w:r>
    </w:p>
    <w:p>
      <w:pPr>
        <w:spacing w:line="360" w:lineRule="auto"/>
        <w:ind w:firstLine="480" w:firstLineChars="200"/>
        <w:rPr>
          <w:color w:val="000000"/>
          <w:sz w:val="24"/>
          <w:szCs w:val="24"/>
          <w:lang w:eastAsia="zh-CN"/>
        </w:rPr>
      </w:pPr>
      <w:r>
        <w:rPr>
          <w:rFonts w:hint="eastAsia"/>
          <w:color w:val="000000"/>
          <w:sz w:val="24"/>
          <w:szCs w:val="24"/>
          <w:lang w:eastAsia="zh-CN"/>
        </w:rPr>
        <w:t>3．本合同附件以及合同履行过程中形成的各种书面文件，经双方签署确认后为本合同的组成部分。</w:t>
      </w:r>
    </w:p>
    <w:p>
      <w:pPr>
        <w:spacing w:line="360" w:lineRule="auto"/>
        <w:ind w:firstLine="480" w:firstLineChars="200"/>
        <w:rPr>
          <w:color w:val="000000"/>
          <w:szCs w:val="21"/>
          <w:lang w:eastAsia="zh-CN"/>
        </w:rPr>
      </w:pPr>
      <w:r>
        <w:rPr>
          <w:rFonts w:hint="eastAsia"/>
          <w:color w:val="000000"/>
          <w:sz w:val="24"/>
          <w:szCs w:val="24"/>
          <w:lang w:eastAsia="zh-CN"/>
        </w:rPr>
        <w:t>4．本合同未尽事宜，双方可协商签订补充协议。</w:t>
      </w:r>
    </w:p>
    <w:p>
      <w:pPr>
        <w:pStyle w:val="2"/>
      </w:pPr>
    </w:p>
    <w:p>
      <w:pPr>
        <w:pStyle w:val="2"/>
      </w:pPr>
    </w:p>
    <w:p>
      <w:pPr>
        <w:pStyle w:val="2"/>
      </w:pPr>
    </w:p>
    <w:p>
      <w:pPr>
        <w:pStyle w:val="2"/>
      </w:pPr>
    </w:p>
    <w:p>
      <w:pPr>
        <w:pStyle w:val="2"/>
      </w:pPr>
    </w:p>
    <w:p>
      <w:pPr>
        <w:pStyle w:val="2"/>
      </w:pPr>
      <w:r>
        <w:rPr>
          <w:rFonts w:hint="eastAsia" w:cs="Arial"/>
          <w:b/>
          <w:sz w:val="24"/>
        </w:rPr>
        <w:t>（以下为签署栏，无正文）</w:t>
      </w:r>
    </w:p>
    <w:p>
      <w:pPr>
        <w:pStyle w:val="2"/>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甲方：</w:t>
            </w:r>
            <w:r>
              <w:rPr>
                <w:rFonts w:hint="eastAsia" w:asciiTheme="majorEastAsia" w:hAnsiTheme="majorEastAsia" w:eastAsiaTheme="majorEastAsia"/>
                <w:b/>
                <w:sz w:val="24"/>
                <w:lang w:eastAsia="zh-CN"/>
              </w:rPr>
              <w:t>腾龙芳烃（漳州）有限公司</w:t>
            </w:r>
          </w:p>
        </w:tc>
        <w:tc>
          <w:tcPr>
            <w:tcW w:w="4821"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乙方：</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4960" w:type="dxa"/>
            <w:vAlign w:val="center"/>
          </w:tcPr>
          <w:p>
            <w:pPr>
              <w:spacing w:line="360" w:lineRule="auto"/>
              <w:ind w:left="720" w:hanging="720" w:hangingChars="3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地址：福建省漳州市古雷港经济开发区腾龙路84号</w:t>
            </w:r>
          </w:p>
        </w:tc>
        <w:tc>
          <w:tcPr>
            <w:tcW w:w="4821" w:type="dxa"/>
            <w:vAlign w:val="center"/>
          </w:tcPr>
          <w:p>
            <w:pPr>
              <w:spacing w:line="360" w:lineRule="auto"/>
              <w:ind w:left="720" w:hanging="720" w:hangingChars="3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电话：0596-6311083</w:t>
            </w:r>
          </w:p>
        </w:tc>
        <w:tc>
          <w:tcPr>
            <w:tcW w:w="482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ind w:left="1200" w:hanging="1200" w:hangingChars="5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开户银行：兴业银行漳州古雷支行</w:t>
            </w:r>
          </w:p>
        </w:tc>
        <w:tc>
          <w:tcPr>
            <w:tcW w:w="4821"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账号：</w:t>
            </w:r>
            <w:r>
              <w:rPr>
                <w:rFonts w:asciiTheme="majorEastAsia" w:hAnsiTheme="majorEastAsia" w:eastAsiaTheme="majorEastAsia"/>
                <w:sz w:val="24"/>
              </w:rPr>
              <w:t>1620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7010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0100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0210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71</w:t>
            </w:r>
          </w:p>
        </w:tc>
        <w:tc>
          <w:tcPr>
            <w:tcW w:w="482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税号：9135 0600 7178 6670 9A</w:t>
            </w:r>
          </w:p>
        </w:tc>
        <w:tc>
          <w:tcPr>
            <w:tcW w:w="4821" w:type="dxa"/>
            <w:vAlign w:val="center"/>
          </w:tcPr>
          <w:p>
            <w:pPr>
              <w:spacing w:line="360" w:lineRule="auto"/>
              <w:rPr>
                <w:rFonts w:asciiTheme="majorEastAsia" w:hAnsiTheme="majorEastAsia" w:eastAsiaTheme="major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p>
        </w:tc>
        <w:tc>
          <w:tcPr>
            <w:tcW w:w="4821" w:type="dxa"/>
            <w:vAlign w:val="center"/>
          </w:tcPr>
          <w:p>
            <w:pPr>
              <w:spacing w:line="360" w:lineRule="auto"/>
              <w:rPr>
                <w:rFonts w:asciiTheme="majorEastAsia" w:hAnsiTheme="majorEastAsia" w:eastAsiaTheme="majorEastAsia"/>
                <w:sz w:val="24"/>
              </w:rPr>
            </w:pPr>
          </w:p>
        </w:tc>
      </w:tr>
      <w:bookmarkEnd w:id="0"/>
    </w:tbl>
    <w:p>
      <w:pPr>
        <w:pStyle w:val="2"/>
        <w:rPr>
          <w:b/>
          <w:bCs/>
          <w:sz w:val="32"/>
          <w:szCs w:val="32"/>
        </w:rPr>
      </w:pP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docPartObj>
        <w:docPartGallery w:val="autotext"/>
      </w:docPartObj>
    </w:sdtPr>
    <w:sdtContent>
      <w:p>
        <w:pPr>
          <w:pStyle w:val="30"/>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CC52249"/>
    <w:multiLevelType w:val="multilevel"/>
    <w:tmpl w:val="0CC52249"/>
    <w:lvl w:ilvl="0" w:tentative="0">
      <w:start w:val="1"/>
      <w:numFmt w:val="decimal"/>
      <w:lvlText w:val="%1."/>
      <w:lvlJc w:val="left"/>
      <w:pPr>
        <w:ind w:left="1192" w:hanging="360"/>
      </w:pPr>
      <w:rPr>
        <w:rFonts w:cs="宋体" w:asciiTheme="majorEastAsia" w:hAnsiTheme="majorEastAsia" w:eastAsiaTheme="majorEastAsia"/>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26F413A9"/>
    <w:multiLevelType w:val="multilevel"/>
    <w:tmpl w:val="26F413A9"/>
    <w:lvl w:ilvl="0" w:tentative="0">
      <w:start w:val="1"/>
      <w:numFmt w:val="japaneseCounting"/>
      <w:lvlText w:val="%1、"/>
      <w:lvlJc w:val="left"/>
      <w:pPr>
        <w:ind w:left="1165" w:hanging="720"/>
      </w:pPr>
      <w:rPr>
        <w:rFonts w:hint="default"/>
      </w:rPr>
    </w:lvl>
    <w:lvl w:ilvl="1" w:tentative="0">
      <w:start w:val="1"/>
      <w:numFmt w:val="lowerLetter"/>
      <w:lvlText w:val="%2)"/>
      <w:lvlJc w:val="left"/>
      <w:pPr>
        <w:ind w:left="1285" w:hanging="420"/>
      </w:pPr>
    </w:lvl>
    <w:lvl w:ilvl="2" w:tentative="0">
      <w:start w:val="1"/>
      <w:numFmt w:val="lowerRoman"/>
      <w:lvlText w:val="%3."/>
      <w:lvlJc w:val="right"/>
      <w:pPr>
        <w:ind w:left="1705" w:hanging="420"/>
      </w:pPr>
    </w:lvl>
    <w:lvl w:ilvl="3" w:tentative="0">
      <w:start w:val="1"/>
      <w:numFmt w:val="decimal"/>
      <w:lvlText w:val="%4."/>
      <w:lvlJc w:val="left"/>
      <w:pPr>
        <w:ind w:left="2125" w:hanging="420"/>
      </w:pPr>
    </w:lvl>
    <w:lvl w:ilvl="4" w:tentative="0">
      <w:start w:val="1"/>
      <w:numFmt w:val="lowerLetter"/>
      <w:lvlText w:val="%5)"/>
      <w:lvlJc w:val="left"/>
      <w:pPr>
        <w:ind w:left="2545" w:hanging="420"/>
      </w:pPr>
    </w:lvl>
    <w:lvl w:ilvl="5" w:tentative="0">
      <w:start w:val="1"/>
      <w:numFmt w:val="lowerRoman"/>
      <w:lvlText w:val="%6."/>
      <w:lvlJc w:val="right"/>
      <w:pPr>
        <w:ind w:left="2965" w:hanging="420"/>
      </w:pPr>
    </w:lvl>
    <w:lvl w:ilvl="6" w:tentative="0">
      <w:start w:val="1"/>
      <w:numFmt w:val="decimal"/>
      <w:lvlText w:val="%7."/>
      <w:lvlJc w:val="left"/>
      <w:pPr>
        <w:ind w:left="3385" w:hanging="420"/>
      </w:pPr>
    </w:lvl>
    <w:lvl w:ilvl="7" w:tentative="0">
      <w:start w:val="1"/>
      <w:numFmt w:val="lowerLetter"/>
      <w:lvlText w:val="%8)"/>
      <w:lvlJc w:val="left"/>
      <w:pPr>
        <w:ind w:left="3805" w:hanging="420"/>
      </w:pPr>
    </w:lvl>
    <w:lvl w:ilvl="8" w:tentative="0">
      <w:start w:val="1"/>
      <w:numFmt w:val="lowerRoman"/>
      <w:lvlText w:val="%9."/>
      <w:lvlJc w:val="right"/>
      <w:pPr>
        <w:ind w:left="4225" w:hanging="420"/>
      </w:p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6"/>
  </w:num>
  <w:num w:numId="2">
    <w:abstractNumId w:val="0"/>
  </w:num>
  <w:num w:numId="3">
    <w:abstractNumId w:val="3"/>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967702"/>
    <w:rsid w:val="000004E6"/>
    <w:rsid w:val="000010FA"/>
    <w:rsid w:val="000011A0"/>
    <w:rsid w:val="00001416"/>
    <w:rsid w:val="000034C1"/>
    <w:rsid w:val="00004C5E"/>
    <w:rsid w:val="00010BA8"/>
    <w:rsid w:val="00021C95"/>
    <w:rsid w:val="00025717"/>
    <w:rsid w:val="000277D1"/>
    <w:rsid w:val="00034D2E"/>
    <w:rsid w:val="000367ED"/>
    <w:rsid w:val="00037D7F"/>
    <w:rsid w:val="00045F7C"/>
    <w:rsid w:val="00050E04"/>
    <w:rsid w:val="00052C0E"/>
    <w:rsid w:val="00054A8A"/>
    <w:rsid w:val="00057E4C"/>
    <w:rsid w:val="00060DB7"/>
    <w:rsid w:val="00065E22"/>
    <w:rsid w:val="000674E3"/>
    <w:rsid w:val="00074760"/>
    <w:rsid w:val="00081BBB"/>
    <w:rsid w:val="00085CA2"/>
    <w:rsid w:val="00092243"/>
    <w:rsid w:val="0009500D"/>
    <w:rsid w:val="000962C0"/>
    <w:rsid w:val="000A1C86"/>
    <w:rsid w:val="000A3740"/>
    <w:rsid w:val="000A6182"/>
    <w:rsid w:val="000B0914"/>
    <w:rsid w:val="000B49EE"/>
    <w:rsid w:val="000C57EB"/>
    <w:rsid w:val="000C629C"/>
    <w:rsid w:val="000D1AB8"/>
    <w:rsid w:val="000D35CF"/>
    <w:rsid w:val="000D369A"/>
    <w:rsid w:val="000D51F3"/>
    <w:rsid w:val="000E2C98"/>
    <w:rsid w:val="000E505B"/>
    <w:rsid w:val="000F116F"/>
    <w:rsid w:val="000F15E9"/>
    <w:rsid w:val="000F27AD"/>
    <w:rsid w:val="000F39C1"/>
    <w:rsid w:val="000F4255"/>
    <w:rsid w:val="00101100"/>
    <w:rsid w:val="00101DC5"/>
    <w:rsid w:val="0011079D"/>
    <w:rsid w:val="00111D19"/>
    <w:rsid w:val="001150C5"/>
    <w:rsid w:val="00122E24"/>
    <w:rsid w:val="00122F40"/>
    <w:rsid w:val="0012681B"/>
    <w:rsid w:val="001304CD"/>
    <w:rsid w:val="00130886"/>
    <w:rsid w:val="00135AC9"/>
    <w:rsid w:val="00136B35"/>
    <w:rsid w:val="00142384"/>
    <w:rsid w:val="00142830"/>
    <w:rsid w:val="00146977"/>
    <w:rsid w:val="001507FD"/>
    <w:rsid w:val="00150CB0"/>
    <w:rsid w:val="00153AC6"/>
    <w:rsid w:val="00154D53"/>
    <w:rsid w:val="00154EB4"/>
    <w:rsid w:val="001550E1"/>
    <w:rsid w:val="001660AB"/>
    <w:rsid w:val="0016671F"/>
    <w:rsid w:val="00177E03"/>
    <w:rsid w:val="0018116F"/>
    <w:rsid w:val="00182B0E"/>
    <w:rsid w:val="00185C58"/>
    <w:rsid w:val="001861E4"/>
    <w:rsid w:val="00192465"/>
    <w:rsid w:val="00193470"/>
    <w:rsid w:val="00193817"/>
    <w:rsid w:val="00195D79"/>
    <w:rsid w:val="001A01EB"/>
    <w:rsid w:val="001A2278"/>
    <w:rsid w:val="001A6EE7"/>
    <w:rsid w:val="001B07AA"/>
    <w:rsid w:val="001B5CD4"/>
    <w:rsid w:val="001B698B"/>
    <w:rsid w:val="001C0DB4"/>
    <w:rsid w:val="001C5843"/>
    <w:rsid w:val="001D13DE"/>
    <w:rsid w:val="001E3C0E"/>
    <w:rsid w:val="001F3956"/>
    <w:rsid w:val="001F3D0A"/>
    <w:rsid w:val="00200CED"/>
    <w:rsid w:val="0020141D"/>
    <w:rsid w:val="00217F71"/>
    <w:rsid w:val="00227556"/>
    <w:rsid w:val="002305DA"/>
    <w:rsid w:val="002318C1"/>
    <w:rsid w:val="00233571"/>
    <w:rsid w:val="002336A1"/>
    <w:rsid w:val="00233C9B"/>
    <w:rsid w:val="00241E6B"/>
    <w:rsid w:val="00242301"/>
    <w:rsid w:val="002427A9"/>
    <w:rsid w:val="002431E7"/>
    <w:rsid w:val="002451B2"/>
    <w:rsid w:val="0024625A"/>
    <w:rsid w:val="00256FBB"/>
    <w:rsid w:val="002578E6"/>
    <w:rsid w:val="00262B34"/>
    <w:rsid w:val="00263085"/>
    <w:rsid w:val="002648A2"/>
    <w:rsid w:val="00270CE4"/>
    <w:rsid w:val="00273DCB"/>
    <w:rsid w:val="00276715"/>
    <w:rsid w:val="00281331"/>
    <w:rsid w:val="002855A5"/>
    <w:rsid w:val="002859D4"/>
    <w:rsid w:val="00285F4F"/>
    <w:rsid w:val="00287A75"/>
    <w:rsid w:val="00290B7A"/>
    <w:rsid w:val="00296310"/>
    <w:rsid w:val="002964C6"/>
    <w:rsid w:val="002971E6"/>
    <w:rsid w:val="002A4126"/>
    <w:rsid w:val="002A68F0"/>
    <w:rsid w:val="002B042F"/>
    <w:rsid w:val="002B3B47"/>
    <w:rsid w:val="002B5AB8"/>
    <w:rsid w:val="002B6416"/>
    <w:rsid w:val="002C6A2D"/>
    <w:rsid w:val="002D4CF8"/>
    <w:rsid w:val="002E0F0C"/>
    <w:rsid w:val="002E3036"/>
    <w:rsid w:val="002E49DF"/>
    <w:rsid w:val="002E4DB0"/>
    <w:rsid w:val="002E6175"/>
    <w:rsid w:val="002F34BA"/>
    <w:rsid w:val="002F755A"/>
    <w:rsid w:val="003024B8"/>
    <w:rsid w:val="003037D5"/>
    <w:rsid w:val="003053B9"/>
    <w:rsid w:val="003102D1"/>
    <w:rsid w:val="003150CD"/>
    <w:rsid w:val="003221F4"/>
    <w:rsid w:val="00322502"/>
    <w:rsid w:val="00322549"/>
    <w:rsid w:val="00326664"/>
    <w:rsid w:val="00331810"/>
    <w:rsid w:val="0033277A"/>
    <w:rsid w:val="003344D9"/>
    <w:rsid w:val="00342B24"/>
    <w:rsid w:val="00345512"/>
    <w:rsid w:val="003456D2"/>
    <w:rsid w:val="00347C37"/>
    <w:rsid w:val="00350BD1"/>
    <w:rsid w:val="003603CD"/>
    <w:rsid w:val="00362CD0"/>
    <w:rsid w:val="003635DF"/>
    <w:rsid w:val="00364EB1"/>
    <w:rsid w:val="00365CCD"/>
    <w:rsid w:val="00372187"/>
    <w:rsid w:val="00373697"/>
    <w:rsid w:val="003742CC"/>
    <w:rsid w:val="00376FF9"/>
    <w:rsid w:val="00381B09"/>
    <w:rsid w:val="00383DFA"/>
    <w:rsid w:val="00385474"/>
    <w:rsid w:val="00387574"/>
    <w:rsid w:val="00391310"/>
    <w:rsid w:val="00395FE5"/>
    <w:rsid w:val="003B37B3"/>
    <w:rsid w:val="003B3C4F"/>
    <w:rsid w:val="003B3F6B"/>
    <w:rsid w:val="003B4A51"/>
    <w:rsid w:val="003B6804"/>
    <w:rsid w:val="003B7CBD"/>
    <w:rsid w:val="003C1AF2"/>
    <w:rsid w:val="003C5A0F"/>
    <w:rsid w:val="003D53FE"/>
    <w:rsid w:val="003E37C1"/>
    <w:rsid w:val="003F3600"/>
    <w:rsid w:val="003F5B96"/>
    <w:rsid w:val="003F614D"/>
    <w:rsid w:val="003F6A6B"/>
    <w:rsid w:val="003F72B4"/>
    <w:rsid w:val="004005C3"/>
    <w:rsid w:val="004022EC"/>
    <w:rsid w:val="00402518"/>
    <w:rsid w:val="0040417A"/>
    <w:rsid w:val="00405092"/>
    <w:rsid w:val="00410C69"/>
    <w:rsid w:val="00413501"/>
    <w:rsid w:val="00420DB7"/>
    <w:rsid w:val="00427F83"/>
    <w:rsid w:val="00432036"/>
    <w:rsid w:val="00437706"/>
    <w:rsid w:val="00437CA2"/>
    <w:rsid w:val="00440652"/>
    <w:rsid w:val="004458D8"/>
    <w:rsid w:val="00462422"/>
    <w:rsid w:val="00465443"/>
    <w:rsid w:val="00465D19"/>
    <w:rsid w:val="0047282D"/>
    <w:rsid w:val="0047402F"/>
    <w:rsid w:val="00481DEF"/>
    <w:rsid w:val="004835AF"/>
    <w:rsid w:val="00490A62"/>
    <w:rsid w:val="0049126B"/>
    <w:rsid w:val="00492D04"/>
    <w:rsid w:val="004941B1"/>
    <w:rsid w:val="00494C07"/>
    <w:rsid w:val="004A13AF"/>
    <w:rsid w:val="004A1A23"/>
    <w:rsid w:val="004A46AD"/>
    <w:rsid w:val="004A498D"/>
    <w:rsid w:val="004C16AE"/>
    <w:rsid w:val="004C1D0F"/>
    <w:rsid w:val="004C4B54"/>
    <w:rsid w:val="004D6A19"/>
    <w:rsid w:val="004F0BFD"/>
    <w:rsid w:val="00500D74"/>
    <w:rsid w:val="00505560"/>
    <w:rsid w:val="00513D5D"/>
    <w:rsid w:val="00514AFE"/>
    <w:rsid w:val="00533119"/>
    <w:rsid w:val="005339E0"/>
    <w:rsid w:val="005345C8"/>
    <w:rsid w:val="005369F4"/>
    <w:rsid w:val="00547AD0"/>
    <w:rsid w:val="005518F3"/>
    <w:rsid w:val="005541D5"/>
    <w:rsid w:val="00555E59"/>
    <w:rsid w:val="0055600D"/>
    <w:rsid w:val="00565CF8"/>
    <w:rsid w:val="00573FB2"/>
    <w:rsid w:val="0057705C"/>
    <w:rsid w:val="00581B11"/>
    <w:rsid w:val="0058671D"/>
    <w:rsid w:val="00593DEA"/>
    <w:rsid w:val="00595F8F"/>
    <w:rsid w:val="00596F42"/>
    <w:rsid w:val="005A1AE3"/>
    <w:rsid w:val="005A4D52"/>
    <w:rsid w:val="005A52FA"/>
    <w:rsid w:val="005B4BA0"/>
    <w:rsid w:val="005B6211"/>
    <w:rsid w:val="005C6A76"/>
    <w:rsid w:val="005D0BD1"/>
    <w:rsid w:val="005D2766"/>
    <w:rsid w:val="005D5BB2"/>
    <w:rsid w:val="005E2211"/>
    <w:rsid w:val="005E2CFD"/>
    <w:rsid w:val="005E2EB3"/>
    <w:rsid w:val="005E7AF2"/>
    <w:rsid w:val="005F1F2E"/>
    <w:rsid w:val="005F21D1"/>
    <w:rsid w:val="005F32BA"/>
    <w:rsid w:val="005F4BA4"/>
    <w:rsid w:val="0060252C"/>
    <w:rsid w:val="00602A99"/>
    <w:rsid w:val="00603968"/>
    <w:rsid w:val="00606A94"/>
    <w:rsid w:val="006149C8"/>
    <w:rsid w:val="006152B6"/>
    <w:rsid w:val="006238C7"/>
    <w:rsid w:val="006238EE"/>
    <w:rsid w:val="00624ABF"/>
    <w:rsid w:val="00624F51"/>
    <w:rsid w:val="006268B0"/>
    <w:rsid w:val="00630128"/>
    <w:rsid w:val="006312AB"/>
    <w:rsid w:val="006313FB"/>
    <w:rsid w:val="00631DE0"/>
    <w:rsid w:val="00631F92"/>
    <w:rsid w:val="00632468"/>
    <w:rsid w:val="00632E52"/>
    <w:rsid w:val="00642E61"/>
    <w:rsid w:val="006458DE"/>
    <w:rsid w:val="00646A0E"/>
    <w:rsid w:val="00653EEC"/>
    <w:rsid w:val="0065429C"/>
    <w:rsid w:val="006631EB"/>
    <w:rsid w:val="00664A57"/>
    <w:rsid w:val="00664E56"/>
    <w:rsid w:val="0068543C"/>
    <w:rsid w:val="006940F9"/>
    <w:rsid w:val="0069418A"/>
    <w:rsid w:val="006A232A"/>
    <w:rsid w:val="006A265A"/>
    <w:rsid w:val="006A79DD"/>
    <w:rsid w:val="006A7D0D"/>
    <w:rsid w:val="006A7EA8"/>
    <w:rsid w:val="006B21C2"/>
    <w:rsid w:val="006B3CB3"/>
    <w:rsid w:val="006B5E39"/>
    <w:rsid w:val="006B6DB4"/>
    <w:rsid w:val="006B79D7"/>
    <w:rsid w:val="006C1395"/>
    <w:rsid w:val="006C3A25"/>
    <w:rsid w:val="006C775E"/>
    <w:rsid w:val="006D4F96"/>
    <w:rsid w:val="006E0A7C"/>
    <w:rsid w:val="006E0FCB"/>
    <w:rsid w:val="006E25FB"/>
    <w:rsid w:val="006E345F"/>
    <w:rsid w:val="006E3B36"/>
    <w:rsid w:val="006E6D55"/>
    <w:rsid w:val="006F0262"/>
    <w:rsid w:val="006F2F7D"/>
    <w:rsid w:val="0070006F"/>
    <w:rsid w:val="00701816"/>
    <w:rsid w:val="00701DE6"/>
    <w:rsid w:val="0070392A"/>
    <w:rsid w:val="007072CB"/>
    <w:rsid w:val="00707BF0"/>
    <w:rsid w:val="0071080A"/>
    <w:rsid w:val="00711047"/>
    <w:rsid w:val="00712FDC"/>
    <w:rsid w:val="00714008"/>
    <w:rsid w:val="00714DA2"/>
    <w:rsid w:val="007271D0"/>
    <w:rsid w:val="007279F5"/>
    <w:rsid w:val="00732878"/>
    <w:rsid w:val="00733A20"/>
    <w:rsid w:val="0073742A"/>
    <w:rsid w:val="007422CA"/>
    <w:rsid w:val="00745001"/>
    <w:rsid w:val="00745779"/>
    <w:rsid w:val="00746DBA"/>
    <w:rsid w:val="007509A8"/>
    <w:rsid w:val="00751B1E"/>
    <w:rsid w:val="00753C0F"/>
    <w:rsid w:val="007540CE"/>
    <w:rsid w:val="00755E15"/>
    <w:rsid w:val="007601EF"/>
    <w:rsid w:val="00760373"/>
    <w:rsid w:val="0077041D"/>
    <w:rsid w:val="0077760C"/>
    <w:rsid w:val="007778D9"/>
    <w:rsid w:val="00782347"/>
    <w:rsid w:val="0078256E"/>
    <w:rsid w:val="00786BE0"/>
    <w:rsid w:val="00794F72"/>
    <w:rsid w:val="00795740"/>
    <w:rsid w:val="00795A51"/>
    <w:rsid w:val="007B07B3"/>
    <w:rsid w:val="007B7828"/>
    <w:rsid w:val="007C2B12"/>
    <w:rsid w:val="007C6297"/>
    <w:rsid w:val="007C7F5F"/>
    <w:rsid w:val="007D17EF"/>
    <w:rsid w:val="007D2272"/>
    <w:rsid w:val="007D2D34"/>
    <w:rsid w:val="007D5A7E"/>
    <w:rsid w:val="007D5F37"/>
    <w:rsid w:val="007D6D04"/>
    <w:rsid w:val="007D7FCA"/>
    <w:rsid w:val="007E67FB"/>
    <w:rsid w:val="007E6CD1"/>
    <w:rsid w:val="007F05A0"/>
    <w:rsid w:val="007F06B2"/>
    <w:rsid w:val="007F3EB5"/>
    <w:rsid w:val="007F61D0"/>
    <w:rsid w:val="007F66EF"/>
    <w:rsid w:val="00804A52"/>
    <w:rsid w:val="00811DBA"/>
    <w:rsid w:val="00816E6E"/>
    <w:rsid w:val="00817394"/>
    <w:rsid w:val="008263B0"/>
    <w:rsid w:val="00826D77"/>
    <w:rsid w:val="008279D0"/>
    <w:rsid w:val="008367BA"/>
    <w:rsid w:val="00837BFA"/>
    <w:rsid w:val="00837C41"/>
    <w:rsid w:val="00837F03"/>
    <w:rsid w:val="0084007B"/>
    <w:rsid w:val="00840870"/>
    <w:rsid w:val="008433A6"/>
    <w:rsid w:val="0084657A"/>
    <w:rsid w:val="0085290F"/>
    <w:rsid w:val="00855428"/>
    <w:rsid w:val="00856CF7"/>
    <w:rsid w:val="00856E19"/>
    <w:rsid w:val="008622DD"/>
    <w:rsid w:val="00862896"/>
    <w:rsid w:val="008725C6"/>
    <w:rsid w:val="00876586"/>
    <w:rsid w:val="0087698B"/>
    <w:rsid w:val="00881942"/>
    <w:rsid w:val="00885D5E"/>
    <w:rsid w:val="00893515"/>
    <w:rsid w:val="00895AAC"/>
    <w:rsid w:val="00895D5F"/>
    <w:rsid w:val="008A28CB"/>
    <w:rsid w:val="008B4179"/>
    <w:rsid w:val="008D212A"/>
    <w:rsid w:val="008E1769"/>
    <w:rsid w:val="008E1F3F"/>
    <w:rsid w:val="008E2155"/>
    <w:rsid w:val="008E5198"/>
    <w:rsid w:val="008E7C1A"/>
    <w:rsid w:val="008F3430"/>
    <w:rsid w:val="008F3559"/>
    <w:rsid w:val="009032FB"/>
    <w:rsid w:val="00903CE9"/>
    <w:rsid w:val="009134D5"/>
    <w:rsid w:val="00916373"/>
    <w:rsid w:val="00917368"/>
    <w:rsid w:val="00930487"/>
    <w:rsid w:val="009312CA"/>
    <w:rsid w:val="009353D9"/>
    <w:rsid w:val="00937414"/>
    <w:rsid w:val="00942705"/>
    <w:rsid w:val="00952F8D"/>
    <w:rsid w:val="00955A6F"/>
    <w:rsid w:val="00964F96"/>
    <w:rsid w:val="009663D1"/>
    <w:rsid w:val="00967702"/>
    <w:rsid w:val="00971BD1"/>
    <w:rsid w:val="00974883"/>
    <w:rsid w:val="00975EAC"/>
    <w:rsid w:val="00985A88"/>
    <w:rsid w:val="009873FF"/>
    <w:rsid w:val="009928C9"/>
    <w:rsid w:val="00992DC8"/>
    <w:rsid w:val="00995F84"/>
    <w:rsid w:val="0099730F"/>
    <w:rsid w:val="009A5EA2"/>
    <w:rsid w:val="009A6494"/>
    <w:rsid w:val="009A6FD0"/>
    <w:rsid w:val="009B054A"/>
    <w:rsid w:val="009B2DE5"/>
    <w:rsid w:val="009B34B8"/>
    <w:rsid w:val="009B5C91"/>
    <w:rsid w:val="009C2775"/>
    <w:rsid w:val="009D44F4"/>
    <w:rsid w:val="009D49AE"/>
    <w:rsid w:val="009D501D"/>
    <w:rsid w:val="009D7449"/>
    <w:rsid w:val="009E1058"/>
    <w:rsid w:val="009E359E"/>
    <w:rsid w:val="009E6B69"/>
    <w:rsid w:val="009F050C"/>
    <w:rsid w:val="009F0778"/>
    <w:rsid w:val="009F2725"/>
    <w:rsid w:val="009F6299"/>
    <w:rsid w:val="00A00CB6"/>
    <w:rsid w:val="00A149E5"/>
    <w:rsid w:val="00A153FC"/>
    <w:rsid w:val="00A15D70"/>
    <w:rsid w:val="00A22D9A"/>
    <w:rsid w:val="00A2542D"/>
    <w:rsid w:val="00A278D7"/>
    <w:rsid w:val="00A36F0C"/>
    <w:rsid w:val="00A37693"/>
    <w:rsid w:val="00A434E0"/>
    <w:rsid w:val="00A45F18"/>
    <w:rsid w:val="00A50073"/>
    <w:rsid w:val="00A614C8"/>
    <w:rsid w:val="00A62247"/>
    <w:rsid w:val="00A62640"/>
    <w:rsid w:val="00A6610B"/>
    <w:rsid w:val="00A70480"/>
    <w:rsid w:val="00A71A24"/>
    <w:rsid w:val="00A7270C"/>
    <w:rsid w:val="00A825F2"/>
    <w:rsid w:val="00A82B0B"/>
    <w:rsid w:val="00A878E0"/>
    <w:rsid w:val="00A87B9C"/>
    <w:rsid w:val="00A9577B"/>
    <w:rsid w:val="00A9762D"/>
    <w:rsid w:val="00A97BAC"/>
    <w:rsid w:val="00AB2924"/>
    <w:rsid w:val="00AB6E37"/>
    <w:rsid w:val="00AB77FF"/>
    <w:rsid w:val="00AC3A4E"/>
    <w:rsid w:val="00AC3CFE"/>
    <w:rsid w:val="00AC4C2A"/>
    <w:rsid w:val="00AC5C91"/>
    <w:rsid w:val="00AC7F0D"/>
    <w:rsid w:val="00AD0858"/>
    <w:rsid w:val="00AD202A"/>
    <w:rsid w:val="00AD24EC"/>
    <w:rsid w:val="00AD258E"/>
    <w:rsid w:val="00AD4DAF"/>
    <w:rsid w:val="00AD66E2"/>
    <w:rsid w:val="00AD7858"/>
    <w:rsid w:val="00AE0B15"/>
    <w:rsid w:val="00AF0353"/>
    <w:rsid w:val="00AF42BA"/>
    <w:rsid w:val="00AF45D7"/>
    <w:rsid w:val="00AF4D11"/>
    <w:rsid w:val="00AF5ADD"/>
    <w:rsid w:val="00B04CA6"/>
    <w:rsid w:val="00B07000"/>
    <w:rsid w:val="00B101F1"/>
    <w:rsid w:val="00B17438"/>
    <w:rsid w:val="00B20AF0"/>
    <w:rsid w:val="00B2137B"/>
    <w:rsid w:val="00B231D8"/>
    <w:rsid w:val="00B3047D"/>
    <w:rsid w:val="00B3158C"/>
    <w:rsid w:val="00B31994"/>
    <w:rsid w:val="00B33D45"/>
    <w:rsid w:val="00B41C19"/>
    <w:rsid w:val="00B44FC3"/>
    <w:rsid w:val="00B5127C"/>
    <w:rsid w:val="00B51CF9"/>
    <w:rsid w:val="00B601D5"/>
    <w:rsid w:val="00B6462C"/>
    <w:rsid w:val="00B64838"/>
    <w:rsid w:val="00B67AF9"/>
    <w:rsid w:val="00B70CEE"/>
    <w:rsid w:val="00B7542E"/>
    <w:rsid w:val="00B76512"/>
    <w:rsid w:val="00B81287"/>
    <w:rsid w:val="00B84124"/>
    <w:rsid w:val="00B841E6"/>
    <w:rsid w:val="00B85214"/>
    <w:rsid w:val="00B908A4"/>
    <w:rsid w:val="00B912C6"/>
    <w:rsid w:val="00B92794"/>
    <w:rsid w:val="00B936AF"/>
    <w:rsid w:val="00B93AEA"/>
    <w:rsid w:val="00B97B69"/>
    <w:rsid w:val="00BA0BB1"/>
    <w:rsid w:val="00BA4E15"/>
    <w:rsid w:val="00BA5C95"/>
    <w:rsid w:val="00BA76D8"/>
    <w:rsid w:val="00BB028C"/>
    <w:rsid w:val="00BB56DE"/>
    <w:rsid w:val="00BB7853"/>
    <w:rsid w:val="00BC11B8"/>
    <w:rsid w:val="00BC1268"/>
    <w:rsid w:val="00BC591F"/>
    <w:rsid w:val="00BD5816"/>
    <w:rsid w:val="00BD607C"/>
    <w:rsid w:val="00BD6280"/>
    <w:rsid w:val="00BD77D8"/>
    <w:rsid w:val="00BE7623"/>
    <w:rsid w:val="00BF0B81"/>
    <w:rsid w:val="00BF0BA0"/>
    <w:rsid w:val="00BF1A08"/>
    <w:rsid w:val="00BF524A"/>
    <w:rsid w:val="00C04D6E"/>
    <w:rsid w:val="00C0566F"/>
    <w:rsid w:val="00C05D72"/>
    <w:rsid w:val="00C074CA"/>
    <w:rsid w:val="00C103C0"/>
    <w:rsid w:val="00C10DC9"/>
    <w:rsid w:val="00C13082"/>
    <w:rsid w:val="00C13286"/>
    <w:rsid w:val="00C14D2D"/>
    <w:rsid w:val="00C154F9"/>
    <w:rsid w:val="00C20605"/>
    <w:rsid w:val="00C257AE"/>
    <w:rsid w:val="00C267A5"/>
    <w:rsid w:val="00C31D86"/>
    <w:rsid w:val="00C36CCA"/>
    <w:rsid w:val="00C41EDF"/>
    <w:rsid w:val="00C45157"/>
    <w:rsid w:val="00C518F0"/>
    <w:rsid w:val="00C5267D"/>
    <w:rsid w:val="00C53E9A"/>
    <w:rsid w:val="00C60880"/>
    <w:rsid w:val="00C60A95"/>
    <w:rsid w:val="00C6183F"/>
    <w:rsid w:val="00C71916"/>
    <w:rsid w:val="00C76112"/>
    <w:rsid w:val="00C8060B"/>
    <w:rsid w:val="00C864FC"/>
    <w:rsid w:val="00C913CE"/>
    <w:rsid w:val="00C93BEF"/>
    <w:rsid w:val="00CA54A9"/>
    <w:rsid w:val="00CB02F1"/>
    <w:rsid w:val="00CB2E01"/>
    <w:rsid w:val="00CB3440"/>
    <w:rsid w:val="00CB5372"/>
    <w:rsid w:val="00CC2FB3"/>
    <w:rsid w:val="00CC6798"/>
    <w:rsid w:val="00CC7AD9"/>
    <w:rsid w:val="00CD371C"/>
    <w:rsid w:val="00CD3723"/>
    <w:rsid w:val="00CD47B1"/>
    <w:rsid w:val="00CD4C70"/>
    <w:rsid w:val="00CD623F"/>
    <w:rsid w:val="00CD7E0C"/>
    <w:rsid w:val="00CE2DB4"/>
    <w:rsid w:val="00CE411C"/>
    <w:rsid w:val="00CE53C6"/>
    <w:rsid w:val="00CE591F"/>
    <w:rsid w:val="00CF173B"/>
    <w:rsid w:val="00CF40A1"/>
    <w:rsid w:val="00CF444F"/>
    <w:rsid w:val="00D018DD"/>
    <w:rsid w:val="00D033EB"/>
    <w:rsid w:val="00D041F5"/>
    <w:rsid w:val="00D10EC7"/>
    <w:rsid w:val="00D14D07"/>
    <w:rsid w:val="00D20FBB"/>
    <w:rsid w:val="00D265B9"/>
    <w:rsid w:val="00D26A34"/>
    <w:rsid w:val="00D328B1"/>
    <w:rsid w:val="00D33933"/>
    <w:rsid w:val="00D33CA0"/>
    <w:rsid w:val="00D3426F"/>
    <w:rsid w:val="00D3487E"/>
    <w:rsid w:val="00D406E6"/>
    <w:rsid w:val="00D4446E"/>
    <w:rsid w:val="00D463C4"/>
    <w:rsid w:val="00D4666F"/>
    <w:rsid w:val="00D5281B"/>
    <w:rsid w:val="00D54A67"/>
    <w:rsid w:val="00D571F8"/>
    <w:rsid w:val="00D60D83"/>
    <w:rsid w:val="00D627B1"/>
    <w:rsid w:val="00D62BDB"/>
    <w:rsid w:val="00D63D30"/>
    <w:rsid w:val="00D64110"/>
    <w:rsid w:val="00D64BE9"/>
    <w:rsid w:val="00D67F61"/>
    <w:rsid w:val="00D70AEA"/>
    <w:rsid w:val="00D7180A"/>
    <w:rsid w:val="00D728BD"/>
    <w:rsid w:val="00D73C0E"/>
    <w:rsid w:val="00D749CB"/>
    <w:rsid w:val="00D84B38"/>
    <w:rsid w:val="00D86664"/>
    <w:rsid w:val="00D87834"/>
    <w:rsid w:val="00D913F7"/>
    <w:rsid w:val="00D92174"/>
    <w:rsid w:val="00D92871"/>
    <w:rsid w:val="00D947D8"/>
    <w:rsid w:val="00D957A8"/>
    <w:rsid w:val="00D95C56"/>
    <w:rsid w:val="00D96DE6"/>
    <w:rsid w:val="00D9778F"/>
    <w:rsid w:val="00DA38B6"/>
    <w:rsid w:val="00DA5752"/>
    <w:rsid w:val="00DA73BC"/>
    <w:rsid w:val="00DA7F1E"/>
    <w:rsid w:val="00DC2B12"/>
    <w:rsid w:val="00DD3B90"/>
    <w:rsid w:val="00DD56C2"/>
    <w:rsid w:val="00DE102D"/>
    <w:rsid w:val="00DE1D5D"/>
    <w:rsid w:val="00DE2025"/>
    <w:rsid w:val="00DE4ECE"/>
    <w:rsid w:val="00DE63EC"/>
    <w:rsid w:val="00DF35F4"/>
    <w:rsid w:val="00DF41E5"/>
    <w:rsid w:val="00DF463A"/>
    <w:rsid w:val="00E00780"/>
    <w:rsid w:val="00E068F1"/>
    <w:rsid w:val="00E11312"/>
    <w:rsid w:val="00E12E5B"/>
    <w:rsid w:val="00E13875"/>
    <w:rsid w:val="00E155F5"/>
    <w:rsid w:val="00E21054"/>
    <w:rsid w:val="00E3205C"/>
    <w:rsid w:val="00E35382"/>
    <w:rsid w:val="00E37D62"/>
    <w:rsid w:val="00E410EA"/>
    <w:rsid w:val="00E42EDD"/>
    <w:rsid w:val="00E476BB"/>
    <w:rsid w:val="00E50F7B"/>
    <w:rsid w:val="00E56799"/>
    <w:rsid w:val="00E57E7B"/>
    <w:rsid w:val="00E60C45"/>
    <w:rsid w:val="00E62355"/>
    <w:rsid w:val="00E6494A"/>
    <w:rsid w:val="00E739AE"/>
    <w:rsid w:val="00E80BDD"/>
    <w:rsid w:val="00E85991"/>
    <w:rsid w:val="00E93446"/>
    <w:rsid w:val="00E94724"/>
    <w:rsid w:val="00E9474E"/>
    <w:rsid w:val="00E975FE"/>
    <w:rsid w:val="00E97CE7"/>
    <w:rsid w:val="00EA5A6E"/>
    <w:rsid w:val="00EB0885"/>
    <w:rsid w:val="00EC472D"/>
    <w:rsid w:val="00EC50D4"/>
    <w:rsid w:val="00EC5462"/>
    <w:rsid w:val="00EC78D9"/>
    <w:rsid w:val="00ED19AE"/>
    <w:rsid w:val="00ED1ACA"/>
    <w:rsid w:val="00ED2C9E"/>
    <w:rsid w:val="00ED3E73"/>
    <w:rsid w:val="00ED4FC5"/>
    <w:rsid w:val="00ED5B2C"/>
    <w:rsid w:val="00EE07DD"/>
    <w:rsid w:val="00EF1FCA"/>
    <w:rsid w:val="00EF5762"/>
    <w:rsid w:val="00EF6B3C"/>
    <w:rsid w:val="00EF6FC7"/>
    <w:rsid w:val="00EF7961"/>
    <w:rsid w:val="00F024A8"/>
    <w:rsid w:val="00F0482C"/>
    <w:rsid w:val="00F076B3"/>
    <w:rsid w:val="00F10B09"/>
    <w:rsid w:val="00F10B71"/>
    <w:rsid w:val="00F115FB"/>
    <w:rsid w:val="00F11707"/>
    <w:rsid w:val="00F14061"/>
    <w:rsid w:val="00F17FFC"/>
    <w:rsid w:val="00F2580C"/>
    <w:rsid w:val="00F264D9"/>
    <w:rsid w:val="00F33B6B"/>
    <w:rsid w:val="00F37425"/>
    <w:rsid w:val="00F418B2"/>
    <w:rsid w:val="00F43F82"/>
    <w:rsid w:val="00F464B7"/>
    <w:rsid w:val="00F51F3C"/>
    <w:rsid w:val="00F52CE9"/>
    <w:rsid w:val="00F53D9C"/>
    <w:rsid w:val="00F5592F"/>
    <w:rsid w:val="00F55EE3"/>
    <w:rsid w:val="00F57A28"/>
    <w:rsid w:val="00F61166"/>
    <w:rsid w:val="00F6409E"/>
    <w:rsid w:val="00F67332"/>
    <w:rsid w:val="00F73211"/>
    <w:rsid w:val="00F73FE7"/>
    <w:rsid w:val="00F77283"/>
    <w:rsid w:val="00F772C3"/>
    <w:rsid w:val="00F80338"/>
    <w:rsid w:val="00F80674"/>
    <w:rsid w:val="00F81A93"/>
    <w:rsid w:val="00F84F93"/>
    <w:rsid w:val="00F8501D"/>
    <w:rsid w:val="00F949FC"/>
    <w:rsid w:val="00F96361"/>
    <w:rsid w:val="00FA12B9"/>
    <w:rsid w:val="00FA27F7"/>
    <w:rsid w:val="00FA295F"/>
    <w:rsid w:val="00FB0C70"/>
    <w:rsid w:val="00FB60B8"/>
    <w:rsid w:val="00FB7A38"/>
    <w:rsid w:val="00FC6A22"/>
    <w:rsid w:val="00FD0755"/>
    <w:rsid w:val="00FD0D54"/>
    <w:rsid w:val="00FD1B14"/>
    <w:rsid w:val="00FD1DC9"/>
    <w:rsid w:val="00FD29D5"/>
    <w:rsid w:val="00FD3354"/>
    <w:rsid w:val="00FD47E8"/>
    <w:rsid w:val="00FE65F9"/>
    <w:rsid w:val="00FE6823"/>
    <w:rsid w:val="00FE7795"/>
    <w:rsid w:val="00FF49E8"/>
    <w:rsid w:val="00FF5F83"/>
    <w:rsid w:val="00FF6E44"/>
    <w:rsid w:val="0367315B"/>
    <w:rsid w:val="061139E5"/>
    <w:rsid w:val="06F50B00"/>
    <w:rsid w:val="076E1278"/>
    <w:rsid w:val="08A234FA"/>
    <w:rsid w:val="08D1141D"/>
    <w:rsid w:val="0B296DE2"/>
    <w:rsid w:val="0FB26719"/>
    <w:rsid w:val="10294AA3"/>
    <w:rsid w:val="10E40CA0"/>
    <w:rsid w:val="136130D9"/>
    <w:rsid w:val="156A08B2"/>
    <w:rsid w:val="18DD4F7E"/>
    <w:rsid w:val="195B58A2"/>
    <w:rsid w:val="1AC62767"/>
    <w:rsid w:val="1DFE32C5"/>
    <w:rsid w:val="1E085A14"/>
    <w:rsid w:val="1FF43DDB"/>
    <w:rsid w:val="21933AA2"/>
    <w:rsid w:val="25BF356F"/>
    <w:rsid w:val="25DB0C2D"/>
    <w:rsid w:val="269469E7"/>
    <w:rsid w:val="28D70B46"/>
    <w:rsid w:val="29FC3B14"/>
    <w:rsid w:val="2B11792E"/>
    <w:rsid w:val="3122750B"/>
    <w:rsid w:val="31C54755"/>
    <w:rsid w:val="3216608C"/>
    <w:rsid w:val="325771B0"/>
    <w:rsid w:val="34CE14C6"/>
    <w:rsid w:val="34D84CEC"/>
    <w:rsid w:val="37AF5AB7"/>
    <w:rsid w:val="396425F1"/>
    <w:rsid w:val="3B1C3371"/>
    <w:rsid w:val="3CC23198"/>
    <w:rsid w:val="3DDF4815"/>
    <w:rsid w:val="3F804DA2"/>
    <w:rsid w:val="3FE669E5"/>
    <w:rsid w:val="48AE41EF"/>
    <w:rsid w:val="50F63E28"/>
    <w:rsid w:val="5221007F"/>
    <w:rsid w:val="52926B5A"/>
    <w:rsid w:val="545C5E51"/>
    <w:rsid w:val="5486175B"/>
    <w:rsid w:val="57667D24"/>
    <w:rsid w:val="57CE5BC3"/>
    <w:rsid w:val="5AE1516A"/>
    <w:rsid w:val="5B6A3A79"/>
    <w:rsid w:val="5C1A5F7B"/>
    <w:rsid w:val="6110461A"/>
    <w:rsid w:val="645771F8"/>
    <w:rsid w:val="6A54112D"/>
    <w:rsid w:val="6AA035AE"/>
    <w:rsid w:val="6E0F2E14"/>
    <w:rsid w:val="6F1E141D"/>
    <w:rsid w:val="6F5354F8"/>
    <w:rsid w:val="70BE5201"/>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1"/>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205"/>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0"/>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qFormat/>
    <w:uiPriority w:val="99"/>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uiPriority w:val="0"/>
  </w:style>
  <w:style w:type="character" w:customStyle="1" w:styleId="79">
    <w:name w:val="无间隔 Char"/>
    <w:basedOn w:val="48"/>
    <w:link w:val="80"/>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sz w:val="21"/>
      <w:szCs w:val="21"/>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uiPriority w:val="0"/>
  </w:style>
  <w:style w:type="character" w:customStyle="1" w:styleId="203">
    <w:name w:val="xdrichtextbox3"/>
    <w:basedOn w:val="48"/>
    <w:uiPriority w:val="0"/>
    <w:rPr>
      <w:color w:val="auto"/>
      <w:u w:val="none"/>
      <w:bdr w:val="single" w:color="DCDCDC" w:sz="8" w:space="0"/>
      <w:shd w:val="clear" w:color="auto" w:fill="FFFFFF"/>
    </w:rPr>
  </w:style>
  <w:style w:type="character" w:customStyle="1" w:styleId="204">
    <w:name w:val="纯文本 Char1"/>
    <w:qFormat/>
    <w:uiPriority w:val="0"/>
    <w:rPr>
      <w:rFonts w:ascii="宋体" w:hAnsi="Courier New" w:cs="Courier New"/>
      <w:sz w:val="22"/>
      <w:szCs w:val="21"/>
      <w:lang w:eastAsia="en-US"/>
    </w:rPr>
  </w:style>
  <w:style w:type="character" w:customStyle="1" w:styleId="205">
    <w:name w:val="正文1 Char"/>
    <w:basedOn w:val="48"/>
    <w:link w:val="2"/>
    <w:locked/>
    <w:uiPriority w:val="99"/>
    <w:rPr>
      <w:rFonts w:ascii="宋体" w:hAnsi="Calibri"/>
      <w:sz w:val="3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1C9B7F-D009-460F-90A6-D18821FC1D2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14</Pages>
  <Words>1079</Words>
  <Characters>6155</Characters>
  <Lines>51</Lines>
  <Paragraphs>14</Paragraphs>
  <TotalTime>46</TotalTime>
  <ScaleCrop>false</ScaleCrop>
  <LinksUpToDate>false</LinksUpToDate>
  <CharactersWithSpaces>7220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2021-09-28T01:17:00Z</dcterms:created>
  <dc:creator>CGC</dc:creator>
  <cp:lastModifiedBy>Hot &amp;&amp; Cold</cp:lastModifiedBy>
  <cp:lastPrinted>2021-10-19T07:05:00Z</cp:lastPrinted>
  <dcterms:modified xsi:type="dcterms:W3CDTF">2023-11-09T02:21:11Z</dcterms:modified>
  <dc:title>公开招标文件（货物服务类）</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2052-12.1.0.15712</vt:lpwstr>
  </property>
  <property fmtid="{D5CDD505-2E9C-101B-9397-08002B2CF9AE}" pid="6" name="ICV">
    <vt:lpwstr>ACE6AFE9607B4788ADAC2D05EDCF04AD_12</vt:lpwstr>
  </property>
</Properties>
</file>