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PTA干燥剂1及PTA干燥剂2</w:t>
      </w:r>
    </w:p>
    <w:p>
      <w:pPr>
        <w:widowControl/>
        <w:shd w:val="clear" w:color="auto" w:fill="FFFFFF"/>
        <w:jc w:val="center"/>
        <w:rPr>
          <w:rFonts w:hint="default" w:eastAsia="宋体"/>
          <w:sz w:val="36"/>
          <w:szCs w:val="36"/>
          <w:u w:val="single"/>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u w:val="single"/>
          <w:shd w:val="clear" w:color="auto" w:fill="FFFFFF"/>
        </w:rPr>
        <w:t>202</w:t>
      </w:r>
      <w:r>
        <w:rPr>
          <w:rFonts w:hint="eastAsia" w:ascii="宋体" w:hAnsi="宋体" w:cs="宋体"/>
          <w:kern w:val="0"/>
          <w:sz w:val="36"/>
          <w:szCs w:val="36"/>
          <w:u w:val="single"/>
          <w:shd w:val="clear" w:color="auto" w:fill="FFFFFF"/>
          <w:lang w:val="en-US" w:eastAsia="zh-CN"/>
        </w:rPr>
        <w:t>3</w:t>
      </w:r>
      <w:r>
        <w:rPr>
          <w:rFonts w:hint="eastAsia" w:ascii="宋体" w:hAnsi="宋体" w:cs="宋体"/>
          <w:kern w:val="0"/>
          <w:sz w:val="36"/>
          <w:szCs w:val="36"/>
          <w:u w:val="single"/>
          <w:shd w:val="clear" w:color="auto" w:fill="FFFFFF"/>
        </w:rPr>
        <w:t>-</w:t>
      </w:r>
      <w:r>
        <w:rPr>
          <w:rFonts w:hint="eastAsia" w:ascii="宋体" w:hAnsi="宋体" w:cs="宋体"/>
          <w:kern w:val="0"/>
          <w:sz w:val="36"/>
          <w:szCs w:val="36"/>
          <w:u w:val="single"/>
          <w:shd w:val="clear" w:color="auto" w:fill="FFFFFF"/>
          <w:lang w:eastAsia="zh-CN"/>
        </w:rPr>
        <w:t>FHC</w:t>
      </w:r>
      <w:r>
        <w:rPr>
          <w:rFonts w:hint="eastAsia" w:ascii="宋体" w:hAnsi="宋体" w:cs="宋体"/>
          <w:kern w:val="0"/>
          <w:sz w:val="36"/>
          <w:szCs w:val="36"/>
          <w:u w:val="single"/>
          <w:shd w:val="clear" w:color="auto" w:fill="FFFFFF"/>
        </w:rPr>
        <w:t>-</w:t>
      </w:r>
      <w:r>
        <w:rPr>
          <w:rFonts w:hint="eastAsia" w:ascii="宋体" w:hAnsi="宋体" w:cs="宋体"/>
          <w:kern w:val="0"/>
          <w:sz w:val="36"/>
          <w:szCs w:val="36"/>
          <w:u w:val="single"/>
          <w:shd w:val="clear" w:color="auto" w:fill="FFFFFF"/>
          <w:lang w:eastAsia="zh-CN"/>
        </w:rPr>
        <w:t>PTA干燥剂</w:t>
      </w:r>
      <w:r>
        <w:rPr>
          <w:rFonts w:hint="eastAsia" w:ascii="宋体" w:hAnsi="宋体" w:cs="宋体"/>
          <w:kern w:val="0"/>
          <w:sz w:val="36"/>
          <w:szCs w:val="36"/>
          <w:u w:val="single"/>
          <w:shd w:val="clear" w:color="auto" w:fill="FFFFFF"/>
          <w:lang w:val="en-US" w:eastAsia="zh-CN"/>
        </w:rPr>
        <w:t>1-</w:t>
      </w:r>
      <w:r>
        <w:rPr>
          <w:rFonts w:hint="eastAsia" w:ascii="宋体" w:hAnsi="宋体" w:cs="宋体"/>
          <w:kern w:val="0"/>
          <w:sz w:val="36"/>
          <w:szCs w:val="36"/>
          <w:u w:val="single"/>
          <w:shd w:val="clear" w:color="auto" w:fill="FFFFFF"/>
          <w:lang w:eastAsia="zh-CN"/>
        </w:rPr>
        <w:t>2</w:t>
      </w:r>
      <w:r>
        <w:rPr>
          <w:rFonts w:hint="eastAsia" w:ascii="宋体" w:hAnsi="宋体" w:cs="宋体"/>
          <w:kern w:val="0"/>
          <w:sz w:val="36"/>
          <w:szCs w:val="36"/>
          <w:u w:val="single"/>
          <w:shd w:val="clear" w:color="auto" w:fill="FFFFFF"/>
        </w:rPr>
        <w:t>-</w:t>
      </w:r>
      <w:r>
        <w:rPr>
          <w:rFonts w:hint="eastAsia" w:ascii="宋体" w:hAnsi="宋体" w:cs="宋体"/>
          <w:kern w:val="0"/>
          <w:sz w:val="36"/>
          <w:szCs w:val="36"/>
          <w:u w:val="single"/>
          <w:shd w:val="clear" w:color="auto" w:fill="FFFFFF"/>
          <w:lang w:eastAsia="zh-CN"/>
        </w:rPr>
        <w:t>11</w:t>
      </w:r>
      <w:r>
        <w:rPr>
          <w:rFonts w:hint="eastAsia" w:ascii="宋体" w:hAnsi="宋体" w:cs="宋体"/>
          <w:kern w:val="0"/>
          <w:sz w:val="36"/>
          <w:szCs w:val="36"/>
          <w:u w:val="single"/>
          <w:shd w:val="clear" w:color="auto" w:fill="FFFFFF"/>
          <w:lang w:val="en-US" w:eastAsia="zh-CN"/>
        </w:rPr>
        <w:t>17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3年11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 </w:t>
      </w:r>
    </w:p>
    <w:p>
      <w:pPr>
        <w:spacing w:line="300" w:lineRule="auto"/>
        <w:jc w:val="center"/>
        <w:rPr>
          <w:bCs/>
          <w:szCs w:val="21"/>
        </w:rPr>
      </w:pPr>
      <w:r>
        <w:rPr>
          <w:rFonts w:hint="eastAsia"/>
          <w:b/>
          <w:bCs/>
          <w:sz w:val="32"/>
          <w:lang w:val="en-US" w:eastAsia="zh-CN"/>
        </w:rPr>
        <w:t>PTA干燥剂1及干燥剂2</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 </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1及</w:t>
      </w:r>
      <w:r>
        <w:rPr>
          <w:rFonts w:hint="eastAsia" w:asciiTheme="minorEastAsia" w:hAnsiTheme="minorEastAsia" w:eastAsiaTheme="minorEastAsia"/>
          <w:bCs/>
          <w:sz w:val="24"/>
          <w:u w:val="single"/>
          <w:lang w:eastAsia="zh-CN"/>
        </w:rPr>
        <w:t>PTA干燥剂2</w:t>
      </w:r>
      <w:r>
        <w:rPr>
          <w:rFonts w:hint="eastAsia" w:asciiTheme="minorEastAsia" w:hAnsiTheme="minorEastAsia" w:eastAsiaTheme="minorEastAsia"/>
          <w:bCs/>
          <w:sz w:val="24"/>
          <w:u w:val="single"/>
        </w:rPr>
        <w:t>（项目编号：202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lang w:eastAsia="zh-CN"/>
        </w:rPr>
        <w:t>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w:t>
      </w:r>
      <w:r>
        <w:rPr>
          <w:rFonts w:hint="eastAsia" w:asciiTheme="minorEastAsia" w:hAnsiTheme="minorEastAsia" w:eastAsiaTheme="minorEastAsia"/>
          <w:bCs/>
          <w:sz w:val="24"/>
          <w:u w:val="single"/>
          <w:lang w:val="en-US" w:eastAsia="zh-CN"/>
        </w:rPr>
        <w:t>17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PTA干燥剂</w:t>
      </w:r>
      <w:r>
        <w:rPr>
          <w:rFonts w:hint="eastAsia" w:ascii="宋体" w:hAnsi="宋体" w:cs="宋体" w:eastAsiaTheme="minorEastAsia"/>
          <w:sz w:val="24"/>
          <w:lang w:val="en-US" w:eastAsia="zh-CN"/>
        </w:rPr>
        <w:t>1及PTA干燥剂</w:t>
      </w:r>
      <w:r>
        <w:rPr>
          <w:rFonts w:hint="eastAsia" w:ascii="宋体" w:hAnsi="宋体" w:cs="宋体" w:eastAsiaTheme="minorEastAsia"/>
          <w:sz w:val="24"/>
          <w:lang w:eastAsia="zh-CN"/>
        </w:rPr>
        <w:t>2</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PTA干燥剂</w:t>
      </w:r>
      <w:r>
        <w:rPr>
          <w:rFonts w:hint="eastAsia" w:ascii="宋体" w:hAnsi="宋体" w:cs="宋体" w:eastAsiaTheme="minorEastAsia"/>
          <w:sz w:val="24"/>
          <w:lang w:val="en-US" w:eastAsia="zh-CN"/>
        </w:rPr>
        <w:t>1及PTA干燥剂</w:t>
      </w:r>
      <w:r>
        <w:rPr>
          <w:rFonts w:hint="eastAsia" w:ascii="宋体" w:hAnsi="宋体" w:cs="宋体" w:eastAsiaTheme="minorEastAsia"/>
          <w:sz w:val="24"/>
          <w:lang w:eastAsia="zh-CN"/>
        </w:rPr>
        <w:t>2</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陆万</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11月30</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邮件名称注明参选项目）</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公司经营业绩证明（合同或发票）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陆万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如遇不可抗力影响导致无法保证物流配送时间，需邮件说明原因并在标书递交截止时间前邮件加密发送标书至：wzcgb@fjpec.com.cn（邮件标题备注标书项目名称）。开标当日将由业务员联系获取加密密码。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spacing w:line="360" w:lineRule="auto"/>
        <w:ind w:firstLine="960" w:firstLineChars="400"/>
        <w:rPr>
          <w:rFonts w:hint="eastAsia"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李志红</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13950027376</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 xml:space="preserve"> 谢凯捷</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eastAsia="zh-CN"/>
        </w:rPr>
        <w:t>：</w:t>
      </w:r>
      <w:r>
        <w:rPr>
          <w:rFonts w:hint="eastAsia" w:cs="宋体" w:asciiTheme="minorEastAsia" w:hAnsiTheme="minorEastAsia"/>
          <w:bCs/>
          <w:sz w:val="24"/>
        </w:rPr>
        <w:t>1</w:t>
      </w:r>
      <w:r>
        <w:rPr>
          <w:rFonts w:hint="eastAsia" w:cs="宋体" w:asciiTheme="minorEastAsia" w:hAnsiTheme="minorEastAsia"/>
          <w:bCs/>
          <w:sz w:val="24"/>
          <w:lang w:val="en-US" w:eastAsia="zh-CN"/>
        </w:rPr>
        <w:t>8259236628</w:t>
      </w:r>
      <w:r>
        <w:rPr>
          <w:rFonts w:hint="eastAsia" w:cs="宋体" w:asciiTheme="minorEastAsia" w:hAnsiTheme="minorEastAsia"/>
          <w:bCs/>
          <w:sz w:val="24"/>
        </w:rPr>
        <w:t xml:space="preserve"> </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kjxie</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翔鹭石化（漳州）有限公司 </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w:t>
      </w:r>
      <w:r>
        <w:rPr>
          <w:rFonts w:hint="eastAsia" w:asciiTheme="minorEastAsia" w:hAnsiTheme="minorEastAsia" w:eastAsiaTheme="minorEastAsia"/>
          <w:bCs/>
          <w:sz w:val="24"/>
          <w:lang w:val="en-US" w:eastAsia="zh-CN"/>
        </w:rPr>
        <w:t>23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17</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PTA干燥剂</w:t>
      </w:r>
      <w:r>
        <w:rPr>
          <w:rFonts w:hint="eastAsia" w:ascii="宋体" w:hAnsi="宋体"/>
          <w:sz w:val="18"/>
          <w:szCs w:val="18"/>
          <w:u w:val="single"/>
          <w:lang w:val="en-US" w:eastAsia="zh-CN"/>
        </w:rPr>
        <w:t>1及</w:t>
      </w:r>
      <w:r>
        <w:rPr>
          <w:rFonts w:hint="eastAsia" w:ascii="宋体" w:hAnsi="宋体"/>
          <w:sz w:val="18"/>
          <w:szCs w:val="18"/>
          <w:u w:val="single"/>
          <w:lang w:eastAsia="zh-CN"/>
        </w:rPr>
        <w:t>PTA干燥剂2</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lang w:val="en-US" w:eastAsia="zh-CN"/>
        </w:rPr>
        <w:t>陆万元整</w:t>
      </w:r>
      <w:r>
        <w:rPr>
          <w:rFonts w:hint="eastAsia" w:ascii="宋体"/>
          <w:sz w:val="18"/>
          <w:szCs w:val="18"/>
          <w:highlight w:val="none"/>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）PTA干燥剂质量规范</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PTA干燥剂</w:t>
      </w:r>
      <w:r>
        <w:rPr>
          <w:rFonts w:hint="eastAsia" w:ascii="宋体" w:hAnsi="宋体"/>
          <w:sz w:val="18"/>
          <w:szCs w:val="18"/>
          <w:u w:val="single"/>
          <w:lang w:val="en-US" w:eastAsia="zh-CN"/>
        </w:rPr>
        <w:t>1及</w:t>
      </w:r>
      <w:r>
        <w:rPr>
          <w:rFonts w:hint="eastAsia" w:ascii="宋体" w:hAnsi="宋体"/>
          <w:sz w:val="18"/>
          <w:szCs w:val="18"/>
          <w:u w:val="single"/>
          <w:lang w:eastAsia="zh-CN"/>
        </w:rPr>
        <w:t>PTA干燥剂2</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lang w:eastAsia="zh-CN"/>
        </w:rPr>
        <w:t>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w:t>
      </w:r>
      <w:r>
        <w:rPr>
          <w:rFonts w:hint="eastAsia" w:asciiTheme="minorEastAsia" w:hAnsiTheme="minorEastAsia" w:eastAsiaTheme="minorEastAsia"/>
          <w:bCs/>
          <w:sz w:val="24"/>
          <w:u w:val="single"/>
          <w:lang w:val="en-US" w:eastAsia="zh-CN"/>
        </w:rPr>
        <w:t>17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我公司计划采购氧化装置IA干燥塔使用PTA干燥剂1</w:t>
      </w:r>
      <w:r>
        <w:rPr>
          <w:rFonts w:hint="eastAsia" w:ascii="宋体" w:hAnsi="宋体"/>
          <w:sz w:val="24"/>
          <w:szCs w:val="24"/>
          <w:lang w:val="en-US" w:eastAsia="zh-CN"/>
        </w:rPr>
        <w:t>及精制装置尾气干燥系统用PTA干燥剂2</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PTA干燥剂1数量：4吨；</w:t>
      </w:r>
    </w:p>
    <w:p>
      <w:pPr>
        <w:numPr>
          <w:ilvl w:val="0"/>
          <w:numId w:val="5"/>
        </w:numPr>
        <w:spacing w:line="360" w:lineRule="exact"/>
        <w:jc w:val="left"/>
        <w:rPr>
          <w:rFonts w:ascii="宋体" w:hAnsi="宋体" w:cs="宋体"/>
          <w:sz w:val="24"/>
        </w:rPr>
      </w:pPr>
      <w:r>
        <w:rPr>
          <w:rFonts w:hint="eastAsia" w:ascii="宋体" w:cs="宋体"/>
          <w:sz w:val="24"/>
          <w:lang w:val="en-US" w:eastAsia="zh-CN"/>
        </w:rPr>
        <w:t>采购PTA干燥剂2</w:t>
      </w:r>
      <w:r>
        <w:rPr>
          <w:rFonts w:hint="eastAsia" w:ascii="宋体" w:cs="宋体"/>
          <w:sz w:val="24"/>
        </w:rPr>
        <w:t>数量：</w:t>
      </w:r>
      <w:r>
        <w:rPr>
          <w:rFonts w:hint="eastAsia" w:ascii="宋体" w:cs="宋体"/>
          <w:sz w:val="24"/>
          <w:lang w:val="en-US" w:eastAsia="zh-CN"/>
        </w:rPr>
        <w:t>110吨。</w:t>
      </w:r>
    </w:p>
    <w:p>
      <w:pPr>
        <w:numPr>
          <w:ilvl w:val="0"/>
          <w:numId w:val="5"/>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产品性能指标要求：见附件PTA干燥剂质量规范。</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吨袋包装，编织袋</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w:t>
      </w:r>
      <w:r>
        <w:rPr>
          <w:rFonts w:hint="eastAsia" w:ascii="宋体" w:hAnsi="宋体"/>
          <w:sz w:val="24"/>
          <w:lang w:val="en-US" w:eastAsia="zh-CN"/>
        </w:rPr>
        <w:t>需于2023年12月下旬到货现场</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PTA干燥剂1及PTA干燥剂2</w:t>
      </w:r>
      <w:r>
        <w:rPr>
          <w:rFonts w:hint="eastAsia" w:asciiTheme="minorEastAsia" w:hAnsiTheme="minorEastAsia" w:eastAsiaTheme="minorEastAsia"/>
          <w:bCs/>
          <w:kern w:val="0"/>
          <w:sz w:val="24"/>
        </w:rPr>
        <w:t>为</w:t>
      </w:r>
      <w:r>
        <w:rPr>
          <w:rFonts w:hint="eastAsia" w:ascii="宋体" w:hAnsi="宋体" w:cs="宋体"/>
          <w:sz w:val="24"/>
        </w:rPr>
        <w:t>含税送到价。</w:t>
      </w:r>
      <w:r>
        <w:rPr>
          <w:rFonts w:hint="eastAsia" w:ascii="宋体" w:hAnsi="宋体" w:cs="宋体"/>
          <w:b/>
          <w:bCs/>
          <w:sz w:val="24"/>
          <w:u w:val="single"/>
          <w:lang w:val="en-US" w:eastAsia="zh-CN"/>
        </w:rPr>
        <w:t>干燥剂入厂后需取样委托第三方检测，检测费用由供货方承担</w:t>
      </w:r>
      <w:r>
        <w:rPr>
          <w:rFonts w:hint="eastAsia" w:ascii="宋体" w:hAnsi="宋体" w:cs="宋体"/>
          <w:sz w:val="24"/>
          <w:u w:val="single"/>
          <w:lang w:val="en-US" w:eastAsia="zh-CN"/>
        </w:rPr>
        <w:t>。</w:t>
      </w:r>
      <w:r>
        <w:rPr>
          <w:rFonts w:hint="eastAsia" w:ascii="宋体" w:hAnsi="宋体" w:cs="宋体"/>
          <w:sz w:val="24"/>
        </w:rPr>
        <w:t>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、PTA干燥剂质量规范</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default" w:ascii="宋体" w:hAnsi="宋体" w:eastAsia="宋体"/>
          <w:b/>
          <w:bCs/>
          <w:sz w:val="36"/>
          <w:szCs w:val="36"/>
          <w:lang w:val="en-US" w:eastAsia="zh-CN"/>
        </w:rPr>
      </w:pPr>
      <w:r>
        <w:rPr>
          <w:rFonts w:hint="eastAsia" w:ascii="宋体" w:hAnsi="宋体" w:cs="宋体"/>
          <w:sz w:val="24"/>
        </w:rPr>
        <w:t>联系人：</w:t>
      </w:r>
      <w:r>
        <w:rPr>
          <w:rFonts w:hint="eastAsia" w:ascii="宋体" w:hAnsi="宋体" w:cs="宋体"/>
          <w:sz w:val="24"/>
          <w:lang w:val="en-US" w:eastAsia="zh-CN"/>
        </w:rPr>
        <w:t>李志红</w:t>
      </w:r>
      <w:r>
        <w:rPr>
          <w:rFonts w:hint="eastAsia" w:ascii="宋体" w:hAnsi="宋体" w:cs="宋体"/>
          <w:sz w:val="24"/>
        </w:rPr>
        <w:t xml:space="preserve">  手机：</w:t>
      </w:r>
      <w:r>
        <w:rPr>
          <w:rFonts w:hint="eastAsia" w:ascii="宋体" w:hAnsi="宋体" w:cs="宋体"/>
          <w:sz w:val="24"/>
          <w:lang w:val="en-US" w:eastAsia="zh-CN"/>
        </w:rPr>
        <w:t>13950027376</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lang w:eastAsia="zh-CN"/>
        </w:rPr>
        <w:t>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w:t>
      </w:r>
      <w:r>
        <w:rPr>
          <w:rFonts w:hint="eastAsia" w:asciiTheme="minorEastAsia" w:hAnsiTheme="minorEastAsia" w:eastAsiaTheme="minorEastAsia"/>
          <w:bCs/>
          <w:sz w:val="24"/>
          <w:u w:val="single"/>
          <w:lang w:val="en-US" w:eastAsia="zh-CN"/>
        </w:rPr>
        <w:t>17</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lang w:eastAsia="zh-CN"/>
        </w:rPr>
        <w:t>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w:t>
      </w:r>
      <w:r>
        <w:rPr>
          <w:rFonts w:hint="eastAsia" w:asciiTheme="minorEastAsia" w:hAnsiTheme="minorEastAsia" w:eastAsiaTheme="minorEastAsia"/>
          <w:bCs/>
          <w:sz w:val="24"/>
          <w:u w:val="single"/>
          <w:lang w:val="en-US" w:eastAsia="zh-CN"/>
        </w:rPr>
        <w:t>17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lang w:eastAsia="zh-CN"/>
        </w:rPr>
        <w:t>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w:t>
      </w:r>
      <w:r>
        <w:rPr>
          <w:rFonts w:hint="eastAsia" w:asciiTheme="minorEastAsia" w:hAnsiTheme="minorEastAsia" w:eastAsiaTheme="minorEastAsia"/>
          <w:bCs/>
          <w:sz w:val="24"/>
          <w:u w:val="single"/>
          <w:lang w:val="en-US" w:eastAsia="zh-CN"/>
        </w:rPr>
        <w:t>17</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lang w:val="en-US" w:eastAsia="zh-CN"/>
        </w:rPr>
        <w:t>一）、</w:t>
      </w:r>
      <w:r>
        <w:rPr>
          <w:rFonts w:hint="eastAsia" w:ascii="宋体" w:hAnsi="宋体"/>
          <w:sz w:val="24"/>
        </w:rPr>
        <w:t xml:space="preserve"> 我公司可按贵司要求供应</w:t>
      </w:r>
      <w:r>
        <w:rPr>
          <w:rFonts w:hint="eastAsia" w:ascii="宋体" w:hAnsi="宋体"/>
          <w:b/>
          <w:bCs/>
          <w:sz w:val="24"/>
          <w:lang w:val="en-US" w:eastAsia="zh-CN"/>
        </w:rPr>
        <w:t>PTA干燥剂1</w:t>
      </w:r>
      <w:r>
        <w:rPr>
          <w:rFonts w:hint="eastAsia" w:ascii="宋体" w:hAnsi="宋体"/>
          <w:b/>
          <w:bCs/>
          <w:sz w:val="24"/>
        </w:rPr>
        <w:t>：</w:t>
      </w:r>
    </w:p>
    <w:p>
      <w:pPr>
        <w:numPr>
          <w:ilvl w:val="0"/>
          <w:numId w:val="0"/>
        </w:numPr>
        <w:spacing w:line="312" w:lineRule="auto"/>
        <w:rPr>
          <w:rFonts w:hint="eastAsia" w:ascii="宋体" w:hAnsi="宋体"/>
          <w:sz w:val="24"/>
        </w:rPr>
      </w:pPr>
      <w:r>
        <w:rPr>
          <w:rFonts w:hint="eastAsia" w:ascii="宋体" w:hAnsi="宋体"/>
          <w:b w:val="0"/>
          <w:bCs w:val="0"/>
          <w:sz w:val="24"/>
          <w:lang w:val="en-US" w:eastAsia="zh-CN"/>
        </w:rPr>
        <w:t>1、</w:t>
      </w:r>
      <w:r>
        <w:rPr>
          <w:rFonts w:hint="eastAsia" w:ascii="宋体" w:hAnsi="宋体"/>
          <w:b/>
          <w:bCs/>
          <w:sz w:val="24"/>
        </w:rPr>
        <w:t>数量：</w:t>
      </w:r>
      <w:r>
        <w:rPr>
          <w:rFonts w:hint="eastAsia" w:ascii="宋体" w:hAnsi="宋体"/>
          <w:b/>
          <w:bCs/>
          <w:sz w:val="24"/>
          <w:lang w:val="en-US" w:eastAsia="zh-CN"/>
        </w:rPr>
        <w:t>4吨。</w:t>
      </w:r>
    </w:p>
    <w:p>
      <w:pPr>
        <w:numPr>
          <w:ilvl w:val="0"/>
          <w:numId w:val="7"/>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u w:val="single"/>
          <w:lang w:val="en-US" w:eastAsia="zh-CN"/>
        </w:rPr>
        <w:t>（备注：干燥剂入厂后需取样委托第三方检测，检测费用由供方承担。）</w:t>
      </w:r>
    </w:p>
    <w:p>
      <w:pPr>
        <w:numPr>
          <w:ilvl w:val="0"/>
          <w:numId w:val="7"/>
        </w:numPr>
        <w:spacing w:line="312" w:lineRule="auto"/>
        <w:ind w:left="0" w:leftChars="0" w:firstLine="0" w:firstLineChars="0"/>
        <w:rPr>
          <w:rFonts w:hint="eastAsia" w:ascii="宋体" w:hAnsi="宋体"/>
          <w:sz w:val="24"/>
          <w:lang w:val="en-US" w:eastAsia="zh-CN"/>
        </w:rPr>
      </w:pPr>
      <w:r>
        <w:rPr>
          <w:rFonts w:hint="eastAsia" w:ascii="宋体" w:hAnsi="宋体"/>
          <w:sz w:val="24"/>
          <w:lang w:val="en-US" w:eastAsia="zh-CN"/>
        </w:rPr>
        <w:t>PTA干燥剂1</w:t>
      </w:r>
      <w:r>
        <w:rPr>
          <w:rFonts w:hint="eastAsia" w:ascii="宋体" w:hAnsi="宋体" w:cs="宋体"/>
          <w:sz w:val="24"/>
          <w:lang w:val="en-US" w:eastAsia="zh-CN"/>
        </w:rPr>
        <w:t>性能指标要求</w:t>
      </w:r>
      <w:r>
        <w:rPr>
          <w:rFonts w:hint="eastAsia" w:ascii="宋体" w:hAnsi="宋体"/>
          <w:sz w:val="24"/>
          <w:lang w:val="en-US" w:eastAsia="zh-CN"/>
        </w:rPr>
        <w:t>：详见附件PTA干燥剂质量规范。</w:t>
      </w:r>
    </w:p>
    <w:p>
      <w:pPr>
        <w:numPr>
          <w:ilvl w:val="0"/>
          <w:numId w:val="0"/>
        </w:numPr>
        <w:spacing w:line="312" w:lineRule="auto"/>
        <w:ind w:leftChars="0"/>
        <w:rPr>
          <w:rFonts w:hint="eastAsia" w:ascii="宋体" w:hAnsi="宋体"/>
          <w:sz w:val="24"/>
        </w:rPr>
      </w:pPr>
      <w:r>
        <w:rPr>
          <w:rFonts w:hint="eastAsia" w:ascii="宋体" w:hAnsi="宋体"/>
          <w:sz w:val="24"/>
          <w:lang w:val="en-US" w:eastAsia="zh-CN"/>
        </w:rPr>
        <w:t>二）、</w:t>
      </w:r>
      <w:r>
        <w:rPr>
          <w:rFonts w:hint="eastAsia" w:ascii="宋体" w:hAnsi="宋体"/>
          <w:sz w:val="24"/>
        </w:rPr>
        <w:t>我公司可按贵司要求供应</w:t>
      </w:r>
      <w:r>
        <w:rPr>
          <w:rFonts w:hint="eastAsia" w:ascii="宋体" w:hAnsi="宋体"/>
          <w:b/>
          <w:bCs/>
          <w:sz w:val="24"/>
          <w:lang w:val="en-US" w:eastAsia="zh-CN"/>
        </w:rPr>
        <w:t>PTA干燥剂2</w:t>
      </w:r>
    </w:p>
    <w:p>
      <w:pPr>
        <w:numPr>
          <w:ilvl w:val="0"/>
          <w:numId w:val="0"/>
        </w:numPr>
        <w:spacing w:line="312" w:lineRule="auto"/>
        <w:rPr>
          <w:rFonts w:hint="eastAsia" w:ascii="宋体" w:hAnsi="宋体"/>
          <w:sz w:val="24"/>
        </w:rPr>
      </w:pPr>
      <w:r>
        <w:rPr>
          <w:rFonts w:hint="eastAsia" w:ascii="宋体" w:hAnsi="宋体"/>
          <w:b w:val="0"/>
          <w:bCs w:val="0"/>
          <w:sz w:val="24"/>
          <w:lang w:val="en-US" w:eastAsia="zh-CN"/>
        </w:rPr>
        <w:t>1、</w:t>
      </w:r>
      <w:r>
        <w:rPr>
          <w:rFonts w:hint="eastAsia" w:ascii="宋体" w:hAnsi="宋体"/>
          <w:b/>
          <w:bCs/>
          <w:sz w:val="24"/>
        </w:rPr>
        <w:t>数量：</w:t>
      </w:r>
      <w:r>
        <w:rPr>
          <w:rFonts w:hint="eastAsia" w:ascii="宋体" w:hAnsi="宋体"/>
          <w:b/>
          <w:bCs/>
          <w:sz w:val="24"/>
          <w:lang w:val="en-US" w:eastAsia="zh-CN"/>
        </w:rPr>
        <w:t>110吨。</w:t>
      </w:r>
    </w:p>
    <w:p>
      <w:pPr>
        <w:numPr>
          <w:ilvl w:val="0"/>
          <w:numId w:val="8"/>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u w:val="single"/>
          <w:lang w:val="en-US" w:eastAsia="zh-CN"/>
        </w:rPr>
        <w:t>（备注：干燥剂入厂后需取样委托第三方检测，检测费用由供方承担。）</w:t>
      </w:r>
    </w:p>
    <w:p>
      <w:pPr>
        <w:numPr>
          <w:ilvl w:val="0"/>
          <w:numId w:val="8"/>
        </w:numPr>
        <w:spacing w:line="312" w:lineRule="auto"/>
        <w:ind w:left="0" w:leftChars="0" w:firstLine="0" w:firstLineChars="0"/>
        <w:rPr>
          <w:rFonts w:hint="eastAsia" w:ascii="宋体" w:hAnsi="宋体"/>
          <w:sz w:val="24"/>
          <w:lang w:val="en-US" w:eastAsia="zh-CN"/>
        </w:rPr>
      </w:pPr>
      <w:r>
        <w:rPr>
          <w:rFonts w:hint="eastAsia" w:ascii="宋体" w:hAnsi="宋体"/>
          <w:sz w:val="24"/>
          <w:lang w:val="en-US" w:eastAsia="zh-CN"/>
        </w:rPr>
        <w:t>PTA干燥剂2</w:t>
      </w:r>
      <w:r>
        <w:rPr>
          <w:rFonts w:hint="eastAsia" w:ascii="宋体" w:hAnsi="宋体" w:cs="宋体"/>
          <w:sz w:val="24"/>
          <w:lang w:val="en-US" w:eastAsia="zh-CN"/>
        </w:rPr>
        <w:t>性能指标要求</w:t>
      </w:r>
      <w:r>
        <w:rPr>
          <w:rFonts w:hint="eastAsia" w:ascii="宋体" w:hAnsi="宋体"/>
          <w:sz w:val="24"/>
          <w:lang w:val="en-US" w:eastAsia="zh-CN"/>
        </w:rPr>
        <w:t>：详见附件PTA干燥剂质量规范。</w:t>
      </w:r>
    </w:p>
    <w:p>
      <w:pPr>
        <w:numPr>
          <w:ilvl w:val="0"/>
          <w:numId w:val="9"/>
        </w:numPr>
        <w:spacing w:line="312" w:lineRule="auto"/>
        <w:ind w:leftChars="0"/>
        <w:rPr>
          <w:rFonts w:hint="eastAsia" w:ascii="宋体" w:hAnsi="宋体" w:cs="宋体"/>
          <w:sz w:val="24"/>
          <w:lang w:val="en-US" w:eastAsia="zh-CN"/>
        </w:rPr>
      </w:pPr>
      <w:r>
        <w:rPr>
          <w:rFonts w:hint="eastAsia" w:ascii="宋体" w:hAnsi="宋体"/>
          <w:sz w:val="24"/>
          <w:lang w:val="en-US" w:eastAsia="zh-CN"/>
        </w:rPr>
        <w:t>、</w:t>
      </w:r>
      <w:r>
        <w:rPr>
          <w:rFonts w:hint="eastAsia" w:ascii="宋体" w:hAnsi="宋体"/>
          <w:b/>
          <w:bCs/>
          <w:sz w:val="24"/>
          <w:lang w:val="en-US" w:eastAsia="zh-CN"/>
        </w:rPr>
        <w:t>PTA干燥剂1及PTA干燥剂2合计含税总价</w:t>
      </w:r>
      <w:r>
        <w:rPr>
          <w:rFonts w:hint="eastAsia" w:ascii="宋体" w:hAnsi="宋体"/>
          <w:sz w:val="24"/>
          <w:lang w:val="en-US" w:eastAsia="zh-CN"/>
        </w:rPr>
        <w:t>________</w:t>
      </w:r>
      <w:r>
        <w:rPr>
          <w:rFonts w:hint="eastAsia" w:ascii="宋体" w:hAnsi="宋体"/>
          <w:b/>
          <w:bCs/>
          <w:sz w:val="24"/>
          <w:lang w:val="en-US" w:eastAsia="zh-CN"/>
        </w:rPr>
        <w:t>元，税率；</w:t>
      </w:r>
      <w:r>
        <w:rPr>
          <w:rFonts w:hint="eastAsia" w:ascii="宋体" w:hAnsi="宋体"/>
          <w:b/>
          <w:bCs/>
          <w:sz w:val="24"/>
          <w:u w:val="single"/>
          <w:lang w:val="en-US" w:eastAsia="zh-CN"/>
        </w:rPr>
        <w:t xml:space="preserve">13% </w:t>
      </w:r>
    </w:p>
    <w:p>
      <w:pPr>
        <w:numPr>
          <w:ilvl w:val="0"/>
          <w:numId w:val="9"/>
        </w:numPr>
        <w:spacing w:line="312" w:lineRule="auto"/>
        <w:ind w:leftChars="0"/>
        <w:rPr>
          <w:rFonts w:hint="eastAsia" w:ascii="宋体" w:hAnsi="宋体" w:cs="宋体"/>
          <w:sz w:val="24"/>
          <w:lang w:val="en-US" w:eastAsia="zh-CN"/>
        </w:rPr>
      </w:pPr>
      <w:r>
        <w:rPr>
          <w:rFonts w:hint="eastAsia" w:ascii="宋体" w:hAnsi="宋体"/>
          <w:sz w:val="24"/>
        </w:rPr>
        <w:t>产品的包装：</w:t>
      </w:r>
      <w:r>
        <w:rPr>
          <w:rFonts w:hint="eastAsia" w:ascii="宋体" w:hAnsi="宋体" w:cs="宋体"/>
          <w:sz w:val="24"/>
          <w:lang w:val="en-US" w:eastAsia="zh-CN"/>
        </w:rPr>
        <w:t>吨袋包装，编织袋。</w:t>
      </w:r>
    </w:p>
    <w:p>
      <w:pPr>
        <w:numPr>
          <w:ilvl w:val="0"/>
          <w:numId w:val="9"/>
        </w:numPr>
        <w:spacing w:line="312" w:lineRule="auto"/>
        <w:ind w:leftChars="0"/>
        <w:rPr>
          <w:rFonts w:hint="eastAsia" w:ascii="宋体" w:hAnsi="宋体" w:cs="宋体"/>
          <w:sz w:val="24"/>
          <w:lang w:val="en-US" w:eastAsia="zh-CN"/>
        </w:rPr>
      </w:pPr>
      <w:r>
        <w:rPr>
          <w:rFonts w:hint="eastAsia" w:ascii="宋体" w:hAnsi="宋体" w:cs="宋体"/>
          <w:sz w:val="24"/>
          <w:lang w:val="en-US" w:eastAsia="zh-CN"/>
        </w:rPr>
        <w:t>、</w:t>
      </w:r>
      <w:r>
        <w:rPr>
          <w:rFonts w:hint="eastAsia" w:ascii="宋体" w:hAnsi="宋体"/>
          <w:sz w:val="24"/>
        </w:rPr>
        <w:t>我公司（供方）负责进厂交货途中的一切责任由我司（供方）承担</w:t>
      </w:r>
      <w:r>
        <w:rPr>
          <w:rFonts w:hint="eastAsia" w:ascii="宋体" w:hAnsi="宋体"/>
          <w:sz w:val="24"/>
          <w:lang w:eastAsia="zh-CN"/>
        </w:rPr>
        <w:t>。</w:t>
      </w:r>
    </w:p>
    <w:p>
      <w:pPr>
        <w:numPr>
          <w:ilvl w:val="0"/>
          <w:numId w:val="9"/>
        </w:numPr>
        <w:spacing w:line="312" w:lineRule="auto"/>
        <w:ind w:leftChars="0"/>
        <w:rPr>
          <w:rFonts w:hint="eastAsia" w:ascii="宋体" w:hAnsi="宋体" w:cs="宋体"/>
          <w:sz w:val="24"/>
          <w:lang w:val="en-US" w:eastAsia="zh-CN"/>
        </w:rPr>
      </w:pPr>
      <w:r>
        <w:rPr>
          <w:rFonts w:hint="eastAsia" w:ascii="宋体" w:hAnsi="宋体"/>
          <w:sz w:val="24"/>
          <w:lang w:eastAsia="zh-CN"/>
        </w:rPr>
        <w:t>、</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陆万元整</w:t>
      </w:r>
      <w:r>
        <w:rPr>
          <w:rFonts w:hint="eastAsia" w:ascii="宋体" w:hAnsi="宋体"/>
          <w:sz w:val="24"/>
        </w:rPr>
        <w:t>，若我司中选，我司同意按照要求</w:t>
      </w:r>
      <w:r>
        <w:rPr>
          <w:rFonts w:hint="eastAsia" w:ascii="宋体" w:hAnsi="宋体"/>
          <w:sz w:val="24"/>
          <w:lang w:val="en-US" w:eastAsia="zh-CN"/>
        </w:rPr>
        <w:t>转为履约保证金待履约后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到货，货物</w:t>
      </w:r>
      <w:r>
        <w:rPr>
          <w:rFonts w:hint="eastAsia" w:ascii="宋体" w:hAnsi="宋体"/>
          <w:sz w:val="24"/>
          <w:lang w:val="en-US" w:eastAsia="zh-CN"/>
        </w:rPr>
        <w:t>需于2023年12月下旬到货现场</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 </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PTA干燥剂</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lang w:eastAsia="zh-CN"/>
        </w:rPr>
        <w:t>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w:t>
      </w:r>
      <w:r>
        <w:rPr>
          <w:rFonts w:hint="eastAsia" w:asciiTheme="minorEastAsia" w:hAnsiTheme="minorEastAsia" w:eastAsiaTheme="minorEastAsia"/>
          <w:bCs/>
          <w:sz w:val="24"/>
          <w:u w:val="single"/>
          <w:lang w:val="en-US" w:eastAsia="zh-CN"/>
        </w:rPr>
        <w:t>17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质量规范</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质量规范</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hint="eastAsia" w:ascii="宋体" w:hAnsi="宋体"/>
          <w:sz w:val="28"/>
          <w:szCs w:val="28"/>
        </w:rPr>
      </w:pPr>
      <w:r>
        <w:rPr>
          <w:rFonts w:hint="eastAsia" w:ascii="宋体" w:hAnsi="宋体"/>
          <w:sz w:val="28"/>
          <w:szCs w:val="28"/>
        </w:rPr>
        <w:t xml:space="preserve">        日期： </w:t>
      </w:r>
    </w:p>
    <w:p>
      <w:pPr>
        <w:wordWrap w:val="0"/>
        <w:jc w:val="center"/>
        <w:rPr>
          <w:rFonts w:hint="eastAsia" w:ascii="宋体" w:hAnsi="宋体"/>
          <w:sz w:val="28"/>
          <w:szCs w:val="28"/>
        </w:rPr>
      </w:pPr>
    </w:p>
    <w:p>
      <w:pPr>
        <w:wordWrap w:val="0"/>
        <w:jc w:val="center"/>
        <w:rPr>
          <w:rFonts w:hint="eastAsia" w:ascii="宋体" w:hAnsi="宋体"/>
          <w:sz w:val="28"/>
          <w:szCs w:val="28"/>
        </w:rPr>
      </w:pPr>
    </w:p>
    <w:p>
      <w:pPr>
        <w:wordWrap w:val="0"/>
        <w:jc w:val="both"/>
        <w:rPr>
          <w:rFonts w:hint="eastAsia" w:ascii="宋体" w:hAnsi="宋体"/>
          <w:sz w:val="28"/>
          <w:szCs w:val="28"/>
          <w:lang w:val="en-US" w:eastAsia="zh-CN"/>
        </w:rPr>
      </w:pPr>
    </w:p>
    <w:p>
      <w:pPr>
        <w:spacing w:line="360" w:lineRule="auto"/>
        <w:jc w:val="left"/>
        <w:rPr>
          <w:rFonts w:hint="default" w:asciiTheme="minorEastAsia" w:hAnsiTheme="minorEastAsia" w:eastAsiaTheme="minorEastAsia" w:cstheme="minorEastAsia"/>
          <w:sz w:val="28"/>
          <w:szCs w:val="28"/>
          <w:lang w:val="en-US" w:eastAsia="zh-CN"/>
        </w:rPr>
      </w:pPr>
      <w:r>
        <w:rPr>
          <w:rFonts w:hint="eastAsia" w:ascii="宋体" w:hAnsi="宋体"/>
          <w:sz w:val="28"/>
          <w:szCs w:val="28"/>
          <w:lang w:val="en-US" w:eastAsia="zh-CN"/>
        </w:rPr>
        <w:t>附件：PTA干燥剂质量规范</w:t>
      </w:r>
      <w:r>
        <w:rPr>
          <w:rFonts w:hint="eastAsia" w:asciiTheme="minorEastAsia" w:hAnsiTheme="minorEastAsia" w:eastAsiaTheme="minorEastAsia" w:cstheme="minorEastAsia"/>
          <w:sz w:val="28"/>
          <w:szCs w:val="28"/>
          <w:lang w:val="en-US" w:eastAsia="zh-CN"/>
        </w:rPr>
        <w:t>（PTA干燥剂1及PTA干燥剂2）</w:t>
      </w:r>
    </w:p>
    <w:p>
      <w:pPr>
        <w:wordWrap w:val="0"/>
        <w:jc w:val="center"/>
        <w:rPr>
          <w:rFonts w:hint="eastAsia" w:ascii="宋体" w:hAnsi="宋体"/>
          <w:sz w:val="28"/>
          <w:szCs w:val="28"/>
          <w:lang w:val="en-US" w:eastAsia="zh-CN"/>
        </w:rPr>
      </w:pPr>
      <w:r>
        <w:drawing>
          <wp:inline distT="0" distB="0" distL="114300" distR="114300">
            <wp:extent cx="4309110" cy="4007485"/>
            <wp:effectExtent l="0" t="0" r="152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09110" cy="4007485"/>
                    </a:xfrm>
                    <a:prstGeom prst="rect">
                      <a:avLst/>
                    </a:prstGeom>
                    <a:noFill/>
                    <a:ln>
                      <a:noFill/>
                    </a:ln>
                  </pic:spPr>
                </pic:pic>
              </a:graphicData>
            </a:graphic>
          </wp:inline>
        </w:drawing>
      </w:r>
      <w:r>
        <w:rPr>
          <w:rFonts w:hint="eastAsia" w:ascii="宋体" w:hAnsi="宋体"/>
          <w:sz w:val="28"/>
          <w:szCs w:val="28"/>
          <w:lang w:val="en-US" w:eastAsia="zh-CN"/>
        </w:rPr>
        <w:drawing>
          <wp:inline distT="0" distB="0" distL="114300" distR="114300">
            <wp:extent cx="4471670" cy="4112895"/>
            <wp:effectExtent l="0" t="0" r="5080" b="1905"/>
            <wp:docPr id="2" name="图片 2" descr="165960405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9604054403"/>
                    <pic:cNvPicPr>
                      <a:picLocks noChangeAspect="1"/>
                    </pic:cNvPicPr>
                  </pic:nvPicPr>
                  <pic:blipFill>
                    <a:blip r:embed="rId6"/>
                    <a:stretch>
                      <a:fillRect/>
                    </a:stretch>
                  </pic:blipFill>
                  <pic:spPr>
                    <a:xfrm>
                      <a:off x="0" y="0"/>
                      <a:ext cx="4471670" cy="4112895"/>
                    </a:xfrm>
                    <a:prstGeom prst="rect">
                      <a:avLst/>
                    </a:prstGeom>
                  </pic:spPr>
                </pic:pic>
              </a:graphicData>
            </a:graphic>
          </wp:inline>
        </w:drawing>
      </w: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 </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numPr>
          <w:ilvl w:val="0"/>
          <w:numId w:val="10"/>
        </w:numPr>
        <w:spacing w:line="280" w:lineRule="exact"/>
        <w:rPr>
          <w:rFonts w:hint="eastAsia" w:ascii="宋体" w:hAnsi="宋体" w:cs="宋体"/>
          <w:b/>
          <w:kern w:val="0"/>
          <w:szCs w:val="21"/>
        </w:rPr>
      </w:pPr>
      <w:r>
        <w:rPr>
          <w:rFonts w:hint="eastAsia" w:ascii="宋体" w:hAnsi="宋体"/>
          <w:b/>
          <w:szCs w:val="21"/>
        </w:rPr>
        <w:t>产品名称</w:t>
      </w:r>
      <w:r>
        <w:rPr>
          <w:rFonts w:hint="eastAsia" w:ascii="宋体" w:hAnsi="宋体" w:cs="宋体"/>
          <w:b/>
          <w:kern w:val="0"/>
          <w:szCs w:val="21"/>
        </w:rPr>
        <w:t>、生产厂家、型号规格、计量单位、数量、单价、金额、备注:</w:t>
      </w:r>
    </w:p>
    <w:tbl>
      <w:tblPr>
        <w:tblStyle w:val="6"/>
        <w:tblpPr w:leftFromText="180" w:rightFromText="180" w:vertAnchor="text" w:horzAnchor="page" w:tblpX="1729" w:tblpY="169"/>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3"/>
        <w:gridCol w:w="821"/>
        <w:gridCol w:w="694"/>
        <w:gridCol w:w="764"/>
        <w:gridCol w:w="764"/>
        <w:gridCol w:w="1132"/>
        <w:gridCol w:w="807"/>
        <w:gridCol w:w="12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0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6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82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6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6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64"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含税单价</w:t>
            </w:r>
          </w:p>
        </w:tc>
        <w:tc>
          <w:tcPr>
            <w:tcW w:w="1132"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未税</w:t>
            </w:r>
          </w:p>
          <w:p>
            <w:pPr>
              <w:spacing w:line="280" w:lineRule="exact"/>
              <w:jc w:val="center"/>
              <w:rPr>
                <w:rFonts w:hint="default" w:ascii="宋体" w:hAnsi="宋体" w:eastAsia="宋体"/>
                <w:color w:val="000000"/>
                <w:szCs w:val="21"/>
                <w:lang w:val="en-US" w:eastAsia="zh-CN"/>
              </w:rPr>
            </w:pPr>
            <w:bookmarkStart w:id="2" w:name="_GoBack"/>
            <w:bookmarkEnd w:id="2"/>
            <w:r>
              <w:rPr>
                <w:rFonts w:hint="eastAsia" w:ascii="宋体" w:hAnsi="宋体"/>
                <w:color w:val="000000"/>
                <w:szCs w:val="21"/>
                <w:lang w:val="en-US" w:eastAsia="zh-CN"/>
              </w:rPr>
              <w:t>总金额</w:t>
            </w:r>
          </w:p>
        </w:tc>
        <w:tc>
          <w:tcPr>
            <w:tcW w:w="80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税额</w:t>
            </w:r>
          </w:p>
        </w:tc>
        <w:tc>
          <w:tcPr>
            <w:tcW w:w="123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641" w:type="dxa"/>
            <w:vAlign w:val="center"/>
          </w:tcPr>
          <w:p>
            <w:pPr>
              <w:spacing w:line="280" w:lineRule="exact"/>
              <w:jc w:val="both"/>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802" w:type="dxa"/>
            <w:vAlign w:val="center"/>
          </w:tcPr>
          <w:p>
            <w:pPr>
              <w:spacing w:line="280" w:lineRule="exact"/>
              <w:jc w:val="center"/>
              <w:rPr>
                <w:rFonts w:hint="eastAsia" w:ascii="宋体" w:hAnsi="宋体"/>
                <w:color w:val="000000"/>
                <w:szCs w:val="21"/>
              </w:rPr>
            </w:pPr>
          </w:p>
        </w:tc>
        <w:tc>
          <w:tcPr>
            <w:tcW w:w="693" w:type="dxa"/>
            <w:vAlign w:val="center"/>
          </w:tcPr>
          <w:p>
            <w:pPr>
              <w:spacing w:line="280" w:lineRule="exact"/>
              <w:jc w:val="both"/>
              <w:rPr>
                <w:rFonts w:hint="eastAsia" w:ascii="宋体" w:hAnsi="宋体" w:eastAsia="宋体" w:cs="Times New Roman"/>
                <w:color w:val="000000"/>
                <w:kern w:val="2"/>
                <w:sz w:val="21"/>
                <w:szCs w:val="21"/>
                <w:lang w:val="en-US" w:eastAsia="zh-CN" w:bidi="ar-SA"/>
              </w:rPr>
            </w:pPr>
          </w:p>
        </w:tc>
        <w:tc>
          <w:tcPr>
            <w:tcW w:w="821"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p>
        </w:tc>
        <w:tc>
          <w:tcPr>
            <w:tcW w:w="694" w:type="dxa"/>
            <w:vAlign w:val="center"/>
          </w:tcPr>
          <w:p>
            <w:pPr>
              <w:spacing w:line="280" w:lineRule="exact"/>
              <w:jc w:val="center"/>
              <w:rPr>
                <w:rFonts w:hint="eastAsia" w:ascii="宋体" w:hAnsi="宋体"/>
                <w:color w:val="000000"/>
                <w:szCs w:val="21"/>
              </w:rPr>
            </w:pPr>
          </w:p>
        </w:tc>
        <w:tc>
          <w:tcPr>
            <w:tcW w:w="764" w:type="dxa"/>
            <w:vAlign w:val="center"/>
          </w:tcPr>
          <w:p>
            <w:pPr>
              <w:spacing w:line="280" w:lineRule="exact"/>
              <w:jc w:val="center"/>
              <w:rPr>
                <w:rFonts w:hint="eastAsia" w:ascii="宋体" w:hAnsi="宋体"/>
                <w:color w:val="000000"/>
                <w:szCs w:val="21"/>
              </w:rPr>
            </w:pPr>
          </w:p>
        </w:tc>
        <w:tc>
          <w:tcPr>
            <w:tcW w:w="764" w:type="dxa"/>
            <w:vAlign w:val="center"/>
          </w:tcPr>
          <w:p>
            <w:pPr>
              <w:spacing w:line="280" w:lineRule="exact"/>
              <w:jc w:val="center"/>
              <w:rPr>
                <w:rFonts w:hint="eastAsia" w:ascii="宋体" w:hAnsi="宋体"/>
                <w:color w:val="000000"/>
                <w:szCs w:val="21"/>
              </w:rPr>
            </w:pPr>
          </w:p>
        </w:tc>
        <w:tc>
          <w:tcPr>
            <w:tcW w:w="1132" w:type="dxa"/>
            <w:vAlign w:val="center"/>
          </w:tcPr>
          <w:p>
            <w:pPr>
              <w:spacing w:line="280" w:lineRule="exact"/>
              <w:jc w:val="center"/>
              <w:rPr>
                <w:rFonts w:hint="eastAsia" w:ascii="宋体" w:hAnsi="宋体"/>
                <w:color w:val="000000"/>
                <w:szCs w:val="21"/>
              </w:rPr>
            </w:pPr>
          </w:p>
        </w:tc>
        <w:tc>
          <w:tcPr>
            <w:tcW w:w="807" w:type="dxa"/>
            <w:vAlign w:val="center"/>
          </w:tcPr>
          <w:p>
            <w:pPr>
              <w:spacing w:line="280" w:lineRule="exact"/>
              <w:jc w:val="center"/>
              <w:rPr>
                <w:rFonts w:hint="eastAsia" w:ascii="宋体" w:hAnsi="宋体"/>
                <w:color w:val="000000"/>
                <w:szCs w:val="21"/>
              </w:rPr>
            </w:pPr>
          </w:p>
        </w:tc>
        <w:tc>
          <w:tcPr>
            <w:tcW w:w="1231" w:type="dxa"/>
            <w:vAlign w:val="center"/>
          </w:tcPr>
          <w:p>
            <w:pPr>
              <w:spacing w:line="280" w:lineRule="exact"/>
              <w:jc w:val="center"/>
              <w:rPr>
                <w:rFonts w:hint="eastAsia" w:ascii="宋体" w:hAnsi="宋体"/>
                <w:color w:val="000000"/>
                <w:szCs w:val="21"/>
              </w:rPr>
            </w:pPr>
          </w:p>
        </w:tc>
        <w:tc>
          <w:tcPr>
            <w:tcW w:w="1641" w:type="dxa"/>
            <w:vAlign w:val="center"/>
          </w:tcPr>
          <w:p>
            <w:pPr>
              <w:spacing w:line="280" w:lineRule="exact"/>
              <w:jc w:val="both"/>
              <w:rPr>
                <w:rFonts w:hint="eastAsia" w:ascii="宋体" w:hAnsi="宋体"/>
                <w:color w:val="000000"/>
                <w:szCs w:val="21"/>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0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693" w:type="dxa"/>
            <w:vAlign w:val="center"/>
          </w:tcPr>
          <w:p>
            <w:pPr>
              <w:spacing w:line="280" w:lineRule="exact"/>
              <w:jc w:val="both"/>
              <w:rPr>
                <w:rFonts w:hint="default" w:ascii="宋体" w:hAnsi="宋体" w:cs="Times New Roman"/>
                <w:color w:val="000000"/>
                <w:sz w:val="21"/>
                <w:szCs w:val="21"/>
                <w:lang w:val="en-US" w:eastAsia="zh-CN"/>
              </w:rPr>
            </w:pPr>
          </w:p>
        </w:tc>
        <w:tc>
          <w:tcPr>
            <w:tcW w:w="821" w:type="dxa"/>
            <w:vAlign w:val="center"/>
          </w:tcPr>
          <w:p>
            <w:pPr>
              <w:spacing w:line="280" w:lineRule="exact"/>
              <w:jc w:val="center"/>
              <w:rPr>
                <w:rFonts w:hint="default" w:ascii="宋体" w:hAnsi="宋体" w:cs="Times New Roman"/>
                <w:color w:val="000000"/>
                <w:sz w:val="21"/>
                <w:szCs w:val="21"/>
                <w:lang w:val="en-US" w:eastAsia="zh-CN"/>
              </w:rPr>
            </w:pPr>
          </w:p>
        </w:tc>
        <w:tc>
          <w:tcPr>
            <w:tcW w:w="694" w:type="dxa"/>
            <w:vAlign w:val="center"/>
          </w:tcPr>
          <w:p>
            <w:pPr>
              <w:spacing w:line="280" w:lineRule="exact"/>
              <w:jc w:val="center"/>
              <w:rPr>
                <w:rFonts w:hint="default" w:ascii="宋体" w:hAnsi="宋体" w:cs="Times New Roman"/>
                <w:color w:val="000000"/>
                <w:sz w:val="21"/>
                <w:szCs w:val="21"/>
                <w:lang w:val="en-US" w:eastAsia="zh-CN"/>
              </w:rPr>
            </w:pPr>
          </w:p>
        </w:tc>
        <w:tc>
          <w:tcPr>
            <w:tcW w:w="764" w:type="dxa"/>
            <w:vAlign w:val="center"/>
          </w:tcPr>
          <w:p>
            <w:pPr>
              <w:spacing w:line="280" w:lineRule="exact"/>
              <w:jc w:val="center"/>
              <w:rPr>
                <w:rFonts w:hint="default" w:ascii="宋体" w:hAnsi="宋体" w:cs="Times New Roman"/>
                <w:color w:val="000000"/>
                <w:sz w:val="21"/>
                <w:szCs w:val="21"/>
                <w:lang w:val="en-US" w:eastAsia="zh-CN"/>
              </w:rPr>
            </w:pPr>
          </w:p>
        </w:tc>
        <w:tc>
          <w:tcPr>
            <w:tcW w:w="764" w:type="dxa"/>
            <w:vAlign w:val="center"/>
          </w:tcPr>
          <w:p>
            <w:pPr>
              <w:spacing w:line="280" w:lineRule="exact"/>
              <w:jc w:val="center"/>
              <w:rPr>
                <w:rFonts w:hint="default" w:ascii="宋体" w:hAnsi="宋体" w:cs="Times New Roman"/>
                <w:color w:val="000000"/>
                <w:sz w:val="21"/>
                <w:szCs w:val="21"/>
                <w:lang w:val="en-US" w:eastAsia="zh-CN"/>
              </w:rPr>
            </w:pPr>
          </w:p>
        </w:tc>
        <w:tc>
          <w:tcPr>
            <w:tcW w:w="1132" w:type="dxa"/>
            <w:vAlign w:val="center"/>
          </w:tcPr>
          <w:p>
            <w:pPr>
              <w:spacing w:line="280" w:lineRule="exact"/>
              <w:jc w:val="center"/>
              <w:rPr>
                <w:rFonts w:hint="default" w:ascii="宋体" w:hAnsi="宋体" w:cs="Times New Roman"/>
                <w:color w:val="000000"/>
                <w:sz w:val="21"/>
                <w:szCs w:val="21"/>
                <w:lang w:val="en-US" w:eastAsia="zh-CN"/>
              </w:rPr>
            </w:pPr>
          </w:p>
        </w:tc>
        <w:tc>
          <w:tcPr>
            <w:tcW w:w="807" w:type="dxa"/>
            <w:vAlign w:val="center"/>
          </w:tcPr>
          <w:p>
            <w:pPr>
              <w:spacing w:line="280" w:lineRule="exact"/>
              <w:jc w:val="center"/>
              <w:rPr>
                <w:rFonts w:hint="default" w:ascii="宋体" w:hAnsi="宋体" w:cs="Times New Roman"/>
                <w:color w:val="000000"/>
                <w:sz w:val="21"/>
                <w:szCs w:val="21"/>
                <w:lang w:val="en-US" w:eastAsia="zh-CN"/>
              </w:rPr>
            </w:pPr>
          </w:p>
        </w:tc>
        <w:tc>
          <w:tcPr>
            <w:tcW w:w="1231" w:type="dxa"/>
            <w:vAlign w:val="center"/>
          </w:tcPr>
          <w:p>
            <w:pPr>
              <w:spacing w:line="280" w:lineRule="exact"/>
              <w:jc w:val="center"/>
              <w:rPr>
                <w:rFonts w:hint="default" w:ascii="宋体" w:hAnsi="宋体" w:cs="Times New Roman"/>
                <w:color w:val="000000"/>
                <w:sz w:val="21"/>
                <w:szCs w:val="21"/>
                <w:lang w:val="en-US" w:eastAsia="zh-CN"/>
              </w:rPr>
            </w:pPr>
          </w:p>
        </w:tc>
        <w:tc>
          <w:tcPr>
            <w:tcW w:w="1641" w:type="dxa"/>
            <w:vAlign w:val="center"/>
          </w:tcPr>
          <w:p>
            <w:pPr>
              <w:spacing w:line="280" w:lineRule="exact"/>
              <w:jc w:val="both"/>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010" w:type="dxa"/>
            <w:gridSpan w:val="4"/>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339"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一次性到货，货物需于2023年12月下旬到货现场。</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 </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 </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李志红</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13950027376</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5.1供方根据需方要求缴纳履约保证金并作为合同质保金，金额为人民币陆万元整。合同履约后供方按合同约定全面履约的情况下，需方于供方提交返还履约保证金申请后30天内无息返还。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干燥剂1及干燥剂2入厂后需取样委托第三方检测，检测费用由供货方承担。</w:t>
      </w:r>
    </w:p>
    <w:p>
      <w:pPr>
        <w:spacing w:line="300" w:lineRule="exact"/>
        <w:ind w:firstLine="420" w:firstLineChars="200"/>
        <w:rPr>
          <w:rFonts w:hint="eastAsia"/>
          <w:szCs w:val="21"/>
          <w:lang w:val="en-US" w:eastAsia="zh-CN"/>
        </w:rPr>
      </w:pPr>
      <w:r>
        <w:rPr>
          <w:rFonts w:hint="eastAsia"/>
          <w:szCs w:val="21"/>
          <w:lang w:val="en-US" w:eastAsia="zh-CN"/>
        </w:rPr>
        <w:t>5.3质量指标：见附件PTA干燥剂质量规范。</w:t>
      </w:r>
    </w:p>
    <w:p>
      <w:pPr>
        <w:spacing w:line="300" w:lineRule="exact"/>
        <w:ind w:firstLine="420" w:firstLineChars="200"/>
        <w:rPr>
          <w:rFonts w:hint="eastAsia"/>
          <w:szCs w:val="21"/>
          <w:lang w:val="en-US" w:eastAsia="zh-CN"/>
        </w:rPr>
      </w:pPr>
    </w:p>
    <w:p>
      <w:pPr>
        <w:spacing w:line="360" w:lineRule="auto"/>
        <w:jc w:val="left"/>
        <w:rPr>
          <w:rFonts w:hint="eastAsia" w:ascii="宋体" w:hAnsi="宋体" w:eastAsia="宋体" w:cs="宋体"/>
          <w:b w:val="0"/>
          <w:bCs/>
          <w:sz w:val="28"/>
          <w:szCs w:val="28"/>
          <w:lang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szCs w:val="21"/>
          <w:lang w:val="en-US" w:eastAsia="zh-CN"/>
        </w:rPr>
      </w:pPr>
    </w:p>
    <w:p>
      <w:pPr>
        <w:spacing w:line="360" w:lineRule="auto"/>
        <w:jc w:val="left"/>
        <w:rPr>
          <w:rFonts w:hint="eastAsia" w:asciiTheme="minorEastAsia" w:hAnsiTheme="minorEastAsia" w:eastAsiaTheme="minorEastAsia" w:cstheme="minorEastAsia"/>
          <w:sz w:val="28"/>
          <w:szCs w:val="28"/>
          <w:lang w:val="en-US" w:eastAsia="zh-CN"/>
        </w:rPr>
      </w:pPr>
    </w:p>
    <w:p>
      <w:pPr>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附件二：PTA干燥剂质量规范（PTA干燥剂1及PTA干燥剂2）</w:t>
      </w:r>
    </w:p>
    <w:p>
      <w:pPr>
        <w:spacing w:line="360" w:lineRule="auto"/>
        <w:jc w:val="left"/>
        <w:rPr>
          <w:rFonts w:hint="eastAsia" w:asciiTheme="minorEastAsia" w:hAnsiTheme="minorEastAsia" w:eastAsiaTheme="minorEastAsia" w:cstheme="minorEastAsia"/>
          <w:sz w:val="28"/>
          <w:szCs w:val="28"/>
          <w:lang w:val="en-US" w:eastAsia="zh-CN"/>
        </w:rPr>
      </w:pPr>
      <w:r>
        <w:drawing>
          <wp:inline distT="0" distB="0" distL="114300" distR="114300">
            <wp:extent cx="4175125" cy="3882390"/>
            <wp:effectExtent l="0" t="0" r="1587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175125" cy="3882390"/>
                    </a:xfrm>
                    <a:prstGeom prst="rect">
                      <a:avLst/>
                    </a:prstGeom>
                    <a:noFill/>
                    <a:ln>
                      <a:noFill/>
                    </a:ln>
                  </pic:spPr>
                </pic:pic>
              </a:graphicData>
            </a:graphic>
          </wp:inline>
        </w:drawing>
      </w:r>
    </w:p>
    <w:p>
      <w:pPr>
        <w:spacing w:line="360" w:lineRule="auto"/>
        <w:jc w:val="left"/>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drawing>
          <wp:inline distT="0" distB="0" distL="114300" distR="114300">
            <wp:extent cx="4358640" cy="4008120"/>
            <wp:effectExtent l="0" t="0" r="3810" b="11430"/>
            <wp:docPr id="4" name="图片 4" descr="165960409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9604097750"/>
                    <pic:cNvPicPr>
                      <a:picLocks noChangeAspect="1"/>
                    </pic:cNvPicPr>
                  </pic:nvPicPr>
                  <pic:blipFill>
                    <a:blip r:embed="rId6"/>
                    <a:stretch>
                      <a:fillRect/>
                    </a:stretch>
                  </pic:blipFill>
                  <pic:spPr>
                    <a:xfrm>
                      <a:off x="0" y="0"/>
                      <a:ext cx="4358640" cy="400812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06B8"/>
    <w:multiLevelType w:val="singleLevel"/>
    <w:tmpl w:val="AC6E06B8"/>
    <w:lvl w:ilvl="0" w:tentative="0">
      <w:start w:val="2"/>
      <w:numFmt w:val="decimal"/>
      <w:suff w:val="nothing"/>
      <w:lvlText w:val="%1、"/>
      <w:lvlJc w:val="left"/>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14CF5C"/>
    <w:multiLevelType w:val="singleLevel"/>
    <w:tmpl w:val="7414CF5C"/>
    <w:lvl w:ilvl="0" w:tentative="0">
      <w:start w:val="1"/>
      <w:numFmt w:val="chineseCounting"/>
      <w:suff w:val="space"/>
      <w:lvlText w:val="%1、"/>
      <w:lvlJc w:val="left"/>
      <w:rPr>
        <w:rFonts w:hint="eastAsia"/>
      </w:rPr>
    </w:lvl>
  </w:abstractNum>
  <w:abstractNum w:abstractNumId="9">
    <w:nsid w:val="783EF315"/>
    <w:multiLevelType w:val="singleLevel"/>
    <w:tmpl w:val="783EF315"/>
    <w:lvl w:ilvl="0" w:tentative="0">
      <w:start w:val="3"/>
      <w:numFmt w:val="chineseCounting"/>
      <w:suff w:val="nothing"/>
      <w:lvlText w:val="%1）"/>
      <w:lvlJc w:val="left"/>
      <w:rPr>
        <w:rFonts w:hint="eastAsia"/>
      </w:rPr>
    </w:lvl>
  </w:abstractNum>
  <w:num w:numId="1">
    <w:abstractNumId w:val="2"/>
  </w:num>
  <w:num w:numId="2">
    <w:abstractNumId w:val="7"/>
  </w:num>
  <w:num w:numId="3">
    <w:abstractNumId w:val="4"/>
  </w:num>
  <w:num w:numId="4">
    <w:abstractNumId w:val="3"/>
  </w:num>
  <w:num w:numId="5">
    <w:abstractNumId w:val="5"/>
  </w:num>
  <w:num w:numId="6">
    <w:abstractNumId w:val="1"/>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GYyNjQ5NzliZDhhNGU4OGU2ZDkzY2I1NGQ1NjQ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15452"/>
    <w:rsid w:val="02D53A40"/>
    <w:rsid w:val="03033536"/>
    <w:rsid w:val="03261A08"/>
    <w:rsid w:val="032D15FD"/>
    <w:rsid w:val="032F04D8"/>
    <w:rsid w:val="03E270E3"/>
    <w:rsid w:val="03E5328D"/>
    <w:rsid w:val="042207A6"/>
    <w:rsid w:val="04444FBA"/>
    <w:rsid w:val="04643F66"/>
    <w:rsid w:val="04675C1C"/>
    <w:rsid w:val="046B7835"/>
    <w:rsid w:val="046E24C0"/>
    <w:rsid w:val="046F7ACF"/>
    <w:rsid w:val="0546217C"/>
    <w:rsid w:val="059A34DA"/>
    <w:rsid w:val="059B734C"/>
    <w:rsid w:val="05C112E8"/>
    <w:rsid w:val="05CE4353"/>
    <w:rsid w:val="05CF5BDF"/>
    <w:rsid w:val="061013A0"/>
    <w:rsid w:val="064416AA"/>
    <w:rsid w:val="06A3708D"/>
    <w:rsid w:val="06AB00B1"/>
    <w:rsid w:val="06BB17D9"/>
    <w:rsid w:val="06DA70D7"/>
    <w:rsid w:val="070356B5"/>
    <w:rsid w:val="077632ED"/>
    <w:rsid w:val="07817814"/>
    <w:rsid w:val="078A61DF"/>
    <w:rsid w:val="07C04CC8"/>
    <w:rsid w:val="07E878CC"/>
    <w:rsid w:val="07E87C6B"/>
    <w:rsid w:val="07F06C92"/>
    <w:rsid w:val="07FB0E0D"/>
    <w:rsid w:val="080F7CCD"/>
    <w:rsid w:val="08C12B85"/>
    <w:rsid w:val="090A2F1F"/>
    <w:rsid w:val="098E656B"/>
    <w:rsid w:val="099447D3"/>
    <w:rsid w:val="09E63A80"/>
    <w:rsid w:val="0A3A75BC"/>
    <w:rsid w:val="0A4D0638"/>
    <w:rsid w:val="0A58515B"/>
    <w:rsid w:val="0A8B6BF2"/>
    <w:rsid w:val="0AB96449"/>
    <w:rsid w:val="0ADD75BB"/>
    <w:rsid w:val="0B0D38CD"/>
    <w:rsid w:val="0B35169E"/>
    <w:rsid w:val="0B4A13AC"/>
    <w:rsid w:val="0B8E420A"/>
    <w:rsid w:val="0C3D7481"/>
    <w:rsid w:val="0CF127D7"/>
    <w:rsid w:val="0CFA5163"/>
    <w:rsid w:val="0D76747D"/>
    <w:rsid w:val="0DAD56B9"/>
    <w:rsid w:val="0DD566C4"/>
    <w:rsid w:val="0E02486F"/>
    <w:rsid w:val="0E3D2F5D"/>
    <w:rsid w:val="0E3F22A2"/>
    <w:rsid w:val="0E8B20AA"/>
    <w:rsid w:val="0E9503CA"/>
    <w:rsid w:val="0EE26DF9"/>
    <w:rsid w:val="0EE30943"/>
    <w:rsid w:val="0EF6490E"/>
    <w:rsid w:val="0F3141ED"/>
    <w:rsid w:val="0F4E62EA"/>
    <w:rsid w:val="0F821B8F"/>
    <w:rsid w:val="0F8C0A60"/>
    <w:rsid w:val="0FA364D6"/>
    <w:rsid w:val="0FCE6C96"/>
    <w:rsid w:val="0FE34343"/>
    <w:rsid w:val="10167D42"/>
    <w:rsid w:val="105A2ADD"/>
    <w:rsid w:val="105B6F62"/>
    <w:rsid w:val="108E2EA4"/>
    <w:rsid w:val="10C613A6"/>
    <w:rsid w:val="10F1561E"/>
    <w:rsid w:val="111E4EA7"/>
    <w:rsid w:val="11681EF3"/>
    <w:rsid w:val="116909B8"/>
    <w:rsid w:val="11715093"/>
    <w:rsid w:val="118A38B5"/>
    <w:rsid w:val="122E4A94"/>
    <w:rsid w:val="125F61EF"/>
    <w:rsid w:val="12632F49"/>
    <w:rsid w:val="12737A03"/>
    <w:rsid w:val="12837C22"/>
    <w:rsid w:val="12CF31F9"/>
    <w:rsid w:val="12EA195B"/>
    <w:rsid w:val="12F479DF"/>
    <w:rsid w:val="1363320F"/>
    <w:rsid w:val="1387789C"/>
    <w:rsid w:val="13B74194"/>
    <w:rsid w:val="142F7DC3"/>
    <w:rsid w:val="14937361"/>
    <w:rsid w:val="149868E6"/>
    <w:rsid w:val="14FC5116"/>
    <w:rsid w:val="15033088"/>
    <w:rsid w:val="150647E6"/>
    <w:rsid w:val="15101A52"/>
    <w:rsid w:val="15125849"/>
    <w:rsid w:val="15407DC8"/>
    <w:rsid w:val="15BF2E22"/>
    <w:rsid w:val="15C23309"/>
    <w:rsid w:val="15C31A47"/>
    <w:rsid w:val="15F16D9A"/>
    <w:rsid w:val="15FE1378"/>
    <w:rsid w:val="15FE1EB4"/>
    <w:rsid w:val="16172661"/>
    <w:rsid w:val="16270A04"/>
    <w:rsid w:val="165069FC"/>
    <w:rsid w:val="173B43BC"/>
    <w:rsid w:val="178C691A"/>
    <w:rsid w:val="179453BC"/>
    <w:rsid w:val="183B0D71"/>
    <w:rsid w:val="184968FC"/>
    <w:rsid w:val="185D1C5F"/>
    <w:rsid w:val="188C5585"/>
    <w:rsid w:val="18C27F65"/>
    <w:rsid w:val="18FA6BBD"/>
    <w:rsid w:val="191A3D61"/>
    <w:rsid w:val="192A2CC6"/>
    <w:rsid w:val="19F04AD4"/>
    <w:rsid w:val="1A2F6DF9"/>
    <w:rsid w:val="1A3168AB"/>
    <w:rsid w:val="1A4C05AB"/>
    <w:rsid w:val="1A4F0A64"/>
    <w:rsid w:val="1AF22A1C"/>
    <w:rsid w:val="1AFD66F4"/>
    <w:rsid w:val="1B233A0E"/>
    <w:rsid w:val="1B2F1627"/>
    <w:rsid w:val="1B7C1123"/>
    <w:rsid w:val="1B8F7883"/>
    <w:rsid w:val="1B927AE6"/>
    <w:rsid w:val="1BC93515"/>
    <w:rsid w:val="1C1B3FE4"/>
    <w:rsid w:val="1C513BF0"/>
    <w:rsid w:val="1C8261A0"/>
    <w:rsid w:val="1CF31038"/>
    <w:rsid w:val="1D0113C9"/>
    <w:rsid w:val="1D05782C"/>
    <w:rsid w:val="1DB72E7F"/>
    <w:rsid w:val="1DDB74E0"/>
    <w:rsid w:val="1E2F61EF"/>
    <w:rsid w:val="1E3264F3"/>
    <w:rsid w:val="1E600A9D"/>
    <w:rsid w:val="1EB505E6"/>
    <w:rsid w:val="1EBD3B62"/>
    <w:rsid w:val="1F02429F"/>
    <w:rsid w:val="1F133081"/>
    <w:rsid w:val="1F590291"/>
    <w:rsid w:val="2072553D"/>
    <w:rsid w:val="207E3421"/>
    <w:rsid w:val="208A175C"/>
    <w:rsid w:val="2090579A"/>
    <w:rsid w:val="20AF45AF"/>
    <w:rsid w:val="21097A8A"/>
    <w:rsid w:val="215846DF"/>
    <w:rsid w:val="21BD6DBB"/>
    <w:rsid w:val="22345BE0"/>
    <w:rsid w:val="22521DD3"/>
    <w:rsid w:val="227B0690"/>
    <w:rsid w:val="228E5A58"/>
    <w:rsid w:val="22A35795"/>
    <w:rsid w:val="22A62B30"/>
    <w:rsid w:val="22ED3ED6"/>
    <w:rsid w:val="231117F3"/>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AD0CD3"/>
    <w:rsid w:val="27CF60B0"/>
    <w:rsid w:val="27D22CF4"/>
    <w:rsid w:val="27E234BC"/>
    <w:rsid w:val="27E57D13"/>
    <w:rsid w:val="28012C6B"/>
    <w:rsid w:val="280475E2"/>
    <w:rsid w:val="282C18E9"/>
    <w:rsid w:val="285B7C69"/>
    <w:rsid w:val="28B0150E"/>
    <w:rsid w:val="28D51D40"/>
    <w:rsid w:val="293555E2"/>
    <w:rsid w:val="299A1AD2"/>
    <w:rsid w:val="29AC4DAC"/>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B313F7"/>
    <w:rsid w:val="2BD36FC0"/>
    <w:rsid w:val="2BE04E2E"/>
    <w:rsid w:val="2BFD3451"/>
    <w:rsid w:val="2C0B2A13"/>
    <w:rsid w:val="2C201604"/>
    <w:rsid w:val="2C31119D"/>
    <w:rsid w:val="2C3328C4"/>
    <w:rsid w:val="2C5548F9"/>
    <w:rsid w:val="2D2B1461"/>
    <w:rsid w:val="2D30599E"/>
    <w:rsid w:val="2DA319DC"/>
    <w:rsid w:val="2DF06759"/>
    <w:rsid w:val="2E12514F"/>
    <w:rsid w:val="2E351771"/>
    <w:rsid w:val="2EAD2321"/>
    <w:rsid w:val="2EF7551C"/>
    <w:rsid w:val="2F1F4355"/>
    <w:rsid w:val="2F210D6D"/>
    <w:rsid w:val="2F7C2C25"/>
    <w:rsid w:val="2F8E0962"/>
    <w:rsid w:val="2FA30B14"/>
    <w:rsid w:val="2FBC4452"/>
    <w:rsid w:val="2FBD5AB0"/>
    <w:rsid w:val="2FFE7C5C"/>
    <w:rsid w:val="30071591"/>
    <w:rsid w:val="30243F4A"/>
    <w:rsid w:val="303240F6"/>
    <w:rsid w:val="30725A8E"/>
    <w:rsid w:val="308B3903"/>
    <w:rsid w:val="30985912"/>
    <w:rsid w:val="30E60CDF"/>
    <w:rsid w:val="31183D8E"/>
    <w:rsid w:val="312B136C"/>
    <w:rsid w:val="3165141F"/>
    <w:rsid w:val="31771119"/>
    <w:rsid w:val="31934494"/>
    <w:rsid w:val="319D55BA"/>
    <w:rsid w:val="31CE1FAB"/>
    <w:rsid w:val="31F46862"/>
    <w:rsid w:val="320F45AD"/>
    <w:rsid w:val="322E5C7B"/>
    <w:rsid w:val="323D28AC"/>
    <w:rsid w:val="32492609"/>
    <w:rsid w:val="32745826"/>
    <w:rsid w:val="327513D6"/>
    <w:rsid w:val="327D4743"/>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9057ED7"/>
    <w:rsid w:val="39137A71"/>
    <w:rsid w:val="3955569C"/>
    <w:rsid w:val="39657C8F"/>
    <w:rsid w:val="3969383E"/>
    <w:rsid w:val="39882841"/>
    <w:rsid w:val="39ED2847"/>
    <w:rsid w:val="3A4967DD"/>
    <w:rsid w:val="3A500A72"/>
    <w:rsid w:val="3A5116BA"/>
    <w:rsid w:val="3A5B7748"/>
    <w:rsid w:val="3A7E2F25"/>
    <w:rsid w:val="3A87079F"/>
    <w:rsid w:val="3A8C3BAF"/>
    <w:rsid w:val="3AD63889"/>
    <w:rsid w:val="3ADE5E05"/>
    <w:rsid w:val="3B053E4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146BD"/>
    <w:rsid w:val="3E447FF5"/>
    <w:rsid w:val="3E536639"/>
    <w:rsid w:val="3E607252"/>
    <w:rsid w:val="3EEE28F9"/>
    <w:rsid w:val="3F1539A0"/>
    <w:rsid w:val="3F1E4982"/>
    <w:rsid w:val="3F516B77"/>
    <w:rsid w:val="3F8B1C0C"/>
    <w:rsid w:val="3FEE6A4A"/>
    <w:rsid w:val="401F30A7"/>
    <w:rsid w:val="40457BFD"/>
    <w:rsid w:val="40705383"/>
    <w:rsid w:val="40831E81"/>
    <w:rsid w:val="40891F67"/>
    <w:rsid w:val="408C76E2"/>
    <w:rsid w:val="409057BD"/>
    <w:rsid w:val="40A81698"/>
    <w:rsid w:val="41186225"/>
    <w:rsid w:val="4136428A"/>
    <w:rsid w:val="414E2379"/>
    <w:rsid w:val="416F5968"/>
    <w:rsid w:val="417A6877"/>
    <w:rsid w:val="418324AC"/>
    <w:rsid w:val="41A04200"/>
    <w:rsid w:val="41A32F85"/>
    <w:rsid w:val="420F20F6"/>
    <w:rsid w:val="42203971"/>
    <w:rsid w:val="42257F84"/>
    <w:rsid w:val="422D3D55"/>
    <w:rsid w:val="424C2641"/>
    <w:rsid w:val="42680DF6"/>
    <w:rsid w:val="428E4E02"/>
    <w:rsid w:val="42BF0693"/>
    <w:rsid w:val="42DA60A9"/>
    <w:rsid w:val="42DC0DDB"/>
    <w:rsid w:val="43396FCF"/>
    <w:rsid w:val="43434628"/>
    <w:rsid w:val="43482915"/>
    <w:rsid w:val="4351032C"/>
    <w:rsid w:val="4355293C"/>
    <w:rsid w:val="439439C5"/>
    <w:rsid w:val="4395062C"/>
    <w:rsid w:val="43D46D19"/>
    <w:rsid w:val="44236751"/>
    <w:rsid w:val="442A4352"/>
    <w:rsid w:val="448C78B8"/>
    <w:rsid w:val="44B2410D"/>
    <w:rsid w:val="44CB1108"/>
    <w:rsid w:val="44E4129A"/>
    <w:rsid w:val="453F611C"/>
    <w:rsid w:val="454D6E39"/>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05E54"/>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092170"/>
    <w:rsid w:val="512F6EC2"/>
    <w:rsid w:val="513242BC"/>
    <w:rsid w:val="513403C7"/>
    <w:rsid w:val="518B38CB"/>
    <w:rsid w:val="51E145FD"/>
    <w:rsid w:val="51E51CC3"/>
    <w:rsid w:val="52350240"/>
    <w:rsid w:val="52670AC3"/>
    <w:rsid w:val="529A77A5"/>
    <w:rsid w:val="53396CC8"/>
    <w:rsid w:val="53523F58"/>
    <w:rsid w:val="536C4A8A"/>
    <w:rsid w:val="53CE2453"/>
    <w:rsid w:val="53ED6794"/>
    <w:rsid w:val="542657F3"/>
    <w:rsid w:val="542A50A2"/>
    <w:rsid w:val="542D5399"/>
    <w:rsid w:val="543E14AB"/>
    <w:rsid w:val="54DD2BD3"/>
    <w:rsid w:val="553E317D"/>
    <w:rsid w:val="554B615C"/>
    <w:rsid w:val="554D2C1E"/>
    <w:rsid w:val="556D7264"/>
    <w:rsid w:val="556E4380"/>
    <w:rsid w:val="559230BD"/>
    <w:rsid w:val="55E907A3"/>
    <w:rsid w:val="55E92CB5"/>
    <w:rsid w:val="56325307"/>
    <w:rsid w:val="5659474A"/>
    <w:rsid w:val="56732B47"/>
    <w:rsid w:val="5733660F"/>
    <w:rsid w:val="573834F1"/>
    <w:rsid w:val="57463334"/>
    <w:rsid w:val="574B6739"/>
    <w:rsid w:val="574D21DE"/>
    <w:rsid w:val="578B6597"/>
    <w:rsid w:val="57942C39"/>
    <w:rsid w:val="57EB2081"/>
    <w:rsid w:val="581D2F7F"/>
    <w:rsid w:val="583F04BE"/>
    <w:rsid w:val="5845276D"/>
    <w:rsid w:val="58BD4EAA"/>
    <w:rsid w:val="58C534B8"/>
    <w:rsid w:val="58DA20C8"/>
    <w:rsid w:val="58FE6BB9"/>
    <w:rsid w:val="591A29EC"/>
    <w:rsid w:val="592E0C31"/>
    <w:rsid w:val="5930567C"/>
    <w:rsid w:val="593259F3"/>
    <w:rsid w:val="594531C0"/>
    <w:rsid w:val="59B64E5B"/>
    <w:rsid w:val="59C41AA5"/>
    <w:rsid w:val="5A196198"/>
    <w:rsid w:val="5A36290A"/>
    <w:rsid w:val="5A925C89"/>
    <w:rsid w:val="5B004781"/>
    <w:rsid w:val="5B181650"/>
    <w:rsid w:val="5B416702"/>
    <w:rsid w:val="5B510FBA"/>
    <w:rsid w:val="5B5E370D"/>
    <w:rsid w:val="5B713427"/>
    <w:rsid w:val="5B8152A6"/>
    <w:rsid w:val="5B964C3B"/>
    <w:rsid w:val="5BF4085F"/>
    <w:rsid w:val="5BF847A4"/>
    <w:rsid w:val="5C1F20CC"/>
    <w:rsid w:val="5C4F430C"/>
    <w:rsid w:val="5C514191"/>
    <w:rsid w:val="5C8B0489"/>
    <w:rsid w:val="5D3038FF"/>
    <w:rsid w:val="5DCB432F"/>
    <w:rsid w:val="5DD6127D"/>
    <w:rsid w:val="5DD956B5"/>
    <w:rsid w:val="5DE04163"/>
    <w:rsid w:val="5DEC7C19"/>
    <w:rsid w:val="5DFC0EB0"/>
    <w:rsid w:val="5E086E60"/>
    <w:rsid w:val="5E5B4B1E"/>
    <w:rsid w:val="5E7E4F45"/>
    <w:rsid w:val="5E806603"/>
    <w:rsid w:val="5EDC2437"/>
    <w:rsid w:val="5F0D17C2"/>
    <w:rsid w:val="5F197D9E"/>
    <w:rsid w:val="5F3C0936"/>
    <w:rsid w:val="5F5A2BA2"/>
    <w:rsid w:val="5F683B20"/>
    <w:rsid w:val="5F6A1B70"/>
    <w:rsid w:val="5F715923"/>
    <w:rsid w:val="5F74528F"/>
    <w:rsid w:val="5F905960"/>
    <w:rsid w:val="5FAD0C82"/>
    <w:rsid w:val="600E16AB"/>
    <w:rsid w:val="603C6B90"/>
    <w:rsid w:val="608B4D11"/>
    <w:rsid w:val="60B146AA"/>
    <w:rsid w:val="60E930B4"/>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121F08"/>
    <w:rsid w:val="64383FFB"/>
    <w:rsid w:val="6457654C"/>
    <w:rsid w:val="64834708"/>
    <w:rsid w:val="64AC0A38"/>
    <w:rsid w:val="64BD300D"/>
    <w:rsid w:val="64D45316"/>
    <w:rsid w:val="651A5C4B"/>
    <w:rsid w:val="653116C9"/>
    <w:rsid w:val="653261FA"/>
    <w:rsid w:val="653A164C"/>
    <w:rsid w:val="655F347A"/>
    <w:rsid w:val="65813C7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7D6F94"/>
    <w:rsid w:val="69824D44"/>
    <w:rsid w:val="6A2F7D3D"/>
    <w:rsid w:val="6AC26EA2"/>
    <w:rsid w:val="6AC44695"/>
    <w:rsid w:val="6AE6627C"/>
    <w:rsid w:val="6B477EF6"/>
    <w:rsid w:val="6B513865"/>
    <w:rsid w:val="6B9A256C"/>
    <w:rsid w:val="6BA373FF"/>
    <w:rsid w:val="6BEB1E5F"/>
    <w:rsid w:val="6C4957FC"/>
    <w:rsid w:val="6C53730E"/>
    <w:rsid w:val="6C5534FB"/>
    <w:rsid w:val="6C61176F"/>
    <w:rsid w:val="6C666306"/>
    <w:rsid w:val="6D387925"/>
    <w:rsid w:val="6D3E0CE6"/>
    <w:rsid w:val="6D440BBC"/>
    <w:rsid w:val="6D5817D8"/>
    <w:rsid w:val="6D6E3F95"/>
    <w:rsid w:val="6DB151E2"/>
    <w:rsid w:val="6DBF39F3"/>
    <w:rsid w:val="6DC0644E"/>
    <w:rsid w:val="6E137528"/>
    <w:rsid w:val="6E80463B"/>
    <w:rsid w:val="6E895A0C"/>
    <w:rsid w:val="6EC56FAA"/>
    <w:rsid w:val="6F22793F"/>
    <w:rsid w:val="6F457884"/>
    <w:rsid w:val="6F547029"/>
    <w:rsid w:val="6F570F4E"/>
    <w:rsid w:val="6F7C1012"/>
    <w:rsid w:val="6F883155"/>
    <w:rsid w:val="6F8C7070"/>
    <w:rsid w:val="6FA035B9"/>
    <w:rsid w:val="6FE70842"/>
    <w:rsid w:val="6FEA4E60"/>
    <w:rsid w:val="6FF53E70"/>
    <w:rsid w:val="700713B2"/>
    <w:rsid w:val="701A2DBF"/>
    <w:rsid w:val="703D260A"/>
    <w:rsid w:val="703D5D56"/>
    <w:rsid w:val="70642ED3"/>
    <w:rsid w:val="70763652"/>
    <w:rsid w:val="70A15996"/>
    <w:rsid w:val="70A2792D"/>
    <w:rsid w:val="70F43E95"/>
    <w:rsid w:val="713779A1"/>
    <w:rsid w:val="715168D7"/>
    <w:rsid w:val="71806AFE"/>
    <w:rsid w:val="71FE5EAA"/>
    <w:rsid w:val="720C6BF9"/>
    <w:rsid w:val="7242032A"/>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6460B6A"/>
    <w:rsid w:val="765748C8"/>
    <w:rsid w:val="766F66D6"/>
    <w:rsid w:val="76AC7129"/>
    <w:rsid w:val="76D15FF3"/>
    <w:rsid w:val="773C2D8E"/>
    <w:rsid w:val="77550A67"/>
    <w:rsid w:val="7781592A"/>
    <w:rsid w:val="77B83BB6"/>
    <w:rsid w:val="77BA2D12"/>
    <w:rsid w:val="7856695F"/>
    <w:rsid w:val="7866427B"/>
    <w:rsid w:val="78F732D8"/>
    <w:rsid w:val="790F1791"/>
    <w:rsid w:val="791F3849"/>
    <w:rsid w:val="797350BA"/>
    <w:rsid w:val="79775EC9"/>
    <w:rsid w:val="79D00415"/>
    <w:rsid w:val="79EE2754"/>
    <w:rsid w:val="79FD0727"/>
    <w:rsid w:val="7A0C273A"/>
    <w:rsid w:val="7A1A7F37"/>
    <w:rsid w:val="7A1C7B11"/>
    <w:rsid w:val="7A37206F"/>
    <w:rsid w:val="7A741385"/>
    <w:rsid w:val="7A7E5483"/>
    <w:rsid w:val="7AAF231C"/>
    <w:rsid w:val="7AC84743"/>
    <w:rsid w:val="7AEC20F3"/>
    <w:rsid w:val="7AEE1591"/>
    <w:rsid w:val="7B2F1AD6"/>
    <w:rsid w:val="7B6E5E34"/>
    <w:rsid w:val="7B7027FC"/>
    <w:rsid w:val="7B740622"/>
    <w:rsid w:val="7B8D786E"/>
    <w:rsid w:val="7B994BC5"/>
    <w:rsid w:val="7BDC7402"/>
    <w:rsid w:val="7BE145C1"/>
    <w:rsid w:val="7C152DD9"/>
    <w:rsid w:val="7C520931"/>
    <w:rsid w:val="7CAD1982"/>
    <w:rsid w:val="7CD535CF"/>
    <w:rsid w:val="7D34076E"/>
    <w:rsid w:val="7D53381A"/>
    <w:rsid w:val="7D624404"/>
    <w:rsid w:val="7DF25444"/>
    <w:rsid w:val="7DF27933"/>
    <w:rsid w:val="7E2C708B"/>
    <w:rsid w:val="7E5043C5"/>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unhideWhenUsed/>
    <w:qFormat/>
    <w:uiPriority w:val="0"/>
    <w:rPr>
      <w:color w:val="0091F2"/>
      <w:sz w:val="18"/>
      <w:szCs w:val="18"/>
      <w:u w:val="none"/>
    </w:rPr>
  </w:style>
  <w:style w:type="character" w:styleId="11">
    <w:name w:val="Hyperlink"/>
    <w:basedOn w:val="8"/>
    <w:unhideWhenUsed/>
    <w:qFormat/>
    <w:uiPriority w:val="0"/>
    <w:rPr>
      <w:color w:val="0091F2"/>
      <w:sz w:val="18"/>
      <w:szCs w:val="18"/>
      <w:u w:val="none"/>
    </w:rPr>
  </w:style>
  <w:style w:type="character" w:styleId="12">
    <w:name w:val="HTML Code"/>
    <w:basedOn w:val="8"/>
    <w:unhideWhenUsed/>
    <w:qFormat/>
    <w:uiPriority w:val="0"/>
    <w:rPr>
      <w:rFonts w:ascii="Courier New" w:hAnsi="Courier New"/>
      <w:sz w:val="20"/>
    </w:rPr>
  </w:style>
  <w:style w:type="paragraph" w:customStyle="1" w:styleId="13">
    <w:name w:val="列表段落1"/>
    <w:basedOn w:val="1"/>
    <w:qFormat/>
    <w:uiPriority w:val="34"/>
    <w:pPr>
      <w:spacing w:before="206"/>
      <w:ind w:left="959" w:hanging="361"/>
    </w:pPr>
  </w:style>
  <w:style w:type="character" w:customStyle="1" w:styleId="14">
    <w:name w:val="cd_message"/>
    <w:basedOn w:val="8"/>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8"/>
    <w:link w:val="5"/>
    <w:qFormat/>
    <w:uiPriority w:val="0"/>
    <w:rPr>
      <w:kern w:val="2"/>
      <w:sz w:val="18"/>
      <w:szCs w:val="18"/>
    </w:rPr>
  </w:style>
  <w:style w:type="character" w:customStyle="1" w:styleId="18">
    <w:name w:val="common_over_page_btn1"/>
    <w:basedOn w:val="8"/>
    <w:qFormat/>
    <w:uiPriority w:val="0"/>
  </w:style>
  <w:style w:type="character" w:customStyle="1" w:styleId="19">
    <w:name w:val="common_over_page_btn2"/>
    <w:basedOn w:val="8"/>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TotalTime>
  <ScaleCrop>false</ScaleCrop>
  <LinksUpToDate>false</LinksUpToDate>
  <CharactersWithSpaces>5171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WPS_1640697997</cp:lastModifiedBy>
  <dcterms:modified xsi:type="dcterms:W3CDTF">2023-11-20T02:45:56Z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4A1DD09E478E4681946B2C529DF7A5F3_13</vt:lpwstr>
  </property>
</Properties>
</file>