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52"/>
          <w:lang w:eastAsia="zh-CN"/>
        </w:rPr>
      </w:pPr>
      <w:r>
        <w:rPr>
          <w:rFonts w:ascii="微软雅黑" w:eastAsia="微软雅黑"/>
          <w:b/>
          <w:sz w:val="52"/>
          <w:u w:val="single"/>
          <w:lang w:eastAsia="zh-CN"/>
        </w:rPr>
        <w:t>PTA</w:t>
      </w:r>
      <w:r>
        <w:rPr>
          <w:rFonts w:hint="eastAsia" w:ascii="微软雅黑" w:eastAsia="微软雅黑"/>
          <w:b/>
          <w:sz w:val="52"/>
          <w:u w:val="single"/>
          <w:lang w:eastAsia="zh-CN"/>
        </w:rPr>
        <w:t>废</w:t>
      </w:r>
      <w:r>
        <w:rPr>
          <w:rFonts w:hint="eastAsia" w:ascii="微软雅黑" w:eastAsia="微软雅黑"/>
          <w:b/>
          <w:sz w:val="52"/>
          <w:u w:val="single"/>
          <w:lang w:val="en-US" w:eastAsia="zh-CN"/>
        </w:rPr>
        <w:t>干粉</w:t>
      </w:r>
      <w:r>
        <w:rPr>
          <w:rFonts w:hint="eastAsia" w:ascii="微软雅黑" w:eastAsia="微软雅黑"/>
          <w:b/>
          <w:sz w:val="52"/>
          <w:u w:val="single"/>
          <w:lang w:eastAsia="zh-CN"/>
        </w:rPr>
        <w:t>销售项目</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（文件编号：FHC-PTXS20231103127）</w:t>
      </w: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福建福海创石油化工有限公司编制2023 年 </w:t>
      </w:r>
      <w:r>
        <w:rPr>
          <w:rFonts w:hint="eastAsia" w:ascii="微软雅黑" w:eastAsia="微软雅黑"/>
          <w:b/>
          <w:w w:val="95"/>
          <w:sz w:val="32"/>
          <w:lang w:val="en-US" w:eastAsia="zh-CN"/>
        </w:rPr>
        <w:t xml:space="preserve">11 </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fmt="decimal"/>
          <w:cols w:space="720" w:num="1"/>
        </w:sectPr>
      </w:pPr>
    </w:p>
    <w:p>
      <w:pPr>
        <w:jc w:val="center"/>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目</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录</w:t>
      </w:r>
    </w:p>
    <w:p>
      <w:pPr>
        <w:rPr>
          <w:rFonts w:asciiTheme="minorEastAsia" w:hAnsiTheme="minorEastAsia" w:eastAsiaTheme="minorEastAsia"/>
          <w:color w:val="000000"/>
          <w:sz w:val="28"/>
          <w:szCs w:val="28"/>
          <w:lang w:eastAsia="zh-CN"/>
        </w:rPr>
      </w:pPr>
    </w:p>
    <w:p>
      <w:pPr>
        <w:pStyle w:val="2"/>
      </w:pP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第一章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比选公告</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第二章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比选须知</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第三章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参选文件的编制</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第四章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评比规则</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第五章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参选人选定</w:t>
      </w:r>
    </w:p>
    <w:p>
      <w:pPr>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第六章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合同授予</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第七章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中选后相关履约要求</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第八章</w:t>
      </w:r>
      <w:r>
        <w:rPr>
          <w:rFonts w:asciiTheme="minorEastAsia" w:hAnsiTheme="minorEastAsia" w:eastAsiaTheme="minorEastAsia"/>
          <w:color w:val="000000"/>
          <w:sz w:val="28"/>
          <w:szCs w:val="28"/>
          <w:lang w:eastAsia="zh-CN"/>
        </w:rPr>
        <w:t xml:space="preserve">   </w:t>
      </w:r>
      <w:r>
        <w:rPr>
          <w:rFonts w:hint="eastAsia" w:asciiTheme="minorEastAsia" w:hAnsiTheme="minorEastAsia" w:eastAsiaTheme="minorEastAsia"/>
          <w:color w:val="000000"/>
          <w:sz w:val="28"/>
          <w:szCs w:val="28"/>
          <w:lang w:eastAsia="zh-CN"/>
        </w:rPr>
        <w:t>其它</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附件一：合同条款</w:t>
      </w:r>
    </w:p>
    <w:p>
      <w:pPr>
        <w:tabs>
          <w:tab w:val="left" w:pos="1260"/>
          <w:tab w:val="left" w:pos="1800"/>
        </w:tabs>
        <w:spacing w:beforeLines="50" w:afterLines="50"/>
        <w:ind w:firstLine="630" w:firstLineChars="225"/>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附件二：参选文件格式</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r>
        <w:rPr>
          <w:rFonts w:hint="eastAsia" w:asciiTheme="minorEastAsia" w:hAnsiTheme="minorEastAsia" w:eastAsiaTheme="minorEastAsia"/>
          <w:color w:val="000000"/>
          <w:sz w:val="28"/>
          <w:szCs w:val="28"/>
          <w:lang w:eastAsia="zh-CN"/>
        </w:rPr>
        <w:t>报价单</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附件2：法定代表人授权委托书</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附件3：参选人营业执照（加盖单位公章的复印件）</w:t>
      </w:r>
    </w:p>
    <w:p>
      <w:pPr>
        <w:spacing w:before="100" w:beforeAutospacing="1" w:afterLines="50"/>
        <w:ind w:left="110" w:leftChars="50"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附件4：</w:t>
      </w:r>
      <w:r>
        <w:rPr>
          <w:rFonts w:hint="eastAsia" w:asciiTheme="minorEastAsia" w:hAnsiTheme="minorEastAsia" w:eastAsiaTheme="minorEastAsia"/>
          <w:sz w:val="28"/>
          <w:szCs w:val="28"/>
          <w:lang w:eastAsia="zh-CN"/>
        </w:rPr>
        <w:t>承诺函</w:t>
      </w:r>
    </w:p>
    <w:p>
      <w:pPr>
        <w:spacing w:before="100" w:beforeAutospacing="1" w:afterLines="50"/>
        <w:ind w:left="110" w:leftChars="50"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附件5：参选保证金汇款底单</w:t>
      </w:r>
    </w:p>
    <w:p>
      <w:pPr>
        <w:spacing w:before="100" w:beforeAutospacing="1" w:line="408" w:lineRule="auto"/>
        <w:ind w:left="110" w:leftChars="50"/>
        <w:rPr>
          <w:rFonts w:asciiTheme="minorEastAsia" w:hAnsiTheme="minorEastAsia" w:eastAsiaTheme="minorEastAsia"/>
          <w:sz w:val="28"/>
          <w:szCs w:val="28"/>
          <w:lang w:eastAsia="zh-CN"/>
        </w:rPr>
        <w:sectPr>
          <w:footerReference r:id="rId4" w:type="default"/>
          <w:pgSz w:w="11910" w:h="16840"/>
          <w:pgMar w:top="1480" w:right="1340" w:bottom="740" w:left="1680" w:header="0" w:footer="551" w:gutter="0"/>
          <w:pgNumType w:fmt="decimal" w:start="1"/>
          <w:cols w:space="720" w:num="1"/>
        </w:sectPr>
      </w:pPr>
    </w:p>
    <w:p>
      <w:pPr>
        <w:pStyle w:val="16"/>
        <w:numPr>
          <w:ilvl w:val="0"/>
          <w:numId w:val="1"/>
        </w:numPr>
        <w:autoSpaceDE/>
        <w:autoSpaceDN/>
        <w:adjustRightInd w:val="0"/>
        <w:spacing w:before="0" w:line="360" w:lineRule="atLeast"/>
        <w:jc w:val="center"/>
        <w:textAlignment w:val="baseline"/>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比选公告</w:t>
      </w:r>
    </w:p>
    <w:p>
      <w:pPr>
        <w:pStyle w:val="16"/>
        <w:ind w:left="1170" w:firstLine="0"/>
        <w:rPr>
          <w:rFonts w:asciiTheme="minorEastAsia" w:hAnsiTheme="minorEastAsia" w:eastAsiaTheme="minorEastAsia"/>
          <w:b/>
          <w:bCs/>
          <w:color w:val="000000"/>
          <w:sz w:val="24"/>
          <w:szCs w:val="24"/>
        </w:rPr>
      </w:pP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福建福海创石油化工有限公司PTA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z w:val="24"/>
          <w:szCs w:val="24"/>
          <w:lang w:val="en-US" w:eastAsia="zh-CN"/>
        </w:rPr>
        <w:t>干粉</w:t>
      </w:r>
      <w:r>
        <w:rPr>
          <w:rFonts w:hint="eastAsia" w:asciiTheme="minorEastAsia" w:hAnsiTheme="minorEastAsia" w:eastAsiaTheme="minorEastAsia"/>
          <w:snapToGrid w:val="0"/>
          <w:spacing w:val="8"/>
          <w:sz w:val="24"/>
          <w:szCs w:val="24"/>
          <w:lang w:eastAsia="zh-CN"/>
        </w:rPr>
        <w:t>销售</w:t>
      </w:r>
    </w:p>
    <w:p>
      <w:pPr>
        <w:jc w:val="center"/>
        <w:rPr>
          <w:rFonts w:asciiTheme="minorEastAsia" w:hAnsiTheme="minorEastAsia" w:eastAsiaTheme="minorEastAsia"/>
          <w:snapToGrid w:val="0"/>
          <w:spacing w:val="8"/>
          <w:sz w:val="24"/>
          <w:szCs w:val="24"/>
          <w:lang w:eastAsia="zh-CN"/>
        </w:rPr>
      </w:pPr>
      <w:r>
        <w:rPr>
          <w:rFonts w:hint="eastAsia" w:asciiTheme="minorEastAsia" w:hAnsiTheme="minorEastAsia" w:eastAsiaTheme="minorEastAsia"/>
          <w:snapToGrid w:val="0"/>
          <w:spacing w:val="8"/>
          <w:sz w:val="24"/>
          <w:szCs w:val="24"/>
          <w:lang w:eastAsia="zh-CN"/>
        </w:rPr>
        <w:t>比选公告</w:t>
      </w:r>
    </w:p>
    <w:p>
      <w:pPr>
        <w:snapToGrid w:val="0"/>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bCs/>
          <w:color w:val="000000"/>
          <w:sz w:val="24"/>
          <w:szCs w:val="24"/>
          <w:lang w:eastAsia="zh-CN"/>
        </w:rPr>
        <w:t>（项目编号：FHC-PTXS20231103127）</w:t>
      </w:r>
    </w:p>
    <w:p>
      <w:pPr>
        <w:jc w:val="center"/>
        <w:rPr>
          <w:rFonts w:asciiTheme="minorEastAsia" w:hAnsiTheme="minorEastAsia" w:eastAsiaTheme="minorEastAsia"/>
          <w:bCs/>
          <w:color w:val="000000"/>
          <w:sz w:val="24"/>
          <w:szCs w:val="24"/>
          <w:lang w:eastAsia="zh-CN"/>
        </w:rPr>
      </w:pPr>
    </w:p>
    <w:p>
      <w:pPr>
        <w:snapToGrid w:val="0"/>
        <w:jc w:val="left"/>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val="en-US" w:eastAsia="zh-CN"/>
        </w:rPr>
        <w:t xml:space="preserve">    </w:t>
      </w:r>
      <w:r>
        <w:rPr>
          <w:rFonts w:hint="eastAsia" w:asciiTheme="minorEastAsia" w:hAnsiTheme="minorEastAsia" w:eastAsiaTheme="minorEastAsia"/>
          <w:spacing w:val="8"/>
          <w:sz w:val="24"/>
          <w:szCs w:val="24"/>
          <w:lang w:eastAsia="zh-CN"/>
        </w:rPr>
        <w:t>福建福海创石油化工有限公司现有一批</w:t>
      </w:r>
      <w:r>
        <w:rPr>
          <w:rFonts w:hint="eastAsia" w:asciiTheme="minorEastAsia" w:hAnsiTheme="minorEastAsia" w:eastAsiaTheme="minorEastAsia"/>
          <w:spacing w:val="8"/>
          <w:sz w:val="24"/>
          <w:szCs w:val="24"/>
          <w:u w:val="single"/>
          <w:lang w:eastAsia="zh-CN"/>
        </w:rPr>
        <w:t>PTA废</w:t>
      </w:r>
      <w:r>
        <w:rPr>
          <w:rFonts w:hint="eastAsia" w:asciiTheme="minorEastAsia" w:hAnsiTheme="minorEastAsia" w:eastAsiaTheme="minorEastAsia"/>
          <w:spacing w:val="8"/>
          <w:sz w:val="24"/>
          <w:szCs w:val="24"/>
          <w:u w:val="single"/>
          <w:lang w:val="en-US" w:eastAsia="zh-CN"/>
        </w:rPr>
        <w:t>干粉</w:t>
      </w:r>
      <w:r>
        <w:rPr>
          <w:rFonts w:hint="eastAsia" w:asciiTheme="minorEastAsia" w:hAnsiTheme="minorEastAsia" w:eastAsiaTheme="minorEastAsia"/>
          <w:spacing w:val="8"/>
          <w:sz w:val="24"/>
          <w:szCs w:val="24"/>
          <w:u w:val="single"/>
          <w:lang w:eastAsia="zh-CN"/>
        </w:rPr>
        <w:t>销售</w:t>
      </w:r>
      <w:r>
        <w:rPr>
          <w:rFonts w:hint="eastAsia" w:asciiTheme="minorEastAsia" w:hAnsiTheme="minorEastAsia" w:eastAsiaTheme="minorEastAsia"/>
          <w:bCs/>
          <w:color w:val="000000"/>
          <w:sz w:val="24"/>
          <w:szCs w:val="24"/>
          <w:lang w:eastAsia="zh-CN"/>
        </w:rPr>
        <w:t>（项目编号：FHC-PTXS20231103127）</w:t>
      </w:r>
      <w:r>
        <w:rPr>
          <w:rFonts w:hint="eastAsia" w:asciiTheme="minorEastAsia" w:hAnsiTheme="minorEastAsia" w:eastAsiaTheme="minorEastAsia"/>
          <w:spacing w:val="8"/>
          <w:sz w:val="24"/>
          <w:szCs w:val="24"/>
          <w:lang w:eastAsia="zh-CN"/>
        </w:rPr>
        <w:t>进行国内公开比选，欢迎有意向的承揽商参选竞价。</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一、项目概况</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1、项目名称：PTA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z w:val="24"/>
          <w:szCs w:val="24"/>
          <w:lang w:val="en-US" w:eastAsia="zh-CN"/>
        </w:rPr>
        <w:t>干粉</w:t>
      </w:r>
      <w:r>
        <w:rPr>
          <w:rFonts w:hint="eastAsia" w:asciiTheme="minorEastAsia" w:hAnsiTheme="minorEastAsia" w:eastAsiaTheme="minorEastAsia"/>
          <w:spacing w:val="8"/>
          <w:sz w:val="24"/>
          <w:szCs w:val="24"/>
          <w:lang w:eastAsia="zh-CN"/>
        </w:rPr>
        <w:t>销售</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2、销售方式：一次性销售，买方自行上门提货，货物销售数量按实际过磅数量为准。</w:t>
      </w:r>
    </w:p>
    <w:p>
      <w:pPr>
        <w:spacing w:line="276" w:lineRule="auto"/>
        <w:ind w:firstLine="512" w:firstLineChars="200"/>
        <w:rPr>
          <w:rFonts w:hint="eastAsia" w:asciiTheme="minorEastAsia" w:hAnsiTheme="minorEastAsia" w:eastAsiaTheme="minorEastAsia"/>
          <w:spacing w:val="8"/>
          <w:sz w:val="24"/>
          <w:szCs w:val="24"/>
          <w:lang w:eastAsia="zh-CN"/>
        </w:rPr>
      </w:pPr>
      <w:r>
        <w:rPr>
          <w:rFonts w:asciiTheme="minorEastAsia" w:hAnsiTheme="minorEastAsia" w:eastAsiaTheme="minorEastAsia"/>
          <w:spacing w:val="8"/>
          <w:sz w:val="24"/>
          <w:szCs w:val="24"/>
          <w:lang w:eastAsia="zh-CN"/>
        </w:rPr>
        <w:t>3</w:t>
      </w:r>
      <w:r>
        <w:rPr>
          <w:rFonts w:hint="eastAsia" w:asciiTheme="minorEastAsia" w:hAnsiTheme="minorEastAsia" w:eastAsiaTheme="minorEastAsia"/>
          <w:spacing w:val="8"/>
          <w:sz w:val="24"/>
          <w:szCs w:val="24"/>
          <w:lang w:eastAsia="zh-CN"/>
        </w:rPr>
        <w:t>、</w:t>
      </w:r>
      <w:r>
        <w:rPr>
          <w:rFonts w:hint="eastAsia" w:asciiTheme="minorEastAsia" w:hAnsiTheme="minorEastAsia" w:eastAsiaTheme="minorEastAsia"/>
          <w:spacing w:val="8"/>
          <w:sz w:val="24"/>
          <w:szCs w:val="24"/>
          <w:u w:val="single"/>
          <w:lang w:eastAsia="zh-CN"/>
        </w:rPr>
        <w:t>PTA废</w:t>
      </w:r>
      <w:r>
        <w:rPr>
          <w:rFonts w:hint="eastAsia" w:asciiTheme="minorEastAsia" w:hAnsiTheme="minorEastAsia" w:eastAsiaTheme="minorEastAsia"/>
          <w:spacing w:val="8"/>
          <w:sz w:val="24"/>
          <w:szCs w:val="24"/>
          <w:u w:val="single"/>
          <w:lang w:val="en-US" w:eastAsia="zh-CN"/>
        </w:rPr>
        <w:t>干粉</w:t>
      </w:r>
      <w:r>
        <w:rPr>
          <w:rFonts w:hint="eastAsia" w:asciiTheme="minorEastAsia" w:hAnsiTheme="minorEastAsia" w:eastAsiaTheme="minorEastAsia"/>
          <w:spacing w:val="8"/>
          <w:sz w:val="24"/>
          <w:szCs w:val="24"/>
          <w:lang w:val="en-US" w:eastAsia="zh-CN"/>
        </w:rPr>
        <w:t>暂估数量</w:t>
      </w:r>
      <w:r>
        <w:rPr>
          <w:rFonts w:hint="eastAsia" w:asciiTheme="minorEastAsia" w:hAnsiTheme="minorEastAsia" w:eastAsiaTheme="minorEastAsia"/>
          <w:spacing w:val="8"/>
          <w:sz w:val="24"/>
          <w:szCs w:val="24"/>
          <w:lang w:eastAsia="zh-CN"/>
        </w:rPr>
        <w:t>：1</w:t>
      </w:r>
      <w:r>
        <w:rPr>
          <w:rFonts w:hint="eastAsia" w:asciiTheme="minorEastAsia" w:hAnsiTheme="minorEastAsia" w:eastAsiaTheme="minorEastAsia"/>
          <w:spacing w:val="8"/>
          <w:sz w:val="24"/>
          <w:szCs w:val="24"/>
          <w:lang w:val="en-US" w:eastAsia="zh-CN"/>
        </w:rPr>
        <w:t>2</w:t>
      </w:r>
      <w:r>
        <w:rPr>
          <w:rFonts w:hint="eastAsia" w:asciiTheme="minorEastAsia" w:hAnsiTheme="minorEastAsia" w:eastAsiaTheme="minorEastAsia"/>
          <w:spacing w:val="8"/>
          <w:sz w:val="24"/>
          <w:szCs w:val="24"/>
          <w:lang w:eastAsia="zh-CN"/>
        </w:rPr>
        <w:t>0吨。</w:t>
      </w:r>
    </w:p>
    <w:p>
      <w:pPr>
        <w:numPr>
          <w:ilvl w:val="0"/>
          <w:numId w:val="2"/>
        </w:num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highlight w:val="none"/>
          <w:lang w:eastAsia="zh-CN"/>
        </w:rPr>
        <w:t>比选控制价：</w:t>
      </w:r>
      <w:r>
        <w:rPr>
          <w:rFonts w:hint="eastAsia" w:asciiTheme="minorEastAsia" w:hAnsiTheme="minorEastAsia" w:eastAsiaTheme="minorEastAsia"/>
          <w:spacing w:val="8"/>
          <w:sz w:val="24"/>
          <w:szCs w:val="24"/>
          <w:highlight w:val="none"/>
          <w:lang w:val="en-US" w:eastAsia="zh-CN"/>
        </w:rPr>
        <w:t>暂定</w:t>
      </w:r>
      <w:r>
        <w:rPr>
          <w:rFonts w:hint="eastAsia" w:asciiTheme="minorEastAsia" w:hAnsiTheme="minorEastAsia" w:eastAsiaTheme="minorEastAsia"/>
          <w:spacing w:val="8"/>
          <w:sz w:val="24"/>
          <w:szCs w:val="24"/>
          <w:highlight w:val="none"/>
          <w:lang w:eastAsia="zh-CN"/>
        </w:rPr>
        <w:t>含税总价不低于</w:t>
      </w:r>
      <w:r>
        <w:rPr>
          <w:rFonts w:hint="eastAsia" w:asciiTheme="minorEastAsia" w:hAnsiTheme="minorEastAsia" w:eastAsiaTheme="minorEastAsia"/>
          <w:spacing w:val="8"/>
          <w:sz w:val="24"/>
          <w:szCs w:val="24"/>
          <w:highlight w:val="none"/>
          <w:lang w:val="en-US" w:eastAsia="zh-CN"/>
        </w:rPr>
        <w:t>人民币36</w:t>
      </w:r>
      <w:r>
        <w:rPr>
          <w:rFonts w:asciiTheme="minorEastAsia" w:hAnsiTheme="minorEastAsia" w:eastAsiaTheme="minorEastAsia"/>
          <w:spacing w:val="8"/>
          <w:sz w:val="24"/>
          <w:szCs w:val="24"/>
          <w:highlight w:val="none"/>
          <w:lang w:eastAsia="zh-CN"/>
        </w:rPr>
        <w:t>万元</w:t>
      </w:r>
      <w:r>
        <w:rPr>
          <w:rFonts w:hint="eastAsia" w:asciiTheme="minorEastAsia" w:hAnsiTheme="minorEastAsia" w:eastAsiaTheme="minorEastAsia"/>
          <w:spacing w:val="8"/>
          <w:sz w:val="24"/>
          <w:szCs w:val="24"/>
          <w:highlight w:val="none"/>
          <w:lang w:eastAsia="zh-CN"/>
        </w:rPr>
        <w:t>。</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二、参选人资格要求</w:t>
      </w:r>
    </w:p>
    <w:p>
      <w:pPr>
        <w:spacing w:line="276" w:lineRule="auto"/>
        <w:ind w:left="422" w:leftChars="192"/>
        <w:rPr>
          <w:rFonts w:asciiTheme="minorEastAsia" w:hAnsiTheme="minorEastAsia" w:eastAsiaTheme="minorEastAsia"/>
          <w:b/>
          <w:spacing w:val="8"/>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asciiTheme="minorEastAsia" w:hAnsiTheme="minorEastAsia" w:eastAsiaTheme="minorEastAsia"/>
          <w:sz w:val="24"/>
          <w:szCs w:val="24"/>
          <w:lang w:eastAsia="zh-CN"/>
        </w:rPr>
        <w:t>4、本项目不接受联合体参选，不许非法分包、杜绝转包。</w:t>
      </w:r>
      <w:r>
        <w:rPr>
          <w:rFonts w:asciiTheme="minorEastAsia" w:hAnsiTheme="minorEastAsia" w:eastAsiaTheme="minorEastAsia"/>
          <w:sz w:val="24"/>
          <w:szCs w:val="24"/>
          <w:lang w:eastAsia="zh-CN"/>
        </w:rPr>
        <w:cr/>
      </w:r>
      <w:r>
        <w:rPr>
          <w:rFonts w:hint="eastAsia" w:asciiTheme="minorEastAsia" w:hAnsiTheme="minorEastAsia" w:eastAsiaTheme="minorEastAsia"/>
          <w:b/>
          <w:spacing w:val="8"/>
          <w:sz w:val="24"/>
          <w:szCs w:val="24"/>
          <w:lang w:eastAsia="zh-CN"/>
        </w:rPr>
        <w:t>三、参选报名及比选文件获取</w:t>
      </w:r>
    </w:p>
    <w:p>
      <w:pPr>
        <w:pStyle w:val="16"/>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bCs/>
          <w:sz w:val="24"/>
          <w:szCs w:val="24"/>
          <w:lang w:val="en-US" w:eastAsia="zh-CN"/>
        </w:rPr>
        <w:t>公示之日起10天内即</w:t>
      </w:r>
      <w:r>
        <w:rPr>
          <w:rFonts w:hint="eastAsia" w:asciiTheme="minorEastAsia" w:hAnsiTheme="minorEastAsia" w:eastAsiaTheme="minorEastAsia"/>
          <w:sz w:val="24"/>
          <w:szCs w:val="24"/>
          <w:lang w:eastAsia="zh-CN"/>
        </w:rPr>
        <w:t>2023年</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lang w:eastAsia="zh-CN"/>
        </w:rPr>
        <w:t>日起至2023年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lang w:val="en-US" w:eastAsia="zh-CN"/>
        </w:rPr>
        <w:t>止</w:t>
      </w:r>
      <w:r>
        <w:rPr>
          <w:rFonts w:hint="eastAsia" w:asciiTheme="minorEastAsia" w:hAnsiTheme="minorEastAsia" w:eastAsiaTheme="minorEastAsia"/>
          <w:sz w:val="24"/>
          <w:szCs w:val="24"/>
          <w:lang w:eastAsia="zh-CN"/>
        </w:rPr>
        <w:t>。</w:t>
      </w:r>
    </w:p>
    <w:p>
      <w:pPr>
        <w:pStyle w:val="16"/>
        <w:numPr>
          <w:ilvl w:val="0"/>
          <w:numId w:val="3"/>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以邮件附件方式发送至商务联系人邮箱huangmq@fjpec.com.cn</w:t>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（1）针对本项目的法人授权委托书（格式详见参选文件附件2）；</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3、比选文件获取</w:t>
      </w:r>
    </w:p>
    <w:p>
      <w:pPr>
        <w:spacing w:line="276" w:lineRule="auto"/>
        <w:ind w:firstLine="512"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本项目比选文件作为公告附件由参选人自行下载，不收取费用。（特别声明：未进行登记报名的参选人，其递交的参选文件将被拒收。）</w:t>
      </w:r>
    </w:p>
    <w:p>
      <w:pPr>
        <w:spacing w:line="276" w:lineRule="auto"/>
        <w:ind w:firstLine="514" w:firstLineChars="200"/>
        <w:rPr>
          <w:rFonts w:asciiTheme="minorEastAsia" w:hAnsiTheme="minorEastAsia" w:eastAsiaTheme="minorEastAsia"/>
          <w:b/>
          <w:spacing w:val="8"/>
          <w:sz w:val="24"/>
          <w:szCs w:val="24"/>
          <w:lang w:eastAsia="zh-CN"/>
        </w:rPr>
      </w:pPr>
      <w:r>
        <w:rPr>
          <w:rFonts w:hint="eastAsia" w:asciiTheme="minorEastAsia" w:hAnsiTheme="minorEastAsia" w:eastAsiaTheme="minorEastAsia"/>
          <w:b/>
          <w:spacing w:val="8"/>
          <w:sz w:val="24"/>
          <w:szCs w:val="24"/>
          <w:lang w:eastAsia="zh-CN"/>
        </w:rPr>
        <w:t>四、参选文件递交要求</w:t>
      </w:r>
    </w:p>
    <w:p>
      <w:pPr>
        <w:autoSpaceDE/>
        <w:autoSpaceDN/>
        <w:spacing w:line="288"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1、参选文件递交地点：福建省漳州市漳浦县杜浔镇杜昌路9号</w:t>
      </w:r>
    </w:p>
    <w:p>
      <w:pPr>
        <w:keepNext w:val="0"/>
        <w:keepLines w:val="0"/>
        <w:pageBreakBefore w:val="0"/>
        <w:widowControl w:val="0"/>
        <w:kinsoku/>
        <w:wordWrap/>
        <w:overflowPunct/>
        <w:topLinePunct w:val="0"/>
        <w:autoSpaceDE/>
        <w:autoSpaceDN/>
        <w:bidi w:val="0"/>
        <w:spacing w:line="360" w:lineRule="auto"/>
        <w:ind w:left="877" w:leftChars="199" w:hanging="439" w:hangingChars="183"/>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w:t>
      </w:r>
      <w:r>
        <w:rPr>
          <w:rFonts w:hint="eastAsia" w:ascii="Times New Roman" w:hAnsi="Times New Roman" w:cs="Times New Roman"/>
          <w:bCs/>
          <w:sz w:val="24"/>
          <w:szCs w:val="24"/>
          <w:lang w:val="en-US" w:eastAsia="zh-CN"/>
        </w:rPr>
        <w:t>参选文件</w:t>
      </w:r>
      <w:r>
        <w:rPr>
          <w:rFonts w:ascii="Times New Roman" w:hAnsi="Times New Roman" w:cs="Times New Roman"/>
          <w:bCs/>
          <w:sz w:val="24"/>
          <w:szCs w:val="24"/>
          <w:lang w:eastAsia="zh-CN"/>
        </w:rPr>
        <w:t>递交截止时间：公示之日起第1</w:t>
      </w:r>
      <w:r>
        <w:rPr>
          <w:rFonts w:hint="eastAsia" w:ascii="Times New Roman" w:hAnsi="Times New Roman" w:cs="Times New Roman"/>
          <w:bCs/>
          <w:sz w:val="24"/>
          <w:szCs w:val="24"/>
          <w:lang w:val="en-US" w:eastAsia="zh-CN"/>
        </w:rPr>
        <w:t>2</w:t>
      </w:r>
      <w:r>
        <w:rPr>
          <w:rFonts w:ascii="Times New Roman" w:hAnsi="Times New Roman" w:cs="Times New Roman"/>
          <w:bCs/>
          <w:sz w:val="24"/>
          <w:szCs w:val="24"/>
          <w:lang w:eastAsia="zh-CN"/>
        </w:rPr>
        <w:t>天即</w:t>
      </w:r>
      <w:r>
        <w:rPr>
          <w:rFonts w:ascii="Times New Roman" w:hAnsi="Times New Roman" w:cs="Times New Roman"/>
          <w:sz w:val="24"/>
          <w:szCs w:val="24"/>
          <w:lang w:eastAsia="zh-CN"/>
        </w:rPr>
        <w:t>2023年</w:t>
      </w:r>
      <w:r>
        <w:rPr>
          <w:rFonts w:hint="eastAsia" w:ascii="Times New Roman" w:hAnsi="Times New Roman" w:cs="Times New Roman"/>
          <w:sz w:val="24"/>
          <w:szCs w:val="24"/>
          <w:lang w:val="en-US" w:eastAsia="zh-CN"/>
        </w:rPr>
        <w:t>12</w:t>
      </w:r>
      <w:r>
        <w:rPr>
          <w:rFonts w:ascii="Times New Roman" w:hAnsi="Times New Roman" w:cs="Times New Roman"/>
          <w:sz w:val="24"/>
          <w:szCs w:val="24"/>
          <w:lang w:eastAsia="zh-CN"/>
        </w:rPr>
        <w:t>月</w:t>
      </w:r>
      <w:r>
        <w:rPr>
          <w:rFonts w:hint="eastAsia" w:ascii="Times New Roman" w:hAnsi="Times New Roman" w:cs="Times New Roman"/>
          <w:sz w:val="24"/>
          <w:szCs w:val="24"/>
          <w:lang w:val="en-US" w:eastAsia="zh-CN"/>
        </w:rPr>
        <w:t>03</w:t>
      </w:r>
      <w:r>
        <w:rPr>
          <w:rFonts w:ascii="Times New Roman" w:hAnsi="Times New Roman" w:cs="Times New Roman"/>
          <w:sz w:val="24"/>
          <w:szCs w:val="24"/>
          <w:lang w:eastAsia="zh-CN"/>
        </w:rPr>
        <w:t>日17:00</w:t>
      </w:r>
      <w:r>
        <w:rPr>
          <w:rFonts w:ascii="Times New Roman" w:hAnsi="Times New Roman" w:cs="Times New Roman"/>
          <w:bCs/>
          <w:sz w:val="24"/>
          <w:szCs w:val="24"/>
          <w:lang w:eastAsia="zh-CN"/>
        </w:rPr>
        <w:t>将参选文件纸质原件密封送达比选人指定地点。</w:t>
      </w:r>
    </w:p>
    <w:p>
      <w:pPr>
        <w:pStyle w:val="3"/>
        <w:keepNext w:val="0"/>
        <w:keepLines w:val="0"/>
        <w:pageBreakBefore w:val="0"/>
        <w:widowControl w:val="0"/>
        <w:tabs>
          <w:tab w:val="left" w:pos="1262"/>
        </w:tabs>
        <w:kinsoku/>
        <w:wordWrap/>
        <w:overflowPunct/>
        <w:topLinePunct w:val="0"/>
        <w:bidi w:val="0"/>
        <w:spacing w:line="360" w:lineRule="auto"/>
        <w:ind w:left="0" w:right="108"/>
        <w:jc w:val="center"/>
        <w:rPr>
          <w:rFonts w:ascii="Times New Roman" w:hAnsi="Times New Roman" w:cs="Times New Roman"/>
          <w:sz w:val="24"/>
          <w:szCs w:val="24"/>
          <w:lang w:eastAsia="zh-CN"/>
        </w:rPr>
        <w:sectPr>
          <w:pgSz w:w="11910" w:h="16840"/>
          <w:pgMar w:top="1500" w:right="710" w:bottom="740" w:left="1080" w:header="0" w:footer="551" w:gutter="0"/>
          <w:pgNumType w:fmt="decimal"/>
          <w:cols w:space="720" w:num="1"/>
        </w:sectPr>
      </w:pP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r>
        <w:rPr>
          <w:rFonts w:hint="eastAsia" w:cs="Times New Roman"/>
          <w:bCs/>
          <w:sz w:val="24"/>
          <w:szCs w:val="24"/>
          <w:lang w:val="en-US" w:eastAsia="zh-CN" w:bidi="ar-SA"/>
        </w:rPr>
        <w:t>五、</w:t>
      </w:r>
      <w:r>
        <w:rPr>
          <w:rFonts w:hint="eastAsia" w:ascii="Times New Roman" w:hAnsi="Times New Roman" w:eastAsia="宋体" w:cs="Times New Roman"/>
          <w:bCs/>
          <w:sz w:val="24"/>
          <w:szCs w:val="24"/>
          <w:lang w:val="en-US" w:eastAsia="zh-CN" w:bidi="ar-SA"/>
        </w:rPr>
        <w:t>参选保证金的金额为：人民币</w:t>
      </w:r>
      <w:r>
        <w:rPr>
          <w:rFonts w:hint="eastAsia" w:cs="Times New Roman"/>
          <w:bCs/>
          <w:sz w:val="24"/>
          <w:szCs w:val="24"/>
          <w:lang w:val="en-US" w:eastAsia="zh-CN" w:bidi="ar-SA"/>
        </w:rPr>
        <w:t>7</w:t>
      </w:r>
      <w:r>
        <w:rPr>
          <w:rFonts w:hint="eastAsia" w:ascii="Times New Roman" w:hAnsi="Times New Roman" w:eastAsia="宋体" w:cs="Times New Roman"/>
          <w:bCs/>
          <w:sz w:val="24"/>
          <w:szCs w:val="24"/>
          <w:lang w:val="en-US" w:eastAsia="zh-CN" w:bidi="ar-SA"/>
        </w:rPr>
        <w:t>200元整。</w:t>
      </w: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r>
        <w:rPr>
          <w:rFonts w:hint="eastAsia" w:cs="Times New Roman"/>
          <w:bCs/>
          <w:sz w:val="24"/>
          <w:szCs w:val="24"/>
          <w:lang w:val="en-US" w:eastAsia="zh-CN" w:bidi="ar-SA"/>
        </w:rPr>
        <w:t>六、</w:t>
      </w:r>
      <w:r>
        <w:rPr>
          <w:rFonts w:hint="eastAsia" w:ascii="Times New Roman" w:hAnsi="Times New Roman" w:eastAsia="宋体" w:cs="Times New Roman"/>
          <w:bCs/>
          <w:sz w:val="24"/>
          <w:szCs w:val="24"/>
          <w:lang w:val="en-US" w:eastAsia="zh-CN" w:bidi="ar-SA"/>
        </w:rPr>
        <w:t>中选原则：暂定总价最高者中选，投标报价暂定基准价格为2023年</w:t>
      </w:r>
      <w:r>
        <w:rPr>
          <w:rFonts w:hint="eastAsia" w:cs="Times New Roman"/>
          <w:bCs/>
          <w:sz w:val="24"/>
          <w:szCs w:val="24"/>
          <w:lang w:val="en-US" w:eastAsia="zh-CN" w:bidi="ar-SA"/>
        </w:rPr>
        <w:t>10</w:t>
      </w:r>
      <w:r>
        <w:rPr>
          <w:rFonts w:hint="eastAsia" w:ascii="Times New Roman" w:hAnsi="Times New Roman" w:eastAsia="宋体" w:cs="Times New Roman"/>
          <w:bCs/>
          <w:sz w:val="24"/>
          <w:szCs w:val="24"/>
          <w:lang w:val="en-US" w:eastAsia="zh-CN" w:bidi="ar-SA"/>
        </w:rPr>
        <w:t>月PTA两网均价为人民币</w:t>
      </w:r>
      <w:r>
        <w:rPr>
          <w:rFonts w:hint="eastAsia" w:cs="Times New Roman"/>
          <w:bCs/>
          <w:sz w:val="24"/>
          <w:szCs w:val="24"/>
          <w:lang w:val="en-US" w:eastAsia="zh-CN" w:bidi="ar-SA"/>
        </w:rPr>
        <w:t>5915.28</w:t>
      </w:r>
      <w:r>
        <w:rPr>
          <w:rFonts w:hint="eastAsia" w:ascii="Times New Roman" w:hAnsi="Times New Roman" w:eastAsia="宋体" w:cs="Times New Roman"/>
          <w:bCs/>
          <w:sz w:val="24"/>
          <w:szCs w:val="24"/>
          <w:lang w:val="en-US" w:eastAsia="zh-CN" w:bidi="ar-SA"/>
        </w:rPr>
        <w:t xml:space="preserve"> 元/吨(含税)，暂定总价等于各项“基准价格*折旧率*吨数”之和。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bCs/>
          <w:sz w:val="24"/>
          <w:szCs w:val="24"/>
          <w:lang w:val="en-US" w:eastAsia="zh-CN" w:bidi="ar-SA"/>
        </w:rPr>
      </w:pPr>
      <w:r>
        <w:rPr>
          <w:rFonts w:hint="eastAsia" w:ascii="Times New Roman" w:hAnsi="Times New Roman" w:eastAsia="宋体" w:cs="Times New Roman"/>
          <w:bCs/>
          <w:sz w:val="24"/>
          <w:szCs w:val="24"/>
          <w:lang w:val="en-US" w:eastAsia="zh-CN" w:bidi="ar-SA"/>
        </w:rPr>
        <w:t>七、</w:t>
      </w:r>
      <w:r>
        <w:rPr>
          <w:rFonts w:hint="default" w:ascii="Times New Roman" w:hAnsi="Times New Roman" w:eastAsia="宋体" w:cs="Times New Roman"/>
          <w:bCs/>
          <w:sz w:val="24"/>
          <w:szCs w:val="24"/>
          <w:lang w:val="en-US" w:eastAsia="zh-CN" w:bidi="ar-SA"/>
        </w:rPr>
        <w:t>本</w:t>
      </w:r>
      <w:r>
        <w:rPr>
          <w:rFonts w:hint="eastAsia" w:ascii="Times New Roman" w:hAnsi="Times New Roman" w:eastAsia="宋体" w:cs="Times New Roman"/>
          <w:bCs/>
          <w:sz w:val="24"/>
          <w:szCs w:val="24"/>
          <w:lang w:val="en-US" w:eastAsia="zh-CN" w:bidi="ar-SA"/>
        </w:rPr>
        <w:t>项目</w:t>
      </w:r>
      <w:r>
        <w:rPr>
          <w:rFonts w:hint="eastAsia" w:ascii="Times New Roman" w:hAnsi="Times New Roman" w:cs="Times New Roman"/>
          <w:bCs/>
          <w:sz w:val="24"/>
          <w:szCs w:val="24"/>
          <w:lang w:val="en-US" w:eastAsia="zh-CN" w:bidi="ar-SA"/>
        </w:rPr>
        <w:t>PTA废干粉</w:t>
      </w:r>
      <w:r>
        <w:rPr>
          <w:rFonts w:hint="default" w:ascii="Times New Roman" w:hAnsi="Times New Roman" w:eastAsia="宋体" w:cs="Times New Roman"/>
          <w:bCs/>
          <w:sz w:val="24"/>
          <w:szCs w:val="24"/>
          <w:lang w:val="en-US" w:eastAsia="zh-CN" w:bidi="ar-SA"/>
        </w:rPr>
        <w:t>外售单价均实行浮动定价，定价模式如下: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Times New Roman" w:hAnsi="Times New Roman" w:eastAsia="宋体" w:cs="Times New Roman"/>
          <w:bCs/>
          <w:sz w:val="24"/>
          <w:szCs w:val="24"/>
          <w:lang w:val="en-US" w:eastAsia="zh-CN" w:bidi="ar-SA"/>
        </w:rPr>
      </w:pPr>
      <w:r>
        <w:rPr>
          <w:rFonts w:hint="default" w:ascii="Times New Roman" w:hAnsi="Times New Roman" w:eastAsia="宋体" w:cs="Times New Roman"/>
          <w:b/>
          <w:bCs w:val="0"/>
          <w:sz w:val="24"/>
          <w:szCs w:val="24"/>
          <w:lang w:val="en-US" w:eastAsia="zh-CN" w:bidi="ar-SA"/>
        </w:rPr>
        <w:t>基准价格</w:t>
      </w:r>
      <w:r>
        <w:rPr>
          <w:rFonts w:hint="eastAsia" w:ascii="Times New Roman" w:hAnsi="Times New Roman" w:cs="Times New Roman"/>
          <w:b/>
          <w:bCs w:val="0"/>
          <w:sz w:val="24"/>
          <w:szCs w:val="24"/>
          <w:lang w:val="en-US" w:eastAsia="zh-CN" w:bidi="ar-SA"/>
        </w:rPr>
        <w:t>：</w:t>
      </w:r>
      <w:r>
        <w:rPr>
          <w:rFonts w:hint="default" w:ascii="Times New Roman" w:hAnsi="Times New Roman" w:eastAsia="宋体" w:cs="Times New Roman"/>
          <w:bCs/>
          <w:sz w:val="24"/>
          <w:szCs w:val="24"/>
          <w:lang w:val="en-US" w:eastAsia="zh-CN" w:bidi="ar-SA"/>
        </w:rPr>
        <w:t>双方约定结算基准价格以每批次</w:t>
      </w:r>
      <w:r>
        <w:rPr>
          <w:rFonts w:hint="eastAsia" w:ascii="Times New Roman" w:hAnsi="Times New Roman" w:cs="Times New Roman"/>
          <w:bCs/>
          <w:sz w:val="24"/>
          <w:szCs w:val="24"/>
          <w:lang w:val="en-US" w:eastAsia="zh-CN" w:bidi="ar-SA"/>
        </w:rPr>
        <w:t>PTA废干粉</w:t>
      </w:r>
      <w:r>
        <w:rPr>
          <w:rFonts w:hint="default" w:ascii="Times New Roman" w:hAnsi="Times New Roman" w:eastAsia="宋体" w:cs="Times New Roman"/>
          <w:bCs/>
          <w:sz w:val="24"/>
          <w:szCs w:val="24"/>
          <w:lang w:val="en-US" w:eastAsia="zh-CN" w:bidi="ar-SA"/>
        </w:rPr>
        <w:t>出厂日期的上个月26日至本月25日</w:t>
      </w:r>
      <w:r>
        <w:rPr>
          <w:rFonts w:hint="eastAsia" w:ascii="Times New Roman" w:hAnsi="Times New Roman" w:eastAsia="宋体" w:cs="Times New Roman"/>
          <w:bCs/>
          <w:sz w:val="24"/>
          <w:szCs w:val="24"/>
          <w:lang w:val="en-US" w:eastAsia="zh-CN" w:bidi="ar-SA"/>
        </w:rPr>
        <w:t>中国化纤网（</w:t>
      </w:r>
      <w:r>
        <w:rPr>
          <w:rFonts w:hint="default" w:ascii="Times New Roman" w:hAnsi="Times New Roman" w:eastAsia="宋体" w:cs="Times New Roman"/>
          <w:bCs/>
          <w:sz w:val="24"/>
          <w:szCs w:val="24"/>
          <w:lang w:val="en-US" w:eastAsia="zh-CN" w:bidi="ar-SA"/>
        </w:rPr>
        <w:t>CCF</w:t>
      </w:r>
      <w:r>
        <w:rPr>
          <w:rFonts w:hint="eastAsia" w:ascii="Times New Roman" w:hAnsi="Times New Roman" w:eastAsia="宋体" w:cs="Times New Roman"/>
          <w:bCs/>
          <w:sz w:val="24"/>
          <w:szCs w:val="24"/>
          <w:lang w:val="en-US" w:eastAsia="zh-CN" w:bidi="ar-SA"/>
        </w:rPr>
        <w:t>）</w:t>
      </w:r>
      <w:r>
        <w:rPr>
          <w:rFonts w:hint="default" w:ascii="Times New Roman" w:hAnsi="Times New Roman" w:eastAsia="宋体" w:cs="Times New Roman"/>
          <w:bCs/>
          <w:sz w:val="24"/>
          <w:szCs w:val="24"/>
          <w:lang w:val="en-US" w:eastAsia="zh-CN" w:bidi="ar-SA"/>
        </w:rPr>
        <w:t>和</w:t>
      </w:r>
      <w:r>
        <w:rPr>
          <w:rFonts w:hint="eastAsia" w:ascii="Times New Roman" w:hAnsi="Times New Roman" w:eastAsia="宋体" w:cs="Times New Roman"/>
          <w:bCs/>
          <w:sz w:val="24"/>
          <w:szCs w:val="24"/>
          <w:lang w:val="en-US" w:eastAsia="zh-CN" w:bidi="ar-SA"/>
        </w:rPr>
        <w:t>中国化纤经济信息网（</w:t>
      </w:r>
      <w:r>
        <w:rPr>
          <w:rFonts w:hint="default" w:ascii="Times New Roman" w:hAnsi="Times New Roman" w:eastAsia="宋体" w:cs="Times New Roman"/>
          <w:bCs/>
          <w:sz w:val="24"/>
          <w:szCs w:val="24"/>
          <w:lang w:val="en-US" w:eastAsia="zh-CN" w:bidi="ar-SA"/>
        </w:rPr>
        <w:t>CCFEI</w:t>
      </w:r>
      <w:r>
        <w:rPr>
          <w:rFonts w:hint="eastAsia" w:ascii="Times New Roman" w:hAnsi="Times New Roman" w:eastAsia="宋体" w:cs="Times New Roman"/>
          <w:bCs/>
          <w:sz w:val="24"/>
          <w:szCs w:val="24"/>
          <w:lang w:val="en-US" w:eastAsia="zh-CN" w:bidi="ar-SA"/>
        </w:rPr>
        <w:t>）</w:t>
      </w:r>
      <w:r>
        <w:rPr>
          <w:rFonts w:hint="default" w:ascii="Times New Roman" w:hAnsi="Times New Roman" w:eastAsia="宋体" w:cs="Times New Roman"/>
          <w:bCs/>
          <w:sz w:val="24"/>
          <w:szCs w:val="24"/>
          <w:lang w:val="en-US" w:eastAsia="zh-CN" w:bidi="ar-SA"/>
        </w:rPr>
        <w:t>两网PTA华东内盘日均价为基准价格(网址:https://www.ccfei.com和 https://www.ccf.com.cn)。结算价格按该公式进行结算: 基准价格*折旧率*吨数</w:t>
      </w:r>
      <w:r>
        <w:rPr>
          <w:rFonts w:hint="eastAsia" w:ascii="Times New Roman" w:hAnsi="Times New Roman" w:eastAsia="宋体" w:cs="Times New Roman"/>
          <w:bCs/>
          <w:sz w:val="24"/>
          <w:szCs w:val="24"/>
          <w:lang w:val="en-US" w:eastAsia="zh-CN" w:bidi="ar-SA"/>
        </w:rPr>
        <w:t>。</w:t>
      </w:r>
    </w:p>
    <w:p>
      <w:pPr>
        <w:pStyle w:val="5"/>
        <w:keepNext w:val="0"/>
        <w:keepLines w:val="0"/>
        <w:pageBreakBefore w:val="0"/>
        <w:widowControl w:val="0"/>
        <w:kinsoku/>
        <w:wordWrap/>
        <w:overflowPunct/>
        <w:topLinePunct w:val="0"/>
        <w:bidi w:val="0"/>
        <w:snapToGrid w:val="0"/>
        <w:spacing w:line="360" w:lineRule="auto"/>
        <w:rPr>
          <w:rFonts w:hint="eastAsia" w:ascii="Times New Roman" w:hAnsi="Times New Roman" w:eastAsia="宋体" w:cs="Times New Roman"/>
          <w:bCs/>
          <w:sz w:val="24"/>
          <w:szCs w:val="24"/>
          <w:lang w:val="en-US" w:eastAsia="zh-CN" w:bidi="ar-SA"/>
        </w:rPr>
      </w:pPr>
    </w:p>
    <w:p>
      <w:pPr>
        <w:pStyle w:val="2"/>
        <w:keepNext w:val="0"/>
        <w:keepLines w:val="0"/>
        <w:pageBreakBefore w:val="0"/>
        <w:widowControl w:val="0"/>
        <w:kinsoku/>
        <w:wordWrap/>
        <w:overflowPunct/>
        <w:topLinePunct w:val="0"/>
        <w:bidi w:val="0"/>
        <w:spacing w:line="360" w:lineRule="auto"/>
        <w:ind w:firstLine="482" w:firstLineChars="200"/>
        <w:rPr>
          <w:rFonts w:ascii="Times New Roman" w:hAnsi="Times New Roman"/>
          <w:b/>
          <w:bCs/>
          <w:sz w:val="24"/>
          <w:szCs w:val="24"/>
        </w:rPr>
      </w:pPr>
      <w:r>
        <w:rPr>
          <w:rFonts w:hint="eastAsia" w:ascii="Times New Roman" w:hAnsi="Times New Roman"/>
          <w:b/>
          <w:bCs/>
          <w:sz w:val="24"/>
          <w:szCs w:val="24"/>
          <w:lang w:val="en-US" w:eastAsia="zh-CN"/>
        </w:rPr>
        <w:t>八</w:t>
      </w:r>
      <w:r>
        <w:rPr>
          <w:rFonts w:ascii="Times New Roman" w:hAnsi="Times New Roman"/>
          <w:b/>
          <w:bCs/>
          <w:sz w:val="24"/>
          <w:szCs w:val="24"/>
        </w:rPr>
        <w:t>、联系方式</w:t>
      </w:r>
    </w:p>
    <w:p>
      <w:pPr>
        <w:pStyle w:val="2"/>
        <w:keepNext w:val="0"/>
        <w:keepLines w:val="0"/>
        <w:pageBreakBefore w:val="0"/>
        <w:widowControl w:val="0"/>
        <w:kinsoku/>
        <w:wordWrap/>
        <w:overflowPunct/>
        <w:topLinePunct w:val="0"/>
        <w:bidi w:val="0"/>
        <w:spacing w:line="360" w:lineRule="auto"/>
        <w:ind w:firstLine="420" w:firstLineChars="175"/>
        <w:rPr>
          <w:rFonts w:ascii="Times New Roman" w:hAnsi="Times New Roman"/>
          <w:bCs/>
          <w:sz w:val="24"/>
          <w:szCs w:val="24"/>
        </w:rPr>
      </w:pPr>
      <w:r>
        <w:rPr>
          <w:rFonts w:ascii="Times New Roman" w:hAnsi="Times New Roman"/>
          <w:bCs/>
          <w:sz w:val="24"/>
          <w:szCs w:val="24"/>
        </w:rPr>
        <w:t>商务联系人：黄梅钦  电话：</w:t>
      </w:r>
      <w:r>
        <w:rPr>
          <w:rFonts w:hint="eastAsia" w:ascii="Times New Roman" w:hAnsi="Times New Roman"/>
          <w:bCs/>
          <w:sz w:val="24"/>
          <w:szCs w:val="24"/>
        </w:rPr>
        <w:t>0596-6311073</w:t>
      </w:r>
      <w:r>
        <w:rPr>
          <w:rFonts w:ascii="Times New Roman" w:hAnsi="Times New Roman"/>
          <w:bCs/>
          <w:sz w:val="24"/>
          <w:szCs w:val="24"/>
        </w:rPr>
        <w:tab/>
      </w:r>
      <w:r>
        <w:rPr>
          <w:rFonts w:ascii="Times New Roman" w:hAnsi="Times New Roman"/>
          <w:bCs/>
          <w:sz w:val="24"/>
          <w:szCs w:val="24"/>
        </w:rPr>
        <w:t xml:space="preserve">  邮箱：</w:t>
      </w:r>
      <w:r>
        <w:fldChar w:fldCharType="begin"/>
      </w:r>
      <w:r>
        <w:instrText xml:space="preserve"> HYPERLINK "mailto:adgu@fhcpec.com.cn" </w:instrText>
      </w:r>
      <w:r>
        <w:fldChar w:fldCharType="separate"/>
      </w:r>
      <w:r>
        <w:rPr>
          <w:rFonts w:ascii="Times New Roman" w:hAnsi="Times New Roman"/>
          <w:bCs/>
          <w:sz w:val="24"/>
          <w:szCs w:val="24"/>
        </w:rPr>
        <w:t>huangmq@fjpec.com.cn</w:t>
      </w:r>
      <w:r>
        <w:rPr>
          <w:rFonts w:ascii="Times New Roman" w:hAnsi="Times New Roman"/>
          <w:bCs/>
          <w:sz w:val="24"/>
          <w:szCs w:val="24"/>
        </w:rPr>
        <w:fldChar w:fldCharType="end"/>
      </w:r>
    </w:p>
    <w:p>
      <w:pPr>
        <w:pStyle w:val="5"/>
        <w:keepNext w:val="0"/>
        <w:keepLines w:val="0"/>
        <w:pageBreakBefore w:val="0"/>
        <w:widowControl w:val="0"/>
        <w:kinsoku/>
        <w:wordWrap/>
        <w:overflowPunct/>
        <w:topLinePunct w:val="0"/>
        <w:bidi w:val="0"/>
        <w:snapToGrid w:val="0"/>
        <w:spacing w:line="360" w:lineRule="auto"/>
        <w:rPr>
          <w:rStyle w:val="14"/>
          <w:bCs/>
          <w:szCs w:val="24"/>
        </w:rPr>
      </w:pPr>
      <w:r>
        <w:rPr>
          <w:bCs/>
          <w:szCs w:val="24"/>
        </w:rPr>
        <w:t>技术联系</w:t>
      </w:r>
      <w:r>
        <w:rPr>
          <w:rFonts w:hint="eastAsia" w:ascii="Times New Roman" w:hAnsi="Times New Roman" w:eastAsia="宋体" w:cs="Times New Roman"/>
          <w:bCs/>
          <w:sz w:val="24"/>
          <w:szCs w:val="24"/>
          <w:lang w:val="en-US" w:eastAsia="zh-CN" w:bidi="ar-SA"/>
        </w:rPr>
        <w:t>人：</w:t>
      </w:r>
      <w:bookmarkStart w:id="1" w:name="_GoBack"/>
      <w:r>
        <w:rPr>
          <w:rFonts w:hint="eastAsia" w:cs="Times New Roman"/>
          <w:bCs/>
          <w:sz w:val="24"/>
          <w:szCs w:val="24"/>
          <w:lang w:val="en-US" w:eastAsia="zh-CN" w:bidi="ar-SA"/>
        </w:rPr>
        <w:t>房涵</w:t>
      </w:r>
      <w:r>
        <w:rPr>
          <w:rFonts w:hint="eastAsia" w:ascii="Times New Roman" w:hAnsi="Times New Roman" w:eastAsia="宋体" w:cs="Times New Roman"/>
          <w:bCs/>
          <w:sz w:val="24"/>
          <w:szCs w:val="24"/>
          <w:lang w:val="en-US" w:eastAsia="zh-CN" w:bidi="ar-SA"/>
        </w:rPr>
        <w:t xml:space="preserve">    电话：13599519528 </w:t>
      </w:r>
      <w:r>
        <w:rPr>
          <w:rFonts w:hint="eastAsia" w:cs="Times New Roman"/>
          <w:bCs/>
          <w:sz w:val="24"/>
          <w:szCs w:val="24"/>
          <w:lang w:val="en-US" w:eastAsia="zh-CN" w:bidi="ar-SA"/>
        </w:rPr>
        <w:t xml:space="preserve">   </w:t>
      </w:r>
      <w:r>
        <w:rPr>
          <w:rFonts w:hint="eastAsia" w:ascii="Times New Roman" w:hAnsi="Times New Roman" w:eastAsia="宋体" w:cs="Times New Roman"/>
          <w:bCs/>
          <w:sz w:val="24"/>
          <w:szCs w:val="24"/>
          <w:lang w:val="en-US" w:eastAsia="zh-CN" w:bidi="ar-SA"/>
        </w:rPr>
        <w:t xml:space="preserve"> </w:t>
      </w:r>
      <w:r>
        <w:rPr>
          <w:bCs/>
          <w:szCs w:val="24"/>
        </w:rPr>
        <w:t>邮箱：</w:t>
      </w:r>
      <w:r>
        <w:rPr>
          <w:rFonts w:ascii="Times New Roman" w:hAnsi="Times New Roman" w:eastAsia="宋体" w:cs="Times New Roman"/>
          <w:bCs/>
          <w:sz w:val="24"/>
          <w:szCs w:val="24"/>
          <w:lang w:val="en-US" w:eastAsia="zh-CN" w:bidi="ar-SA"/>
        </w:rPr>
        <w:t>hfang@fhcpec.com.cn </w:t>
      </w:r>
    </w:p>
    <w:bookmarkEnd w:id="1"/>
    <w:p>
      <w:pPr>
        <w:pStyle w:val="5"/>
        <w:keepNext w:val="0"/>
        <w:keepLines w:val="0"/>
        <w:pageBreakBefore w:val="0"/>
        <w:widowControl w:val="0"/>
        <w:kinsoku/>
        <w:wordWrap/>
        <w:overflowPunct/>
        <w:topLinePunct w:val="0"/>
        <w:bidi w:val="0"/>
        <w:snapToGrid w:val="0"/>
        <w:spacing w:line="360" w:lineRule="auto"/>
        <w:rPr>
          <w:b/>
          <w:bCs/>
          <w:color w:val="000000" w:themeColor="text1"/>
          <w:szCs w:val="24"/>
        </w:rPr>
      </w:pPr>
      <w:r>
        <w:rPr>
          <w:bCs/>
          <w:color w:val="000000" w:themeColor="text1"/>
          <w:szCs w:val="24"/>
        </w:rPr>
        <w:t>纪检监察室电话：0596-6311774  邮箱：</w:t>
      </w:r>
      <w:r>
        <w:fldChar w:fldCharType="begin"/>
      </w:r>
      <w:r>
        <w:instrText xml:space="preserve"> HYPERLINK "mailto:qlin@fhcpec.com.cn" </w:instrText>
      </w:r>
      <w:r>
        <w:fldChar w:fldCharType="separate"/>
      </w:r>
      <w:r>
        <w:rPr>
          <w:rStyle w:val="14"/>
          <w:bCs/>
          <w:color w:val="000000" w:themeColor="text1"/>
          <w:szCs w:val="24"/>
        </w:rPr>
        <w:t>qlin@fhcpec.com.cn</w:t>
      </w:r>
      <w:r>
        <w:rPr>
          <w:rStyle w:val="14"/>
          <w:bCs/>
          <w:color w:val="000000" w:themeColor="text1"/>
          <w:szCs w:val="24"/>
        </w:rPr>
        <w:fldChar w:fldCharType="end"/>
      </w:r>
    </w:p>
    <w:p>
      <w:pPr>
        <w:pStyle w:val="5"/>
        <w:keepNext w:val="0"/>
        <w:keepLines w:val="0"/>
        <w:pageBreakBefore w:val="0"/>
        <w:widowControl w:val="0"/>
        <w:kinsoku/>
        <w:wordWrap/>
        <w:overflowPunct/>
        <w:topLinePunct w:val="0"/>
        <w:bidi w:val="0"/>
        <w:snapToGrid w:val="0"/>
        <w:spacing w:line="360"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ascii="Times New Roman" w:hAnsi="Times New Roman" w:cs="Times New Roman"/>
          <w:sz w:val="24"/>
          <w:szCs w:val="24"/>
          <w:lang w:eastAsia="zh-CN"/>
        </w:rPr>
        <w:t>福建福海创石油化工有限公司</w:t>
      </w:r>
    </w:p>
    <w:p>
      <w:pPr>
        <w:spacing w:before="100" w:beforeAutospacing="1" w:after="100" w:afterAutospacing="1" w:line="420" w:lineRule="exact"/>
        <w:ind w:firstLine="480" w:firstLineChars="200"/>
        <w:jc w:val="center"/>
        <w:rPr>
          <w:rFonts w:ascii="Times New Roman" w:hAnsi="Times New Roman" w:cs="Times New Roman"/>
          <w:sz w:val="24"/>
          <w:szCs w:val="24"/>
          <w:lang w:eastAsia="zh-CN"/>
        </w:rPr>
      </w:pPr>
      <w:r>
        <w:rPr>
          <w:rFonts w:ascii="Times New Roman" w:hAnsi="Times New Roman" w:cs="Times New Roman"/>
          <w:sz w:val="24"/>
          <w:szCs w:val="24"/>
          <w:lang w:eastAsia="zh-CN"/>
        </w:rPr>
        <w:t>2023年</w:t>
      </w:r>
      <w:r>
        <w:rPr>
          <w:rFonts w:hint="eastAsia" w:ascii="Times New Roman" w:hAnsi="Times New Roman" w:cs="Times New Roman"/>
          <w:sz w:val="24"/>
          <w:szCs w:val="24"/>
          <w:lang w:val="en-US" w:eastAsia="zh-CN"/>
        </w:rPr>
        <w:t>11</w:t>
      </w:r>
      <w:r>
        <w:rPr>
          <w:rFonts w:ascii="Times New Roman" w:hAnsi="Times New Roman" w:cs="Times New Roman"/>
          <w:sz w:val="24"/>
          <w:szCs w:val="24"/>
          <w:lang w:eastAsia="zh-CN"/>
        </w:rPr>
        <w:t>月</w:t>
      </w:r>
    </w:p>
    <w:p>
      <w:pPr>
        <w:pStyle w:val="2"/>
        <w:rPr>
          <w:rFonts w:asciiTheme="minorEastAsia" w:hAnsiTheme="minorEastAsia" w:eastAsiaTheme="minorEastAsia"/>
          <w:sz w:val="24"/>
          <w:szCs w:val="24"/>
        </w:rPr>
      </w:pPr>
    </w:p>
    <w:p>
      <w:pPr>
        <w:wordWrap w:val="0"/>
        <w:spacing w:line="300" w:lineRule="auto"/>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jc w:val="right"/>
        <w:rPr>
          <w:rFonts w:asciiTheme="minorEastAsia" w:hAnsiTheme="minorEastAsia" w:eastAsiaTheme="minorEastAsia"/>
          <w:sz w:val="24"/>
          <w:szCs w:val="24"/>
          <w:lang w:eastAsia="zh-CN"/>
        </w:rPr>
      </w:pPr>
    </w:p>
    <w:p>
      <w:pPr>
        <w:widowControl/>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ind w:firstLine="632" w:firstLineChars="225"/>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eastAsia="zh-CN"/>
        </w:rPr>
        <w:t>第二章</w:t>
      </w:r>
      <w:r>
        <w:rPr>
          <w:rFonts w:asciiTheme="minorEastAsia" w:hAnsiTheme="minorEastAsia" w:eastAsiaTheme="minorEastAsia"/>
          <w:b/>
          <w:bCs/>
          <w:sz w:val="28"/>
          <w:szCs w:val="28"/>
          <w:lang w:eastAsia="zh-CN"/>
        </w:rPr>
        <w:t xml:space="preserve">   </w:t>
      </w:r>
      <w:r>
        <w:rPr>
          <w:rFonts w:hint="eastAsia" w:asciiTheme="minorEastAsia" w:hAnsiTheme="minorEastAsia" w:eastAsiaTheme="minorEastAsia"/>
          <w:b/>
          <w:bCs/>
          <w:sz w:val="28"/>
          <w:szCs w:val="28"/>
          <w:lang w:eastAsia="zh-CN"/>
        </w:rPr>
        <w:t>比选须知</w:t>
      </w:r>
    </w:p>
    <w:p>
      <w:pPr>
        <w:spacing w:line="360" w:lineRule="auto"/>
        <w:ind w:left="440" w:leftChars="200"/>
        <w:jc w:val="both"/>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、比选范围及内容</w:t>
      </w:r>
    </w:p>
    <w:p>
      <w:pPr>
        <w:spacing w:line="360" w:lineRule="auto"/>
        <w:ind w:firstLine="420"/>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eastAsia="zh-CN"/>
        </w:rPr>
        <w:t>PTA</w:t>
      </w:r>
      <w:r>
        <w:rPr>
          <w:rFonts w:hint="eastAsia" w:asciiTheme="minorEastAsia" w:hAnsiTheme="minorEastAsia" w:eastAsiaTheme="minorEastAsia"/>
          <w:sz w:val="24"/>
          <w:szCs w:val="24"/>
          <w:lang w:eastAsia="zh-CN"/>
        </w:rPr>
        <w:t>废</w:t>
      </w:r>
      <w:r>
        <w:rPr>
          <w:rFonts w:hint="eastAsia" w:asciiTheme="minorEastAsia" w:hAnsiTheme="minorEastAsia" w:eastAsiaTheme="minorEastAsia"/>
          <w:sz w:val="24"/>
          <w:szCs w:val="24"/>
          <w:lang w:val="en-US" w:eastAsia="zh-CN"/>
        </w:rPr>
        <w:t>干粉</w:t>
      </w:r>
      <w:r>
        <w:rPr>
          <w:rFonts w:hint="eastAsia" w:asciiTheme="minorEastAsia" w:hAnsiTheme="minorEastAsia" w:eastAsiaTheme="minorEastAsia"/>
          <w:spacing w:val="8"/>
          <w:sz w:val="24"/>
          <w:szCs w:val="24"/>
          <w:lang w:eastAsia="zh-CN"/>
        </w:rPr>
        <w:t>（预估量1</w:t>
      </w:r>
      <w:r>
        <w:rPr>
          <w:rFonts w:hint="eastAsia" w:asciiTheme="minorEastAsia" w:hAnsiTheme="minorEastAsia" w:eastAsiaTheme="minorEastAsia"/>
          <w:spacing w:val="8"/>
          <w:sz w:val="24"/>
          <w:szCs w:val="24"/>
          <w:lang w:val="en-US" w:eastAsia="zh-CN"/>
        </w:rPr>
        <w:t>2</w:t>
      </w:r>
      <w:r>
        <w:rPr>
          <w:rFonts w:hint="eastAsia" w:asciiTheme="minorEastAsia" w:hAnsiTheme="minorEastAsia" w:eastAsiaTheme="minorEastAsia"/>
          <w:spacing w:val="8"/>
          <w:sz w:val="24"/>
          <w:szCs w:val="24"/>
          <w:lang w:eastAsia="zh-CN"/>
        </w:rPr>
        <w:t>0吨），销售数量按实际过磅数量为准。参选人应自行踏勘现场，比选人现场踏勘及技术澄清联系人：</w:t>
      </w:r>
      <w:r>
        <w:rPr>
          <w:rFonts w:hint="eastAsia" w:cs="Times New Roman"/>
          <w:bCs/>
          <w:sz w:val="24"/>
          <w:szCs w:val="24"/>
          <w:lang w:val="en-US" w:eastAsia="zh-CN" w:bidi="ar-SA"/>
        </w:rPr>
        <w:t>房涵</w:t>
      </w:r>
      <w:r>
        <w:rPr>
          <w:rFonts w:hint="eastAsia" w:ascii="Times New Roman" w:hAnsi="Times New Roman" w:eastAsia="宋体" w:cs="Times New Roman"/>
          <w:bCs/>
          <w:sz w:val="24"/>
          <w:szCs w:val="24"/>
          <w:lang w:val="en-US" w:eastAsia="zh-CN" w:bidi="ar-SA"/>
        </w:rPr>
        <w:t xml:space="preserve">  13599519528</w:t>
      </w:r>
      <w:r>
        <w:rPr>
          <w:rFonts w:hint="eastAsia" w:asciiTheme="minorEastAsia" w:hAnsiTheme="minorEastAsia" w:eastAsiaTheme="minorEastAsia"/>
          <w:spacing w:val="8"/>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、定义和解释</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hint="eastAsia" w:asciiTheme="minorEastAsia" w:hAnsiTheme="minorEastAsia" w:eastAsiaTheme="minorEastAsia"/>
          <w:sz w:val="24"/>
          <w:szCs w:val="24"/>
          <w:lang w:eastAsia="zh-CN"/>
        </w:rPr>
        <w:t>“比选人”系福建福海创石油化工有限公司，即业主方。</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 </w:t>
      </w:r>
      <w:r>
        <w:rPr>
          <w:rFonts w:hint="eastAsia" w:asciiTheme="minorEastAsia" w:hAnsiTheme="minorEastAsia" w:eastAsiaTheme="minorEastAsia"/>
          <w:sz w:val="24"/>
          <w:szCs w:val="24"/>
          <w:lang w:eastAsia="zh-CN"/>
        </w:rPr>
        <w:t>“参选人”系指向比选人报名并接受邀请，领取比选文件，且已经提交或准备提交本次参选文件的法人。</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hint="eastAsia" w:asciiTheme="minorEastAsia" w:hAnsiTheme="minorEastAsia" w:eastAsiaTheme="minorEastAsia"/>
          <w:sz w:val="24"/>
          <w:szCs w:val="24"/>
          <w:lang w:eastAsia="zh-CN"/>
        </w:rPr>
        <w:t>“参选人代表”系指全权代表参选人参加本次投标活动并签署参选文件的人，如果参选人代表不是参选人的法定代表人，须持有《法定代表人授权委托书》。</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hint="eastAsia" w:asciiTheme="minorEastAsia" w:hAnsiTheme="minorEastAsia" w:eastAsiaTheme="minorEastAsia"/>
          <w:sz w:val="24"/>
          <w:szCs w:val="24"/>
          <w:lang w:eastAsia="zh-CN"/>
        </w:rPr>
        <w:t>“服务”系指比选文件规定参选人为完成全部合同义务须承担的所有工作，包括：运输、安装、品牌售后等以及其他类似的义务。</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3</w:t>
      </w:r>
      <w:r>
        <w:rPr>
          <w:rFonts w:hint="eastAsia" w:asciiTheme="minorEastAsia" w:hAnsiTheme="minorEastAsia" w:eastAsiaTheme="minorEastAsia"/>
          <w:b/>
          <w:bCs/>
          <w:sz w:val="24"/>
          <w:szCs w:val="24"/>
          <w:lang w:eastAsia="zh-CN"/>
        </w:rPr>
        <w:t>、比选文件组成</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3.1 </w:t>
      </w:r>
      <w:r>
        <w:rPr>
          <w:rFonts w:hint="eastAsia" w:asciiTheme="minorEastAsia" w:hAnsiTheme="minorEastAsia" w:eastAsiaTheme="minorEastAsia"/>
          <w:sz w:val="24"/>
          <w:szCs w:val="24"/>
          <w:lang w:eastAsia="zh-CN"/>
        </w:rPr>
        <w:t>比选文件包括下列内容：</w:t>
      </w:r>
      <w:r>
        <w:rPr>
          <w:rFonts w:asciiTheme="minorEastAsia" w:hAnsiTheme="minorEastAsia" w:eastAsiaTheme="minorEastAsia"/>
          <w:sz w:val="24"/>
          <w:szCs w:val="24"/>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比选公告、比选须知、合同书格式、报价单、承诺函等。</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 </w:t>
      </w:r>
      <w:r>
        <w:rPr>
          <w:rFonts w:hint="eastAsia" w:asciiTheme="minorEastAsia" w:hAnsiTheme="minorEastAsia" w:eastAsiaTheme="minorEastAsia"/>
          <w:sz w:val="24"/>
          <w:szCs w:val="24"/>
          <w:lang w:eastAsia="zh-CN"/>
        </w:rPr>
        <w:t>比选文件除</w:t>
      </w:r>
      <w:r>
        <w:rPr>
          <w:rFonts w:asciiTheme="minorEastAsia" w:hAnsiTheme="minorEastAsia" w:eastAsiaTheme="minorEastAsia"/>
          <w:sz w:val="24"/>
          <w:szCs w:val="24"/>
          <w:lang w:eastAsia="zh-CN"/>
        </w:rPr>
        <w:t>3.1</w:t>
      </w:r>
      <w:r>
        <w:rPr>
          <w:rFonts w:hint="eastAsia" w:asciiTheme="minorEastAsia" w:hAnsiTheme="minorEastAsia" w:eastAsiaTheme="minorEastAsia"/>
          <w:sz w:val="24"/>
          <w:szCs w:val="24"/>
          <w:lang w:eastAsia="zh-CN"/>
        </w:rPr>
        <w:t>内容外，比选人在比选期间发出的书面文件和其他修改或补充函件，均是比选文件不可分割的组成部分。</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、比选文件的澄清</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参选人获取比选文件后，应仔细检查比选文件的所有内容，如有残缺等问题应在获得比选文件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日内向比选人提出。参选人若对比选文件有任何疑问，应在参选截止时间前</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日，按比选须知载明的地址以书面形式（包括</w:t>
      </w:r>
      <w:r>
        <w:rPr>
          <w:rFonts w:hint="eastAsia" w:asciiTheme="minorEastAsia" w:hAnsiTheme="minorEastAsia" w:eastAsiaTheme="minorEastAsia"/>
          <w:color w:val="000000"/>
          <w:sz w:val="24"/>
          <w:szCs w:val="24"/>
          <w:lang w:eastAsia="zh-CN"/>
        </w:rPr>
        <w:t>书面、电子邮件</w:t>
      </w:r>
      <w:r>
        <w:rPr>
          <w:rFonts w:hint="eastAsia" w:asciiTheme="minorEastAsia" w:hAnsiTheme="minorEastAsia" w:eastAsiaTheme="minorEastAsia"/>
          <w:sz w:val="24"/>
          <w:szCs w:val="24"/>
          <w:lang w:eastAsia="zh-CN"/>
        </w:rPr>
        <w:t>下同）通知到比选人。比选人将视情况确定采用适当方式予以澄清或以书面形式予以答复，澄清文件作为比选文件的组成部分，具有约束作用。</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5</w:t>
      </w:r>
      <w:r>
        <w:rPr>
          <w:rFonts w:hint="eastAsia" w:asciiTheme="minorEastAsia" w:hAnsiTheme="minorEastAsia" w:eastAsiaTheme="minorEastAsia"/>
          <w:b/>
          <w:bCs/>
          <w:sz w:val="24"/>
          <w:szCs w:val="24"/>
          <w:lang w:eastAsia="zh-CN"/>
        </w:rPr>
        <w:t>、比选文件的修改、补充</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5.1 </w:t>
      </w:r>
      <w:r>
        <w:rPr>
          <w:rFonts w:hint="eastAsia" w:asciiTheme="minorEastAsia" w:hAnsiTheme="minorEastAsia" w:eastAsiaTheme="minor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5.2 </w:t>
      </w:r>
      <w:r>
        <w:rPr>
          <w:rFonts w:hint="eastAsia" w:asciiTheme="minorEastAsia" w:hAnsiTheme="minorEastAsia" w:eastAsiaTheme="minor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5.3 </w:t>
      </w:r>
      <w:r>
        <w:rPr>
          <w:rFonts w:hint="eastAsia" w:asciiTheme="minorEastAsia" w:hAnsiTheme="minorEastAsia" w:eastAsiaTheme="minorEastAsia"/>
          <w:sz w:val="24"/>
          <w:szCs w:val="24"/>
          <w:lang w:eastAsia="zh-CN"/>
        </w:rPr>
        <w:t>比选文件的修改文件将构成比选文件的一部分，对参选人具有约束作用。</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6</w:t>
      </w:r>
      <w:r>
        <w:rPr>
          <w:rFonts w:hint="eastAsia" w:asciiTheme="minorEastAsia" w:hAnsiTheme="minorEastAsia" w:eastAsiaTheme="minorEastAsia"/>
          <w:b/>
          <w:bCs/>
          <w:sz w:val="24"/>
          <w:szCs w:val="24"/>
          <w:lang w:eastAsia="zh-CN"/>
        </w:rPr>
        <w:t>、参选人资格</w:t>
      </w:r>
    </w:p>
    <w:p>
      <w:pPr>
        <w:spacing w:line="360" w:lineRule="auto"/>
        <w:ind w:left="550" w:left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具备独立法人资格、具备有效的企业法人营业执照。</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2、无失信黑名单记录（以最高院失信被执行人系统发布信息为准）。</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3、与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asciiTheme="minorEastAsia" w:hAnsiTheme="minorEastAsia" w:eastAsiaTheme="minorEastAsia"/>
          <w:sz w:val="24"/>
          <w:szCs w:val="24"/>
          <w:lang w:eastAsia="zh-CN"/>
        </w:rPr>
        <w:cr/>
      </w:r>
      <w:r>
        <w:rPr>
          <w:rFonts w:hint="eastAsia" w:asciiTheme="minorEastAsia" w:hAnsiTheme="minorEastAsia" w:eastAsiaTheme="minorEastAsia"/>
          <w:sz w:val="24"/>
          <w:szCs w:val="24"/>
          <w:lang w:eastAsia="zh-CN"/>
        </w:rPr>
        <w:t>6.</w:t>
      </w:r>
      <w:r>
        <w:rPr>
          <w:rFonts w:asciiTheme="minorEastAsia" w:hAnsiTheme="minorEastAsia" w:eastAsiaTheme="minorEastAsia"/>
          <w:sz w:val="24"/>
          <w:szCs w:val="24"/>
          <w:lang w:eastAsia="zh-CN"/>
        </w:rPr>
        <w:t>4、本项目不接受联合体参选，不许非法分包、杜绝转包。</w:t>
      </w:r>
    </w:p>
    <w:p>
      <w:pPr>
        <w:spacing w:line="360" w:lineRule="auto"/>
        <w:ind w:left="440" w:leftChars="200"/>
        <w:rPr>
          <w:rFonts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lang w:eastAsia="zh-CN"/>
        </w:rPr>
        <w:t>7、参选保证金</w:t>
      </w:r>
    </w:p>
    <w:p>
      <w:pPr>
        <w:spacing w:line="360" w:lineRule="auto"/>
        <w:ind w:firstLine="600" w:firstLineChars="250"/>
        <w:rPr>
          <w:rFonts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7.1参选保证金的金额为：人民币</w:t>
      </w:r>
      <w:r>
        <w:rPr>
          <w:rFonts w:hint="eastAsia" w:asciiTheme="minorEastAsia" w:hAnsiTheme="minorEastAsia" w:eastAsiaTheme="minorEastAsia"/>
          <w:sz w:val="24"/>
          <w:szCs w:val="24"/>
          <w:highlight w:val="none"/>
          <w:lang w:val="en-US" w:eastAsia="zh-CN"/>
        </w:rPr>
        <w:t>72</w:t>
      </w:r>
      <w:r>
        <w:rPr>
          <w:rFonts w:hint="eastAsia" w:asciiTheme="minorEastAsia" w:hAnsiTheme="minorEastAsia" w:eastAsiaTheme="minorEastAsia"/>
          <w:sz w:val="24"/>
          <w:szCs w:val="24"/>
          <w:highlight w:val="none"/>
          <w:lang w:eastAsia="zh-CN"/>
        </w:rPr>
        <w:t>00元整；</w:t>
      </w:r>
    </w:p>
    <w:p>
      <w:pPr>
        <w:spacing w:line="360" w:lineRule="auto"/>
        <w:ind w:firstLine="600" w:firstLineChars="2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7.2参选保证金提交的时间：应在</w:t>
      </w:r>
      <w:r>
        <w:rPr>
          <w:rFonts w:hint="eastAsia" w:asciiTheme="minorEastAsia" w:hAnsiTheme="minorEastAsia" w:eastAsiaTheme="minorEastAsia"/>
          <w:spacing w:val="8"/>
          <w:sz w:val="24"/>
          <w:szCs w:val="24"/>
          <w:lang w:eastAsia="zh-CN"/>
        </w:rPr>
        <w:t>参选文件递交截止时间</w:t>
      </w:r>
      <w:r>
        <w:rPr>
          <w:rFonts w:hint="eastAsia" w:asciiTheme="minorEastAsia" w:hAnsiTheme="minorEastAsia" w:eastAsiaTheme="minorEastAsia"/>
          <w:sz w:val="24"/>
          <w:szCs w:val="24"/>
          <w:lang w:eastAsia="zh-CN"/>
        </w:rPr>
        <w:t>之前汇达指定账户；</w:t>
      </w:r>
    </w:p>
    <w:p>
      <w:pPr>
        <w:spacing w:line="360" w:lineRule="auto"/>
        <w:ind w:firstLine="600" w:firstLineChars="2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7.3参选保证金提交的方式：</w:t>
      </w:r>
      <w:r>
        <w:rPr>
          <w:rFonts w:hint="eastAsia" w:asciiTheme="minorEastAsia" w:hAnsiTheme="minorEastAsia" w:eastAsiaTheme="minorEastAsia"/>
          <w:sz w:val="24"/>
          <w:szCs w:val="24"/>
          <w:u w:val="single"/>
          <w:lang w:eastAsia="zh-CN"/>
        </w:rPr>
        <w:t>应从参选人基本账户以电汇或银行转账方式提交（以款项到达时间为准），并应在电汇或银行转账单上注明为本项目的参选保证金；</w:t>
      </w:r>
    </w:p>
    <w:p>
      <w:pPr>
        <w:autoSpaceDE/>
        <w:autoSpaceDN/>
        <w:spacing w:line="360" w:lineRule="auto"/>
        <w:ind w:firstLine="600" w:firstLineChars="250"/>
        <w:jc w:val="both"/>
        <w:rPr>
          <w:sz w:val="24"/>
          <w:szCs w:val="24"/>
          <w:lang w:eastAsia="zh-CN"/>
        </w:rPr>
      </w:pPr>
      <w:r>
        <w:rPr>
          <w:rFonts w:hint="eastAsia"/>
          <w:sz w:val="24"/>
          <w:szCs w:val="24"/>
          <w:lang w:eastAsia="zh-CN"/>
        </w:rPr>
        <w:t>7.4参选保证金和履约</w:t>
      </w:r>
      <w:r>
        <w:rPr>
          <w:sz w:val="24"/>
          <w:szCs w:val="24"/>
          <w:lang w:eastAsia="zh-CN"/>
        </w:rPr>
        <w:t>保证</w:t>
      </w:r>
      <w:r>
        <w:rPr>
          <w:rFonts w:hint="eastAsia"/>
          <w:sz w:val="24"/>
          <w:szCs w:val="24"/>
          <w:lang w:eastAsia="zh-CN"/>
        </w:rPr>
        <w:t>金的缴纳账户如下：</w:t>
      </w:r>
    </w:p>
    <w:p>
      <w:pPr>
        <w:pStyle w:val="6"/>
        <w:spacing w:line="360" w:lineRule="auto"/>
        <w:ind w:left="1189" w:leftChars="472" w:right="121" w:hanging="151" w:hangingChars="63"/>
        <w:jc w:val="both"/>
        <w:rPr>
          <w:lang w:eastAsia="zh-CN"/>
        </w:rPr>
      </w:pPr>
      <w:r>
        <w:rPr>
          <w:rFonts w:hint="eastAsia"/>
          <w:lang w:eastAsia="zh-CN"/>
        </w:rPr>
        <w:t>开户名称：福建福海创石油化工有限公司</w:t>
      </w:r>
    </w:p>
    <w:p>
      <w:pPr>
        <w:pStyle w:val="6"/>
        <w:spacing w:line="360" w:lineRule="auto"/>
        <w:ind w:left="1189" w:leftChars="472" w:right="121" w:hanging="151" w:hangingChars="63"/>
        <w:jc w:val="both"/>
        <w:rPr>
          <w:lang w:eastAsia="zh-CN"/>
        </w:rPr>
      </w:pPr>
      <w:r>
        <w:rPr>
          <w:rFonts w:hint="eastAsia"/>
          <w:lang w:eastAsia="zh-CN"/>
        </w:rPr>
        <w:t>开户银行：中国银行漳州古雷支行</w:t>
      </w:r>
    </w:p>
    <w:p>
      <w:pPr>
        <w:spacing w:line="360" w:lineRule="auto"/>
        <w:ind w:left="1189" w:leftChars="472" w:hanging="151" w:hangingChars="63"/>
        <w:rPr>
          <w:sz w:val="24"/>
          <w:szCs w:val="24"/>
          <w:lang w:eastAsia="zh-CN"/>
        </w:rPr>
      </w:pPr>
      <w:r>
        <w:rPr>
          <w:rFonts w:hint="eastAsia"/>
          <w:sz w:val="24"/>
          <w:szCs w:val="24"/>
          <w:lang w:eastAsia="zh-CN"/>
        </w:rPr>
        <w:t>帐号：</w:t>
      </w:r>
      <w:r>
        <w:rPr>
          <w:sz w:val="24"/>
          <w:szCs w:val="24"/>
          <w:lang w:eastAsia="zh-CN"/>
        </w:rPr>
        <w:t>406574816628</w:t>
      </w:r>
    </w:p>
    <w:p>
      <w:pPr>
        <w:spacing w:line="360" w:lineRule="auto"/>
        <w:ind w:firstLine="482" w:firstLine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注明用途：PTA废</w:t>
      </w:r>
      <w:r>
        <w:rPr>
          <w:rFonts w:hint="eastAsia" w:asciiTheme="minorEastAsia" w:hAnsiTheme="minorEastAsia" w:eastAsiaTheme="minorEastAsia"/>
          <w:b/>
          <w:bCs/>
          <w:sz w:val="24"/>
          <w:szCs w:val="24"/>
          <w:lang w:val="en-US" w:eastAsia="zh-CN"/>
        </w:rPr>
        <w:t>干粉</w:t>
      </w:r>
      <w:r>
        <w:rPr>
          <w:rFonts w:hint="eastAsia" w:asciiTheme="minorEastAsia" w:hAnsiTheme="minorEastAsia" w:eastAsiaTheme="minorEastAsia"/>
          <w:b/>
          <w:bCs/>
          <w:sz w:val="24"/>
          <w:szCs w:val="24"/>
          <w:lang w:eastAsia="zh-CN"/>
        </w:rPr>
        <w:t>参选保证金</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参选保证金有效期：6</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日历天。</w:t>
      </w:r>
    </w:p>
    <w:p>
      <w:pPr>
        <w:spacing w:line="360" w:lineRule="auto"/>
        <w:ind w:firstLine="480" w:firstLineChars="200"/>
        <w:rPr>
          <w:rFonts w:asciiTheme="minorEastAsia" w:hAnsiTheme="minorEastAsia" w:eastAsiaTheme="minorEastAsia"/>
          <w:spacing w:val="8"/>
          <w:sz w:val="24"/>
          <w:szCs w:val="24"/>
          <w:lang w:eastAsia="zh-CN"/>
        </w:rPr>
      </w:pPr>
      <w:r>
        <w:rPr>
          <w:rFonts w:hint="eastAsia" w:asciiTheme="minorEastAsia" w:hAnsiTheme="minorEastAsia" w:eastAsiaTheme="minorEastAsia"/>
          <w:sz w:val="24"/>
          <w:szCs w:val="24"/>
          <w:lang w:eastAsia="zh-CN"/>
        </w:rPr>
        <w:t>注：</w:t>
      </w:r>
      <w:r>
        <w:rPr>
          <w:rFonts w:hint="eastAsia" w:asciiTheme="minorEastAsia" w:hAnsiTheme="minorEastAsia" w:eastAsiaTheme="minorEastAsia"/>
          <w:bCs/>
          <w:sz w:val="24"/>
          <w:szCs w:val="24"/>
          <w:u w:val="double"/>
          <w:lang w:eastAsia="zh-CN"/>
        </w:rPr>
        <w:t>开户许可证上账号应与参选保证金转账回单上账号一致，否则视为未按规定提交参选保证金,所造成的一切后果由参选人自行负责。</w:t>
      </w:r>
    </w:p>
    <w:p>
      <w:pPr>
        <w:spacing w:line="360" w:lineRule="auto"/>
        <w:ind w:left="440" w:leftChars="2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8、参选文件的递交</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参选文件递交的截止时间(以比选人收到参选文件的时间为准)：后续统一通知报价</w:t>
      </w:r>
      <w:r>
        <w:rPr>
          <w:rFonts w:hint="eastAsia" w:asciiTheme="minorEastAsia" w:hAnsiTheme="minorEastAsia" w:eastAsiaTheme="minorEastAsia"/>
          <w:spacing w:val="8"/>
          <w:sz w:val="24"/>
          <w:szCs w:val="24"/>
          <w:lang w:eastAsia="zh-CN"/>
        </w:rPr>
        <w:t>。参选文件有效期：60日历天。</w:t>
      </w:r>
    </w:p>
    <w:p>
      <w:pPr>
        <w:spacing w:line="360" w:lineRule="auto"/>
        <w:ind w:firstLine="480" w:firstLineChars="200"/>
        <w:rPr>
          <w:rFonts w:asciiTheme="minorEastAsia" w:hAnsiTheme="minorEastAsia" w:eastAsiaTheme="minorEastAsia"/>
          <w:spacing w:val="-4"/>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.2</w:t>
      </w:r>
      <w:r>
        <w:rPr>
          <w:rFonts w:asciiTheme="minorEastAsia" w:hAnsiTheme="minorEastAsia" w:eastAsiaTheme="minorEastAsia"/>
          <w:spacing w:val="4"/>
          <w:sz w:val="24"/>
          <w:szCs w:val="24"/>
          <w:lang w:eastAsia="zh-CN"/>
        </w:rPr>
        <w:t>递交</w:t>
      </w:r>
      <w:r>
        <w:rPr>
          <w:rFonts w:asciiTheme="minorEastAsia" w:hAnsiTheme="minorEastAsia" w:eastAsiaTheme="minorEastAsia"/>
          <w:sz w:val="24"/>
          <w:szCs w:val="24"/>
          <w:lang w:eastAsia="zh-CN"/>
        </w:rPr>
        <w:t>参</w:t>
      </w:r>
      <w:r>
        <w:rPr>
          <w:rFonts w:asciiTheme="minorEastAsia" w:hAnsiTheme="minorEastAsia" w:eastAsiaTheme="minorEastAsia"/>
          <w:spacing w:val="4"/>
          <w:sz w:val="24"/>
          <w:szCs w:val="24"/>
          <w:lang w:eastAsia="zh-CN"/>
        </w:rPr>
        <w:t>选文件的地</w:t>
      </w:r>
      <w:r>
        <w:rPr>
          <w:rFonts w:asciiTheme="minorEastAsia" w:hAnsiTheme="minorEastAsia" w:eastAsiaTheme="minorEastAsia"/>
          <w:sz w:val="24"/>
          <w:szCs w:val="24"/>
          <w:lang w:eastAsia="zh-CN"/>
        </w:rPr>
        <w:t>点</w:t>
      </w:r>
      <w:r>
        <w:rPr>
          <w:rFonts w:asciiTheme="minorEastAsia" w:hAnsiTheme="minorEastAsia" w:eastAsiaTheme="minorEastAsia"/>
          <w:spacing w:val="4"/>
          <w:sz w:val="24"/>
          <w:szCs w:val="24"/>
          <w:lang w:eastAsia="zh-CN"/>
        </w:rPr>
        <w:t>为：</w:t>
      </w:r>
      <w:r>
        <w:rPr>
          <w:rFonts w:ascii="Times New Roman" w:hAnsi="Times New Roman" w:cs="Times New Roman"/>
          <w:bCs/>
          <w:sz w:val="24"/>
          <w:szCs w:val="24"/>
          <w:lang w:eastAsia="zh-CN"/>
        </w:rPr>
        <w:t>福建省漳州市漳浦县杜浔镇杜昌路9号</w:t>
      </w:r>
      <w:r>
        <w:rPr>
          <w:rFonts w:hint="eastAsia" w:ascii="Times New Roman" w:hAnsi="Times New Roman" w:cs="Times New Roman"/>
          <w:bCs/>
          <w:sz w:val="24"/>
          <w:szCs w:val="24"/>
          <w:lang w:eastAsia="zh-CN"/>
        </w:rPr>
        <w:t>（福海创办公楼三楼</w:t>
      </w:r>
      <w:r>
        <w:rPr>
          <w:rFonts w:asciiTheme="minorEastAsia" w:hAnsiTheme="minorEastAsia" w:eastAsiaTheme="minorEastAsia"/>
          <w:spacing w:val="-57"/>
          <w:sz w:val="24"/>
          <w:szCs w:val="24"/>
          <w:lang w:eastAsia="zh-CN"/>
        </w:rPr>
        <w:t>，</w:t>
      </w:r>
      <w:r>
        <w:rPr>
          <w:rFonts w:asciiTheme="minorEastAsia" w:hAnsiTheme="minorEastAsia" w:eastAsiaTheme="minorEastAsia"/>
          <w:sz w:val="24"/>
          <w:szCs w:val="24"/>
          <w:lang w:eastAsia="zh-CN"/>
        </w:rPr>
        <w:t>联系人</w:t>
      </w:r>
      <w:r>
        <w:rPr>
          <w:rFonts w:asciiTheme="minorEastAsia" w:hAnsiTheme="minorEastAsia" w:eastAsiaTheme="minorEastAsia"/>
          <w:spacing w:val="-56"/>
          <w:sz w:val="24"/>
          <w:szCs w:val="24"/>
          <w:lang w:eastAsia="zh-CN"/>
        </w:rPr>
        <w:t>：</w:t>
      </w:r>
      <w:r>
        <w:rPr>
          <w:rFonts w:hint="eastAsia" w:asciiTheme="minorEastAsia" w:hAnsiTheme="minorEastAsia" w:eastAsiaTheme="minorEastAsia"/>
          <w:spacing w:val="-56"/>
          <w:sz w:val="24"/>
          <w:szCs w:val="24"/>
          <w:lang w:eastAsia="zh-CN"/>
        </w:rPr>
        <w:t>黄梅钦</w:t>
      </w:r>
      <w:r>
        <w:rPr>
          <w:rFonts w:hint="eastAsia" w:asciiTheme="minorEastAsia" w:hAnsiTheme="minorEastAsia" w:eastAsiaTheme="minorEastAsia"/>
          <w:spacing w:val="-6"/>
          <w:sz w:val="24"/>
          <w:szCs w:val="24"/>
          <w:lang w:eastAsia="zh-CN"/>
        </w:rPr>
        <w:t xml:space="preserve">  </w:t>
      </w:r>
      <w:r>
        <w:rPr>
          <w:rFonts w:asciiTheme="minorEastAsia" w:hAnsiTheme="minorEastAsia" w:eastAsiaTheme="minorEastAsia"/>
          <w:sz w:val="24"/>
          <w:szCs w:val="24"/>
          <w:lang w:eastAsia="zh-CN"/>
        </w:rPr>
        <w:t>联系电话</w:t>
      </w:r>
      <w:r>
        <w:rPr>
          <w:rFonts w:asciiTheme="minorEastAsia" w:hAnsiTheme="minorEastAsia" w:eastAsiaTheme="minorEastAsia"/>
          <w:spacing w:val="-4"/>
          <w:sz w:val="24"/>
          <w:szCs w:val="24"/>
          <w:lang w:eastAsia="zh-CN"/>
        </w:rPr>
        <w:t>：</w:t>
      </w:r>
      <w:r>
        <w:rPr>
          <w:rFonts w:hint="eastAsia" w:asciiTheme="minorEastAsia" w:hAnsiTheme="minorEastAsia" w:eastAsiaTheme="minorEastAsia"/>
          <w:spacing w:val="-4"/>
          <w:sz w:val="24"/>
          <w:szCs w:val="24"/>
          <w:lang w:eastAsia="zh-CN"/>
        </w:rPr>
        <w:t>0596-6311073</w:t>
      </w:r>
    </w:p>
    <w:p>
      <w:pPr>
        <w:pStyle w:val="4"/>
        <w:tabs>
          <w:tab w:val="left" w:pos="6879"/>
        </w:tabs>
        <w:spacing w:line="360" w:lineRule="auto"/>
        <w:ind w:left="118" w:right="106" w:firstLine="480"/>
        <w:rPr>
          <w:rFonts w:asciiTheme="minorEastAsia" w:hAnsiTheme="minorEastAsia" w:eastAsiaTheme="minorEastAsia"/>
          <w:b w:val="0"/>
          <w:lang w:eastAsia="zh-CN"/>
        </w:rPr>
      </w:pPr>
      <w:r>
        <w:rPr>
          <w:rFonts w:asciiTheme="minorEastAsia" w:hAnsiTheme="minorEastAsia" w:eastAsiaTheme="minorEastAsia"/>
          <w:b w:val="0"/>
          <w:lang w:eastAsia="zh-CN"/>
        </w:rPr>
        <w:t>注：请使用顺丰快递或中国邮政 EMS 快递，其他快递不能保证送达目的地。</w:t>
      </w:r>
    </w:p>
    <w:p>
      <w:pPr>
        <w:spacing w:line="360" w:lineRule="auto"/>
        <w:ind w:firstLine="456" w:firstLineChars="19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逾期送达的或未送达指定地点或参选文件密封不符合规定要求的参选文件，比选人不予受理。</w:t>
      </w:r>
    </w:p>
    <w:p>
      <w:pPr>
        <w:ind w:firstLine="480" w:firstLineChars="200"/>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widowControl/>
        <w:rPr>
          <w:rFonts w:asciiTheme="minorEastAsia" w:hAnsiTheme="minorEastAsia" w:eastAsiaTheme="minorEastAsia"/>
          <w:color w:val="000000"/>
          <w:sz w:val="24"/>
          <w:szCs w:val="24"/>
          <w:lang w:eastAsia="zh-CN"/>
        </w:rPr>
      </w:pP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第三章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参选文件的编制</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1</w:t>
      </w:r>
      <w:r>
        <w:rPr>
          <w:rFonts w:hint="eastAsia" w:asciiTheme="minorEastAsia" w:hAnsiTheme="minorEastAsia" w:eastAsiaTheme="minorEastAsia"/>
          <w:b/>
          <w:bCs/>
          <w:sz w:val="24"/>
          <w:szCs w:val="24"/>
          <w:lang w:eastAsia="zh-CN"/>
        </w:rPr>
        <w:t>、参选文件的组成</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（1）报价单；</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（2）法定代表人授权委托书；</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（3）参选人营业执照（加盖单位公章的复印件）；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（4）承诺函；</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（5）参选保证金汇款底单（加盖单位公章的复印件）；</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以上（1）至</w:t>
      </w:r>
      <w:r>
        <w:rPr>
          <w:rFonts w:hint="eastAsia" w:asciiTheme="minorEastAsia" w:hAnsiTheme="minorEastAsia" w:eastAsiaTheme="minorEastAsia"/>
          <w:sz w:val="24"/>
          <w:szCs w:val="24"/>
          <w:lang w:eastAsia="zh-CN"/>
        </w:rPr>
        <w:t>（5）项内容合并密封并加盖公章</w:t>
      </w:r>
      <w:r>
        <w:rPr>
          <w:rFonts w:hint="eastAsia" w:asciiTheme="minorEastAsia" w:hAnsiTheme="minorEastAsia" w:eastAsiaTheme="minorEastAsia"/>
          <w:color w:val="000000"/>
          <w:sz w:val="24"/>
          <w:szCs w:val="24"/>
          <w:lang w:eastAsia="zh-CN"/>
        </w:rPr>
        <w:t>。</w:t>
      </w:r>
    </w:p>
    <w:p>
      <w:pPr>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2</w:t>
      </w:r>
      <w:r>
        <w:rPr>
          <w:rFonts w:hint="eastAsia" w:asciiTheme="minorEastAsia" w:hAnsiTheme="minorEastAsia" w:eastAsiaTheme="minorEastAsia"/>
          <w:b/>
          <w:bCs/>
          <w:sz w:val="24"/>
          <w:szCs w:val="24"/>
          <w:lang w:eastAsia="zh-CN"/>
        </w:rPr>
        <w:t>、参选书格式</w:t>
      </w:r>
    </w:p>
    <w:p>
      <w:pPr>
        <w:spacing w:line="360" w:lineRule="auto"/>
        <w:ind w:firstLine="470" w:firstLineChars="196"/>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参选人应按规定制作参选文件并需加盖公章，按规定填写报价单并需</w:t>
      </w:r>
      <w:r>
        <w:rPr>
          <w:rFonts w:hint="eastAsia" w:asciiTheme="minorEastAsia" w:hAnsiTheme="minorEastAsia" w:eastAsiaTheme="minorEastAsia"/>
          <w:b/>
          <w:color w:val="FF0000"/>
          <w:sz w:val="24"/>
          <w:szCs w:val="24"/>
          <w:lang w:eastAsia="zh-CN"/>
        </w:rPr>
        <w:t>加盖公章，法定代表人或委托代表人签字</w:t>
      </w:r>
      <w:r>
        <w:rPr>
          <w:rFonts w:hint="eastAsia" w:asciiTheme="minorEastAsia" w:hAnsiTheme="minorEastAsia" w:eastAsiaTheme="minorEastAsia"/>
          <w:sz w:val="24"/>
          <w:szCs w:val="24"/>
          <w:lang w:eastAsia="zh-CN"/>
        </w:rPr>
        <w:t>。</w:t>
      </w:r>
    </w:p>
    <w:p>
      <w:pPr>
        <w:snapToGrid w:val="0"/>
        <w:spacing w:line="360" w:lineRule="auto"/>
        <w:ind w:left="440" w:leftChars="200"/>
        <w:rPr>
          <w:rFonts w:asciiTheme="minorEastAsia" w:hAnsiTheme="minorEastAsia" w:eastAsiaTheme="minorEastAsia"/>
          <w:b/>
          <w:bCs/>
          <w:color w:val="000000"/>
          <w:sz w:val="24"/>
          <w:szCs w:val="24"/>
          <w:lang w:eastAsia="zh-CN"/>
        </w:rPr>
      </w:pPr>
      <w:r>
        <w:rPr>
          <w:rFonts w:asciiTheme="minorEastAsia" w:hAnsiTheme="minorEastAsia" w:eastAsiaTheme="minorEastAsia"/>
          <w:b/>
          <w:bCs/>
          <w:color w:val="000000"/>
          <w:sz w:val="24"/>
          <w:szCs w:val="24"/>
          <w:lang w:eastAsia="zh-CN"/>
        </w:rPr>
        <w:t>3</w:t>
      </w:r>
      <w:r>
        <w:rPr>
          <w:rFonts w:hint="eastAsia" w:asciiTheme="minorEastAsia" w:hAnsiTheme="minorEastAsia" w:eastAsiaTheme="minorEastAsia"/>
          <w:b/>
          <w:bCs/>
          <w:color w:val="000000"/>
          <w:sz w:val="24"/>
          <w:szCs w:val="24"/>
          <w:lang w:eastAsia="zh-CN"/>
        </w:rPr>
        <w:t>、参选报价</w:t>
      </w:r>
    </w:p>
    <w:p>
      <w:pPr>
        <w:snapToGrid w:val="0"/>
        <w:spacing w:line="360" w:lineRule="auto"/>
        <w:ind w:firstLine="477" w:firstLineChars="199"/>
        <w:rPr>
          <w:rFonts w:asciiTheme="minorEastAsia" w:hAnsiTheme="minorEastAsia" w:eastAsiaTheme="minorEastAsia"/>
          <w:sz w:val="24"/>
          <w:szCs w:val="24"/>
          <w:lang w:eastAsia="zh-CN"/>
        </w:rPr>
      </w:pPr>
      <w:r>
        <w:rPr>
          <w:rFonts w:hint="eastAsia" w:asciiTheme="minorEastAsia" w:hAnsiTheme="minorEastAsia" w:eastAsiaTheme="minorEastAsia"/>
          <w:color w:val="000000"/>
          <w:sz w:val="24"/>
          <w:szCs w:val="24"/>
          <w:lang w:eastAsia="zh-CN"/>
        </w:rPr>
        <w:t>参选</w:t>
      </w:r>
      <w:r>
        <w:rPr>
          <w:rFonts w:hint="eastAsia" w:asciiTheme="minorEastAsia" w:hAnsiTheme="minorEastAsia" w:eastAsiaTheme="minorEastAsia"/>
          <w:sz w:val="24"/>
          <w:szCs w:val="24"/>
          <w:lang w:eastAsia="zh-CN"/>
        </w:rPr>
        <w:t>人须对参选报价负责。</w:t>
      </w:r>
      <w:r>
        <w:rPr>
          <w:rFonts w:hint="eastAsia" w:asciiTheme="minorEastAsia" w:hAnsiTheme="minorEastAsia" w:eastAsiaTheme="minorEastAsia"/>
          <w:color w:val="000000"/>
          <w:sz w:val="24"/>
          <w:szCs w:val="24"/>
          <w:lang w:eastAsia="zh-CN"/>
        </w:rPr>
        <w:t>参选报价应根据</w:t>
      </w:r>
      <w:r>
        <w:rPr>
          <w:rFonts w:hint="eastAsia" w:asciiTheme="minorEastAsia" w:hAnsiTheme="minorEastAsia" w:eastAsiaTheme="minorEastAsia"/>
          <w:sz w:val="24"/>
          <w:szCs w:val="24"/>
          <w:lang w:eastAsia="zh-CN"/>
        </w:rPr>
        <w:t>报价单填写，加盖参选人印章，字迹清晰，否则视为无效。</w:t>
      </w:r>
      <w:r>
        <w:rPr>
          <w:rFonts w:asciiTheme="minorEastAsia" w:hAnsiTheme="minorEastAsia" w:eastAsiaTheme="minorEastAsia"/>
          <w:sz w:val="24"/>
          <w:szCs w:val="24"/>
          <w:lang w:eastAsia="zh-CN"/>
        </w:rPr>
        <w:t xml:space="preserve"> </w:t>
      </w:r>
    </w:p>
    <w:p>
      <w:pPr>
        <w:snapToGrid w:val="0"/>
        <w:spacing w:line="360" w:lineRule="auto"/>
        <w:ind w:left="440" w:leftChars="200"/>
        <w:rPr>
          <w:rFonts w:asciiTheme="minorEastAsia" w:hAnsiTheme="minorEastAsia" w:eastAsiaTheme="minorEastAsia"/>
          <w:b/>
          <w:bCs/>
          <w:sz w:val="24"/>
          <w:szCs w:val="24"/>
          <w:lang w:eastAsia="zh-CN"/>
        </w:rPr>
      </w:pPr>
      <w:r>
        <w:rPr>
          <w:rFonts w:asciiTheme="minorEastAsia" w:hAnsiTheme="minorEastAsia" w:eastAsiaTheme="minorEastAsia"/>
          <w:b/>
          <w:bCs/>
          <w:sz w:val="24"/>
          <w:szCs w:val="24"/>
          <w:lang w:eastAsia="zh-CN"/>
        </w:rPr>
        <w:t>4</w:t>
      </w:r>
      <w:r>
        <w:rPr>
          <w:rFonts w:hint="eastAsia" w:asciiTheme="minorEastAsia" w:hAnsiTheme="minorEastAsia" w:eastAsiaTheme="minorEastAsia"/>
          <w:b/>
          <w:bCs/>
          <w:sz w:val="24"/>
          <w:szCs w:val="24"/>
          <w:lang w:eastAsia="zh-CN"/>
        </w:rPr>
        <w:t>、特别说明</w:t>
      </w:r>
    </w:p>
    <w:p>
      <w:pPr>
        <w:widowControl/>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4.1</w:t>
      </w:r>
      <w:r>
        <w:rPr>
          <w:rFonts w:hint="eastAsia" w:asciiTheme="minorEastAsia" w:hAnsiTheme="minorEastAsia" w:eastAsiaTheme="minorEastAsia"/>
          <w:sz w:val="24"/>
          <w:szCs w:val="24"/>
          <w:lang w:eastAsia="zh-CN"/>
        </w:rPr>
        <w:t>参选人需承担所有与比选有关的费用，比选人在任何情况不负担上述费用。</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4.2</w:t>
      </w:r>
      <w:r>
        <w:rPr>
          <w:rFonts w:hint="eastAsia" w:asciiTheme="minorEastAsia" w:hAnsiTheme="minorEastAsia" w:eastAsiaTheme="minorEastAsia"/>
          <w:color w:val="000000"/>
          <w:sz w:val="24"/>
          <w:szCs w:val="24"/>
          <w:lang w:eastAsia="zh-CN"/>
        </w:rPr>
        <w:t>参选人收到比选文件后，如有疑问需要澄清，请以</w:t>
      </w:r>
      <w:r>
        <w:rPr>
          <w:rFonts w:hint="eastAsia" w:asciiTheme="minorEastAsia" w:hAnsiTheme="minorEastAsia" w:eastAsiaTheme="minorEastAsia"/>
          <w:sz w:val="24"/>
          <w:szCs w:val="24"/>
          <w:lang w:eastAsia="zh-CN"/>
        </w:rPr>
        <w:t>书面形式</w:t>
      </w:r>
      <w:r>
        <w:rPr>
          <w:rFonts w:hint="eastAsia" w:asciiTheme="minorEastAsia" w:hAnsiTheme="minorEastAsia" w:eastAsiaTheme="minorEastAsia"/>
          <w:color w:val="000000"/>
          <w:sz w:val="24"/>
          <w:szCs w:val="24"/>
          <w:lang w:eastAsia="zh-CN"/>
        </w:rPr>
        <w:t>在规定时间内报比选人汇总。</w:t>
      </w:r>
    </w:p>
    <w:p>
      <w:pPr>
        <w:widowControl/>
        <w:tabs>
          <w:tab w:val="left" w:pos="3825"/>
        </w:tabs>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sz w:val="24"/>
          <w:szCs w:val="24"/>
          <w:lang w:eastAsia="zh-CN"/>
        </w:rPr>
        <w:t>4.3</w:t>
      </w:r>
      <w:r>
        <w:rPr>
          <w:rFonts w:hint="eastAsia" w:asciiTheme="minorEastAsia" w:hAnsiTheme="minorEastAsia" w:eastAsiaTheme="minor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snapToGrid w:val="0"/>
        <w:spacing w:line="360" w:lineRule="auto"/>
        <w:jc w:val="center"/>
        <w:rPr>
          <w:rFonts w:asciiTheme="minorEastAsia" w:hAnsiTheme="minorEastAsia" w:eastAsiaTheme="minorEastAsia"/>
          <w:b/>
          <w:bCs/>
          <w:color w:val="000000"/>
          <w:sz w:val="24"/>
          <w:szCs w:val="24"/>
          <w:lang w:eastAsia="zh-CN"/>
        </w:rPr>
      </w:pPr>
    </w:p>
    <w:p>
      <w:pPr>
        <w:widowControl/>
        <w:rPr>
          <w:rFonts w:asciiTheme="minorEastAsia" w:hAnsiTheme="minorEastAsia" w:eastAsiaTheme="minorEastAsia"/>
          <w:color w:val="000000"/>
          <w:sz w:val="24"/>
          <w:szCs w:val="24"/>
          <w:lang w:eastAsia="zh-CN"/>
        </w:rPr>
      </w:pPr>
      <w:bookmarkStart w:id="0" w:name="_Toc497143411"/>
      <w:r>
        <w:rPr>
          <w:rFonts w:asciiTheme="minorEastAsia" w:hAnsiTheme="minorEastAsia" w:eastAsiaTheme="minorEastAsia"/>
          <w:color w:val="000000"/>
          <w:sz w:val="24"/>
          <w:szCs w:val="24"/>
          <w:lang w:eastAsia="zh-CN"/>
        </w:rPr>
        <w:br w:type="page"/>
      </w:r>
    </w:p>
    <w:p>
      <w:pPr>
        <w:spacing w:line="360" w:lineRule="auto"/>
        <w:ind w:firstLine="562" w:firstLineChars="200"/>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第四章  评比规则</w:t>
      </w:r>
      <w:bookmarkEnd w:id="0"/>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一、规则</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二、资格审查</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三、评选办法</w:t>
      </w:r>
    </w:p>
    <w:p>
      <w:pPr>
        <w:pStyle w:val="5"/>
        <w:keepNext w:val="0"/>
        <w:keepLines w:val="0"/>
        <w:pageBreakBefore w:val="0"/>
        <w:widowControl w:val="0"/>
        <w:kinsoku/>
        <w:wordWrap/>
        <w:overflowPunct/>
        <w:topLinePunct w:val="0"/>
        <w:bidi w:val="0"/>
        <w:snapToGrid w:val="0"/>
        <w:spacing w:line="360" w:lineRule="auto"/>
        <w:rPr>
          <w:rFonts w:asciiTheme="minorEastAsia" w:hAnsiTheme="minorEastAsia" w:eastAsiaTheme="minorEastAsia"/>
          <w:b/>
          <w:bCs/>
          <w:sz w:val="24"/>
          <w:szCs w:val="24"/>
          <w:lang w:eastAsia="zh-CN"/>
        </w:rPr>
      </w:pPr>
      <w:r>
        <w:rPr>
          <w:rFonts w:hint="eastAsia" w:asciiTheme="minorEastAsia" w:hAnsiTheme="minorEastAsia" w:eastAsiaTheme="minorEastAsia"/>
          <w:color w:val="000000"/>
          <w:sz w:val="24"/>
          <w:szCs w:val="24"/>
          <w:lang w:eastAsia="zh-CN"/>
        </w:rPr>
        <w:t>评选工作小组将对通过资格及实质响应性审查的各合格参选人，根据参选人报价进行评选，</w:t>
      </w:r>
      <w:r>
        <w:rPr>
          <w:rFonts w:hint="eastAsia" w:ascii="Times New Roman" w:hAnsi="Times New Roman" w:eastAsia="宋体" w:cs="Times New Roman"/>
          <w:bCs/>
          <w:sz w:val="24"/>
          <w:szCs w:val="24"/>
          <w:lang w:val="en-US" w:eastAsia="zh-CN" w:bidi="ar-SA"/>
        </w:rPr>
        <w:t>中选原则：</w:t>
      </w:r>
      <w:r>
        <w:rPr>
          <w:rFonts w:hint="eastAsia" w:cs="Times New Roman"/>
          <w:bCs/>
          <w:sz w:val="24"/>
          <w:szCs w:val="24"/>
          <w:lang w:val="en-US" w:eastAsia="zh-CN" w:bidi="ar-SA"/>
        </w:rPr>
        <w:t>以报价暂</w:t>
      </w:r>
      <w:r>
        <w:rPr>
          <w:rFonts w:hint="eastAsia" w:ascii="Times New Roman" w:hAnsi="Times New Roman" w:eastAsia="宋体" w:cs="Times New Roman"/>
          <w:bCs/>
          <w:sz w:val="24"/>
          <w:szCs w:val="24"/>
          <w:lang w:val="en-US" w:eastAsia="zh-CN" w:bidi="ar-SA"/>
        </w:rPr>
        <w:t>定总价最高者中选</w:t>
      </w:r>
      <w:r>
        <w:rPr>
          <w:rFonts w:hint="eastAsia" w:cs="Times New Roman"/>
          <w:bCs/>
          <w:sz w:val="24"/>
          <w:szCs w:val="24"/>
          <w:lang w:val="en-US" w:eastAsia="zh-CN" w:bidi="ar-SA"/>
        </w:rPr>
        <w:t>单位</w:t>
      </w:r>
      <w:r>
        <w:rPr>
          <w:rFonts w:hint="eastAsia" w:ascii="Times New Roman" w:hAnsi="Times New Roman" w:eastAsia="宋体" w:cs="Times New Roman"/>
          <w:bCs/>
          <w:sz w:val="24"/>
          <w:szCs w:val="24"/>
          <w:lang w:val="en-US" w:eastAsia="zh-CN" w:bidi="ar-SA"/>
        </w:rPr>
        <w:t>，投标报价暂定基准价格为2023年</w:t>
      </w:r>
      <w:r>
        <w:rPr>
          <w:rFonts w:hint="eastAsia" w:cs="Times New Roman"/>
          <w:bCs/>
          <w:sz w:val="24"/>
          <w:szCs w:val="24"/>
          <w:lang w:val="en-US" w:eastAsia="zh-CN" w:bidi="ar-SA"/>
        </w:rPr>
        <w:t>10</w:t>
      </w:r>
      <w:r>
        <w:rPr>
          <w:rFonts w:hint="eastAsia" w:ascii="Times New Roman" w:hAnsi="Times New Roman" w:eastAsia="宋体" w:cs="Times New Roman"/>
          <w:bCs/>
          <w:sz w:val="24"/>
          <w:szCs w:val="24"/>
          <w:lang w:val="en-US" w:eastAsia="zh-CN" w:bidi="ar-SA"/>
        </w:rPr>
        <w:t>月PTA两网均价为人民币</w:t>
      </w:r>
      <w:r>
        <w:rPr>
          <w:rFonts w:hint="eastAsia" w:cs="Times New Roman"/>
          <w:bCs/>
          <w:sz w:val="24"/>
          <w:szCs w:val="24"/>
          <w:lang w:val="en-US" w:eastAsia="zh-CN" w:bidi="ar-SA"/>
        </w:rPr>
        <w:t>5915.28</w:t>
      </w:r>
      <w:r>
        <w:rPr>
          <w:rFonts w:hint="eastAsia" w:ascii="Times New Roman" w:hAnsi="Times New Roman" w:eastAsia="宋体" w:cs="Times New Roman"/>
          <w:bCs/>
          <w:sz w:val="24"/>
          <w:szCs w:val="24"/>
          <w:lang w:val="en-US" w:eastAsia="zh-CN" w:bidi="ar-SA"/>
        </w:rPr>
        <w:t xml:space="preserve"> 元/吨(含税)，暂定总价等于各项“基准价格*折旧率*吨数”之和。</w:t>
      </w:r>
    </w:p>
    <w:p>
      <w:pPr>
        <w:spacing w:line="360" w:lineRule="auto"/>
        <w:ind w:firstLine="482" w:firstLineChars="200"/>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四、以下情况作废标处理</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1、对比选文件提出的实质性要求和条件，参选文件未能在实质上响应的。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2、参选文件存在重大偏差的。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3、未按规定格式要求编制参选文件的。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4、违反规定影响开选评选工作或采取其他方式对比选人施加影响的。</w:t>
      </w: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5、参选人串标、相互勾结故意压低标价以排挤竞争对手的公平竞争的，其参选无效。</w:t>
      </w:r>
    </w:p>
    <w:p>
      <w:pPr>
        <w:keepNext w:val="0"/>
        <w:keepLines w:val="0"/>
        <w:pageBreakBefore w:val="0"/>
        <w:widowControl w:val="0"/>
        <w:kinsoku/>
        <w:wordWrap/>
        <w:overflowPunct/>
        <w:topLinePunct w:val="0"/>
        <w:autoSpaceDE w:val="0"/>
        <w:autoSpaceDN w:val="0"/>
        <w:bidi w:val="0"/>
        <w:adjustRightInd/>
        <w:snapToGrid/>
        <w:spacing w:line="240" w:lineRule="auto"/>
        <w:ind w:firstLine="482" w:firstLineChars="200"/>
        <w:textAlignment w:val="auto"/>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五、评选</w:t>
      </w:r>
    </w:p>
    <w:p>
      <w:pPr>
        <w:pStyle w:val="6"/>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6"/>
        <w:spacing w:before="23"/>
        <w:ind w:left="598"/>
        <w:rPr>
          <w:lang w:eastAsia="zh-CN"/>
        </w:rPr>
      </w:pPr>
      <w:r>
        <w:rPr>
          <w:lang w:eastAsia="zh-CN"/>
        </w:rPr>
        <w:t>2.在开选时没有启封和读出的参选文件，在评选时将不予考虑。</w:t>
      </w:r>
    </w:p>
    <w:p>
      <w:pPr>
        <w:pStyle w:val="6"/>
        <w:spacing w:before="107"/>
        <w:ind w:left="598"/>
        <w:rPr>
          <w:lang w:eastAsia="zh-CN"/>
        </w:rPr>
      </w:pPr>
      <w:r>
        <w:rPr>
          <w:lang w:eastAsia="zh-CN"/>
        </w:rPr>
        <w:t>3.比选人将做开选记录。</w:t>
      </w: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第五章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合同授予</w:t>
      </w:r>
    </w:p>
    <w:p>
      <w:pPr>
        <w:snapToGrid w:val="0"/>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eastAsia="zh-CN"/>
        </w:rPr>
        <w:t>、比选人将依据评选工作小组评选结果向中选人授予合同。</w:t>
      </w:r>
      <w:r>
        <w:rPr>
          <w:rFonts w:asciiTheme="minorEastAsia" w:hAnsiTheme="minorEastAsia" w:eastAsiaTheme="minorEastAsia"/>
          <w:color w:val="000000"/>
          <w:sz w:val="24"/>
          <w:szCs w:val="24"/>
          <w:lang w:eastAsia="zh-CN"/>
        </w:rPr>
        <w:t xml:space="preserve"> </w:t>
      </w:r>
    </w:p>
    <w:p>
      <w:pPr>
        <w:snapToGrid w:val="0"/>
        <w:spacing w:line="360" w:lineRule="auto"/>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    2</w:t>
      </w:r>
      <w:r>
        <w:rPr>
          <w:rFonts w:hint="eastAsia" w:asciiTheme="minorEastAsia" w:hAnsiTheme="minorEastAsia" w:eastAsiaTheme="minorEastAsia"/>
          <w:color w:val="000000"/>
          <w:sz w:val="24"/>
          <w:szCs w:val="24"/>
          <w:lang w:eastAsia="zh-CN"/>
        </w:rPr>
        <w:t>、中选人确定后，比选人将比选结果通知中选人。</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color w:val="000000"/>
          <w:sz w:val="24"/>
          <w:szCs w:val="24"/>
          <w:lang w:eastAsia="zh-CN"/>
        </w:rPr>
        <w:t>3</w:t>
      </w:r>
      <w:r>
        <w:rPr>
          <w:rFonts w:hint="eastAsia" w:asciiTheme="minorEastAsia" w:hAnsiTheme="minorEastAsia" w:eastAsiaTheme="minorEastAsia"/>
          <w:color w:val="000000"/>
          <w:sz w:val="24"/>
          <w:szCs w:val="24"/>
          <w:lang w:eastAsia="zh-CN"/>
        </w:rPr>
        <w:t>、中选通知对比选人和参选人具有法律效力。</w:t>
      </w:r>
      <w:r>
        <w:rPr>
          <w:rFonts w:hint="eastAsia" w:asciiTheme="minorEastAsia" w:hAnsiTheme="minorEastAsia" w:eastAsiaTheme="minor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Pr>
          <w:rFonts w:hint="eastAsia" w:asciiTheme="minorEastAsia" w:hAnsiTheme="minorEastAsia" w:eastAsiaTheme="minorEastAsia"/>
          <w:color w:val="000000"/>
          <w:sz w:val="24"/>
          <w:szCs w:val="24"/>
          <w:lang w:eastAsia="zh-CN"/>
        </w:rPr>
        <w:t>中选单位需在比选人通知中选后30日内与比选人签订合同。</w:t>
      </w:r>
      <w:r>
        <w:rPr>
          <w:rFonts w:hint="eastAsia" w:asciiTheme="minorEastAsia" w:hAnsiTheme="minorEastAsia" w:eastAsiaTheme="minor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4</w:t>
      </w:r>
      <w:r>
        <w:rPr>
          <w:rFonts w:hint="eastAsia" w:asciiTheme="minorEastAsia" w:hAnsiTheme="minorEastAsia" w:eastAsiaTheme="minor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、比选文件与合同附件作为签定合同的条款，比选文件合同条款中没有规定的内容，比选人、参选人认为有必要进行补充，可另行商定解决。</w:t>
      </w:r>
      <w:r>
        <w:rPr>
          <w:rFonts w:asciiTheme="minorEastAsia" w:hAnsiTheme="minorEastAsia" w:eastAsiaTheme="minorEastAsia"/>
          <w:sz w:val="24"/>
          <w:szCs w:val="24"/>
          <w:lang w:eastAsia="zh-CN"/>
        </w:rPr>
        <w:t xml:space="preserve"> </w:t>
      </w: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第六章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中选后相关履约要求</w:t>
      </w:r>
    </w:p>
    <w:p>
      <w:pPr>
        <w:tabs>
          <w:tab w:val="left" w:pos="1260"/>
          <w:tab w:val="left" w:pos="1800"/>
        </w:tabs>
        <w:jc w:val="center"/>
        <w:rPr>
          <w:rFonts w:asciiTheme="minorEastAsia" w:hAnsiTheme="minorEastAsia" w:eastAsiaTheme="minorEastAsia"/>
          <w:color w:val="000000"/>
          <w:sz w:val="24"/>
          <w:szCs w:val="24"/>
          <w:lang w:eastAsia="zh-CN"/>
        </w:rPr>
      </w:pP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pPr>
        <w:ind w:firstLine="56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、中选人必须严格执行《销售合同》（详见附件一）、《承诺函》（详见参选文件附件4）的规定。</w:t>
      </w:r>
    </w:p>
    <w:p>
      <w:pPr>
        <w:snapToGrid w:val="0"/>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、中选人需遵守甲方的各项管理规章制度。如触犯相关条例者则按福建福海创石油化工有限公司相应处罚条款进行处罚。</w:t>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tabs>
          <w:tab w:val="left" w:pos="1260"/>
          <w:tab w:val="left" w:pos="1800"/>
        </w:tabs>
        <w:jc w:val="center"/>
        <w:rPr>
          <w:rFonts w:asciiTheme="minorEastAsia" w:hAnsiTheme="minorEastAsia" w:eastAsiaTheme="minorEastAsia"/>
          <w:color w:val="000000"/>
          <w:sz w:val="24"/>
          <w:szCs w:val="24"/>
          <w:lang w:eastAsia="zh-CN"/>
        </w:rPr>
      </w:pPr>
    </w:p>
    <w:p>
      <w:pPr>
        <w:tabs>
          <w:tab w:val="left" w:pos="1260"/>
          <w:tab w:val="left" w:pos="1800"/>
        </w:tabs>
        <w:jc w:val="center"/>
        <w:rPr>
          <w:rFonts w:asciiTheme="minorEastAsia" w:hAnsiTheme="minorEastAsia" w:eastAsiaTheme="minorEastAsia"/>
          <w:b/>
          <w:color w:val="000000"/>
          <w:sz w:val="28"/>
          <w:szCs w:val="28"/>
          <w:lang w:eastAsia="zh-CN"/>
        </w:rPr>
      </w:pPr>
      <w:r>
        <w:rPr>
          <w:rFonts w:hint="eastAsia" w:asciiTheme="minorEastAsia" w:hAnsiTheme="minorEastAsia" w:eastAsiaTheme="minorEastAsia"/>
          <w:b/>
          <w:color w:val="000000"/>
          <w:sz w:val="28"/>
          <w:szCs w:val="28"/>
          <w:lang w:eastAsia="zh-CN"/>
        </w:rPr>
        <w:t>第七章</w:t>
      </w:r>
      <w:r>
        <w:rPr>
          <w:rFonts w:asciiTheme="minorEastAsia" w:hAnsiTheme="minorEastAsia" w:eastAsiaTheme="minorEastAsia"/>
          <w:b/>
          <w:color w:val="000000"/>
          <w:sz w:val="28"/>
          <w:szCs w:val="28"/>
          <w:lang w:eastAsia="zh-CN"/>
        </w:rPr>
        <w:t xml:space="preserve">   </w:t>
      </w:r>
      <w:r>
        <w:rPr>
          <w:rFonts w:hint="eastAsia" w:asciiTheme="minorEastAsia" w:hAnsiTheme="minorEastAsia" w:eastAsiaTheme="minorEastAsia"/>
          <w:b/>
          <w:color w:val="000000"/>
          <w:sz w:val="28"/>
          <w:szCs w:val="28"/>
          <w:lang w:eastAsia="zh-CN"/>
        </w:rPr>
        <w:t>其它</w:t>
      </w:r>
    </w:p>
    <w:p>
      <w:pPr>
        <w:snapToGrid w:val="0"/>
        <w:spacing w:line="360" w:lineRule="auto"/>
        <w:ind w:firstLine="480" w:firstLineChars="200"/>
        <w:rPr>
          <w:rFonts w:asciiTheme="minorEastAsia" w:hAnsiTheme="minorEastAsia" w:eastAsiaTheme="minorEastAsia"/>
          <w:sz w:val="24"/>
          <w:szCs w:val="24"/>
          <w:lang w:eastAsia="zh-CN"/>
        </w:rPr>
      </w:pP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本项目比选结束后，福建福海创石油化工有限公司的权属子公司“翔鹭石化（漳州）有限公司”作为合同执行主体与中选人完成合同签订后5个工作日内，其他未中选单位的参选保证金将原路退回至参选人基本账户。</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2、参选人的参选文件无论其是否中选，均不退回。</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、比选人郑重承诺：参选人所提交的参选文件及相关资料不向第三方泄露。</w:t>
      </w:r>
    </w:p>
    <w:p>
      <w:pPr>
        <w:pStyle w:val="16"/>
        <w:autoSpaceDE/>
        <w:autoSpaceDN/>
        <w:adjustRightInd w:val="0"/>
        <w:snapToGrid w:val="0"/>
        <w:spacing w:before="0" w:line="360" w:lineRule="auto"/>
        <w:ind w:left="440" w:firstLine="0"/>
        <w:jc w:val="both"/>
        <w:textAlignment w:val="baseline"/>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、本比选文件的解释权归福建福海创石油化工有限公司。</w:t>
      </w:r>
    </w:p>
    <w:p>
      <w:pPr>
        <w:ind w:firstLine="480" w:firstLineChars="200"/>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ind w:firstLine="540" w:firstLineChars="225"/>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snapToGrid w:val="0"/>
        <w:spacing w:line="360" w:lineRule="auto"/>
        <w:rPr>
          <w:rFonts w:asciiTheme="minorEastAsia" w:hAnsiTheme="minorEastAsia" w:eastAsiaTheme="minorEastAsia"/>
          <w:color w:val="000000"/>
          <w:sz w:val="24"/>
          <w:szCs w:val="24"/>
          <w:lang w:eastAsia="zh-CN"/>
        </w:rPr>
      </w:pPr>
    </w:p>
    <w:p>
      <w:pPr>
        <w:widowControl/>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br w:type="page"/>
      </w:r>
    </w:p>
    <w:p>
      <w:pPr>
        <w:spacing w:line="520" w:lineRule="exact"/>
        <w:rPr>
          <w:sz w:val="24"/>
          <w:szCs w:val="32"/>
          <w:lang w:eastAsia="zh-CN"/>
        </w:rPr>
      </w:pPr>
      <w:r>
        <w:rPr>
          <w:rFonts w:hint="eastAsia"/>
          <w:sz w:val="24"/>
          <w:szCs w:val="32"/>
          <w:lang w:eastAsia="zh-CN"/>
        </w:rPr>
        <w:t>附件一：合同条款</w:t>
      </w:r>
    </w:p>
    <w:p>
      <w:pPr>
        <w:spacing w:line="480" w:lineRule="exact"/>
        <w:jc w:val="center"/>
        <w:rPr>
          <w:sz w:val="28"/>
          <w:szCs w:val="28"/>
          <w:lang w:eastAsia="zh-CN"/>
        </w:rPr>
      </w:pPr>
      <w:r>
        <w:rPr>
          <w:sz w:val="28"/>
          <w:szCs w:val="28"/>
          <w:lang w:eastAsia="zh-CN"/>
        </w:rPr>
        <w:t>PTA</w:t>
      </w:r>
      <w:r>
        <w:rPr>
          <w:rFonts w:hint="eastAsia"/>
          <w:sz w:val="28"/>
          <w:szCs w:val="28"/>
          <w:lang w:eastAsia="zh-CN"/>
        </w:rPr>
        <w:t>废</w:t>
      </w:r>
      <w:r>
        <w:rPr>
          <w:rFonts w:hint="eastAsia"/>
          <w:sz w:val="28"/>
          <w:szCs w:val="28"/>
          <w:lang w:val="en-US" w:eastAsia="zh-CN"/>
        </w:rPr>
        <w:t>干粉</w:t>
      </w:r>
      <w:r>
        <w:rPr>
          <w:rFonts w:hint="eastAsia"/>
          <w:sz w:val="28"/>
          <w:szCs w:val="28"/>
          <w:lang w:eastAsia="zh-CN"/>
        </w:rPr>
        <w:t>（预估量1</w:t>
      </w:r>
      <w:r>
        <w:rPr>
          <w:rFonts w:hint="eastAsia"/>
          <w:sz w:val="28"/>
          <w:szCs w:val="28"/>
          <w:lang w:val="en-US" w:eastAsia="zh-CN"/>
        </w:rPr>
        <w:t>2</w:t>
      </w:r>
      <w:r>
        <w:rPr>
          <w:rFonts w:hint="eastAsia"/>
          <w:sz w:val="28"/>
          <w:szCs w:val="28"/>
          <w:lang w:eastAsia="zh-CN"/>
        </w:rPr>
        <w:t>0吨）销售合同</w:t>
      </w:r>
    </w:p>
    <w:tbl>
      <w:tblPr>
        <w:tblStyle w:val="12"/>
        <w:tblW w:w="382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合同编号：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签订地点：漳州古雷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3827" w:type="dxa"/>
          </w:tcPr>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签订时间：202</w:t>
            </w:r>
            <w:r>
              <w:rPr>
                <w:rFonts w:hint="eastAsia" w:asciiTheme="minorEastAsia" w:hAnsiTheme="minorEastAsia" w:eastAsiaTheme="minorEastAsia"/>
                <w:sz w:val="21"/>
                <w:szCs w:val="21"/>
                <w:lang w:eastAsia="zh-CN"/>
              </w:rPr>
              <w:t>3</w:t>
            </w:r>
            <w:r>
              <w:rPr>
                <w:rFonts w:hint="eastAsia" w:asciiTheme="minorEastAsia" w:hAnsiTheme="minorEastAsia" w:eastAsiaTheme="minorEastAsia"/>
                <w:sz w:val="21"/>
                <w:szCs w:val="21"/>
              </w:rPr>
              <w:t>年   月    日</w:t>
            </w:r>
          </w:p>
        </w:tc>
      </w:tr>
    </w:tbl>
    <w:p>
      <w:pPr>
        <w:spacing w:line="480" w:lineRule="exact"/>
        <w:rPr>
          <w:sz w:val="24"/>
          <w:szCs w:val="24"/>
          <w:lang w:eastAsia="zh-CN"/>
        </w:rPr>
      </w:pPr>
      <w:r>
        <w:rPr>
          <w:rFonts w:hint="eastAsia"/>
          <w:sz w:val="24"/>
          <w:szCs w:val="24"/>
          <w:lang w:eastAsia="zh-CN"/>
        </w:rPr>
        <w:t>甲方：翔鹭石化（漳州）有限公司</w:t>
      </w:r>
    </w:p>
    <w:p>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pPr>
        <w:spacing w:line="480" w:lineRule="exact"/>
        <w:ind w:firstLine="480" w:firstLineChars="200"/>
        <w:rPr>
          <w:sz w:val="24"/>
          <w:szCs w:val="24"/>
          <w:lang w:eastAsia="zh-CN"/>
        </w:rPr>
      </w:pPr>
    </w:p>
    <w:p>
      <w:pPr>
        <w:spacing w:line="480" w:lineRule="exact"/>
        <w:ind w:firstLine="480" w:firstLineChars="200"/>
        <w:rPr>
          <w:sz w:val="24"/>
          <w:szCs w:val="24"/>
          <w:lang w:eastAsia="zh-CN"/>
        </w:rPr>
      </w:pPr>
      <w:r>
        <w:rPr>
          <w:rFonts w:hint="eastAsia"/>
          <w:sz w:val="24"/>
          <w:szCs w:val="24"/>
          <w:lang w:eastAsia="zh-CN"/>
        </w:rPr>
        <w:t>依照《中华人民共和国民法典》及其他有关法律、行政法规，遵循平等、自愿、公平和诚实信用的原则，双方就</w:t>
      </w:r>
      <w:r>
        <w:rPr>
          <w:rFonts w:hint="eastAsia"/>
          <w:sz w:val="24"/>
          <w:szCs w:val="24"/>
          <w:u w:val="single"/>
          <w:lang w:eastAsia="zh-CN"/>
        </w:rPr>
        <w:t>PTA废干粉</w:t>
      </w:r>
      <w:r>
        <w:rPr>
          <w:rFonts w:hint="eastAsia"/>
          <w:sz w:val="24"/>
          <w:szCs w:val="24"/>
          <w:lang w:eastAsia="zh-CN"/>
        </w:rPr>
        <w:t>售事项，经协商一致，订立本合同。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121" w:leftChars="55" w:firstLine="360" w:firstLineChars="150"/>
        <w:textAlignment w:val="auto"/>
        <w:rPr>
          <w:rFonts w:hint="default" w:ascii="Times New Roman" w:hAnsi="Times New Roman" w:eastAsia="宋体" w:cs="Times New Roman"/>
          <w:sz w:val="24"/>
          <w:szCs w:val="24"/>
          <w:lang w:eastAsia="zh-CN"/>
        </w:rPr>
      </w:pPr>
      <w:r>
        <w:rPr>
          <w:rFonts w:hint="eastAsia"/>
          <w:sz w:val="24"/>
          <w:szCs w:val="24"/>
          <w:lang w:eastAsia="zh-CN"/>
        </w:rPr>
        <w:t>销售价格：乙方向甲方购买PTA</w:t>
      </w:r>
      <w:r>
        <w:rPr>
          <w:rFonts w:hint="eastAsia"/>
          <w:sz w:val="24"/>
          <w:szCs w:val="24"/>
          <w:lang w:val="en-US" w:eastAsia="zh-CN"/>
        </w:rPr>
        <w:t>废干粉</w:t>
      </w:r>
      <w:r>
        <w:rPr>
          <w:rFonts w:hint="eastAsia"/>
          <w:sz w:val="24"/>
          <w:szCs w:val="24"/>
          <w:lang w:eastAsia="zh-CN"/>
        </w:rPr>
        <w:t>（预估量1</w:t>
      </w:r>
      <w:r>
        <w:rPr>
          <w:rFonts w:hint="eastAsia"/>
          <w:sz w:val="24"/>
          <w:szCs w:val="24"/>
          <w:lang w:val="en-US" w:eastAsia="zh-CN"/>
        </w:rPr>
        <w:t>2</w:t>
      </w:r>
      <w:r>
        <w:rPr>
          <w:rFonts w:hint="eastAsia"/>
          <w:sz w:val="24"/>
          <w:szCs w:val="24"/>
          <w:lang w:eastAsia="zh-CN"/>
        </w:rPr>
        <w:t>0吨），购买</w:t>
      </w:r>
      <w:r>
        <w:rPr>
          <w:rFonts w:hint="eastAsia"/>
          <w:sz w:val="24"/>
          <w:szCs w:val="24"/>
          <w:lang w:val="en-US" w:eastAsia="zh-CN"/>
        </w:rPr>
        <w:t>含税</w:t>
      </w:r>
      <w:r>
        <w:rPr>
          <w:rFonts w:hint="eastAsia"/>
          <w:sz w:val="24"/>
          <w:szCs w:val="24"/>
          <w:lang w:eastAsia="zh-CN"/>
        </w:rPr>
        <w:t>单价为</w:t>
      </w:r>
      <w:r>
        <w:rPr>
          <w:rFonts w:hint="eastAsia"/>
          <w:b/>
          <w:bCs/>
          <w:sz w:val="24"/>
          <w:szCs w:val="24"/>
          <w:u w:val="single"/>
          <w:lang w:val="en-US" w:eastAsia="zh-CN"/>
        </w:rPr>
        <w:t>基准</w:t>
      </w:r>
      <w:r>
        <w:rPr>
          <w:rFonts w:hint="default" w:ascii="Times New Roman" w:hAnsi="Times New Roman" w:eastAsia="宋体" w:cs="Times New Roman"/>
          <w:b/>
          <w:bCs/>
          <w:sz w:val="24"/>
          <w:szCs w:val="24"/>
          <w:u w:val="single"/>
          <w:lang w:val="en-US" w:eastAsia="zh-CN"/>
        </w:rPr>
        <w:t>价格*折旧率</w:t>
      </w:r>
      <w:r>
        <w:rPr>
          <w:rFonts w:hint="default"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20" w:leftChars="0" w:firstLine="723" w:firstLineChars="3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本合同PTA</w:t>
      </w:r>
      <w:r>
        <w:rPr>
          <w:rFonts w:hint="default" w:ascii="Times New Roman" w:hAnsi="Times New Roman" w:eastAsia="宋体" w:cs="Times New Roman"/>
          <w:b/>
          <w:bCs/>
          <w:sz w:val="24"/>
          <w:szCs w:val="24"/>
        </w:rPr>
        <w:t>废</w:t>
      </w:r>
      <w:r>
        <w:rPr>
          <w:rFonts w:hint="eastAsia" w:ascii="Times New Roman" w:hAnsi="Times New Roman" w:cs="Times New Roman"/>
          <w:b/>
          <w:bCs/>
          <w:sz w:val="24"/>
          <w:szCs w:val="24"/>
          <w:lang w:val="en-US" w:eastAsia="zh-CN"/>
        </w:rPr>
        <w:t>干粉</w:t>
      </w:r>
      <w:r>
        <w:rPr>
          <w:rFonts w:hint="default" w:ascii="Times New Roman" w:hAnsi="Times New Roman" w:eastAsia="宋体" w:cs="Times New Roman"/>
          <w:b/>
          <w:bCs/>
          <w:sz w:val="24"/>
          <w:szCs w:val="24"/>
        </w:rPr>
        <w:t>外售单价均实行浮动定价，定价模式如下:</w:t>
      </w:r>
    </w:p>
    <w:p>
      <w:pPr>
        <w:keepNext w:val="0"/>
        <w:keepLines w:val="0"/>
        <w:pageBreakBefore w:val="0"/>
        <w:widowControl w:val="0"/>
        <w:kinsoku/>
        <w:wordWrap/>
        <w:overflowPunct/>
        <w:topLinePunct w:val="0"/>
        <w:autoSpaceDE w:val="0"/>
        <w:autoSpaceDN w:val="0"/>
        <w:bidi w:val="0"/>
        <w:adjustRightInd/>
        <w:snapToGrid/>
        <w:spacing w:line="360" w:lineRule="auto"/>
        <w:ind w:left="499" w:leftChars="227" w:firstLine="229" w:firstLineChars="95"/>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基准价格:</w:t>
      </w:r>
      <w:r>
        <w:rPr>
          <w:rFonts w:hint="default" w:ascii="Times New Roman" w:hAnsi="Times New Roman" w:eastAsia="宋体" w:cs="Times New Roman"/>
          <w:sz w:val="24"/>
          <w:szCs w:val="24"/>
          <w:lang w:val="en-US" w:eastAsia="zh-CN"/>
        </w:rPr>
        <w:t>双方约定结算基准价格以每批次</w:t>
      </w:r>
      <w:r>
        <w:rPr>
          <w:rFonts w:hint="eastAsia" w:ascii="Times New Roman" w:hAnsi="Times New Roman" w:cs="Times New Roman"/>
          <w:sz w:val="24"/>
          <w:szCs w:val="24"/>
          <w:lang w:val="en-US" w:eastAsia="zh-CN"/>
        </w:rPr>
        <w:t>PTA废干粉</w:t>
      </w:r>
      <w:r>
        <w:rPr>
          <w:rFonts w:hint="default" w:ascii="Times New Roman" w:hAnsi="Times New Roman" w:eastAsia="宋体" w:cs="Times New Roman"/>
          <w:sz w:val="24"/>
          <w:szCs w:val="24"/>
          <w:lang w:val="en-US" w:eastAsia="zh-CN"/>
        </w:rPr>
        <w:t>出厂日期的上个月26日至本月25日</w:t>
      </w:r>
      <w:r>
        <w:rPr>
          <w:rFonts w:hint="eastAsia" w:ascii="Times New Roman" w:hAnsi="Times New Roman" w:eastAsia="宋体" w:cs="Times New Roman"/>
          <w:sz w:val="24"/>
          <w:szCs w:val="24"/>
          <w:lang w:val="en-US" w:eastAsia="zh-CN"/>
        </w:rPr>
        <w:t>中国化纤网（</w:t>
      </w:r>
      <w:r>
        <w:rPr>
          <w:rFonts w:hint="default" w:ascii="Times New Roman" w:hAnsi="Times New Roman" w:eastAsia="宋体" w:cs="Times New Roman"/>
          <w:sz w:val="24"/>
          <w:szCs w:val="24"/>
          <w:lang w:val="en-US" w:eastAsia="zh-CN"/>
        </w:rPr>
        <w:t>CCF</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lang w:val="en-US" w:eastAsia="zh-CN"/>
        </w:rPr>
        <w:t>中国化纤经济信息网（</w:t>
      </w:r>
      <w:r>
        <w:rPr>
          <w:rFonts w:hint="default" w:ascii="Times New Roman" w:hAnsi="Times New Roman" w:eastAsia="宋体" w:cs="Times New Roman"/>
          <w:sz w:val="24"/>
          <w:szCs w:val="24"/>
          <w:lang w:val="en-US" w:eastAsia="zh-CN"/>
        </w:rPr>
        <w:t>CCFEI</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两网PTA华东内盘日均价为基准价格(网址:https://www.ccfei.com和 https://www.ccf.com.cn)。结算价格按该公式进行结算: </w:t>
      </w:r>
      <w:r>
        <w:rPr>
          <w:rFonts w:hint="default" w:ascii="Times New Roman" w:hAnsi="Times New Roman" w:eastAsia="宋体" w:cs="Times New Roman"/>
          <w:b/>
          <w:bCs/>
          <w:sz w:val="24"/>
          <w:szCs w:val="24"/>
          <w:u w:val="single"/>
          <w:lang w:val="en-US" w:eastAsia="zh-CN"/>
        </w:rPr>
        <w:t>基准价格*折旧率*吨数</w:t>
      </w:r>
      <w:r>
        <w:rPr>
          <w:rFonts w:hint="eastAsia" w:ascii="Times New Roman" w:hAnsi="Times New Roman" w:cs="Times New Roman"/>
          <w:b/>
          <w:bCs/>
          <w:sz w:val="24"/>
          <w:szCs w:val="24"/>
          <w:u w:val="singl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二、销售方式：双方约定采取下列第</w:t>
      </w:r>
      <w:r>
        <w:rPr>
          <w:rFonts w:hint="default" w:ascii="Times New Roman" w:hAnsi="Times New Roman" w:eastAsia="宋体" w:cs="Times New Roman"/>
          <w:sz w:val="24"/>
          <w:szCs w:val="24"/>
          <w:u w:val="single"/>
          <w:lang w:eastAsia="zh-CN"/>
        </w:rPr>
        <w:t xml:space="preserve">  1  </w:t>
      </w:r>
      <w:r>
        <w:rPr>
          <w:rFonts w:hint="default" w:ascii="Times New Roman" w:hAnsi="Times New Roman" w:eastAsia="宋体" w:cs="Times New Roman"/>
          <w:sz w:val="24"/>
          <w:szCs w:val="24"/>
          <w:lang w:eastAsia="zh-CN"/>
        </w:rPr>
        <w:t>种销售方式：</w:t>
      </w:r>
    </w:p>
    <w:p>
      <w:pPr>
        <w:spacing w:line="480" w:lineRule="exact"/>
        <w:ind w:firstLine="480" w:firstLineChars="200"/>
        <w:rPr>
          <w:sz w:val="24"/>
          <w:szCs w:val="24"/>
          <w:lang w:eastAsia="zh-CN"/>
        </w:rPr>
      </w:pPr>
      <w:r>
        <w:rPr>
          <w:rFonts w:hint="eastAsia"/>
          <w:sz w:val="24"/>
          <w:szCs w:val="24"/>
          <w:lang w:eastAsia="zh-CN"/>
        </w:rPr>
        <w:t>1、一次性销售；（数量为预估量，结算于实际过磅重为准）</w:t>
      </w:r>
    </w:p>
    <w:p>
      <w:pPr>
        <w:spacing w:line="480" w:lineRule="exact"/>
        <w:ind w:firstLine="480" w:firstLineChars="200"/>
        <w:rPr>
          <w:rFonts w:hint="eastAsia"/>
          <w:sz w:val="24"/>
          <w:szCs w:val="24"/>
          <w:lang w:eastAsia="zh-CN"/>
        </w:rPr>
      </w:pPr>
      <w:r>
        <w:rPr>
          <w:rFonts w:hint="eastAsia"/>
          <w:sz w:val="24"/>
          <w:szCs w:val="24"/>
          <w:lang w:eastAsia="zh-CN"/>
        </w:rPr>
        <w:t>三、结算、交付方式：</w:t>
      </w:r>
    </w:p>
    <w:p>
      <w:pPr>
        <w:spacing w:line="520" w:lineRule="exact"/>
        <w:ind w:left="0" w:leftChars="0" w:firstLine="458" w:firstLineChars="19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val="en-US" w:eastAsia="zh-CN"/>
        </w:rPr>
        <w:t>履约保证金：乙方需于双方合同签订后</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日内向甲方指定账户缴纳</w:t>
      </w:r>
      <w:r>
        <w:rPr>
          <w:rFonts w:hint="default" w:ascii="Times New Roman" w:hAnsi="Times New Roman" w:eastAsia="宋体" w:cs="Times New Roman"/>
          <w:b/>
          <w:bCs/>
          <w:sz w:val="24"/>
          <w:szCs w:val="24"/>
          <w:u w:val="single"/>
          <w:lang w:val="en-US" w:eastAsia="zh-CN"/>
        </w:rPr>
        <w:t>RMB</w:t>
      </w:r>
      <w:r>
        <w:rPr>
          <w:rFonts w:hint="eastAsia" w:ascii="Times New Roman" w:hAnsi="Times New Roman" w:eastAsia="宋体" w:cs="Times New Roman"/>
          <w:b/>
          <w:bCs/>
          <w:sz w:val="24"/>
          <w:szCs w:val="24"/>
          <w:u w:val="single"/>
          <w:lang w:val="en-US" w:eastAsia="zh-CN"/>
        </w:rPr>
        <w:t>50</w:t>
      </w:r>
      <w:r>
        <w:rPr>
          <w:rFonts w:hint="default" w:ascii="Times New Roman" w:hAnsi="Times New Roman" w:eastAsia="宋体" w:cs="Times New Roman"/>
          <w:b/>
          <w:bCs/>
          <w:sz w:val="24"/>
          <w:szCs w:val="24"/>
          <w:u w:val="single"/>
          <w:lang w:val="en-US" w:eastAsia="zh-CN"/>
        </w:rPr>
        <w:t>,000元</w:t>
      </w:r>
      <w:r>
        <w:rPr>
          <w:rFonts w:hint="default" w:ascii="Times New Roman" w:hAnsi="Times New Roman" w:eastAsia="宋体" w:cs="Times New Roman"/>
          <w:sz w:val="24"/>
          <w:szCs w:val="24"/>
          <w:lang w:val="en-US" w:eastAsia="zh-CN"/>
        </w:rPr>
        <w:t>作为履约保证金，合同期限内，乙方执行情况良好，无违约行为，则履约保证金于合同执行完毕后30日内全额无息退还。甲方收到相应履约保证金后按原账户退回甲方参选保证金RMB</w:t>
      </w:r>
      <w:r>
        <w:rPr>
          <w:rFonts w:hint="eastAsia" w:ascii="Times New Roman" w:hAnsi="Times New Roman" w:cs="Times New Roman"/>
          <w:sz w:val="24"/>
          <w:szCs w:val="24"/>
          <w:lang w:val="en-US" w:eastAsia="zh-CN"/>
        </w:rPr>
        <w:t>7</w:t>
      </w:r>
      <w:r>
        <w:rPr>
          <w:rFonts w:hint="default" w:ascii="Times New Roman" w:hAnsi="Times New Roman" w:eastAsia="宋体" w:cs="Times New Roman"/>
          <w:sz w:val="24"/>
          <w:szCs w:val="24"/>
          <w:lang w:val="en-US" w:eastAsia="zh-CN"/>
        </w:rPr>
        <w:t>200元。</w:t>
      </w:r>
    </w:p>
    <w:p>
      <w:pPr>
        <w:spacing w:line="520" w:lineRule="exact"/>
        <w:ind w:left="0" w:leftChars="0" w:firstLine="458" w:firstLineChars="19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2、乙方应在收到中选通知书后 3日内向甲方支付预估量预估的全额货款（即：人民币</w:t>
      </w:r>
      <w:r>
        <w:rPr>
          <w:rFonts w:hint="eastAsia" w:ascii="Times New Roman" w:hAnsi="Times New Roman"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元整）。</w:t>
      </w:r>
    </w:p>
    <w:p>
      <w:pPr>
        <w:spacing w:line="520" w:lineRule="exact"/>
        <w:ind w:left="0" w:leftChars="0" w:firstLine="458" w:firstLineChars="19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3、货款以甲方实际交付的货物数量为依据据实结算，双方在乙方提货时或者提货后多退少补。</w:t>
      </w:r>
    </w:p>
    <w:p>
      <w:pPr>
        <w:spacing w:line="520" w:lineRule="exact"/>
        <w:ind w:left="0" w:leftChars="0" w:firstLine="458" w:firstLineChars="19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4、根据实际销售数量，甲方提供13%增值税专用发票。</w:t>
      </w:r>
    </w:p>
    <w:p>
      <w:pPr>
        <w:spacing w:line="480" w:lineRule="exact"/>
        <w:ind w:firstLine="480" w:firstLineChars="200"/>
        <w:rPr>
          <w:sz w:val="24"/>
          <w:szCs w:val="24"/>
          <w:lang w:eastAsia="zh-CN"/>
        </w:rPr>
      </w:pPr>
      <w:r>
        <w:rPr>
          <w:rFonts w:hint="eastAsia"/>
          <w:sz w:val="24"/>
          <w:szCs w:val="24"/>
          <w:lang w:eastAsia="zh-CN"/>
        </w:rPr>
        <w:t>四、提货方式</w:t>
      </w:r>
    </w:p>
    <w:p>
      <w:pPr>
        <w:spacing w:line="480" w:lineRule="exact"/>
        <w:ind w:firstLine="480" w:firstLineChars="200"/>
        <w:rPr>
          <w:rFonts w:hint="eastAsia"/>
          <w:sz w:val="24"/>
          <w:szCs w:val="24"/>
          <w:highlight w:val="none"/>
          <w:lang w:eastAsia="zh-CN"/>
        </w:rPr>
      </w:pPr>
      <w:r>
        <w:rPr>
          <w:rFonts w:hint="eastAsia"/>
          <w:sz w:val="24"/>
          <w:szCs w:val="24"/>
          <w:highlight w:val="none"/>
          <w:lang w:eastAsia="zh-CN"/>
        </w:rPr>
        <w:t>1、乙方按照本合同约定支付货款，</w:t>
      </w:r>
      <w:r>
        <w:rPr>
          <w:rFonts w:hint="eastAsia"/>
          <w:sz w:val="24"/>
          <w:szCs w:val="24"/>
          <w:highlight w:val="none"/>
          <w:lang w:val="en-US" w:eastAsia="zh-CN"/>
        </w:rPr>
        <w:t>并</w:t>
      </w:r>
      <w:r>
        <w:rPr>
          <w:rFonts w:hint="eastAsia"/>
          <w:sz w:val="24"/>
          <w:szCs w:val="24"/>
          <w:highlight w:val="none"/>
          <w:lang w:eastAsia="zh-CN"/>
        </w:rPr>
        <w:t>应根据甲方的提货通知</w:t>
      </w:r>
      <w:r>
        <w:rPr>
          <w:rFonts w:hint="eastAsia"/>
          <w:sz w:val="24"/>
          <w:szCs w:val="24"/>
          <w:highlight w:val="none"/>
          <w:lang w:val="en-US" w:eastAsia="zh-CN"/>
        </w:rPr>
        <w:t>及</w:t>
      </w:r>
      <w:r>
        <w:rPr>
          <w:rFonts w:hint="eastAsia"/>
          <w:sz w:val="24"/>
          <w:szCs w:val="24"/>
          <w:highlight w:val="none"/>
          <w:lang w:eastAsia="zh-CN"/>
        </w:rPr>
        <w:t>时提取货物。</w:t>
      </w:r>
    </w:p>
    <w:p>
      <w:pPr>
        <w:spacing w:line="480" w:lineRule="exact"/>
        <w:ind w:firstLine="480" w:firstLineChars="200"/>
        <w:rPr>
          <w:rFonts w:hint="eastAsia"/>
          <w:sz w:val="24"/>
          <w:szCs w:val="24"/>
          <w:highlight w:val="none"/>
          <w:lang w:eastAsia="zh-CN"/>
        </w:rPr>
      </w:pPr>
      <w:r>
        <w:rPr>
          <w:rFonts w:hint="eastAsia"/>
          <w:sz w:val="24"/>
          <w:szCs w:val="24"/>
          <w:highlight w:val="none"/>
          <w:lang w:eastAsia="zh-CN"/>
        </w:rPr>
        <w:t>2、货物由乙方自备运输工具自提。</w:t>
      </w:r>
    </w:p>
    <w:p>
      <w:pPr>
        <w:spacing w:line="480" w:lineRule="exact"/>
        <w:ind w:firstLine="480" w:firstLineChars="200"/>
        <w:rPr>
          <w:rFonts w:hint="eastAsia"/>
          <w:sz w:val="24"/>
          <w:szCs w:val="24"/>
          <w:highlight w:val="none"/>
          <w:lang w:eastAsia="zh-CN"/>
        </w:rPr>
      </w:pPr>
      <w:r>
        <w:rPr>
          <w:rFonts w:hint="eastAsia"/>
          <w:sz w:val="24"/>
          <w:szCs w:val="24"/>
          <w:highlight w:val="none"/>
          <w:lang w:val="en-US" w:eastAsia="zh-CN"/>
        </w:rPr>
        <w:t>五、</w:t>
      </w:r>
      <w:r>
        <w:rPr>
          <w:rFonts w:hint="eastAsia"/>
          <w:sz w:val="24"/>
          <w:szCs w:val="24"/>
          <w:highlight w:val="none"/>
          <w:lang w:eastAsia="zh-CN"/>
        </w:rPr>
        <w:t>工期:合同签订之日起</w:t>
      </w:r>
      <w:r>
        <w:rPr>
          <w:rFonts w:hint="eastAsia"/>
          <w:sz w:val="24"/>
          <w:szCs w:val="24"/>
          <w:highlight w:val="none"/>
          <w:lang w:val="en-US" w:eastAsia="zh-CN"/>
        </w:rPr>
        <w:t>30</w:t>
      </w:r>
      <w:r>
        <w:rPr>
          <w:rFonts w:hint="eastAsia"/>
          <w:sz w:val="24"/>
          <w:szCs w:val="24"/>
          <w:highlight w:val="none"/>
          <w:lang w:eastAsia="zh-CN"/>
        </w:rPr>
        <w:t>天内清理完本合同约定范围内的全部物资。</w:t>
      </w:r>
    </w:p>
    <w:p>
      <w:pPr>
        <w:spacing w:line="480" w:lineRule="exact"/>
        <w:ind w:firstLine="480" w:firstLineChars="200"/>
        <w:rPr>
          <w:sz w:val="24"/>
          <w:szCs w:val="24"/>
          <w:lang w:eastAsia="zh-CN"/>
        </w:rPr>
      </w:pPr>
      <w:r>
        <w:rPr>
          <w:rFonts w:hint="eastAsia"/>
          <w:sz w:val="24"/>
          <w:szCs w:val="24"/>
          <w:lang w:val="en-US" w:eastAsia="zh-CN"/>
        </w:rPr>
        <w:t>六</w:t>
      </w:r>
      <w:r>
        <w:rPr>
          <w:rFonts w:hint="eastAsia"/>
          <w:sz w:val="24"/>
          <w:szCs w:val="24"/>
          <w:lang w:eastAsia="zh-CN"/>
        </w:rPr>
        <w:t>、计量方式：货物装车后，应在甲方厂区内的地磅上过磅，实际交付数量以过磅单为准。过磅单由乙方司机签收，乙方认可该签收行为视同乙方对货物的接收以及对交货数量的认可。</w:t>
      </w:r>
    </w:p>
    <w:p>
      <w:pPr>
        <w:spacing w:line="480" w:lineRule="exact"/>
        <w:ind w:firstLine="480" w:firstLineChars="200"/>
        <w:rPr>
          <w:sz w:val="24"/>
          <w:szCs w:val="24"/>
          <w:lang w:eastAsia="zh-CN"/>
        </w:rPr>
      </w:pPr>
      <w:r>
        <w:rPr>
          <w:rFonts w:hint="eastAsia"/>
          <w:sz w:val="24"/>
          <w:szCs w:val="24"/>
          <w:lang w:val="en-US" w:eastAsia="zh-CN"/>
        </w:rPr>
        <w:t>七</w:t>
      </w:r>
      <w:r>
        <w:rPr>
          <w:rFonts w:hint="eastAsia"/>
          <w:sz w:val="24"/>
          <w:szCs w:val="24"/>
          <w:lang w:eastAsia="zh-CN"/>
        </w:rPr>
        <w:t>、双方责任：</w:t>
      </w:r>
    </w:p>
    <w:p>
      <w:pPr>
        <w:spacing w:line="480" w:lineRule="exact"/>
        <w:ind w:firstLine="480" w:firstLineChars="200"/>
        <w:rPr>
          <w:sz w:val="24"/>
          <w:szCs w:val="24"/>
          <w:lang w:eastAsia="zh-CN"/>
        </w:rPr>
      </w:pPr>
      <w:r>
        <w:rPr>
          <w:rFonts w:hint="eastAsia"/>
          <w:sz w:val="24"/>
          <w:szCs w:val="24"/>
          <w:lang w:eastAsia="zh-CN"/>
        </w:rPr>
        <w:t>（一）甲方责任：</w:t>
      </w:r>
    </w:p>
    <w:p>
      <w:pPr>
        <w:spacing w:line="480" w:lineRule="exact"/>
        <w:ind w:firstLine="480" w:firstLineChars="200"/>
        <w:rPr>
          <w:sz w:val="24"/>
          <w:szCs w:val="24"/>
          <w:lang w:eastAsia="zh-CN"/>
        </w:rPr>
      </w:pPr>
      <w:r>
        <w:rPr>
          <w:rFonts w:hint="eastAsia"/>
          <w:sz w:val="24"/>
          <w:szCs w:val="24"/>
          <w:lang w:eastAsia="zh-CN"/>
        </w:rPr>
        <w:t>1、甲方负责在乙方提货时给予指挥协调，协助乙方及时装运货物。</w:t>
      </w:r>
    </w:p>
    <w:p>
      <w:pPr>
        <w:spacing w:line="480" w:lineRule="exact"/>
        <w:ind w:firstLine="480" w:firstLineChars="20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pPr>
        <w:spacing w:line="480" w:lineRule="exact"/>
        <w:ind w:firstLine="480" w:firstLineChars="200"/>
        <w:rPr>
          <w:sz w:val="24"/>
          <w:szCs w:val="24"/>
          <w:lang w:eastAsia="zh-CN"/>
        </w:rPr>
      </w:pPr>
      <w:r>
        <w:rPr>
          <w:rFonts w:hint="eastAsia"/>
          <w:sz w:val="24"/>
          <w:szCs w:val="24"/>
          <w:lang w:eastAsia="zh-CN"/>
        </w:rPr>
        <w:t>（二）乙方责任：</w:t>
      </w:r>
    </w:p>
    <w:p>
      <w:pPr>
        <w:spacing w:line="480" w:lineRule="exact"/>
        <w:ind w:firstLine="480" w:firstLineChars="20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pPr>
        <w:spacing w:line="480" w:lineRule="exact"/>
        <w:ind w:firstLine="480" w:firstLineChars="20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pPr>
        <w:spacing w:line="480" w:lineRule="exact"/>
        <w:ind w:firstLine="480" w:firstLineChars="20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pPr>
        <w:spacing w:line="480" w:lineRule="exact"/>
        <w:ind w:firstLine="480" w:firstLineChars="200"/>
        <w:rPr>
          <w:sz w:val="24"/>
          <w:szCs w:val="24"/>
          <w:lang w:eastAsia="zh-CN"/>
        </w:rPr>
      </w:pPr>
      <w:r>
        <w:rPr>
          <w:rFonts w:hint="eastAsia"/>
          <w:sz w:val="24"/>
          <w:szCs w:val="24"/>
          <w:lang w:val="en-US" w:eastAsia="zh-CN"/>
        </w:rPr>
        <w:t>八</w:t>
      </w:r>
      <w:r>
        <w:rPr>
          <w:rFonts w:hint="eastAsia"/>
          <w:sz w:val="24"/>
          <w:szCs w:val="24"/>
          <w:lang w:eastAsia="zh-CN"/>
        </w:rPr>
        <w:t>、违约责任：</w:t>
      </w:r>
    </w:p>
    <w:p>
      <w:pPr>
        <w:spacing w:line="480" w:lineRule="exact"/>
        <w:ind w:firstLine="480" w:firstLineChars="20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（一）乙方如不能根据甲方通知及时提货，或不听从甲方调度指挥、危害甲方安全生产或甲方利益的，给甲方造成的一切损失由乙方负责赔偿，甲方有权每次收取乙方违约金RMB</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rFonts w:hint="eastAsia"/>
          <w:sz w:val="24"/>
          <w:szCs w:val="24"/>
          <w:u w:val="single"/>
          <w:lang w:eastAsia="zh-CN"/>
        </w:rPr>
        <w:t>5000</w:t>
      </w:r>
      <w:r>
        <w:rPr>
          <w:rFonts w:hint="eastAsia"/>
          <w:sz w:val="24"/>
          <w:szCs w:val="24"/>
          <w:lang w:eastAsia="zh-CN"/>
        </w:rPr>
        <w:t>元），违约金从乙方缴纳的履约保证金中扣除；情节特别严重的，如提货不及时造成甲方仓库满溢或乙方多次违约拒不改正等，甲方有权视情况提前解除合同，并没收乙方已经支付的货款及履约保证金。</w:t>
      </w:r>
    </w:p>
    <w:p>
      <w:pPr>
        <w:spacing w:line="480" w:lineRule="exact"/>
        <w:ind w:firstLine="480" w:firstLineChars="20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pPr>
        <w:spacing w:line="480" w:lineRule="exact"/>
        <w:ind w:firstLine="480" w:firstLineChars="20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（三）乙方无故未按约定提货，甲方连续两次联系乙方无结果，甲方有权提前解除本合同，并没收乙方已经支付的货款及履约保证金。</w:t>
      </w:r>
    </w:p>
    <w:p>
      <w:pPr>
        <w:spacing w:line="480" w:lineRule="exact"/>
        <w:ind w:firstLine="480" w:firstLineChars="200"/>
        <w:rPr>
          <w:sz w:val="24"/>
          <w:szCs w:val="24"/>
          <w:lang w:eastAsia="zh-CN"/>
        </w:rPr>
      </w:pPr>
      <w:r>
        <w:rPr>
          <w:rFonts w:hint="eastAsia"/>
          <w:sz w:val="24"/>
          <w:szCs w:val="24"/>
          <w:lang w:val="en-US" w:eastAsia="zh-CN"/>
        </w:rPr>
        <w:t>九</w:t>
      </w:r>
      <w:r>
        <w:rPr>
          <w:rFonts w:hint="eastAsia"/>
          <w:sz w:val="24"/>
          <w:szCs w:val="24"/>
          <w:lang w:eastAsia="zh-CN"/>
        </w:rPr>
        <w:t>、本合同期满，如甲方通过公开招标方式选择合作方，乙方可参与投标。</w:t>
      </w:r>
    </w:p>
    <w:p>
      <w:pPr>
        <w:spacing w:line="480" w:lineRule="exact"/>
        <w:ind w:firstLine="480" w:firstLineChars="200"/>
        <w:rPr>
          <w:sz w:val="24"/>
          <w:szCs w:val="24"/>
          <w:lang w:eastAsia="zh-CN"/>
        </w:rPr>
      </w:pPr>
      <w:r>
        <w:rPr>
          <w:rFonts w:hint="eastAsia"/>
          <w:sz w:val="24"/>
          <w:szCs w:val="24"/>
          <w:lang w:val="en-US" w:eastAsia="zh-CN"/>
        </w:rPr>
        <w:t>十</w:t>
      </w:r>
      <w:r>
        <w:rPr>
          <w:rFonts w:hint="eastAsia"/>
          <w:sz w:val="24"/>
          <w:szCs w:val="24"/>
          <w:lang w:eastAsia="zh-CN"/>
        </w:rPr>
        <w:t>、</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480" w:lineRule="exact"/>
        <w:ind w:firstLine="480" w:firstLineChars="200"/>
        <w:rPr>
          <w:sz w:val="24"/>
          <w:szCs w:val="24"/>
          <w:lang w:eastAsia="zh-CN"/>
        </w:rPr>
      </w:pPr>
      <w:r>
        <w:rPr>
          <w:rFonts w:hint="eastAsia"/>
          <w:sz w:val="24"/>
          <w:szCs w:val="24"/>
          <w:lang w:eastAsia="zh-CN"/>
        </w:rPr>
        <w:t>十</w:t>
      </w:r>
      <w:r>
        <w:rPr>
          <w:rFonts w:hint="eastAsia"/>
          <w:sz w:val="24"/>
          <w:szCs w:val="24"/>
          <w:lang w:val="en-US" w:eastAsia="zh-CN"/>
        </w:rPr>
        <w:t>一</w:t>
      </w:r>
      <w:r>
        <w:rPr>
          <w:rFonts w:hint="eastAsia"/>
          <w:sz w:val="24"/>
          <w:szCs w:val="24"/>
          <w:lang w:eastAsia="zh-CN"/>
        </w:rPr>
        <w:t>、本合同经双方签订后生效。本合同一式六份，甲方四份、乙方两份。履行中如有争议，双方协商解决。如协商不成可诉诸法律，提请甲方所在地法院诉讼解决。</w:t>
      </w:r>
    </w:p>
    <w:p>
      <w:pPr>
        <w:spacing w:line="480" w:lineRule="exact"/>
        <w:ind w:firstLine="480" w:firstLineChars="200"/>
        <w:rPr>
          <w:sz w:val="24"/>
          <w:szCs w:val="24"/>
          <w:lang w:eastAsia="zh-CN"/>
        </w:rPr>
      </w:pPr>
      <w:r>
        <w:rPr>
          <w:rFonts w:hint="eastAsia"/>
          <w:sz w:val="24"/>
          <w:szCs w:val="24"/>
          <w:lang w:eastAsia="zh-CN"/>
        </w:rPr>
        <w:t>十</w:t>
      </w:r>
      <w:r>
        <w:rPr>
          <w:rFonts w:hint="eastAsia"/>
          <w:sz w:val="24"/>
          <w:szCs w:val="24"/>
          <w:lang w:val="en-US" w:eastAsia="zh-CN"/>
        </w:rPr>
        <w:t>二</w:t>
      </w:r>
      <w:r>
        <w:rPr>
          <w:rFonts w:hint="eastAsia"/>
          <w:sz w:val="24"/>
          <w:szCs w:val="24"/>
          <w:lang w:eastAsia="zh-CN"/>
        </w:rPr>
        <w:t>、组成合同文件：</w:t>
      </w:r>
    </w:p>
    <w:p>
      <w:pPr>
        <w:spacing w:line="480" w:lineRule="exact"/>
        <w:rPr>
          <w:sz w:val="24"/>
          <w:szCs w:val="24"/>
          <w:lang w:eastAsia="zh-CN"/>
        </w:rPr>
      </w:pPr>
      <w:r>
        <w:rPr>
          <w:rFonts w:hint="eastAsia"/>
          <w:sz w:val="24"/>
          <w:szCs w:val="24"/>
          <w:lang w:eastAsia="zh-CN"/>
        </w:rPr>
        <w:t xml:space="preserve">    1、本合同书；</w:t>
      </w:r>
    </w:p>
    <w:p>
      <w:pPr>
        <w:spacing w:line="480" w:lineRule="exact"/>
        <w:rPr>
          <w:sz w:val="24"/>
          <w:szCs w:val="24"/>
          <w:lang w:eastAsia="zh-CN"/>
        </w:rPr>
      </w:pPr>
      <w:r>
        <w:rPr>
          <w:rFonts w:hint="eastAsia"/>
          <w:sz w:val="24"/>
          <w:szCs w:val="24"/>
          <w:lang w:eastAsia="zh-CN"/>
        </w:rPr>
        <w:t xml:space="preserve">    2、中标通知书及乙方投标文件；</w:t>
      </w:r>
    </w:p>
    <w:p>
      <w:pPr>
        <w:spacing w:line="480" w:lineRule="exact"/>
        <w:rPr>
          <w:sz w:val="24"/>
          <w:szCs w:val="24"/>
          <w:lang w:eastAsia="zh-CN"/>
        </w:rPr>
      </w:pPr>
      <w:r>
        <w:rPr>
          <w:sz w:val="24"/>
          <w:szCs w:val="24"/>
          <w:lang w:eastAsia="zh-CN"/>
        </w:rPr>
        <w:t xml:space="preserve"> </w:t>
      </w:r>
    </w:p>
    <w:p>
      <w:pPr>
        <w:spacing w:line="480" w:lineRule="exact"/>
        <w:rPr>
          <w:rFonts w:hint="eastAsia"/>
          <w:sz w:val="24"/>
          <w:szCs w:val="24"/>
          <w:lang w:eastAsia="zh-CN"/>
        </w:rPr>
      </w:pPr>
    </w:p>
    <w:p>
      <w:pPr>
        <w:spacing w:line="480" w:lineRule="exact"/>
        <w:rPr>
          <w:rFonts w:hint="eastAsia"/>
          <w:sz w:val="24"/>
          <w:szCs w:val="24"/>
          <w:lang w:eastAsia="zh-CN"/>
        </w:rPr>
      </w:pPr>
    </w:p>
    <w:p>
      <w:pPr>
        <w:spacing w:line="480" w:lineRule="exact"/>
        <w:rPr>
          <w:b/>
          <w:bCs/>
          <w:sz w:val="24"/>
          <w:szCs w:val="24"/>
          <w:lang w:eastAsia="zh-CN"/>
        </w:rPr>
      </w:pPr>
      <w:r>
        <w:rPr>
          <w:rFonts w:hint="eastAsia"/>
          <w:b/>
          <w:bCs/>
          <w:sz w:val="24"/>
          <w:szCs w:val="24"/>
          <w:lang w:eastAsia="zh-CN"/>
        </w:rPr>
        <w:t xml:space="preserve">甲方：翔鹭石化（漳州）有限公司       </w:t>
      </w:r>
      <w:r>
        <w:rPr>
          <w:b/>
          <w:bCs/>
          <w:sz w:val="24"/>
          <w:szCs w:val="24"/>
          <w:lang w:eastAsia="zh-CN"/>
        </w:rPr>
        <w:t xml:space="preserve"> </w:t>
      </w:r>
      <w:r>
        <w:rPr>
          <w:rFonts w:hint="eastAsia"/>
          <w:b/>
          <w:bCs/>
          <w:sz w:val="24"/>
          <w:szCs w:val="24"/>
          <w:lang w:eastAsia="zh-CN"/>
        </w:rPr>
        <w:t>乙方：</w:t>
      </w:r>
      <w:r>
        <w:rPr>
          <w:b/>
          <w:bCs/>
          <w:sz w:val="24"/>
          <w:szCs w:val="24"/>
          <w:lang w:eastAsia="zh-CN"/>
        </w:rPr>
        <w:t xml:space="preserve"> </w:t>
      </w:r>
    </w:p>
    <w:p>
      <w:pPr>
        <w:spacing w:line="480" w:lineRule="exact"/>
        <w:ind w:firstLine="720" w:firstLineChars="300"/>
        <w:rPr>
          <w:sz w:val="24"/>
          <w:szCs w:val="24"/>
          <w:lang w:eastAsia="zh-CN"/>
        </w:rPr>
      </w:pPr>
      <w:r>
        <w:rPr>
          <w:rFonts w:hint="eastAsia"/>
          <w:sz w:val="24"/>
          <w:szCs w:val="24"/>
          <w:lang w:eastAsia="zh-CN"/>
        </w:rPr>
        <w:t>（盖章）                        （盖章）</w:t>
      </w:r>
    </w:p>
    <w:p>
      <w:pPr>
        <w:spacing w:line="480" w:lineRule="exact"/>
        <w:ind w:left="5640" w:hanging="5640" w:hangingChars="2350"/>
        <w:rPr>
          <w:sz w:val="24"/>
          <w:szCs w:val="24"/>
          <w:lang w:eastAsia="zh-CN"/>
        </w:rPr>
      </w:pPr>
      <w:r>
        <w:rPr>
          <w:rFonts w:hint="eastAsia"/>
          <w:sz w:val="24"/>
          <w:szCs w:val="24"/>
          <w:lang w:eastAsia="zh-CN"/>
        </w:rPr>
        <w:t>联系地址：古雷经济开发区腾龙路86号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pPr>
        <w:spacing w:line="360" w:lineRule="auto"/>
        <w:ind w:left="5520" w:hanging="5520" w:hangingChars="2300"/>
        <w:rPr>
          <w:sz w:val="24"/>
          <w:lang w:eastAsia="zh-CN"/>
        </w:rPr>
      </w:pPr>
      <w:r>
        <w:rPr>
          <w:rFonts w:hint="eastAsia"/>
          <w:sz w:val="24"/>
          <w:lang w:eastAsia="zh-CN"/>
        </w:rPr>
        <w:t>开户银行：</w:t>
      </w:r>
      <w:r>
        <w:rPr>
          <w:rFonts w:hint="eastAsia" w:asciiTheme="minorEastAsia" w:hAnsiTheme="minorEastAsia" w:eastAsiaTheme="minor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pPr>
        <w:spacing w:line="360" w:lineRule="auto"/>
        <w:rPr>
          <w:sz w:val="24"/>
          <w:lang w:eastAsia="zh-CN"/>
        </w:rPr>
      </w:pPr>
      <w:r>
        <w:rPr>
          <w:rFonts w:hint="eastAsia"/>
          <w:sz w:val="24"/>
          <w:lang w:eastAsia="zh-CN"/>
        </w:rPr>
        <w:t>账号：</w:t>
      </w:r>
      <w:r>
        <w:rPr>
          <w:rFonts w:hint="eastAsia" w:asciiTheme="minorEastAsia" w:hAnsiTheme="minorEastAsia" w:eastAsiaTheme="minorEastAsia"/>
          <w:color w:val="000000"/>
          <w:sz w:val="24"/>
          <w:lang w:eastAsia="zh-CN"/>
        </w:rPr>
        <w:t>162070100100021585</w:t>
      </w:r>
      <w:r>
        <w:rPr>
          <w:sz w:val="24"/>
          <w:lang w:eastAsia="zh-CN"/>
        </w:rPr>
        <w:t xml:space="preserve">              </w:t>
      </w:r>
      <w:r>
        <w:rPr>
          <w:rFonts w:hint="eastAsia"/>
          <w:sz w:val="24"/>
          <w:lang w:eastAsia="zh-CN"/>
        </w:rPr>
        <w:t>账号：</w:t>
      </w:r>
    </w:p>
    <w:p>
      <w:pPr>
        <w:widowControl/>
        <w:rPr>
          <w:sz w:val="24"/>
          <w:szCs w:val="32"/>
          <w:lang w:eastAsia="zh-CN"/>
        </w:rPr>
      </w:pPr>
      <w:r>
        <w:rPr>
          <w:sz w:val="24"/>
          <w:szCs w:val="32"/>
          <w:lang w:eastAsia="zh-CN"/>
        </w:rPr>
        <w:br w:type="page"/>
      </w:r>
    </w:p>
    <w:p>
      <w:pPr>
        <w:spacing w:line="52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附件二：参选文件</w:t>
      </w:r>
    </w:p>
    <w:p>
      <w:pPr>
        <w:spacing w:line="520" w:lineRule="exact"/>
        <w:rPr>
          <w:rFonts w:asciiTheme="minorEastAsia" w:hAnsiTheme="minorEastAsia" w:eastAsiaTheme="minorEastAsia"/>
          <w:sz w:val="24"/>
          <w:szCs w:val="24"/>
          <w:lang w:eastAsia="zh-CN"/>
        </w:rPr>
      </w:pPr>
    </w:p>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附件1：报价单</w:t>
      </w:r>
    </w:p>
    <w:p>
      <w:pPr>
        <w:spacing w:line="520" w:lineRule="exact"/>
        <w:rPr>
          <w:rFonts w:asciiTheme="minorEastAsia" w:hAnsiTheme="minorEastAsia" w:eastAsiaTheme="minorEastAsia"/>
          <w:sz w:val="24"/>
          <w:szCs w:val="24"/>
        </w:rPr>
      </w:pPr>
    </w:p>
    <w:p>
      <w:pPr>
        <w:tabs>
          <w:tab w:val="left" w:pos="2955"/>
          <w:tab w:val="center" w:pos="4535"/>
        </w:tabs>
        <w:rPr>
          <w:rFonts w:asciiTheme="minorEastAsia" w:hAnsiTheme="minorEastAsia" w:eastAsiaTheme="minorEastAsia"/>
          <w:sz w:val="24"/>
          <w:szCs w:val="24"/>
        </w:rPr>
      </w:pPr>
      <w:r>
        <w:rPr>
          <w:rFonts w:asciiTheme="minorEastAsia" w:hAnsiTheme="minorEastAsia" w:eastAsiaTheme="minorEastAsia"/>
          <w:b/>
          <w:sz w:val="24"/>
          <w:szCs w:val="24"/>
          <w:lang w:eastAsia="zh-CN"/>
        </w:rPr>
        <w:tab/>
      </w:r>
      <w:r>
        <w:rPr>
          <w:rFonts w:asciiTheme="minorEastAsia" w:hAnsiTheme="minorEastAsia" w:eastAsiaTheme="minorEastAsia"/>
          <w:b/>
          <w:sz w:val="24"/>
          <w:szCs w:val="24"/>
          <w:lang w:eastAsia="zh-CN"/>
        </w:rPr>
        <w:tab/>
      </w:r>
      <w:r>
        <w:rPr>
          <w:rFonts w:hint="eastAsia" w:asciiTheme="minorEastAsia" w:hAnsiTheme="minorEastAsia" w:eastAsiaTheme="minorEastAsia"/>
          <w:b/>
          <w:sz w:val="24"/>
          <w:szCs w:val="24"/>
        </w:rPr>
        <w:t>报 价 函</w:t>
      </w:r>
    </w:p>
    <w:tbl>
      <w:tblPr>
        <w:tblStyle w:val="11"/>
        <w:tblW w:w="9380" w:type="dxa"/>
        <w:tblInd w:w="93" w:type="dxa"/>
        <w:tblLayout w:type="fixed"/>
        <w:tblCellMar>
          <w:top w:w="0" w:type="dxa"/>
          <w:left w:w="108" w:type="dxa"/>
          <w:bottom w:w="0" w:type="dxa"/>
          <w:right w:w="108" w:type="dxa"/>
        </w:tblCellMar>
      </w:tblPr>
      <w:tblGrid>
        <w:gridCol w:w="15"/>
        <w:gridCol w:w="583"/>
        <w:gridCol w:w="1455"/>
        <w:gridCol w:w="1740"/>
        <w:gridCol w:w="765"/>
        <w:gridCol w:w="1065"/>
        <w:gridCol w:w="2355"/>
        <w:gridCol w:w="1402"/>
      </w:tblGrid>
      <w:tr>
        <w:tblPrEx>
          <w:tblCellMar>
            <w:top w:w="0" w:type="dxa"/>
            <w:left w:w="108" w:type="dxa"/>
            <w:bottom w:w="0" w:type="dxa"/>
            <w:right w:w="108" w:type="dxa"/>
          </w:tblCellMar>
        </w:tblPrEx>
        <w:trPr>
          <w:trHeight w:val="420" w:hRule="atLeast"/>
        </w:trPr>
        <w:tc>
          <w:tcPr>
            <w:tcW w:w="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序号</w:t>
            </w:r>
          </w:p>
        </w:tc>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物品名称</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规格</w:t>
            </w:r>
          </w:p>
        </w:tc>
        <w:tc>
          <w:tcPr>
            <w:tcW w:w="76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预估</w:t>
            </w:r>
          </w:p>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数量</w:t>
            </w:r>
          </w:p>
        </w:tc>
        <w:tc>
          <w:tcPr>
            <w:tcW w:w="235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含税</w:t>
            </w:r>
            <w:r>
              <w:rPr>
                <w:rFonts w:hint="eastAsia"/>
              </w:rPr>
              <w:t>单价</w:t>
            </w:r>
          </w:p>
          <w:p>
            <w:pPr>
              <w:jc w:val="center"/>
              <w:rPr>
                <w:rFonts w:hint="default" w:eastAsia="宋体"/>
                <w:lang w:val="en-US" w:eastAsia="zh-CN"/>
              </w:rPr>
            </w:pPr>
            <w:r>
              <w:rPr>
                <w:rFonts w:hint="eastAsia"/>
                <w:lang w:eastAsia="zh-CN"/>
              </w:rPr>
              <w:t>（</w:t>
            </w:r>
            <w:r>
              <w:rPr>
                <w:rFonts w:hint="eastAsia"/>
                <w:lang w:val="en-US" w:eastAsia="zh-CN"/>
              </w:rPr>
              <w:t>元/吨）</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54"/>
              </w:tabs>
              <w:jc w:val="center"/>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暂定总价</w:t>
            </w:r>
          </w:p>
          <w:p>
            <w:pPr>
              <w:tabs>
                <w:tab w:val="left" w:pos="354"/>
              </w:tabs>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（元）</w:t>
            </w:r>
          </w:p>
        </w:tc>
      </w:tr>
      <w:tr>
        <w:tblPrEx>
          <w:tblCellMar>
            <w:top w:w="0" w:type="dxa"/>
            <w:left w:w="108" w:type="dxa"/>
            <w:bottom w:w="0" w:type="dxa"/>
            <w:right w:w="108" w:type="dxa"/>
          </w:tblCellMar>
        </w:tblPrEx>
        <w:trPr>
          <w:trHeight w:val="420" w:hRule="atLeast"/>
        </w:trPr>
        <w:tc>
          <w:tcPr>
            <w:tcW w:w="598"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1455" w:type="dxa"/>
            <w:tcBorders>
              <w:top w:val="nil"/>
              <w:left w:val="nil"/>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u w:val="none"/>
                <w:lang w:val="en-US" w:eastAsia="zh-CN"/>
              </w:rPr>
            </w:pPr>
            <w:r>
              <w:rPr>
                <w:rFonts w:hint="eastAsia" w:asciiTheme="minorEastAsia" w:hAnsiTheme="minorEastAsia" w:eastAsiaTheme="minorEastAsia"/>
                <w:sz w:val="24"/>
                <w:szCs w:val="24"/>
                <w:u w:val="none"/>
                <w:lang w:eastAsia="zh-CN"/>
              </w:rPr>
              <w:t>PTA</w:t>
            </w:r>
            <w:r>
              <w:rPr>
                <w:rFonts w:hint="eastAsia" w:asciiTheme="minorEastAsia" w:hAnsiTheme="minorEastAsia" w:eastAsiaTheme="minorEastAsia"/>
                <w:sz w:val="24"/>
                <w:szCs w:val="24"/>
                <w:u w:val="none"/>
                <w:lang w:val="en-US" w:eastAsia="zh-CN"/>
              </w:rPr>
              <w:t>废干粉</w:t>
            </w:r>
          </w:p>
        </w:tc>
        <w:tc>
          <w:tcPr>
            <w:tcW w:w="174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以现场为准</w:t>
            </w:r>
          </w:p>
        </w:tc>
        <w:tc>
          <w:tcPr>
            <w:tcW w:w="7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吨</w:t>
            </w:r>
          </w:p>
        </w:tc>
        <w:tc>
          <w:tcPr>
            <w:tcW w:w="10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w:t>
            </w:r>
            <w:r>
              <w:rPr>
                <w:rFonts w:hint="eastAsia" w:asciiTheme="minorEastAsia" w:hAnsiTheme="minorEastAsia" w:eastAsiaTheme="minorEastAsia"/>
                <w:color w:val="000000"/>
                <w:sz w:val="24"/>
                <w:szCs w:val="24"/>
                <w:lang w:val="en-US" w:eastAsia="zh-CN"/>
              </w:rPr>
              <w:t>2</w:t>
            </w:r>
            <w:r>
              <w:rPr>
                <w:rFonts w:hint="eastAsia" w:asciiTheme="minorEastAsia" w:hAnsiTheme="minorEastAsia" w:eastAsiaTheme="minorEastAsia"/>
                <w:color w:val="000000"/>
                <w:sz w:val="24"/>
                <w:szCs w:val="24"/>
                <w:lang w:eastAsia="zh-CN"/>
              </w:rPr>
              <w:t>0</w:t>
            </w:r>
          </w:p>
        </w:tc>
        <w:tc>
          <w:tcPr>
            <w:tcW w:w="2355" w:type="dxa"/>
            <w:tcBorders>
              <w:top w:val="nil"/>
              <w:left w:val="nil"/>
              <w:bottom w:val="single" w:color="auto" w:sz="4" w:space="0"/>
              <w:right w:val="single" w:color="auto" w:sz="4" w:space="0"/>
            </w:tcBorders>
            <w:shd w:val="clear" w:color="auto" w:fill="auto"/>
            <w:vAlign w:val="center"/>
          </w:tcPr>
          <w:p>
            <w:pPr>
              <w:jc w:val="center"/>
              <w:rPr>
                <w:rFonts w:hint="default" w:eastAsia="宋体" w:asciiTheme="minorEastAsia" w:hAnsiTheme="minorEastAsia"/>
                <w:color w:val="000000"/>
                <w:sz w:val="24"/>
                <w:szCs w:val="24"/>
                <w:lang w:val="en-US" w:eastAsia="zh-CN"/>
              </w:rPr>
            </w:pPr>
            <w:r>
              <w:rPr>
                <w:rFonts w:hint="eastAsia"/>
              </w:rPr>
              <w:t>基准价</w:t>
            </w:r>
            <w:r>
              <w:rPr>
                <w:rFonts w:hint="eastAsia"/>
                <w:lang w:val="en-US" w:eastAsia="zh-CN"/>
              </w:rPr>
              <w:t>格*</w:t>
            </w:r>
            <w:r>
              <w:rPr>
                <w:rFonts w:hint="eastAsia"/>
                <w:u w:val="single"/>
                <w:lang w:val="en-US" w:eastAsia="zh-CN"/>
              </w:rPr>
              <w:t xml:space="preserve">    %</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inorEastAsia" w:hAnsiTheme="minorEastAsia" w:eastAsiaTheme="minorEastAsia"/>
                <w:color w:val="000000"/>
                <w:sz w:val="24"/>
                <w:szCs w:val="24"/>
                <w:lang w:val="en-US"/>
              </w:rPr>
            </w:pPr>
          </w:p>
        </w:tc>
      </w:tr>
      <w:tr>
        <w:tblPrEx>
          <w:tblCellMar>
            <w:top w:w="0" w:type="dxa"/>
            <w:left w:w="108" w:type="dxa"/>
            <w:bottom w:w="0" w:type="dxa"/>
            <w:right w:w="108" w:type="dxa"/>
          </w:tblCellMar>
        </w:tblPrEx>
        <w:trPr>
          <w:trHeight w:val="420" w:hRule="atLeast"/>
        </w:trPr>
        <w:tc>
          <w:tcPr>
            <w:tcW w:w="3793"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合计（元）</w:t>
            </w:r>
          </w:p>
        </w:tc>
        <w:tc>
          <w:tcPr>
            <w:tcW w:w="5587" w:type="dxa"/>
            <w:gridSpan w:val="4"/>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1706" w:hRule="atLeast"/>
        </w:trPr>
        <w:tc>
          <w:tcPr>
            <w:tcW w:w="9365" w:type="dxa"/>
            <w:gridSpan w:val="7"/>
            <w:shd w:val="clear" w:color="auto" w:fill="auto"/>
          </w:tcPr>
          <w:p>
            <w:pPr>
              <w:widowControl/>
              <w:ind w:left="257" w:leftChars="-9" w:hanging="277" w:hangingChars="126"/>
            </w:pPr>
            <w:r>
              <w:rPr>
                <w:rFonts w:hint="eastAsia"/>
              </w:rPr>
              <w:t>说明：</w:t>
            </w:r>
          </w:p>
          <w:p>
            <w:pPr>
              <w:widowControl/>
              <w:numPr>
                <w:ilvl w:val="0"/>
                <w:numId w:val="5"/>
              </w:numPr>
              <w:autoSpaceDE/>
              <w:autoSpaceDN/>
              <w:ind w:left="257" w:leftChars="-9" w:hanging="277" w:hangingChars="126"/>
              <w:rPr>
                <w:lang w:eastAsia="zh-CN"/>
              </w:rPr>
            </w:pPr>
            <w:r>
              <w:rPr>
                <w:rFonts w:hint="eastAsia"/>
                <w:lang w:eastAsia="zh-CN"/>
              </w:rPr>
              <w:t xml:space="preserve">地点：漳州市古雷经济开发区福海创PTA厂区 </w:t>
            </w:r>
          </w:p>
          <w:p>
            <w:pPr>
              <w:widowControl/>
              <w:numPr>
                <w:ilvl w:val="0"/>
                <w:numId w:val="5"/>
              </w:numPr>
              <w:autoSpaceDE/>
              <w:autoSpaceDN/>
              <w:ind w:left="257" w:leftChars="-9" w:hanging="277" w:hangingChars="126"/>
              <w:rPr>
                <w:lang w:eastAsia="zh-CN"/>
              </w:rPr>
            </w:pPr>
            <w:r>
              <w:rPr>
                <w:rFonts w:hint="eastAsia"/>
                <w:lang w:val="en-US" w:eastAsia="zh-CN"/>
              </w:rPr>
              <w:t>工期</w:t>
            </w:r>
            <w:r>
              <w:rPr>
                <w:rFonts w:hint="eastAsia"/>
                <w:lang w:eastAsia="zh-CN"/>
              </w:rPr>
              <w:t>：</w:t>
            </w:r>
            <w:r>
              <w:rPr>
                <w:rFonts w:hint="eastAsia"/>
                <w:lang w:val="en-US" w:eastAsia="zh-CN"/>
              </w:rPr>
              <w:t>合同签订之日起30</w:t>
            </w:r>
            <w:r>
              <w:rPr>
                <w:rFonts w:hint="eastAsia"/>
                <w:lang w:eastAsia="zh-CN"/>
              </w:rPr>
              <w:t xml:space="preserve">天内全部清运。 </w:t>
            </w:r>
          </w:p>
          <w:p>
            <w:pPr>
              <w:widowControl/>
              <w:numPr>
                <w:ilvl w:val="0"/>
                <w:numId w:val="5"/>
              </w:numPr>
              <w:autoSpaceDE/>
              <w:autoSpaceDN/>
              <w:ind w:left="257" w:leftChars="-9" w:hanging="277" w:hangingChars="126"/>
              <w:rPr>
                <w:rFonts w:hint="eastAsia"/>
                <w:lang w:eastAsia="zh-CN"/>
              </w:rPr>
            </w:pPr>
            <w:r>
              <w:rPr>
                <w:rFonts w:hint="eastAsia"/>
                <w:lang w:eastAsia="zh-CN"/>
              </w:rPr>
              <w:t>发票：报价为含税价；翔鹭石化（漳州）有限公司出具   %增值税发票。</w:t>
            </w:r>
          </w:p>
          <w:p>
            <w:pPr>
              <w:widowControl/>
              <w:numPr>
                <w:ilvl w:val="0"/>
                <w:numId w:val="5"/>
              </w:numPr>
              <w:autoSpaceDE/>
              <w:autoSpaceDN/>
              <w:ind w:left="257" w:leftChars="-9" w:hanging="277" w:hangingChars="126"/>
              <w:rPr>
                <w:lang w:eastAsia="zh-CN"/>
              </w:rPr>
            </w:pPr>
            <w:r>
              <w:rPr>
                <w:rFonts w:hint="eastAsia"/>
                <w:lang w:eastAsia="zh-CN"/>
              </w:rPr>
              <w:t>付款条件：</w:t>
            </w:r>
            <w:r>
              <w:rPr>
                <w:rFonts w:hint="default" w:ascii="Times New Roman" w:hAnsi="Times New Roman" w:eastAsia="宋体" w:cs="Times New Roman"/>
                <w:sz w:val="24"/>
                <w:szCs w:val="24"/>
                <w:lang w:val="en-US" w:eastAsia="zh-CN"/>
              </w:rPr>
              <w:t>乙方应在</w:t>
            </w:r>
            <w:r>
              <w:rPr>
                <w:rFonts w:hint="eastAsia" w:ascii="Times New Roman" w:hAnsi="Times New Roman" w:cs="Times New Roman"/>
                <w:sz w:val="24"/>
                <w:szCs w:val="24"/>
                <w:lang w:val="en-US" w:eastAsia="zh-CN"/>
              </w:rPr>
              <w:t>合同生效</w:t>
            </w:r>
            <w:r>
              <w:rPr>
                <w:rFonts w:hint="default" w:ascii="Times New Roman" w:hAnsi="Times New Roman" w:eastAsia="宋体" w:cs="Times New Roman"/>
                <w:sz w:val="24"/>
                <w:szCs w:val="24"/>
                <w:lang w:val="en-US" w:eastAsia="zh-CN"/>
              </w:rPr>
              <w:t>后 3日内向甲方支付</w:t>
            </w:r>
            <w:r>
              <w:rPr>
                <w:rFonts w:hint="eastAsia" w:ascii="Times New Roman" w:hAnsi="Times New Roman" w:cs="Times New Roman"/>
                <w:sz w:val="24"/>
                <w:szCs w:val="24"/>
                <w:lang w:val="en-US" w:eastAsia="zh-CN"/>
              </w:rPr>
              <w:t>合同暂估</w:t>
            </w:r>
            <w:r>
              <w:rPr>
                <w:rFonts w:hint="default" w:ascii="Times New Roman" w:hAnsi="Times New Roman" w:eastAsia="宋体" w:cs="Times New Roman"/>
                <w:sz w:val="24"/>
                <w:szCs w:val="24"/>
                <w:lang w:val="en-US" w:eastAsia="zh-CN"/>
              </w:rPr>
              <w:t>的全额货款</w:t>
            </w:r>
            <w:r>
              <w:rPr>
                <w:rFonts w:hint="eastAsia"/>
                <w:lang w:val="en-US" w:eastAsia="zh-CN"/>
              </w:rPr>
              <w:t>，并依据实际过磅数量在出厂前需缴交足额货款，方可出厂；双方结算以多退少补的方式进行</w:t>
            </w:r>
            <w:r>
              <w:rPr>
                <w:rFonts w:hint="eastAsia"/>
                <w:lang w:eastAsia="zh-CN"/>
              </w:rPr>
              <w:t>。（重量依据：PTA厂区过磅室过磅单为准）</w:t>
            </w:r>
          </w:p>
          <w:p>
            <w:pPr>
              <w:widowControl/>
              <w:numPr>
                <w:ilvl w:val="0"/>
                <w:numId w:val="5"/>
              </w:numPr>
              <w:ind w:left="257" w:leftChars="-9" w:hanging="277" w:hangingChars="126"/>
              <w:rPr>
                <w:rFonts w:hint="eastAsia"/>
              </w:rPr>
            </w:pPr>
            <w:r>
              <w:rPr>
                <w:rFonts w:hint="eastAsia"/>
                <w:lang w:eastAsia="zh-CN"/>
              </w:rPr>
              <w:t>报价视同了解现场PTA废干粉品质，运输时不得挑拣，报价请充分考虑。</w:t>
            </w:r>
          </w:p>
          <w:p>
            <w:pPr>
              <w:numPr>
                <w:ilvl w:val="0"/>
                <w:numId w:val="5"/>
              </w:numPr>
              <w:ind w:left="280" w:leftChars="0" w:hanging="300" w:firstLineChars="0"/>
              <w:rPr>
                <w:rFonts w:hint="eastAsia"/>
              </w:rPr>
            </w:pPr>
            <w:r>
              <w:rPr>
                <w:rFonts w:hint="eastAsia"/>
              </w:rPr>
              <w:t>上表</w:t>
            </w:r>
            <w:r>
              <w:rPr>
                <w:rFonts w:hint="eastAsia"/>
                <w:lang w:val="en-US" w:eastAsia="zh-CN"/>
              </w:rPr>
              <w:t>3</w:t>
            </w:r>
            <w:r>
              <w:rPr>
                <w:rFonts w:hint="eastAsia"/>
              </w:rPr>
              <w:t>项</w:t>
            </w:r>
            <w:r>
              <w:rPr>
                <w:rFonts w:hint="eastAsia"/>
                <w:lang w:val="en-US" w:eastAsia="zh-CN"/>
              </w:rPr>
              <w:t>PTA废干粉</w:t>
            </w:r>
            <w:r>
              <w:rPr>
                <w:rFonts w:hint="eastAsia"/>
              </w:rPr>
              <w:t>外售单价均实行浮动定价，定价模式如下:</w:t>
            </w:r>
          </w:p>
          <w:p>
            <w:pPr>
              <w:ind w:left="270" w:leftChars="118" w:hanging="10" w:firstLineChars="0"/>
              <w:rPr>
                <w:rFonts w:hint="eastAsia"/>
                <w:b/>
                <w:bCs/>
                <w:u w:val="single"/>
                <w:lang w:val="en-US" w:eastAsia="zh-CN"/>
              </w:rPr>
            </w:pPr>
            <w:r>
              <w:rPr>
                <w:rFonts w:hint="eastAsia"/>
                <w:b/>
                <w:bCs/>
              </w:rPr>
              <w:t>基准价格:</w:t>
            </w:r>
            <w:r>
              <w:rPr>
                <w:rFonts w:hint="eastAsia"/>
                <w:lang w:val="en-US" w:eastAsia="zh-CN"/>
              </w:rPr>
              <w:t>双方约定结算基准价格以每批次PTA废干粉出厂日期的上个月26日至本月25日中国化纤网（</w:t>
            </w:r>
            <w:r>
              <w:rPr>
                <w:rFonts w:hint="default"/>
                <w:lang w:val="en-US" w:eastAsia="zh-CN"/>
              </w:rPr>
              <w:t>CCF</w:t>
            </w:r>
            <w:r>
              <w:rPr>
                <w:rFonts w:hint="eastAsia"/>
                <w:lang w:val="en-US" w:eastAsia="zh-CN"/>
              </w:rPr>
              <w:t>）</w:t>
            </w:r>
            <w:r>
              <w:rPr>
                <w:rFonts w:hint="default"/>
                <w:lang w:val="en-US" w:eastAsia="zh-CN"/>
              </w:rPr>
              <w:t>和</w:t>
            </w:r>
            <w:r>
              <w:rPr>
                <w:rFonts w:hint="eastAsia"/>
                <w:lang w:val="en-US" w:eastAsia="zh-CN"/>
              </w:rPr>
              <w:t>中国化纤经济信息网（</w:t>
            </w:r>
            <w:r>
              <w:rPr>
                <w:rFonts w:hint="default"/>
                <w:lang w:val="en-US" w:eastAsia="zh-CN"/>
              </w:rPr>
              <w:t>CCFEI</w:t>
            </w:r>
            <w:r>
              <w:rPr>
                <w:rFonts w:hint="eastAsia"/>
                <w:lang w:val="en-US" w:eastAsia="zh-CN"/>
              </w:rPr>
              <w:t xml:space="preserve">）两网PTA华东内盘日均价为基准价格(网址:https://www.ccfei.com和 https://www.ccf.com.cn)。结算价格按该公式进行结算: </w:t>
            </w:r>
            <w:r>
              <w:rPr>
                <w:rFonts w:hint="eastAsia"/>
                <w:b/>
                <w:bCs/>
                <w:u w:val="single"/>
                <w:lang w:val="en-US" w:eastAsia="zh-CN"/>
              </w:rPr>
              <w:t>基准价格*折旧率*吨数。</w:t>
            </w:r>
          </w:p>
          <w:p>
            <w:pPr>
              <w:pStyle w:val="2"/>
              <w:rPr>
                <w:rFonts w:hint="default"/>
                <w:lang w:val="en-US" w:eastAsia="zh-CN"/>
              </w:rPr>
            </w:pPr>
            <w:r>
              <w:rPr>
                <w:rFonts w:hint="eastAsia" w:ascii="宋体" w:hAnsi="宋体" w:eastAsia="宋体" w:cs="宋体"/>
                <w:sz w:val="22"/>
                <w:szCs w:val="22"/>
                <w:lang w:val="en-US" w:eastAsia="zh-CN" w:bidi="ar-SA"/>
              </w:rPr>
              <w:t>7.中选原则:暂定总价最高</w:t>
            </w:r>
            <w:r>
              <w:rPr>
                <w:rFonts w:hint="eastAsia" w:hAnsi="宋体" w:cs="宋体"/>
                <w:sz w:val="22"/>
                <w:szCs w:val="22"/>
                <w:lang w:val="en-US" w:eastAsia="zh-CN" w:bidi="ar-SA"/>
              </w:rPr>
              <w:t>者</w:t>
            </w:r>
            <w:r>
              <w:rPr>
                <w:rFonts w:hint="eastAsia" w:ascii="宋体" w:hAnsi="宋体" w:eastAsia="宋体" w:cs="宋体"/>
                <w:sz w:val="22"/>
                <w:szCs w:val="22"/>
                <w:lang w:val="en-US" w:eastAsia="zh-CN" w:bidi="ar-SA"/>
              </w:rPr>
              <w:t>中选,投标报价暂定基准价格为2023年</w:t>
            </w:r>
            <w:r>
              <w:rPr>
                <w:rFonts w:hint="eastAsia" w:hAnsi="宋体" w:cs="宋体"/>
                <w:sz w:val="22"/>
                <w:szCs w:val="22"/>
                <w:lang w:val="en-US" w:eastAsia="zh-CN" w:bidi="ar-SA"/>
              </w:rPr>
              <w:t>10</w:t>
            </w:r>
            <w:r>
              <w:rPr>
                <w:rFonts w:hint="eastAsia" w:ascii="宋体" w:hAnsi="宋体" w:eastAsia="宋体" w:cs="宋体"/>
                <w:sz w:val="22"/>
                <w:szCs w:val="22"/>
                <w:lang w:val="en-US" w:eastAsia="zh-CN" w:bidi="ar-SA"/>
              </w:rPr>
              <w:t>月PTA两网均价为</w:t>
            </w:r>
            <w:r>
              <w:rPr>
                <w:rFonts w:hint="eastAsia" w:hAnsi="宋体" w:cs="宋体"/>
                <w:sz w:val="22"/>
                <w:szCs w:val="22"/>
                <w:lang w:val="en-US" w:eastAsia="zh-CN" w:bidi="ar-SA"/>
              </w:rPr>
              <w:t>RMB5915.28</w:t>
            </w:r>
            <w:r>
              <w:rPr>
                <w:rFonts w:hint="eastAsia" w:ascii="宋体" w:hAnsi="宋体" w:eastAsia="宋体" w:cs="宋体"/>
                <w:sz w:val="22"/>
                <w:szCs w:val="22"/>
                <w:lang w:val="en-US" w:eastAsia="zh-CN" w:bidi="ar-SA"/>
              </w:rPr>
              <w:t>元/吨(含税)</w:t>
            </w:r>
            <w:r>
              <w:rPr>
                <w:rFonts w:hint="eastAsia" w:hAnsi="宋体" w:cs="宋体"/>
                <w:sz w:val="22"/>
                <w:szCs w:val="22"/>
                <w:lang w:val="en-US" w:eastAsia="zh-CN" w:bidi="ar-SA"/>
              </w:rPr>
              <w:t>，</w:t>
            </w:r>
            <w:r>
              <w:rPr>
                <w:rFonts w:hint="eastAsia" w:ascii="宋体" w:hAnsi="宋体" w:eastAsia="宋体" w:cs="宋体"/>
                <w:sz w:val="22"/>
                <w:szCs w:val="22"/>
                <w:lang w:val="en-US" w:eastAsia="zh-CN" w:bidi="ar-SA"/>
              </w:rPr>
              <w:t>暂定总价</w:t>
            </w:r>
            <w:r>
              <w:rPr>
                <w:rFonts w:hint="eastAsia" w:hAnsi="宋体" w:cs="宋体"/>
                <w:sz w:val="22"/>
                <w:szCs w:val="22"/>
                <w:lang w:val="en-US" w:eastAsia="zh-CN" w:bidi="ar-SA"/>
              </w:rPr>
              <w:t>等于各项“</w:t>
            </w:r>
            <w:r>
              <w:rPr>
                <w:rFonts w:hint="eastAsia" w:ascii="宋体" w:hAnsi="宋体" w:eastAsia="宋体" w:cs="宋体"/>
                <w:sz w:val="22"/>
                <w:szCs w:val="22"/>
                <w:lang w:val="en-US" w:eastAsia="zh-CN" w:bidi="ar-SA"/>
              </w:rPr>
              <w:t>基准价</w:t>
            </w:r>
            <w:r>
              <w:rPr>
                <w:rFonts w:hint="eastAsia" w:hAnsi="宋体" w:cs="宋体"/>
                <w:sz w:val="22"/>
                <w:szCs w:val="22"/>
                <w:lang w:val="en-US" w:eastAsia="zh-CN" w:bidi="ar-SA"/>
              </w:rPr>
              <w:t>格</w:t>
            </w:r>
            <w:r>
              <w:rPr>
                <w:rFonts w:hint="eastAsia" w:ascii="宋体" w:hAnsi="宋体" w:eastAsia="宋体" w:cs="宋体"/>
                <w:sz w:val="22"/>
                <w:szCs w:val="22"/>
                <w:lang w:val="en-US" w:eastAsia="zh-CN" w:bidi="ar-SA"/>
              </w:rPr>
              <w:t>*折旧率*吨数</w:t>
            </w:r>
            <w:r>
              <w:rPr>
                <w:rFonts w:hint="eastAsia" w:hAnsi="宋体" w:cs="宋体"/>
                <w:sz w:val="22"/>
                <w:szCs w:val="22"/>
                <w:lang w:val="en-US" w:eastAsia="zh-CN" w:bidi="ar-SA"/>
              </w:rPr>
              <w:t>”之和。</w:t>
            </w:r>
          </w:p>
        </w:tc>
      </w:tr>
    </w:tbl>
    <w:p>
      <w:pPr>
        <w:pStyle w:val="2"/>
        <w:rPr>
          <w:rFonts w:asciiTheme="minorEastAsia" w:hAnsiTheme="minorEastAsia" w:eastAsiaTheme="minorEastAsia"/>
          <w:bCs/>
          <w:iCs/>
          <w:sz w:val="24"/>
          <w:szCs w:val="24"/>
          <w:lang w:eastAsia="zh-CN"/>
        </w:rPr>
      </w:pPr>
    </w:p>
    <w:p>
      <w:pPr>
        <w:pStyle w:val="2"/>
        <w:rPr>
          <w:rFonts w:asciiTheme="minorEastAsia" w:hAnsiTheme="minorEastAsia" w:eastAsiaTheme="minorEastAsia"/>
          <w:bCs/>
          <w:iCs/>
          <w:sz w:val="24"/>
          <w:szCs w:val="24"/>
          <w:lang w:eastAsia="zh-CN"/>
        </w:rPr>
      </w:pPr>
    </w:p>
    <w:p>
      <w:pPr>
        <w:pStyle w:val="2"/>
        <w:rPr>
          <w:rFonts w:asciiTheme="minorEastAsia" w:hAnsiTheme="minorEastAsia" w:eastAsiaTheme="minorEastAsia"/>
          <w:bCs/>
          <w:iCs/>
          <w:sz w:val="24"/>
          <w:szCs w:val="24"/>
          <w:lang w:eastAsia="zh-CN"/>
        </w:rPr>
      </w:pPr>
    </w:p>
    <w:p>
      <w:pPr>
        <w:rPr>
          <w:rFonts w:asciiTheme="minorEastAsia" w:hAnsiTheme="minorEastAsia" w:eastAsiaTheme="minorEastAsia"/>
          <w:bCs/>
          <w:iCs/>
          <w:sz w:val="24"/>
          <w:szCs w:val="24"/>
          <w:lang w:eastAsia="zh-CN"/>
        </w:rPr>
      </w:pPr>
    </w:p>
    <w:p>
      <w:pPr>
        <w:ind w:left="5500" w:leftChars="25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参选单位盖章：</w:t>
      </w: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 xml:space="preserve">参选单位代表签字： </w:t>
      </w: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p>
    <w:p>
      <w:pPr>
        <w:ind w:left="220" w:leftChars="100" w:firstLine="0" w:firstLineChars="0"/>
        <w:rPr>
          <w:rFonts w:asciiTheme="minorEastAsia" w:hAnsiTheme="minorEastAsia" w:eastAsiaTheme="minorEastAsia"/>
          <w:bCs/>
          <w:iCs/>
          <w:sz w:val="24"/>
          <w:szCs w:val="24"/>
          <w:lang w:eastAsia="zh-CN"/>
        </w:rPr>
      </w:pPr>
      <w:r>
        <w:rPr>
          <w:rFonts w:hint="eastAsia" w:asciiTheme="minorEastAsia" w:hAnsiTheme="minorEastAsia" w:eastAsiaTheme="minorEastAsia"/>
          <w:bCs/>
          <w:iCs/>
          <w:sz w:val="24"/>
          <w:szCs w:val="24"/>
          <w:lang w:eastAsia="zh-CN"/>
        </w:rPr>
        <w:t>日期：</w:t>
      </w:r>
    </w:p>
    <w:p>
      <w:pPr>
        <w:ind w:left="220" w:leftChars="100" w:firstLine="0" w:firstLineChars="0"/>
        <w:rPr>
          <w:rFonts w:asciiTheme="minorEastAsia" w:hAnsiTheme="minorEastAsia" w:eastAsiaTheme="minorEastAsia"/>
          <w:bCs/>
          <w:iCs/>
          <w:sz w:val="24"/>
          <w:szCs w:val="24"/>
          <w:lang w:eastAsia="zh-CN"/>
        </w:rPr>
      </w:pPr>
    </w:p>
    <w:p>
      <w:pPr>
        <w:widowControl/>
        <w:rPr>
          <w:rFonts w:ascii="新宋体" w:hAnsi="新宋体" w:eastAsia="新宋体"/>
          <w:bCs/>
          <w:iCs/>
          <w:sz w:val="24"/>
          <w:lang w:eastAsia="zh-CN"/>
        </w:rPr>
      </w:pPr>
    </w:p>
    <w:p>
      <w:pPr>
        <w:spacing w:line="520" w:lineRule="exact"/>
        <w:rPr>
          <w:sz w:val="21"/>
          <w:szCs w:val="21"/>
          <w:lang w:eastAsia="zh-CN"/>
        </w:rPr>
      </w:pPr>
    </w:p>
    <w:p>
      <w:pPr>
        <w:spacing w:line="520" w:lineRule="exact"/>
        <w:rPr>
          <w:sz w:val="21"/>
          <w:szCs w:val="21"/>
          <w:lang w:eastAsia="zh-CN"/>
        </w:rPr>
      </w:pPr>
    </w:p>
    <w:p>
      <w:pPr>
        <w:widowControl/>
        <w:rPr>
          <w:sz w:val="21"/>
          <w:szCs w:val="21"/>
          <w:lang w:eastAsia="zh-CN"/>
        </w:rPr>
      </w:pPr>
      <w:r>
        <w:rPr>
          <w:sz w:val="21"/>
          <w:szCs w:val="21"/>
          <w:lang w:eastAsia="zh-CN"/>
        </w:rPr>
        <w:br w:type="page"/>
      </w:r>
    </w:p>
    <w:p>
      <w:pPr>
        <w:rPr>
          <w:color w:val="000000"/>
          <w:sz w:val="24"/>
          <w:szCs w:val="24"/>
          <w:lang w:eastAsia="zh-CN"/>
        </w:rPr>
      </w:pPr>
      <w:r>
        <w:rPr>
          <w:rFonts w:hint="eastAsia"/>
          <w:color w:val="000000"/>
          <w:sz w:val="24"/>
          <w:szCs w:val="24"/>
          <w:lang w:eastAsia="zh-CN"/>
        </w:rPr>
        <w:t>附件2：</w:t>
      </w:r>
      <w:r>
        <w:rPr>
          <w:color w:val="000000"/>
          <w:sz w:val="24"/>
          <w:szCs w:val="24"/>
          <w:lang w:eastAsia="zh-CN"/>
        </w:rPr>
        <w:t xml:space="preserve"> </w:t>
      </w:r>
    </w:p>
    <w:p>
      <w:pPr>
        <w:snapToGrid w:val="0"/>
        <w:spacing w:line="360" w:lineRule="auto"/>
        <w:jc w:val="center"/>
        <w:rPr>
          <w:b/>
          <w:bCs/>
          <w:sz w:val="24"/>
          <w:szCs w:val="24"/>
          <w:lang w:eastAsia="zh-CN"/>
        </w:rPr>
      </w:pPr>
      <w:r>
        <w:rPr>
          <w:rFonts w:hint="eastAsia"/>
          <w:b/>
          <w:bCs/>
          <w:sz w:val="24"/>
          <w:szCs w:val="24"/>
          <w:lang w:eastAsia="zh-CN"/>
        </w:rPr>
        <w:t>法定代表人授权委托书</w:t>
      </w:r>
    </w:p>
    <w:p>
      <w:pPr>
        <w:snapToGrid w:val="0"/>
        <w:spacing w:line="276" w:lineRule="auto"/>
        <w:jc w:val="center"/>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pacing w:line="360" w:lineRule="auto"/>
        <w:ind w:firstLine="480" w:firstLineChars="200"/>
        <w:rPr>
          <w:sz w:val="24"/>
          <w:szCs w:val="24"/>
          <w:lang w:eastAsia="zh-CN"/>
        </w:rPr>
      </w:pPr>
      <w:r>
        <w:rPr>
          <w:rFonts w:hint="eastAsia"/>
          <w:sz w:val="24"/>
          <w:szCs w:val="24"/>
          <w:lang w:eastAsia="zh-CN"/>
        </w:rPr>
        <w:t>本授权书声明</w:t>
      </w:r>
      <w:r>
        <w:rPr>
          <w:sz w:val="24"/>
          <w:szCs w:val="24"/>
          <w:lang w:eastAsia="zh-CN"/>
        </w:rPr>
        <w:t>:</w:t>
      </w:r>
      <w:r>
        <w:rPr>
          <w:rFonts w:hint="eastAsia"/>
          <w:sz w:val="24"/>
          <w:szCs w:val="24"/>
          <w:lang w:eastAsia="zh-CN"/>
        </w:rPr>
        <w:t>注册于</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公司住所</w:t>
      </w:r>
      <w:r>
        <w:rPr>
          <w:sz w:val="24"/>
          <w:szCs w:val="24"/>
          <w:u w:val="single"/>
          <w:lang w:eastAsia="zh-CN"/>
        </w:rPr>
        <w:t>)</w:t>
      </w:r>
      <w:r>
        <w:rPr>
          <w:rFonts w:hint="eastAsia"/>
          <w:sz w:val="24"/>
          <w:szCs w:val="24"/>
          <w:lang w:eastAsia="zh-CN"/>
        </w:rPr>
        <w:t>的</w:t>
      </w:r>
      <w:r>
        <w:rPr>
          <w:sz w:val="24"/>
          <w:szCs w:val="24"/>
          <w:u w:val="single"/>
          <w:lang w:eastAsia="zh-CN"/>
        </w:rPr>
        <w:t xml:space="preserve">          </w:t>
      </w:r>
      <w:r>
        <w:rPr>
          <w:rFonts w:hint="eastAsia"/>
          <w:sz w:val="24"/>
          <w:szCs w:val="24"/>
          <w:u w:val="single"/>
          <w:lang w:eastAsia="zh-CN"/>
        </w:rPr>
        <w:t>（公司名称</w:t>
      </w:r>
      <w:r>
        <w:rPr>
          <w:sz w:val="24"/>
          <w:szCs w:val="24"/>
          <w:u w:val="single"/>
          <w:lang w:eastAsia="zh-CN"/>
        </w:rPr>
        <w:t>)</w:t>
      </w:r>
      <w:r>
        <w:rPr>
          <w:rFonts w:hint="eastAsia"/>
          <w:sz w:val="24"/>
          <w:szCs w:val="24"/>
          <w:lang w:eastAsia="zh-CN"/>
        </w:rPr>
        <w:t>的法定代表人</w:t>
      </w:r>
      <w:r>
        <w:rPr>
          <w:sz w:val="24"/>
          <w:szCs w:val="24"/>
          <w:u w:val="single"/>
          <w:lang w:eastAsia="zh-CN"/>
        </w:rPr>
        <w:t xml:space="preserve">        (</w:t>
      </w:r>
      <w:r>
        <w:rPr>
          <w:rFonts w:hint="eastAsia"/>
          <w:sz w:val="24"/>
          <w:szCs w:val="24"/>
          <w:u w:val="single"/>
          <w:lang w:eastAsia="zh-CN"/>
        </w:rPr>
        <w:t>法定代表人姓名</w:t>
      </w:r>
      <w:r>
        <w:rPr>
          <w:sz w:val="24"/>
          <w:szCs w:val="24"/>
          <w:u w:val="single"/>
          <w:lang w:eastAsia="zh-CN"/>
        </w:rPr>
        <w:t>)</w:t>
      </w:r>
      <w:r>
        <w:rPr>
          <w:rFonts w:hint="eastAsia"/>
          <w:sz w:val="24"/>
          <w:szCs w:val="24"/>
          <w:lang w:eastAsia="zh-CN"/>
        </w:rPr>
        <w:t>代表本公司授权</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（代理人的姓名）</w:t>
      </w:r>
      <w:r>
        <w:rPr>
          <w:rFonts w:hint="eastAsia"/>
          <w:sz w:val="24"/>
          <w:szCs w:val="24"/>
          <w:lang w:eastAsia="zh-CN"/>
        </w:rPr>
        <w:t>为公司的合法代理人，参加</w:t>
      </w:r>
      <w:r>
        <w:rPr>
          <w:rFonts w:hint="eastAsia"/>
          <w:sz w:val="24"/>
          <w:szCs w:val="24"/>
          <w:u w:val="single"/>
          <w:lang w:eastAsia="zh-CN"/>
        </w:rPr>
        <w:t xml:space="preserve"> 福建福海创石油化工有限公司PTA废干粉销售（项目编号：FHC-PTXS20231103127） </w:t>
      </w:r>
      <w:r>
        <w:rPr>
          <w:rFonts w:hint="eastAsia"/>
          <w:sz w:val="24"/>
          <w:szCs w:val="24"/>
          <w:lang w:eastAsia="zh-CN"/>
        </w:rPr>
        <w:t>项目的意向比选方申请登记、比选竞价，我方承认代理人全权代表我方所签署的本项目的参选文件、签订合同和处理有关事宜，其法律后果由我方承担。</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460"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460"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spacing w:line="276" w:lineRule="auto"/>
        <w:ind w:firstLine="480" w:firstLineChars="200"/>
        <w:rPr>
          <w:color w:val="000000"/>
          <w:sz w:val="24"/>
          <w:szCs w:val="24"/>
        </w:rPr>
      </w:pPr>
    </w:p>
    <w:p>
      <w:pPr>
        <w:spacing w:line="276"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276"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p>
    <w:p>
      <w:pPr>
        <w:spacing w:line="276"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276" w:lineRule="auto"/>
        <w:ind w:firstLine="480" w:firstLineChars="200"/>
        <w:rPr>
          <w:color w:val="000000"/>
          <w:sz w:val="24"/>
          <w:szCs w:val="24"/>
          <w:lang w:eastAsia="zh-CN"/>
        </w:rPr>
      </w:pP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276"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2"/>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4470" w:type="dxa"/>
          </w:tcPr>
          <w:p>
            <w:pPr>
              <w:spacing w:line="360" w:lineRule="auto"/>
              <w:rPr>
                <w:color w:val="000000"/>
                <w:sz w:val="24"/>
                <w:szCs w:val="24"/>
                <w:lang w:eastAsia="zh-CN"/>
              </w:rPr>
            </w:pPr>
          </w:p>
          <w:p>
            <w:pPr>
              <w:spacing w:line="360" w:lineRule="auto"/>
              <w:rPr>
                <w:color w:val="000000"/>
                <w:sz w:val="24"/>
                <w:szCs w:val="24"/>
                <w:lang w:eastAsia="zh-CN"/>
              </w:rPr>
            </w:pPr>
          </w:p>
          <w:p>
            <w:pPr>
              <w:spacing w:line="360" w:lineRule="auto"/>
              <w:jc w:val="center"/>
              <w:rPr>
                <w:color w:val="000000"/>
                <w:sz w:val="24"/>
                <w:szCs w:val="24"/>
              </w:rPr>
            </w:pPr>
            <w:r>
              <w:rPr>
                <w:rFonts w:hint="eastAsia"/>
                <w:color w:val="000000"/>
                <w:sz w:val="24"/>
                <w:szCs w:val="24"/>
              </w:rPr>
              <w:t>（正面）</w:t>
            </w:r>
          </w:p>
          <w:p>
            <w:pPr>
              <w:spacing w:line="360" w:lineRule="auto"/>
              <w:rPr>
                <w:color w:val="000000"/>
                <w:sz w:val="24"/>
                <w:szCs w:val="24"/>
              </w:rPr>
            </w:pPr>
          </w:p>
          <w:p>
            <w:pPr>
              <w:spacing w:line="360" w:lineRule="auto"/>
              <w:rPr>
                <w:color w:val="000000"/>
                <w:sz w:val="24"/>
                <w:szCs w:val="24"/>
              </w:rPr>
            </w:pPr>
          </w:p>
          <w:p>
            <w:pPr>
              <w:spacing w:line="360" w:lineRule="auto"/>
              <w:rPr>
                <w:color w:val="000000"/>
                <w:sz w:val="24"/>
                <w:szCs w:val="24"/>
              </w:rPr>
            </w:pPr>
          </w:p>
        </w:tc>
        <w:tc>
          <w:tcPr>
            <w:tcW w:w="4470" w:type="dxa"/>
          </w:tcPr>
          <w:p>
            <w:pPr>
              <w:spacing w:line="360" w:lineRule="auto"/>
              <w:rPr>
                <w:color w:val="000000"/>
                <w:sz w:val="24"/>
                <w:szCs w:val="24"/>
              </w:rPr>
            </w:pPr>
          </w:p>
          <w:p>
            <w:pPr>
              <w:spacing w:line="360" w:lineRule="auto"/>
              <w:rPr>
                <w:color w:val="000000"/>
                <w:sz w:val="24"/>
                <w:szCs w:val="24"/>
              </w:rPr>
            </w:pPr>
          </w:p>
          <w:p>
            <w:pPr>
              <w:spacing w:line="360" w:lineRule="auto"/>
              <w:jc w:val="center"/>
              <w:rPr>
                <w:color w:val="000000"/>
                <w:sz w:val="24"/>
                <w:szCs w:val="24"/>
              </w:rPr>
            </w:pPr>
            <w:r>
              <w:rPr>
                <w:rFonts w:hint="eastAsia"/>
                <w:color w:val="000000"/>
                <w:sz w:val="24"/>
                <w:szCs w:val="24"/>
              </w:rPr>
              <w:t>（反面）</w:t>
            </w:r>
          </w:p>
        </w:tc>
      </w:tr>
    </w:tbl>
    <w:p>
      <w:pPr>
        <w:widowControl/>
        <w:rPr>
          <w:sz w:val="24"/>
          <w:szCs w:val="24"/>
        </w:rPr>
      </w:pPr>
    </w:p>
    <w:p>
      <w:pPr>
        <w:snapToGrid w:val="0"/>
        <w:spacing w:line="360" w:lineRule="auto"/>
        <w:rPr>
          <w:sz w:val="24"/>
          <w:szCs w:val="24"/>
          <w:lang w:eastAsia="zh-CN"/>
        </w:rPr>
      </w:pPr>
    </w:p>
    <w:p>
      <w:pPr>
        <w:pStyle w:val="2"/>
        <w:rPr>
          <w:sz w:val="24"/>
          <w:szCs w:val="24"/>
        </w:rPr>
      </w:pPr>
    </w:p>
    <w:p>
      <w:pPr>
        <w:snapToGrid w:val="0"/>
        <w:spacing w:line="360" w:lineRule="auto"/>
        <w:rPr>
          <w:sz w:val="24"/>
          <w:szCs w:val="24"/>
          <w:lang w:eastAsia="zh-CN"/>
        </w:rPr>
      </w:pPr>
      <w:r>
        <w:rPr>
          <w:rFonts w:hint="eastAsia"/>
          <w:sz w:val="24"/>
          <w:szCs w:val="24"/>
          <w:lang w:eastAsia="zh-CN"/>
        </w:rPr>
        <w:t>附件3：</w:t>
      </w:r>
      <w:r>
        <w:rPr>
          <w:rFonts w:hint="eastAsia"/>
          <w:color w:val="000000"/>
          <w:sz w:val="24"/>
          <w:szCs w:val="24"/>
          <w:lang w:eastAsia="zh-CN"/>
        </w:rPr>
        <w:t>参选人营业执照（加盖单位公章的复印件）</w:t>
      </w:r>
      <w:r>
        <w:rPr>
          <w:sz w:val="24"/>
          <w:szCs w:val="24"/>
          <w:lang w:eastAsia="zh-CN"/>
        </w:rPr>
        <w:br w:type="page"/>
      </w:r>
      <w:r>
        <w:rPr>
          <w:rFonts w:hint="eastAsia"/>
          <w:sz w:val="24"/>
          <w:szCs w:val="24"/>
          <w:lang w:eastAsia="zh-CN"/>
        </w:rPr>
        <w:t>附件4：</w:t>
      </w:r>
    </w:p>
    <w:p>
      <w:pPr>
        <w:snapToGrid w:val="0"/>
        <w:spacing w:line="360" w:lineRule="auto"/>
        <w:jc w:val="center"/>
        <w:rPr>
          <w:b/>
          <w:bCs/>
          <w:sz w:val="24"/>
          <w:szCs w:val="24"/>
          <w:lang w:eastAsia="zh-CN"/>
        </w:rPr>
      </w:pPr>
      <w:r>
        <w:rPr>
          <w:rFonts w:hint="eastAsia"/>
          <w:b/>
          <w:bCs/>
          <w:sz w:val="24"/>
          <w:szCs w:val="24"/>
          <w:lang w:eastAsia="zh-CN"/>
        </w:rPr>
        <w:t>承 诺 函</w:t>
      </w:r>
    </w:p>
    <w:p>
      <w:pPr>
        <w:snapToGrid w:val="0"/>
        <w:spacing w:line="360" w:lineRule="auto"/>
        <w:rPr>
          <w:sz w:val="24"/>
          <w:szCs w:val="24"/>
          <w:lang w:eastAsia="zh-CN"/>
        </w:rPr>
      </w:pPr>
    </w:p>
    <w:p>
      <w:pPr>
        <w:snapToGrid w:val="0"/>
        <w:spacing w:line="360" w:lineRule="auto"/>
        <w:rPr>
          <w:sz w:val="24"/>
          <w:szCs w:val="24"/>
          <w:lang w:eastAsia="zh-CN"/>
        </w:rPr>
      </w:pPr>
      <w:r>
        <w:rPr>
          <w:rFonts w:hint="eastAsia"/>
          <w:sz w:val="24"/>
          <w:szCs w:val="24"/>
          <w:lang w:eastAsia="zh-CN"/>
        </w:rPr>
        <w:t>致：福建福海创石油化工有限公司</w:t>
      </w:r>
    </w:p>
    <w:p>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ascii="宋体" w:hAnsi="宋体" w:eastAsia="宋体" w:cs="宋体"/>
          <w:sz w:val="24"/>
          <w:szCs w:val="24"/>
          <w:u w:val="single"/>
          <w:lang w:eastAsia="zh-CN"/>
        </w:rPr>
        <w:t>PTA</w:t>
      </w:r>
      <w:r>
        <w:rPr>
          <w:rFonts w:hint="eastAsia" w:cs="宋体"/>
          <w:sz w:val="24"/>
          <w:szCs w:val="24"/>
          <w:u w:val="single"/>
          <w:lang w:val="en-US" w:eastAsia="zh-CN"/>
        </w:rPr>
        <w:t>干粉</w:t>
      </w:r>
      <w:r>
        <w:rPr>
          <w:rFonts w:hint="eastAsia" w:ascii="宋体" w:hAnsi="宋体" w:eastAsia="宋体" w:cs="宋体"/>
          <w:sz w:val="24"/>
          <w:szCs w:val="24"/>
          <w:u w:val="single"/>
          <w:lang w:eastAsia="zh-CN"/>
        </w:rPr>
        <w:t>销售（项目编号：FHC</w:t>
      </w:r>
      <w:r>
        <w:rPr>
          <w:rFonts w:hint="eastAsia"/>
          <w:sz w:val="24"/>
          <w:szCs w:val="24"/>
          <w:u w:val="single"/>
          <w:lang w:eastAsia="zh-CN"/>
        </w:rPr>
        <w:t>-PTXS20231103127）项目</w:t>
      </w:r>
      <w:r>
        <w:rPr>
          <w:rFonts w:hint="eastAsia"/>
          <w:sz w:val="24"/>
          <w:szCs w:val="24"/>
          <w:lang w:eastAsia="zh-CN"/>
        </w:rPr>
        <w:t>比选文件表示完全响应，遵照公告的要求，特此确认并承诺：</w:t>
      </w:r>
    </w:p>
    <w:p>
      <w:pPr>
        <w:snapToGrid w:val="0"/>
        <w:spacing w:line="360" w:lineRule="auto"/>
        <w:ind w:firstLine="240" w:firstLineChars="100"/>
        <w:rPr>
          <w:sz w:val="24"/>
          <w:szCs w:val="24"/>
          <w:lang w:eastAsia="zh-CN"/>
        </w:rPr>
      </w:pPr>
      <w:r>
        <w:rPr>
          <w:sz w:val="24"/>
          <w:szCs w:val="24"/>
          <w:lang w:eastAsia="zh-CN"/>
        </w:rPr>
        <w:t>1</w:t>
      </w:r>
      <w:r>
        <w:rPr>
          <w:rFonts w:hint="eastAsia"/>
          <w:sz w:val="24"/>
          <w:szCs w:val="24"/>
          <w:lang w:eastAsia="zh-CN"/>
        </w:rPr>
        <w:t>、我方确认，我方已仔细阅读并研究了贵方的公告及其附件，我方完全熟悉其中的要求、条款和条件，并充分了解比选情况。</w:t>
      </w:r>
    </w:p>
    <w:p>
      <w:pPr>
        <w:snapToGrid w:val="0"/>
        <w:spacing w:line="360" w:lineRule="auto"/>
        <w:ind w:firstLine="240" w:firstLineChars="100"/>
        <w:rPr>
          <w:sz w:val="24"/>
          <w:szCs w:val="24"/>
          <w:lang w:eastAsia="zh-CN"/>
        </w:rPr>
      </w:pPr>
      <w:r>
        <w:rPr>
          <w:sz w:val="24"/>
          <w:szCs w:val="24"/>
          <w:lang w:eastAsia="zh-CN"/>
        </w:rPr>
        <w:t>2</w:t>
      </w:r>
      <w:r>
        <w:rPr>
          <w:rFonts w:hint="eastAsia"/>
          <w:sz w:val="24"/>
          <w:szCs w:val="24"/>
          <w:lang w:eastAsia="zh-CN"/>
        </w:rPr>
        <w:t>、我方确认：我方完全同意比选文件制定的交易规则。接受比选文件中所制定的评比规则。</w:t>
      </w:r>
    </w:p>
    <w:p>
      <w:pPr>
        <w:snapToGrid w:val="0"/>
        <w:spacing w:line="360" w:lineRule="auto"/>
        <w:ind w:firstLine="240" w:firstLineChars="100"/>
        <w:rPr>
          <w:sz w:val="24"/>
          <w:szCs w:val="24"/>
          <w:lang w:eastAsia="zh-CN"/>
        </w:rPr>
      </w:pPr>
      <w:r>
        <w:rPr>
          <w:sz w:val="24"/>
          <w:szCs w:val="24"/>
          <w:lang w:eastAsia="zh-CN"/>
        </w:rPr>
        <w:t>3</w:t>
      </w:r>
      <w:r>
        <w:rPr>
          <w:rFonts w:hint="eastAsia"/>
          <w:sz w:val="24"/>
          <w:szCs w:val="24"/>
          <w:lang w:eastAsia="zh-CN"/>
        </w:rPr>
        <w:t>、我方承诺：我方为投标所提供的材料均为真实、合法、完整。</w:t>
      </w:r>
    </w:p>
    <w:p>
      <w:pPr>
        <w:snapToGrid w:val="0"/>
        <w:spacing w:line="360" w:lineRule="auto"/>
        <w:ind w:firstLine="240" w:firstLineChars="100"/>
        <w:rPr>
          <w:sz w:val="24"/>
          <w:szCs w:val="24"/>
          <w:lang w:eastAsia="zh-CN"/>
        </w:rPr>
      </w:pPr>
      <w:r>
        <w:rPr>
          <w:sz w:val="24"/>
          <w:szCs w:val="24"/>
          <w:lang w:eastAsia="zh-CN"/>
        </w:rPr>
        <w:t>4</w:t>
      </w:r>
      <w:r>
        <w:rPr>
          <w:rFonts w:hint="eastAsia"/>
          <w:sz w:val="24"/>
          <w:szCs w:val="24"/>
          <w:lang w:eastAsia="zh-CN"/>
        </w:rPr>
        <w:t>、我方保证：我方确认，我方完全接受</w:t>
      </w:r>
      <w:r>
        <w:rPr>
          <w:rFonts w:hint="eastAsia"/>
          <w:sz w:val="24"/>
          <w:szCs w:val="24"/>
          <w:u w:val="single"/>
          <w:lang w:eastAsia="zh-CN"/>
        </w:rPr>
        <w:t>福建福海创石油化工有限公司PTA废</w:t>
      </w:r>
      <w:r>
        <w:rPr>
          <w:rFonts w:hint="eastAsia"/>
          <w:sz w:val="24"/>
          <w:szCs w:val="24"/>
          <w:u w:val="single"/>
          <w:lang w:val="en-US" w:eastAsia="zh-CN"/>
        </w:rPr>
        <w:t>干粉</w:t>
      </w:r>
      <w:r>
        <w:rPr>
          <w:rFonts w:hint="eastAsia"/>
          <w:sz w:val="24"/>
          <w:szCs w:val="24"/>
          <w:u w:val="single"/>
          <w:lang w:eastAsia="zh-CN"/>
        </w:rPr>
        <w:t>销售（项目编号：FHC-PTXS20231103127）</w:t>
      </w:r>
      <w:r>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pPr>
        <w:snapToGrid w:val="0"/>
        <w:spacing w:line="360" w:lineRule="auto"/>
        <w:ind w:firstLine="240" w:firstLineChars="100"/>
        <w:rPr>
          <w:sz w:val="24"/>
          <w:szCs w:val="24"/>
          <w:lang w:eastAsia="zh-CN"/>
        </w:rPr>
      </w:pPr>
      <w:r>
        <w:rPr>
          <w:rFonts w:hint="eastAsia"/>
          <w:sz w:val="24"/>
          <w:szCs w:val="24"/>
          <w:lang w:eastAsia="zh-CN"/>
        </w:rPr>
        <w:t>特此承诺。</w:t>
      </w:r>
    </w:p>
    <w:p>
      <w:pPr>
        <w:snapToGrid w:val="0"/>
        <w:spacing w:line="360" w:lineRule="auto"/>
        <w:ind w:firstLine="240" w:firstLineChars="100"/>
        <w:rPr>
          <w:sz w:val="24"/>
          <w:szCs w:val="24"/>
          <w:lang w:eastAsia="zh-CN"/>
        </w:rPr>
      </w:pPr>
    </w:p>
    <w:p>
      <w:pPr>
        <w:snapToGrid w:val="0"/>
        <w:spacing w:line="360" w:lineRule="auto"/>
        <w:rPr>
          <w:sz w:val="24"/>
          <w:szCs w:val="24"/>
          <w:lang w:eastAsia="zh-CN"/>
        </w:rPr>
      </w:pPr>
      <w:r>
        <w:rPr>
          <w:rFonts w:hint="eastAsia"/>
          <w:sz w:val="24"/>
          <w:szCs w:val="24"/>
          <w:lang w:eastAsia="zh-CN"/>
        </w:rPr>
        <w:t>意向参选方（盖章）：</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法定代表人或委托代理人（签字）：</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地</w:t>
      </w:r>
      <w:r>
        <w:rPr>
          <w:sz w:val="24"/>
          <w:szCs w:val="24"/>
          <w:lang w:eastAsia="zh-CN"/>
        </w:rPr>
        <w:t xml:space="preserve">  </w:t>
      </w:r>
      <w:r>
        <w:rPr>
          <w:rFonts w:hint="eastAsia"/>
          <w:sz w:val="24"/>
          <w:szCs w:val="24"/>
          <w:lang w:eastAsia="zh-CN"/>
        </w:rPr>
        <w:t>址：</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联系人：</w:t>
      </w:r>
      <w:r>
        <w:rPr>
          <w:sz w:val="24"/>
          <w:szCs w:val="24"/>
          <w:lang w:eastAsia="zh-CN"/>
        </w:rPr>
        <w:t xml:space="preserve">                                 </w:t>
      </w:r>
    </w:p>
    <w:p>
      <w:pPr>
        <w:snapToGrid w:val="0"/>
        <w:spacing w:line="360" w:lineRule="auto"/>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20" w:lineRule="exact"/>
        <w:rPr>
          <w:sz w:val="24"/>
          <w:szCs w:val="24"/>
          <w:lang w:eastAsia="zh-CN"/>
        </w:rPr>
      </w:pPr>
      <w:r>
        <w:rPr>
          <w:rFonts w:hint="eastAsia"/>
          <w:sz w:val="24"/>
          <w:szCs w:val="24"/>
          <w:lang w:eastAsia="zh-CN"/>
        </w:rPr>
        <w:t>年</w:t>
      </w:r>
      <w:r>
        <w:rPr>
          <w:sz w:val="24"/>
          <w:szCs w:val="24"/>
          <w:lang w:eastAsia="zh-CN"/>
        </w:rPr>
        <w:t xml:space="preserve">    </w:t>
      </w:r>
      <w:r>
        <w:rPr>
          <w:rFonts w:hint="eastAsia"/>
          <w:sz w:val="24"/>
          <w:szCs w:val="24"/>
          <w:lang w:eastAsia="zh-CN"/>
        </w:rPr>
        <w:t>月</w:t>
      </w:r>
      <w:r>
        <w:rPr>
          <w:sz w:val="24"/>
          <w:szCs w:val="24"/>
          <w:lang w:eastAsia="zh-CN"/>
        </w:rPr>
        <w:t xml:space="preserve">    </w:t>
      </w:r>
      <w:r>
        <w:rPr>
          <w:rFonts w:hint="eastAsia"/>
          <w:sz w:val="24"/>
          <w:szCs w:val="24"/>
          <w:lang w:eastAsia="zh-CN"/>
        </w:rPr>
        <w:t>日</w:t>
      </w:r>
    </w:p>
    <w:p>
      <w:pPr>
        <w:widowControl/>
        <w:rPr>
          <w:sz w:val="24"/>
          <w:szCs w:val="24"/>
          <w:lang w:eastAsia="zh-CN"/>
        </w:rPr>
      </w:pPr>
      <w:r>
        <w:rPr>
          <w:sz w:val="24"/>
          <w:szCs w:val="24"/>
          <w:lang w:eastAsia="zh-CN"/>
        </w:rPr>
        <w:br w:type="page"/>
      </w:r>
    </w:p>
    <w:p>
      <w:pPr>
        <w:spacing w:line="520" w:lineRule="exact"/>
        <w:rPr>
          <w:sz w:val="24"/>
          <w:szCs w:val="24"/>
          <w:lang w:eastAsia="zh-CN"/>
        </w:rPr>
      </w:pPr>
      <w:r>
        <w:rPr>
          <w:rFonts w:hint="eastAsia"/>
          <w:sz w:val="24"/>
          <w:szCs w:val="24"/>
          <w:lang w:eastAsia="zh-CN"/>
        </w:rPr>
        <w:t>附件5：</w:t>
      </w:r>
    </w:p>
    <w:p>
      <w:pPr>
        <w:spacing w:line="520" w:lineRule="exact"/>
        <w:rPr>
          <w:sz w:val="24"/>
          <w:szCs w:val="24"/>
          <w:lang w:eastAsia="zh-CN"/>
        </w:rPr>
      </w:pPr>
      <w:r>
        <w:rPr>
          <w:rFonts w:hint="eastAsia"/>
          <w:color w:val="000000"/>
          <w:sz w:val="24"/>
          <w:szCs w:val="24"/>
          <w:lang w:eastAsia="zh-CN"/>
        </w:rPr>
        <w:t>参选保证金汇款底单</w:t>
      </w:r>
    </w:p>
    <w:p>
      <w:pPr>
        <w:spacing w:line="520" w:lineRule="exact"/>
        <w:rPr>
          <w:sz w:val="24"/>
          <w:szCs w:val="24"/>
          <w:lang w:eastAsia="zh-CN"/>
        </w:rPr>
      </w:pPr>
    </w:p>
    <w:p>
      <w:pPr>
        <w:spacing w:line="520" w:lineRule="exact"/>
        <w:rPr>
          <w:sz w:val="24"/>
          <w:szCs w:val="24"/>
          <w:lang w:eastAsia="zh-CN"/>
        </w:rPr>
      </w:pPr>
    </w:p>
    <w:p>
      <w:pPr>
        <w:widowControl/>
        <w:rPr>
          <w:rFonts w:ascii="新宋体" w:hAnsi="新宋体" w:eastAsia="新宋体"/>
          <w:bCs/>
          <w:iCs/>
          <w:sz w:val="24"/>
          <w:szCs w:val="24"/>
          <w:lang w:eastAsia="zh-CN"/>
        </w:rPr>
      </w:pPr>
    </w:p>
    <w:p>
      <w:pPr>
        <w:widowControl/>
        <w:rPr>
          <w:rFonts w:ascii="新宋体" w:hAnsi="新宋体" w:eastAsia="新宋体"/>
          <w:bCs/>
          <w:iCs/>
          <w:sz w:val="24"/>
          <w:szCs w:val="24"/>
          <w:lang w:eastAsia="zh-CN"/>
        </w:rPr>
      </w:pPr>
    </w:p>
    <w:p>
      <w:pPr>
        <w:tabs>
          <w:tab w:val="left" w:pos="1272"/>
        </w:tabs>
        <w:spacing w:line="355" w:lineRule="exact"/>
        <w:ind w:left="9"/>
        <w:jc w:val="center"/>
        <w:rPr>
          <w:sz w:val="24"/>
          <w:szCs w:val="24"/>
          <w:lang w:eastAsia="zh-CN"/>
        </w:rPr>
      </w:pPr>
    </w:p>
    <w:sectPr>
      <w:pgSz w:w="11906" w:h="16838"/>
      <w:pgMar w:top="978" w:right="1134" w:bottom="900" w:left="1418"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4"/>
      </w:rPr>
      <w:pict>
        <v:shape id="_x0000_s3076" o:spid="_x0000_s307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w: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44769"/>
    <w:multiLevelType w:val="singleLevel"/>
    <w:tmpl w:val="80744769"/>
    <w:lvl w:ilvl="0" w:tentative="0">
      <w:start w:val="1"/>
      <w:numFmt w:val="chineseCounting"/>
      <w:suff w:val="nothing"/>
      <w:lvlText w:val="%1、"/>
      <w:lvlJc w:val="left"/>
      <w:rPr>
        <w:rFonts w:hint="eastAsia"/>
      </w:rPr>
    </w:lvl>
  </w:abstractNum>
  <w:abstractNum w:abstractNumId="1">
    <w:nsid w:val="26361BB2"/>
    <w:multiLevelType w:val="multilevel"/>
    <w:tmpl w:val="26361BB2"/>
    <w:lvl w:ilvl="0" w:tentative="0">
      <w:start w:val="1"/>
      <w:numFmt w:val="decimal"/>
      <w:lvlText w:val="%1、"/>
      <w:lvlJc w:val="left"/>
      <w:pPr>
        <w:ind w:left="886" w:hanging="390"/>
      </w:pPr>
      <w:rPr>
        <w:rFonts w:hint="default"/>
      </w:rPr>
    </w:lvl>
    <w:lvl w:ilvl="1" w:tentative="0">
      <w:start w:val="1"/>
      <w:numFmt w:val="lowerLetter"/>
      <w:lvlText w:val="%2)"/>
      <w:lvlJc w:val="left"/>
      <w:pPr>
        <w:ind w:left="1336" w:hanging="420"/>
      </w:pPr>
    </w:lvl>
    <w:lvl w:ilvl="2" w:tentative="0">
      <w:start w:val="1"/>
      <w:numFmt w:val="lowerRoman"/>
      <w:lvlText w:val="%3."/>
      <w:lvlJc w:val="right"/>
      <w:pPr>
        <w:ind w:left="1756" w:hanging="420"/>
      </w:pPr>
    </w:lvl>
    <w:lvl w:ilvl="3" w:tentative="0">
      <w:start w:val="1"/>
      <w:numFmt w:val="decimal"/>
      <w:lvlText w:val="%4."/>
      <w:lvlJc w:val="left"/>
      <w:pPr>
        <w:ind w:left="2176" w:hanging="420"/>
      </w:pPr>
    </w:lvl>
    <w:lvl w:ilvl="4" w:tentative="0">
      <w:start w:val="1"/>
      <w:numFmt w:val="lowerLetter"/>
      <w:lvlText w:val="%5)"/>
      <w:lvlJc w:val="left"/>
      <w:pPr>
        <w:ind w:left="2596" w:hanging="420"/>
      </w:pPr>
    </w:lvl>
    <w:lvl w:ilvl="5" w:tentative="0">
      <w:start w:val="1"/>
      <w:numFmt w:val="lowerRoman"/>
      <w:lvlText w:val="%6."/>
      <w:lvlJc w:val="right"/>
      <w:pPr>
        <w:ind w:left="3016" w:hanging="420"/>
      </w:pPr>
    </w:lvl>
    <w:lvl w:ilvl="6" w:tentative="0">
      <w:start w:val="1"/>
      <w:numFmt w:val="decimal"/>
      <w:lvlText w:val="%7."/>
      <w:lvlJc w:val="left"/>
      <w:pPr>
        <w:ind w:left="3436" w:hanging="420"/>
      </w:pPr>
    </w:lvl>
    <w:lvl w:ilvl="7" w:tentative="0">
      <w:start w:val="1"/>
      <w:numFmt w:val="lowerLetter"/>
      <w:lvlText w:val="%8)"/>
      <w:lvlJc w:val="left"/>
      <w:pPr>
        <w:ind w:left="3856" w:hanging="420"/>
      </w:pPr>
    </w:lvl>
    <w:lvl w:ilvl="8" w:tentative="0">
      <w:start w:val="1"/>
      <w:numFmt w:val="lowerRoman"/>
      <w:lvlText w:val="%9."/>
      <w:lvlJc w:val="right"/>
      <w:pPr>
        <w:ind w:left="4276" w:hanging="420"/>
      </w:pPr>
    </w:lvl>
  </w:abstractNum>
  <w:abstractNum w:abstractNumId="2">
    <w:nsid w:val="2D488F45"/>
    <w:multiLevelType w:val="singleLevel"/>
    <w:tmpl w:val="2D488F45"/>
    <w:lvl w:ilvl="0" w:tentative="0">
      <w:start w:val="4"/>
      <w:numFmt w:val="decimal"/>
      <w:suff w:val="nothing"/>
      <w:lvlText w:val="%1、"/>
      <w:lvlJc w:val="left"/>
    </w:lvl>
  </w:abstractNum>
  <w:abstractNum w:abstractNumId="3">
    <w:nsid w:val="62E3796E"/>
    <w:multiLevelType w:val="multilevel"/>
    <w:tmpl w:val="62E379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5E54CC"/>
    <w:multiLevelType w:val="multilevel"/>
    <w:tmpl w:val="6A5E54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11F24"/>
    <w:rsid w:val="00047301"/>
    <w:rsid w:val="000637AB"/>
    <w:rsid w:val="000B05BA"/>
    <w:rsid w:val="000B5ED7"/>
    <w:rsid w:val="000E0219"/>
    <w:rsid w:val="00120987"/>
    <w:rsid w:val="00142677"/>
    <w:rsid w:val="001530D1"/>
    <w:rsid w:val="00187534"/>
    <w:rsid w:val="00193817"/>
    <w:rsid w:val="001944DD"/>
    <w:rsid w:val="001B698B"/>
    <w:rsid w:val="001F7006"/>
    <w:rsid w:val="002020B2"/>
    <w:rsid w:val="00202D66"/>
    <w:rsid w:val="00213E24"/>
    <w:rsid w:val="00227556"/>
    <w:rsid w:val="00247D46"/>
    <w:rsid w:val="002872C4"/>
    <w:rsid w:val="0029512A"/>
    <w:rsid w:val="002A1977"/>
    <w:rsid w:val="002F2F05"/>
    <w:rsid w:val="00305DB0"/>
    <w:rsid w:val="0032072D"/>
    <w:rsid w:val="00320741"/>
    <w:rsid w:val="003222AB"/>
    <w:rsid w:val="00322549"/>
    <w:rsid w:val="00360FFF"/>
    <w:rsid w:val="00362CB5"/>
    <w:rsid w:val="003D5362"/>
    <w:rsid w:val="003D667E"/>
    <w:rsid w:val="003F6504"/>
    <w:rsid w:val="0040417A"/>
    <w:rsid w:val="00406546"/>
    <w:rsid w:val="00413E79"/>
    <w:rsid w:val="00422DDD"/>
    <w:rsid w:val="0043608B"/>
    <w:rsid w:val="004362A6"/>
    <w:rsid w:val="00441C23"/>
    <w:rsid w:val="0047282D"/>
    <w:rsid w:val="004835AF"/>
    <w:rsid w:val="004B6BED"/>
    <w:rsid w:val="004C2CF4"/>
    <w:rsid w:val="004C441A"/>
    <w:rsid w:val="00510620"/>
    <w:rsid w:val="00553051"/>
    <w:rsid w:val="005538EE"/>
    <w:rsid w:val="00561F71"/>
    <w:rsid w:val="00562777"/>
    <w:rsid w:val="00567537"/>
    <w:rsid w:val="00571CD3"/>
    <w:rsid w:val="00592AFC"/>
    <w:rsid w:val="00595821"/>
    <w:rsid w:val="00595F8F"/>
    <w:rsid w:val="00596C15"/>
    <w:rsid w:val="005A5F15"/>
    <w:rsid w:val="005B4BA0"/>
    <w:rsid w:val="005B5EB0"/>
    <w:rsid w:val="005B6D5B"/>
    <w:rsid w:val="00640A88"/>
    <w:rsid w:val="00652897"/>
    <w:rsid w:val="00664369"/>
    <w:rsid w:val="0068479C"/>
    <w:rsid w:val="006A679A"/>
    <w:rsid w:val="006B03CF"/>
    <w:rsid w:val="006B4E6D"/>
    <w:rsid w:val="006D6EA2"/>
    <w:rsid w:val="006F3AD6"/>
    <w:rsid w:val="00701B52"/>
    <w:rsid w:val="00710084"/>
    <w:rsid w:val="00725C72"/>
    <w:rsid w:val="007758D3"/>
    <w:rsid w:val="00824CD8"/>
    <w:rsid w:val="00833880"/>
    <w:rsid w:val="00857F4F"/>
    <w:rsid w:val="0087488B"/>
    <w:rsid w:val="008964C3"/>
    <w:rsid w:val="008969DA"/>
    <w:rsid w:val="008C6E5F"/>
    <w:rsid w:val="00905BA2"/>
    <w:rsid w:val="00913057"/>
    <w:rsid w:val="009312CA"/>
    <w:rsid w:val="00967702"/>
    <w:rsid w:val="0099613A"/>
    <w:rsid w:val="00A26061"/>
    <w:rsid w:val="00A46FFC"/>
    <w:rsid w:val="00A5551A"/>
    <w:rsid w:val="00AA40C9"/>
    <w:rsid w:val="00AD17DB"/>
    <w:rsid w:val="00AD60AA"/>
    <w:rsid w:val="00AD6BF4"/>
    <w:rsid w:val="00AE3642"/>
    <w:rsid w:val="00B047CE"/>
    <w:rsid w:val="00B33867"/>
    <w:rsid w:val="00B35329"/>
    <w:rsid w:val="00B428AC"/>
    <w:rsid w:val="00B44FC3"/>
    <w:rsid w:val="00B64C68"/>
    <w:rsid w:val="00B6660C"/>
    <w:rsid w:val="00B90569"/>
    <w:rsid w:val="00BA6428"/>
    <w:rsid w:val="00BE592C"/>
    <w:rsid w:val="00CB2E01"/>
    <w:rsid w:val="00D25224"/>
    <w:rsid w:val="00D32D6A"/>
    <w:rsid w:val="00D70740"/>
    <w:rsid w:val="00D721BA"/>
    <w:rsid w:val="00D749CB"/>
    <w:rsid w:val="00D947D8"/>
    <w:rsid w:val="00DD56C2"/>
    <w:rsid w:val="00DF76F8"/>
    <w:rsid w:val="00E00A88"/>
    <w:rsid w:val="00E123AF"/>
    <w:rsid w:val="00E60405"/>
    <w:rsid w:val="00E7225A"/>
    <w:rsid w:val="00EA1548"/>
    <w:rsid w:val="00EC1270"/>
    <w:rsid w:val="00EE21FA"/>
    <w:rsid w:val="00EE2857"/>
    <w:rsid w:val="00F172A4"/>
    <w:rsid w:val="00F6409E"/>
    <w:rsid w:val="00F67DE9"/>
    <w:rsid w:val="00F778F8"/>
    <w:rsid w:val="00FA4FEA"/>
    <w:rsid w:val="00FB790A"/>
    <w:rsid w:val="00FC16A9"/>
    <w:rsid w:val="00FD3455"/>
    <w:rsid w:val="00FE3E63"/>
    <w:rsid w:val="0367315B"/>
    <w:rsid w:val="05F572B1"/>
    <w:rsid w:val="061139E5"/>
    <w:rsid w:val="06F50B00"/>
    <w:rsid w:val="073B4926"/>
    <w:rsid w:val="076E1278"/>
    <w:rsid w:val="08D1141D"/>
    <w:rsid w:val="0B296DE2"/>
    <w:rsid w:val="0C4A2E18"/>
    <w:rsid w:val="0D255CA6"/>
    <w:rsid w:val="0D303706"/>
    <w:rsid w:val="0EDE18D0"/>
    <w:rsid w:val="10294AA3"/>
    <w:rsid w:val="10E40CA0"/>
    <w:rsid w:val="136130D9"/>
    <w:rsid w:val="155C2697"/>
    <w:rsid w:val="17901DBC"/>
    <w:rsid w:val="18DD4F7E"/>
    <w:rsid w:val="195B58A2"/>
    <w:rsid w:val="1B82153E"/>
    <w:rsid w:val="1C892EDA"/>
    <w:rsid w:val="1DBB1D8C"/>
    <w:rsid w:val="1E085A14"/>
    <w:rsid w:val="1E6A4F28"/>
    <w:rsid w:val="1F2E271E"/>
    <w:rsid w:val="1FF43DDB"/>
    <w:rsid w:val="21933AA2"/>
    <w:rsid w:val="24F060C0"/>
    <w:rsid w:val="25BF356F"/>
    <w:rsid w:val="25DB0C2D"/>
    <w:rsid w:val="269469E7"/>
    <w:rsid w:val="280D1B98"/>
    <w:rsid w:val="28E663A4"/>
    <w:rsid w:val="2955797D"/>
    <w:rsid w:val="29FC3B14"/>
    <w:rsid w:val="2B11792E"/>
    <w:rsid w:val="2D500E2E"/>
    <w:rsid w:val="2E937790"/>
    <w:rsid w:val="312125CF"/>
    <w:rsid w:val="317D7270"/>
    <w:rsid w:val="31C54755"/>
    <w:rsid w:val="3216608C"/>
    <w:rsid w:val="34CE14C6"/>
    <w:rsid w:val="34D84CEC"/>
    <w:rsid w:val="37AF5AB7"/>
    <w:rsid w:val="38294775"/>
    <w:rsid w:val="3B1C3371"/>
    <w:rsid w:val="3CC23198"/>
    <w:rsid w:val="3DDF4815"/>
    <w:rsid w:val="3E3559CE"/>
    <w:rsid w:val="3FE669E5"/>
    <w:rsid w:val="4373474B"/>
    <w:rsid w:val="44242D89"/>
    <w:rsid w:val="44D90AA8"/>
    <w:rsid w:val="48165C8F"/>
    <w:rsid w:val="49145BEC"/>
    <w:rsid w:val="4B5A0028"/>
    <w:rsid w:val="4B5A1135"/>
    <w:rsid w:val="4BD07E24"/>
    <w:rsid w:val="4C333048"/>
    <w:rsid w:val="4E6A3C25"/>
    <w:rsid w:val="4F310157"/>
    <w:rsid w:val="4F3C1975"/>
    <w:rsid w:val="501E6AD3"/>
    <w:rsid w:val="50F63E28"/>
    <w:rsid w:val="5221007F"/>
    <w:rsid w:val="52392C44"/>
    <w:rsid w:val="52926B5A"/>
    <w:rsid w:val="52A610D6"/>
    <w:rsid w:val="53486367"/>
    <w:rsid w:val="54040975"/>
    <w:rsid w:val="545C5E51"/>
    <w:rsid w:val="5486175B"/>
    <w:rsid w:val="551D22CA"/>
    <w:rsid w:val="57667D24"/>
    <w:rsid w:val="57CE5BC3"/>
    <w:rsid w:val="58204805"/>
    <w:rsid w:val="5900348F"/>
    <w:rsid w:val="5AB9673B"/>
    <w:rsid w:val="5AE1516A"/>
    <w:rsid w:val="5B6A3A79"/>
    <w:rsid w:val="5C02560C"/>
    <w:rsid w:val="5C1A5F7B"/>
    <w:rsid w:val="61A5279C"/>
    <w:rsid w:val="62067879"/>
    <w:rsid w:val="62276FFB"/>
    <w:rsid w:val="62776359"/>
    <w:rsid w:val="63204F90"/>
    <w:rsid w:val="63AA0DED"/>
    <w:rsid w:val="6441722C"/>
    <w:rsid w:val="645771F8"/>
    <w:rsid w:val="65311FEB"/>
    <w:rsid w:val="65C1467A"/>
    <w:rsid w:val="6760134E"/>
    <w:rsid w:val="67D8733D"/>
    <w:rsid w:val="686A36C6"/>
    <w:rsid w:val="6A54112D"/>
    <w:rsid w:val="6AA035AE"/>
    <w:rsid w:val="6B0500E4"/>
    <w:rsid w:val="6C060BC0"/>
    <w:rsid w:val="6E0F2E14"/>
    <w:rsid w:val="6F1E141D"/>
    <w:rsid w:val="6F5354F8"/>
    <w:rsid w:val="6FE333C0"/>
    <w:rsid w:val="73EB2DB3"/>
    <w:rsid w:val="73FC3F0D"/>
    <w:rsid w:val="740A2BDE"/>
    <w:rsid w:val="751839E0"/>
    <w:rsid w:val="76274F93"/>
    <w:rsid w:val="76AA6657"/>
    <w:rsid w:val="76DC0A62"/>
    <w:rsid w:val="78C46891"/>
    <w:rsid w:val="79EB3F2F"/>
    <w:rsid w:val="7A242E00"/>
    <w:rsid w:val="7B11789E"/>
    <w:rsid w:val="7D6E7939"/>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ind w:left="538"/>
      <w:outlineLvl w:val="0"/>
    </w:pPr>
    <w:rPr>
      <w:b/>
      <w:bCs/>
      <w:sz w:val="28"/>
      <w:szCs w:val="28"/>
    </w:rPr>
  </w:style>
  <w:style w:type="paragraph" w:styleId="4">
    <w:name w:val="heading 2"/>
    <w:basedOn w:val="1"/>
    <w:next w:val="1"/>
    <w:qFormat/>
    <w:uiPriority w:val="1"/>
    <w:pPr>
      <w:ind w:left="629"/>
      <w:outlineLvl w:val="1"/>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6">
    <w:name w:val="Body Text"/>
    <w:basedOn w:val="1"/>
    <w:link w:val="21"/>
    <w:qFormat/>
    <w:uiPriority w:val="1"/>
    <w:rPr>
      <w:sz w:val="24"/>
      <w:szCs w:val="24"/>
    </w:rPr>
  </w:style>
  <w:style w:type="paragraph" w:styleId="7">
    <w:name w:val="Plain Text"/>
    <w:basedOn w:val="1"/>
    <w:qFormat/>
    <w:uiPriority w:val="0"/>
    <w:rPr>
      <w:rFonts w:hAnsi="Courier New" w:cs="Courier New"/>
      <w:szCs w:val="21"/>
    </w:rPr>
  </w:style>
  <w:style w:type="paragraph" w:styleId="8">
    <w:name w:val="footer"/>
    <w:basedOn w:val="1"/>
    <w:link w:val="20"/>
    <w:qFormat/>
    <w:uiPriority w:val="99"/>
    <w:pPr>
      <w:tabs>
        <w:tab w:val="center" w:pos="4153"/>
        <w:tab w:val="right" w:pos="8306"/>
      </w:tabs>
      <w:snapToGrid w:val="0"/>
    </w:pPr>
    <w:rPr>
      <w:sz w:val="18"/>
      <w:szCs w:val="18"/>
    </w:rPr>
  </w:style>
  <w:style w:type="paragraph" w:styleId="9">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autoSpaceDE/>
      <w:autoSpaceDN/>
      <w:spacing w:before="100" w:beforeAutospacing="1" w:after="100" w:afterAutospacing="1"/>
    </w:pPr>
    <w:rPr>
      <w:rFonts w:ascii="Calibri" w:hAnsi="Calibri" w:cs="Times New Roman"/>
      <w:sz w:val="24"/>
      <w:szCs w:val="24"/>
      <w:lang w:eastAsia="zh-CN"/>
    </w:rPr>
  </w:style>
  <w:style w:type="table" w:styleId="12">
    <w:name w:val="Table Grid"/>
    <w:basedOn w:val="11"/>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296FBE"/>
      <w:u w:val="none"/>
    </w:rPr>
  </w:style>
  <w:style w:type="table" w:customStyle="1" w:styleId="15">
    <w:name w:val="Table Normal"/>
    <w:unhideWhenUsed/>
    <w:qFormat/>
    <w:uiPriority w:val="2"/>
    <w:tblPr>
      <w:tblCellMar>
        <w:top w:w="0" w:type="dxa"/>
        <w:left w:w="0" w:type="dxa"/>
        <w:bottom w:w="0" w:type="dxa"/>
        <w:right w:w="0" w:type="dxa"/>
      </w:tblCellMar>
    </w:tblPr>
  </w:style>
  <w:style w:type="paragraph" w:customStyle="1" w:styleId="16">
    <w:name w:val="列出段落1"/>
    <w:basedOn w:val="1"/>
    <w:link w:val="22"/>
    <w:qFormat/>
    <w:uiPriority w:val="34"/>
    <w:pPr>
      <w:spacing w:before="206"/>
      <w:ind w:left="959" w:hanging="361"/>
    </w:pPr>
  </w:style>
  <w:style w:type="paragraph" w:customStyle="1" w:styleId="17">
    <w:name w:val="Table Paragraph"/>
    <w:basedOn w:val="1"/>
    <w:qFormat/>
    <w:uiPriority w:val="1"/>
  </w:style>
  <w:style w:type="paragraph" w:customStyle="1" w:styleId="1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19">
    <w:name w:val="页眉 Char"/>
    <w:basedOn w:val="13"/>
    <w:link w:val="9"/>
    <w:qFormat/>
    <w:locked/>
    <w:uiPriority w:val="99"/>
    <w:rPr>
      <w:rFonts w:ascii="宋体" w:hAnsi="宋体" w:cs="宋体"/>
      <w:sz w:val="18"/>
      <w:szCs w:val="22"/>
      <w:lang w:eastAsia="en-US"/>
    </w:rPr>
  </w:style>
  <w:style w:type="character" w:customStyle="1" w:styleId="20">
    <w:name w:val="页脚 Char"/>
    <w:basedOn w:val="13"/>
    <w:link w:val="8"/>
    <w:qFormat/>
    <w:locked/>
    <w:uiPriority w:val="99"/>
    <w:rPr>
      <w:rFonts w:ascii="宋体" w:hAnsi="宋体" w:cs="宋体"/>
      <w:sz w:val="18"/>
      <w:szCs w:val="18"/>
      <w:lang w:eastAsia="en-US"/>
    </w:rPr>
  </w:style>
  <w:style w:type="character" w:customStyle="1" w:styleId="21">
    <w:name w:val="正文文本 Char"/>
    <w:basedOn w:val="13"/>
    <w:link w:val="6"/>
    <w:qFormat/>
    <w:uiPriority w:val="1"/>
    <w:rPr>
      <w:rFonts w:ascii="宋体" w:hAnsi="宋体" w:cs="宋体"/>
      <w:sz w:val="24"/>
      <w:szCs w:val="24"/>
      <w:lang w:eastAsia="en-US"/>
    </w:rPr>
  </w:style>
  <w:style w:type="character" w:customStyle="1" w:styleId="22">
    <w:name w:val="列出段落 Char"/>
    <w:link w:val="16"/>
    <w:qFormat/>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textRotate="1"/>
    <customShpInfo spid="_x0000_s3076" textRotate="1"/>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94DB0-3093-4EA3-A580-45F1154023E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1304</Words>
  <Characters>7437</Characters>
  <Lines>61</Lines>
  <Paragraphs>17</Paragraphs>
  <TotalTime>1</TotalTime>
  <ScaleCrop>false</ScaleCrop>
  <LinksUpToDate>false</LinksUpToDate>
  <CharactersWithSpaces>8724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2022-03-08T01:15:00Z</dcterms:created>
  <dc:creator>CGC</dc:creator>
  <cp:lastModifiedBy>香水百合</cp:lastModifiedBy>
  <dcterms:modified xsi:type="dcterms:W3CDTF">2023-11-21T05:59:41Z</dcterms:modified>
  <dc:title>公开招标文件（货物服务类）</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380896A8541D4D69A72AE760D142D0D2</vt:lpwstr>
  </property>
</Properties>
</file>