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  <w:lang w:eastAsia="zh-CN"/>
        </w:rPr>
        <w:object>
          <v:shape id="_x0000_i1025" o:spt="75" type="#_x0000_t75" style="height:77.2pt;width:29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jc w:val="center"/>
        <w:rPr>
          <w:rFonts w:ascii="华文楷体" w:hAnsi="华文楷体" w:eastAsia="华文楷体"/>
          <w:caps/>
          <w:lang w:eastAsia="zh-CN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实验室分析仪器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  <w:r>
        <w:rPr>
          <w:rFonts w:hint="eastAsia" w:ascii="黑体" w:hAnsi="华文楷体" w:eastAsia="黑体"/>
          <w:b/>
          <w:sz w:val="36"/>
          <w:szCs w:val="36"/>
          <w:lang w:eastAsia="zh-CN"/>
        </w:rPr>
        <w:t>采购技术规格书</w:t>
      </w:r>
    </w:p>
    <w:p>
      <w:pPr>
        <w:jc w:val="center"/>
        <w:rPr>
          <w:rFonts w:hAnsi="华文楷体"/>
          <w:b/>
          <w:sz w:val="44"/>
          <w:szCs w:val="4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rPr>
          <w:rFonts w:ascii="华文楷体" w:hAnsi="华文楷体" w:eastAsia="华文楷体"/>
          <w:sz w:val="24"/>
          <w:szCs w:val="24"/>
          <w:lang w:eastAsia="zh-CN"/>
        </w:rPr>
        <w:sectPr>
          <w:headerReference r:id="rId5" w:type="default"/>
          <w:pgSz w:w="11909" w:h="16834"/>
          <w:pgMar w:top="1440" w:right="1134" w:bottom="1440" w:left="1418" w:header="839" w:footer="720" w:gutter="0"/>
          <w:pgNumType w:start="1"/>
          <w:cols w:space="720" w:num="1"/>
        </w:sectPr>
      </w:pP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0" w:name="_Toc194850708"/>
      <w:r>
        <w:rPr>
          <w:rFonts w:hint="eastAsia" w:ascii="宋体" w:hAnsi="宋体"/>
          <w:kern w:val="0"/>
          <w:sz w:val="24"/>
          <w:szCs w:val="24"/>
          <w:lang w:eastAsia="zh-CN"/>
        </w:rPr>
        <w:t>一、前言</w:t>
      </w:r>
      <w:bookmarkEnd w:id="0"/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买方就购置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实验室分析仪器（具体清单详见附件一）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一事提出了采购要求，卖方需达成本采购技术规格书要求。采购技术规格书是编写技术协议书的基础文件；技术协议书作为商务合同附件与之同时生效，并具有同等法律效力。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9"/>
      <w:r>
        <w:rPr>
          <w:rFonts w:hint="eastAsia" w:ascii="宋体" w:hAnsi="宋体"/>
          <w:kern w:val="0"/>
          <w:sz w:val="24"/>
          <w:szCs w:val="24"/>
          <w:lang w:eastAsia="zh-CN"/>
        </w:rPr>
        <w:t>二、测试样品及项目</w:t>
      </w:r>
      <w:bookmarkEnd w:id="1"/>
    </w:p>
    <w:p>
      <w:pPr>
        <w:spacing w:line="288" w:lineRule="auto"/>
        <w:jc w:val="both"/>
        <w:rPr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具体清单详见附件一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10"/>
      <w:r>
        <w:rPr>
          <w:rFonts w:hint="eastAsia" w:ascii="宋体" w:hAnsi="宋体"/>
          <w:kern w:val="0"/>
          <w:sz w:val="24"/>
          <w:szCs w:val="24"/>
          <w:lang w:eastAsia="zh-CN"/>
        </w:rPr>
        <w:t>三、技术要求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1、</w:t>
      </w:r>
      <w:bookmarkEnd w:id="2"/>
      <w:r>
        <w:rPr>
          <w:rFonts w:hint="eastAsia" w:ascii="宋体" w:hAnsi="宋体"/>
          <w:kern w:val="0"/>
          <w:sz w:val="24"/>
          <w:szCs w:val="24"/>
          <w:lang w:eastAsia="zh-CN"/>
        </w:rPr>
        <w:t>基本要求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 xml:space="preserve">1.1  </w:t>
      </w:r>
      <w:r>
        <w:rPr>
          <w:rFonts w:hint="eastAsia" w:ascii="宋体" w:hAnsi="宋体"/>
          <w:b w:val="0"/>
          <w:snapToGrid w:val="0"/>
          <w:color w:val="000000"/>
          <w:sz w:val="24"/>
          <w:lang w:eastAsia="zh-CN"/>
        </w:rPr>
        <w:t>仪器配置必须能完成本技术协议中“二、测试样品及项目”要求的分析样品及分析项目，并达到性能保证指标。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</w:t>
      </w:r>
      <w:r>
        <w:rPr>
          <w:rFonts w:ascii="宋体" w:hAnsi="宋体"/>
          <w:sz w:val="24"/>
          <w:szCs w:val="24"/>
          <w:lang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 xml:space="preserve"> 必须提供书面中文仪器说明书、电路图及故障诊断说明资料2套；相应的电子版本说明书</w:t>
      </w:r>
      <w:r>
        <w:rPr>
          <w:rFonts w:ascii="宋体" w:hAnsi="宋体"/>
          <w:sz w:val="24"/>
          <w:szCs w:val="24"/>
          <w:lang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套。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2、供货范围（卖方供货清单明细）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此部分为卖方的仪器供货清单。此清单应包括：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 xml:space="preserve">.1 </w:t>
      </w:r>
      <w:r>
        <w:rPr>
          <w:rFonts w:hint="eastAsia" w:ascii="宋体" w:hAnsi="宋体"/>
        </w:rPr>
        <w:t>仪器名称、规格型号、数量、仪器制造厂商等内容。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/>
        </w:rPr>
        <w:t xml:space="preserve">2.2 </w:t>
      </w:r>
      <w:r>
        <w:rPr>
          <w:rFonts w:hint="eastAsia" w:ascii="宋体" w:hAnsi="宋体"/>
        </w:rPr>
        <w:t>仪器硬件及软件的具体配置，包括仪器的标准配置、选购配置、备品备件及消耗品配置等。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卖方保证供货的每台仪器均为原装进口产品。</w:t>
      </w:r>
    </w:p>
    <w:p>
      <w:pPr>
        <w:pStyle w:val="19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    卖方应保证所提供的系统配置是完整的。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仪器主机所携带的用于日常维护保养的专用工具齐全。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仪器主机所携带的标准样品满足仪器现场</w:t>
      </w:r>
      <w:r>
        <w:rPr>
          <w:rFonts w:hint="eastAsia" w:ascii="宋体" w:hAnsi="宋体" w:cs="宋体"/>
        </w:rPr>
        <w:t>调试和验收的要求</w:t>
      </w:r>
      <w:r>
        <w:rPr>
          <w:rFonts w:hint="eastAsia" w:ascii="宋体" w:hAnsi="宋体"/>
        </w:rPr>
        <w:t>。卖方应保证所提供的备品备件及消耗品的数量满足买方的两年需求。</w:t>
      </w:r>
    </w:p>
    <w:p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具体内容请见附件一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3、仪器技术指标和性能特点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此部分为仪器的技术指标说明部分。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卖方应保证所提供的技术指标真实准确而有效。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具体内容详见附件一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4、仪器安装条件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对于仪器安装所需具备的条件(如：供电、接地、环境、水、气路、实验台等)，卖方应在合同生效后一周内书面告知买方，买方根据安装条件做好准备工作。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四、技术服务</w:t>
      </w:r>
    </w:p>
    <w:p>
      <w:pPr>
        <w:pStyle w:val="19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1 、概述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无论是工程服务还是现场服务，卖方都应派遣有经验的技术人员，并应提供完全免费的技术服务。在合同签定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2、仪器交货期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仪器交货时间：卖方在合同生效后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2个月</w:t>
      </w:r>
      <w:r>
        <w:rPr>
          <w:rFonts w:hint="eastAsia" w:ascii="宋体" w:hAnsi="宋体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3、验货</w:t>
      </w:r>
    </w:p>
    <w:p>
      <w:pPr>
        <w:pStyle w:val="19"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仪器到现场后，卖方应派人与买方共同开箱验货。确认装箱单和设备完好情况。在买方现场开箱验收时，仪器应达到如下要求：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所有仪器的外观、喷漆、电缆的外壳和接头必须完好无缺，铭牌正确。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所有仪器的主机、附件、备件必须完整齐全，标识清楚。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所有仪器的技术资料必须完整齐全。资料包括现场准备和安装说明书、操作维护手册、电路图、订货单规定的所有供货项目的详细清单、合格证书、安全证书、出厂验收测试程序等。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在运输过程中造成的仪器损坏、零部件缺项、资料缺失，卖方确认并负责在7天内补全缺件。卖方对仪器配置（包括辅助设备）的完整性和配套性负责，并保证仪器的正常使用。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4、仪器现场安装调试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Arial"/>
          <w:bCs/>
          <w:sz w:val="24"/>
          <w:szCs w:val="24"/>
          <w:lang w:eastAsia="zh-CN"/>
        </w:rPr>
        <w:t>在收到买方仪器安装调试通知后，由卖方派出工程技术人员，到达买方实验室进行仪器的免费安装调试工作；具体时间由双方协商决定。</w:t>
      </w:r>
      <w:r>
        <w:rPr>
          <w:rFonts w:hint="eastAsia" w:ascii="宋体" w:hAnsi="宋体"/>
          <w:sz w:val="24"/>
          <w:szCs w:val="24"/>
          <w:lang w:eastAsia="zh-CN"/>
        </w:rPr>
        <w:t>仪器安装调试时间不应超过1周时间。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5、仪器验收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卖方提供测试用的仪器和工具，供买方技术人员在验收时使用。 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auto"/>
        </w:rPr>
        <w:t>卖方提供仪器QA/QC的标准样品，以保证仪器正常的调试和验收。</w:t>
      </w:r>
      <w:r>
        <w:rPr>
          <w:rFonts w:hint="eastAsia" w:ascii="宋体" w:hAnsi="宋体" w:cs="宋体"/>
          <w:color w:val="0000FF"/>
        </w:rPr>
        <w:t xml:space="preserve"> 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 w:cs="宋体"/>
          <w:color w:val="auto"/>
        </w:rPr>
        <w:t>卖方</w:t>
      </w:r>
      <w:r>
        <w:rPr>
          <w:rFonts w:hint="eastAsia" w:ascii="宋体" w:hAnsi="宋体" w:cs="宋体"/>
        </w:rPr>
        <w:t>严格按照请购规格书、技术协议书的要求及仪器厂商的产品验收标准等进行验收</w:t>
      </w:r>
      <w:r>
        <w:rPr>
          <w:rFonts w:hint="eastAsia" w:ascii="宋体" w:hAnsi="宋体"/>
        </w:rPr>
        <w:t>，二者之间选用指标较高的标准。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仪器的验收必须满足以下条件：仪器的各项性能指标必须符合仪器出厂规定的技术性能指标；必须符合本技术协议附件中的技术要求或请购规格书的技术指标。仪器必须能满足用户的要求；</w:t>
      </w:r>
      <w:r>
        <w:rPr>
          <w:rFonts w:hint="eastAsia" w:ascii="宋体" w:hAnsi="宋体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6、培训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卖方在仪器安装完成后，对买方人员进行第一期技术培训（</w:t>
      </w:r>
      <w:r>
        <w:rPr>
          <w:rFonts w:ascii="宋体" w:hAnsi="宋体"/>
          <w:snapToGrid w:val="0"/>
          <w:color w:val="000000"/>
          <w:sz w:val="24"/>
          <w:szCs w:val="24"/>
          <w:lang w:eastAsia="zh-CN"/>
        </w:rPr>
        <w:t>1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天以上现场培训），保证买方仪器操作人员能够正常操作仪器、初步判断故障、简单维护保养。培训内容包括：仪器结构原理、操作原理、安装调试、实际操作、软件使用、日常维护、故障排除、注意事项、应用方法、样品处理、用户使用过程中出现的问题等方面。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/>
          <w:snapToGrid w:val="0"/>
        </w:rPr>
      </w:pPr>
      <w:r>
        <w:rPr>
          <w:rFonts w:hint="eastAsia" w:ascii="宋体" w:hAnsi="宋体" w:cs="宋体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hint="eastAsia" w:ascii="宋体" w:hAnsi="宋体" w:cs="宋体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hint="eastAsia" w:ascii="宋体" w:hAnsi="宋体"/>
          <w:snapToGrid w:val="0"/>
        </w:rPr>
        <w:t>，对仪器进行维护保养。并对买方在仪器使用过程中存在的问题进行解答及培训。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7、</w:t>
      </w:r>
      <w:bookmarkStart w:id="3" w:name="_Toc194850717"/>
      <w:r>
        <w:rPr>
          <w:rFonts w:hint="eastAsia" w:ascii="宋体" w:hAnsi="宋体"/>
          <w:b/>
          <w:sz w:val="24"/>
          <w:szCs w:val="24"/>
          <w:lang w:eastAsia="zh-CN"/>
        </w:rPr>
        <w:t>保修</w:t>
      </w:r>
      <w:bookmarkEnd w:id="3"/>
      <w:r>
        <w:rPr>
          <w:rFonts w:hint="eastAsia" w:ascii="宋体" w:hAnsi="宋体"/>
          <w:b/>
          <w:sz w:val="24"/>
          <w:szCs w:val="24"/>
          <w:lang w:eastAsia="zh-CN"/>
        </w:rPr>
        <w:t>期及售后服务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卖方负责仪器自验收合格之日起一年的仪器免费保修，免费保修</w:t>
      </w:r>
      <w:r>
        <w:rPr>
          <w:rFonts w:hint="eastAsia" w:ascii="宋体" w:hAnsi="宋体" w:cs="Arial"/>
          <w:color w:val="000000"/>
          <w:sz w:val="24"/>
          <w:lang w:eastAsia="zh-CN"/>
        </w:rPr>
        <w:t>期内的设备，均可获得免费维修服务及坏件更换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。用来更换的部件和设备应当是全新的。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Arial"/>
          <w:color w:val="auto"/>
        </w:rPr>
        <w:t>保修期内和</w:t>
      </w:r>
      <w:r>
        <w:rPr>
          <w:rFonts w:hint="eastAsia" w:ascii="宋体" w:hAnsi="宋体" w:cs="宋体"/>
          <w:color w:val="auto"/>
        </w:rPr>
        <w:t>保修期后</w:t>
      </w:r>
      <w:r>
        <w:rPr>
          <w:rFonts w:hint="eastAsia" w:ascii="宋体" w:hAnsi="宋体" w:cs="Arial"/>
          <w:color w:val="auto"/>
        </w:rPr>
        <w:t>，如买方发现仪器有技术问题或仪器故障，卖方接到买方</w:t>
      </w:r>
      <w:r>
        <w:rPr>
          <w:rFonts w:hint="eastAsia" w:ascii="宋体" w:hAnsi="宋体" w:cs="宋体"/>
          <w:color w:val="auto"/>
        </w:rPr>
        <w:t>的Email、电话、传真或</w:t>
      </w:r>
      <w:r>
        <w:rPr>
          <w:rFonts w:hint="eastAsia" w:ascii="宋体" w:hAnsi="宋体" w:cs="Arial"/>
          <w:color w:val="auto"/>
        </w:rPr>
        <w:t>书面通知的服务请求报告后，</w:t>
      </w:r>
      <w:r>
        <w:rPr>
          <w:rFonts w:hint="eastAsia" w:ascii="宋体" w:hAnsi="宋体"/>
          <w:b/>
          <w:color w:val="auto"/>
        </w:rPr>
        <w:t>2</w:t>
      </w:r>
      <w:r>
        <w:rPr>
          <w:rFonts w:hint="eastAsia" w:ascii="宋体" w:hAnsi="宋体"/>
          <w:color w:val="auto"/>
        </w:rPr>
        <w:t>小时之内响应，</w:t>
      </w:r>
      <w:r>
        <w:rPr>
          <w:rFonts w:hint="eastAsia" w:ascii="宋体" w:hAnsi="宋体" w:cs="宋体"/>
          <w:b/>
          <w:color w:val="auto"/>
        </w:rPr>
        <w:t>8</w:t>
      </w:r>
      <w:r>
        <w:rPr>
          <w:rFonts w:hint="eastAsia" w:ascii="宋体" w:hAnsi="宋体" w:cs="宋体"/>
          <w:color w:val="auto"/>
        </w:rPr>
        <w:t>小时内提供解决方案。</w:t>
      </w:r>
      <w:r>
        <w:rPr>
          <w:rFonts w:hint="eastAsia" w:ascii="宋体" w:hAnsi="宋体" w:cs="Arial"/>
          <w:color w:val="auto"/>
        </w:rPr>
        <w:t>如不能解决问题，或</w:t>
      </w:r>
      <w:r>
        <w:rPr>
          <w:rFonts w:hint="eastAsia" w:ascii="宋体" w:hAnsi="宋体" w:cs="宋体"/>
          <w:color w:val="auto"/>
        </w:rPr>
        <w:t>根据买方的要求，</w:t>
      </w:r>
      <w:r>
        <w:rPr>
          <w:rFonts w:hint="eastAsia" w:ascii="宋体" w:hAnsi="宋体" w:cs="Arial"/>
          <w:color w:val="auto"/>
        </w:rPr>
        <w:t>卖方自接到技术服务要求起计，</w:t>
      </w:r>
      <w:r>
        <w:rPr>
          <w:rFonts w:hint="eastAsia" w:ascii="宋体" w:hAnsi="宋体" w:cs="宋体"/>
          <w:b/>
          <w:color w:val="auto"/>
        </w:rPr>
        <w:t>48</w:t>
      </w:r>
      <w:r>
        <w:rPr>
          <w:rFonts w:hint="eastAsia" w:ascii="宋体" w:hAnsi="宋体" w:cs="宋体"/>
          <w:color w:val="auto"/>
        </w:rPr>
        <w:t>小时内无条件提供现场</w:t>
      </w:r>
      <w:r>
        <w:rPr>
          <w:rFonts w:hint="eastAsia" w:ascii="宋体" w:hAnsi="宋体" w:cs="Arial"/>
          <w:color w:val="auto"/>
        </w:rPr>
        <w:t>维修</w:t>
      </w:r>
      <w:r>
        <w:rPr>
          <w:rFonts w:hint="eastAsia" w:ascii="宋体" w:hAnsi="宋体" w:cs="宋体"/>
          <w:color w:val="auto"/>
        </w:rPr>
        <w:t>服务</w:t>
      </w:r>
      <w:r>
        <w:rPr>
          <w:rFonts w:hint="eastAsia" w:ascii="宋体" w:hAnsi="宋体" w:cs="Arial"/>
          <w:color w:val="auto"/>
        </w:rPr>
        <w:t>，并彻底解决仪器之故障。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保修期内的维修：保修范围内的零部件等不收取费用（消耗品除外）。维修服务不收取服务费用（包括交通费、住宿费、工时费）。</w:t>
      </w:r>
    </w:p>
    <w:p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napToGrid w:val="0"/>
          <w:color w:val="000000"/>
          <w:sz w:val="24"/>
          <w:szCs w:val="24"/>
          <w:lang w:eastAsia="zh-CN"/>
        </w:rPr>
        <w:t>五、其他保证</w:t>
      </w:r>
    </w:p>
    <w:p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1、备品备件保证</w:t>
      </w:r>
    </w:p>
    <w:p>
      <w:pPr>
        <w:pStyle w:val="19"/>
        <w:adjustRightInd/>
        <w:spacing w:line="288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卖方供货清单中的所有设备、部件应保证</w:t>
      </w:r>
      <w:r>
        <w:rPr>
          <w:rFonts w:hint="eastAsia" w:ascii="宋体" w:hAnsi="宋体" w:cs="宋体"/>
          <w:b/>
        </w:rPr>
        <w:t>15</w:t>
      </w:r>
      <w:r>
        <w:rPr>
          <w:rFonts w:hint="eastAsia" w:ascii="宋体" w:hAnsi="宋体" w:cs="宋体"/>
        </w:rPr>
        <w:t>年（或停止生产后</w:t>
      </w:r>
      <w:r>
        <w:rPr>
          <w:rFonts w:hint="eastAsia" w:ascii="宋体" w:hAnsi="宋体" w:cs="宋体"/>
          <w:b/>
        </w:rPr>
        <w:t>9</w:t>
      </w:r>
      <w:r>
        <w:rPr>
          <w:rFonts w:hint="eastAsia" w:ascii="宋体" w:hAnsi="宋体" w:cs="宋体"/>
        </w:rPr>
        <w:t xml:space="preserve">年）以上的备件供应期。 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保修期后，</w:t>
      </w:r>
      <w:r>
        <w:rPr>
          <w:rFonts w:hint="eastAsia" w:ascii="宋体" w:hAnsi="宋体"/>
          <w:sz w:val="24"/>
          <w:szCs w:val="24"/>
          <w:lang w:eastAsia="zh-CN"/>
        </w:rPr>
        <w:t>卖方</w:t>
      </w:r>
      <w:r>
        <w:rPr>
          <w:rFonts w:hint="eastAsia" w:ascii="宋体" w:hAnsi="宋体" w:cs="Arial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2、能力保证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卖方应提供国内距本项目最近的技术咨询专家、应用专家、维修工程师的联络方式等资料。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3、其他服务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回访服务：保修期过后，卖方工程师每年对买方进行回访，以便于及时发现和处理问题，保证仪器的各项性能得到最大的发挥。</w:t>
      </w:r>
    </w:p>
    <w:p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附件一:</w:t>
      </w:r>
    </w:p>
    <w:p>
      <w:pPr>
        <w:spacing w:line="300" w:lineRule="auto"/>
        <w:jc w:val="both"/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（一）分析仪器设备请购目录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0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编号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仪器名称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FF99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691734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45" w:firstLineChars="60"/>
              <w:jc w:val="both"/>
              <w:rPr>
                <w:rFonts w:cs="Arial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  <w:szCs w:val="24"/>
              </w:rPr>
              <w:t>防爆冰箱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1台</w:t>
            </w:r>
          </w:p>
        </w:tc>
      </w:tr>
    </w:tbl>
    <w:p>
      <w:pPr>
        <w:spacing w:beforeLines="100" w:afterLines="50" w:line="300" w:lineRule="auto"/>
        <w:jc w:val="both"/>
        <w:rPr>
          <w:rFonts w:cs="Arial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（二）请购要求</w:t>
      </w:r>
    </w:p>
    <w:p>
      <w:pPr>
        <w:spacing w:line="400" w:lineRule="exact"/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val="en-US" w:eastAsia="zh-CN"/>
        </w:rPr>
        <w:t>1</w:t>
      </w:r>
      <w:r>
        <w:rPr>
          <w:rFonts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b/>
          <w:color w:val="C00000"/>
          <w:sz w:val="24"/>
          <w:szCs w:val="24"/>
          <w:lang w:eastAsia="zh-CN"/>
        </w:rPr>
        <w:t>防爆冰箱（1台）</w:t>
      </w:r>
    </w:p>
    <w:p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、技术参数及性能</w:t>
      </w:r>
      <w:bookmarkStart w:id="4" w:name="_GoBack"/>
      <w:bookmarkEnd w:id="4"/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要求：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1、使用温度范围：0℃</w:t>
      </w:r>
      <w:r>
        <w:rPr>
          <w:rFonts w:cs="宋体" w:asciiTheme="minorEastAsia" w:hAnsiTheme="minorEastAsia" w:eastAsiaTheme="minorEastAsia"/>
          <w:color w:val="auto"/>
        </w:rPr>
        <w:t>～</w:t>
      </w:r>
      <w:r>
        <w:rPr>
          <w:rFonts w:hint="eastAsia" w:cs="宋体" w:asciiTheme="minorEastAsia" w:hAnsiTheme="minorEastAsia" w:eastAsiaTheme="minorEastAsia"/>
          <w:color w:val="auto"/>
        </w:rPr>
        <w:t>-18℃，冷藏和冷冻区分开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2、温度偏差±2℃，温度波动性±1℃，精度0.1℃。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、容积：约500L，立式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、防爆数显温控仪(进口)有菜单式操作界面，操作简单易用，微电脑PID控制系统，控温精准波动小。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、名牌压缩机，性能稳定，噪音低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6</w:t>
      </w:r>
      <w:r>
        <w:rPr>
          <w:rFonts w:hint="eastAsia" w:cs="宋体" w:asciiTheme="minorEastAsia" w:hAnsiTheme="minorEastAsia" w:eastAsiaTheme="minorEastAsia"/>
          <w:color w:val="auto"/>
        </w:rPr>
        <w:t>、具有温度校正、超温报警、定时设定、来电恢复、参数记忆等功能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7</w:t>
      </w:r>
      <w:r>
        <w:rPr>
          <w:rFonts w:hint="eastAsia" w:cs="宋体" w:asciiTheme="minorEastAsia" w:hAnsiTheme="minorEastAsia" w:eastAsiaTheme="minorEastAsia"/>
          <w:color w:val="auto"/>
        </w:rPr>
        <w:t>、内置超温保护，温度超出一定程度，电源自动断电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cs="宋体" w:asciiTheme="minorEastAsia" w:hAnsiTheme="minorEastAsia" w:eastAsiaTheme="minorEastAsia"/>
          <w:color w:val="auto"/>
        </w:rPr>
        <w:t>1</w:t>
      </w:r>
      <w:r>
        <w:rPr>
          <w:rFonts w:hint="eastAsia" w:cs="宋体" w:asciiTheme="minorEastAsia" w:hAnsiTheme="minorEastAsia" w:eastAsiaTheme="minorEastAsia"/>
          <w:color w:val="auto"/>
        </w:rPr>
        <w:t>.</w:t>
      </w:r>
      <w:r>
        <w:rPr>
          <w:rFonts w:cs="宋体" w:asciiTheme="minorEastAsia" w:hAnsiTheme="minorEastAsia" w:eastAsiaTheme="minorEastAsia"/>
          <w:color w:val="auto"/>
        </w:rPr>
        <w:t>8</w:t>
      </w:r>
      <w:r>
        <w:rPr>
          <w:rFonts w:hint="eastAsia" w:cs="宋体" w:asciiTheme="minorEastAsia" w:hAnsiTheme="minorEastAsia" w:eastAsiaTheme="minorEastAsia"/>
          <w:color w:val="auto"/>
        </w:rPr>
        <w:t>、304#不锈钢外壳及内胆，耐腐蚀，无异味</w:t>
      </w:r>
    </w:p>
    <w:p>
      <w:pPr>
        <w:pStyle w:val="19"/>
        <w:spacing w:line="400" w:lineRule="exact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</w:t>
      </w:r>
      <w:r>
        <w:rPr>
          <w:rFonts w:cs="宋体" w:asciiTheme="minorEastAsia" w:hAnsiTheme="minorEastAsia" w:eastAsiaTheme="minorEastAsia"/>
          <w:color w:val="auto"/>
        </w:rPr>
        <w:t>.9、</w:t>
      </w:r>
      <w:r>
        <w:rPr>
          <w:rFonts w:hint="eastAsia" w:cs="宋体" w:asciiTheme="minorEastAsia" w:hAnsiTheme="minorEastAsia" w:eastAsiaTheme="minorEastAsia"/>
          <w:color w:val="auto"/>
        </w:rPr>
        <w:t>额定电压（V）:220</w:t>
      </w:r>
      <w:r>
        <w:rPr>
          <w:rFonts w:cs="宋体" w:asciiTheme="minorEastAsia" w:hAnsiTheme="minorEastAsia" w:eastAsiaTheme="minorEastAsia"/>
          <w:color w:val="auto"/>
        </w:rPr>
        <w:t>，</w:t>
      </w:r>
      <w:r>
        <w:rPr>
          <w:rFonts w:hint="eastAsia" w:cs="宋体" w:asciiTheme="minorEastAsia" w:hAnsiTheme="minorEastAsia" w:eastAsiaTheme="minorEastAsia"/>
          <w:color w:val="auto"/>
        </w:rPr>
        <w:t>额定频率（Hz）:50</w:t>
      </w:r>
    </w:p>
    <w:p>
      <w:pPr>
        <w:spacing w:line="400" w:lineRule="exact"/>
        <w:rPr>
          <w:rFonts w:ascii="宋体" w:hAnsi="宋体"/>
          <w:b/>
          <w:sz w:val="24"/>
          <w:lang w:eastAsia="zh-CN"/>
        </w:rPr>
      </w:pPr>
      <w:r>
        <w:rPr>
          <w:rFonts w:ascii="宋体" w:hAnsi="宋体"/>
          <w:b/>
          <w:sz w:val="24"/>
          <w:lang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防爆冷柜的防爆符合以下制造标准及国家冰箱制造标准：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1、GB 3836.1—2010    爆炸性环境  第1部分：设备通用要求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2、GB 3836.2—2010    爆炸性环境  第2部分：由隔爆外壳“d”保护的设备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3、GB 3836.4—2010    爆炸性环境  第4部分：由本质安全型“i”保护的设备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4、GB 3836.9—2014    爆炸性环境  第9部分：由浇封型“m”保护的设备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5、GB/T 3836.15—2017 爆炸性环境  第15部分：电气装置的设计、选型和安装</w:t>
      </w:r>
    </w:p>
    <w:p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</w:p>
    <w:sectPr>
      <w:headerReference r:id="rId6" w:type="default"/>
      <w:pgSz w:w="11909" w:h="16834"/>
      <w:pgMar w:top="1440" w:right="1134" w:bottom="1440" w:left="1418" w:header="839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lang w:eastAsia="zh-CN"/>
      </w:rPr>
      <w:drawing>
        <wp:inline distT="0" distB="0" distL="0" distR="0">
          <wp:extent cx="2624455" cy="370205"/>
          <wp:effectExtent l="0" t="0" r="0" b="0"/>
          <wp:docPr id="1" name="图片 1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5029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979"/>
    <w:multiLevelType w:val="multilevel"/>
    <w:tmpl w:val="13E44979"/>
    <w:lvl w:ilvl="0" w:tentative="0">
      <w:start w:val="1"/>
      <w:numFmt w:val="chineseCountingThousand"/>
      <w:pStyle w:val="1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15E14"/>
    <w:multiLevelType w:val="multilevel"/>
    <w:tmpl w:val="46A15E14"/>
    <w:lvl w:ilvl="0" w:tentative="0">
      <w:start w:val="1"/>
      <w:numFmt w:val="bullet"/>
      <w:pStyle w:val="39"/>
      <w:lvlText w:val=""/>
      <w:lvlJc w:val="left"/>
      <w:pPr>
        <w:tabs>
          <w:tab w:val="left" w:pos="340"/>
        </w:tabs>
        <w:ind w:left="340" w:hanging="227"/>
      </w:pPr>
      <w:rPr>
        <w:rFonts w:hint="default" w:ascii="Symbol" w:hAnsi="Symbol"/>
        <w:b w:val="0"/>
        <w:i w:val="0"/>
        <w:color w:val="ED7D31"/>
        <w:sz w:val="24"/>
      </w:rPr>
    </w:lvl>
    <w:lvl w:ilvl="1" w:tentative="0">
      <w:start w:val="1"/>
      <w:numFmt w:val="bullet"/>
      <w:lvlText w:val="o"/>
      <w:lvlJc w:val="left"/>
      <w:pPr>
        <w:ind w:left="18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ljYjA2YmU3M2I2NGI0OTZmODA4YTY5NzhiM2Q0NjEifQ=="/>
  </w:docVars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0EEF"/>
    <w:rsid w:val="00042155"/>
    <w:rsid w:val="00042996"/>
    <w:rsid w:val="0004365F"/>
    <w:rsid w:val="00045CAF"/>
    <w:rsid w:val="00046620"/>
    <w:rsid w:val="000618FB"/>
    <w:rsid w:val="00064C5B"/>
    <w:rsid w:val="0006544D"/>
    <w:rsid w:val="00071942"/>
    <w:rsid w:val="00080CB6"/>
    <w:rsid w:val="00081038"/>
    <w:rsid w:val="000811C2"/>
    <w:rsid w:val="0008126A"/>
    <w:rsid w:val="00091E99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B6198"/>
    <w:rsid w:val="000C01CE"/>
    <w:rsid w:val="000C1639"/>
    <w:rsid w:val="000C3CFA"/>
    <w:rsid w:val="000D08E9"/>
    <w:rsid w:val="000D30C2"/>
    <w:rsid w:val="000D60EF"/>
    <w:rsid w:val="000E2E33"/>
    <w:rsid w:val="000E549B"/>
    <w:rsid w:val="000F03B7"/>
    <w:rsid w:val="000F05CE"/>
    <w:rsid w:val="000F1F60"/>
    <w:rsid w:val="00104ACD"/>
    <w:rsid w:val="0010525D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087F"/>
    <w:rsid w:val="0015391D"/>
    <w:rsid w:val="0015442E"/>
    <w:rsid w:val="0016786D"/>
    <w:rsid w:val="00171D88"/>
    <w:rsid w:val="00172379"/>
    <w:rsid w:val="00184D80"/>
    <w:rsid w:val="0018555D"/>
    <w:rsid w:val="0019247C"/>
    <w:rsid w:val="00196E17"/>
    <w:rsid w:val="001A019A"/>
    <w:rsid w:val="001A5BA7"/>
    <w:rsid w:val="001A66EB"/>
    <w:rsid w:val="001B038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444"/>
    <w:rsid w:val="002526DB"/>
    <w:rsid w:val="00254684"/>
    <w:rsid w:val="00254D2F"/>
    <w:rsid w:val="002567FC"/>
    <w:rsid w:val="00257759"/>
    <w:rsid w:val="00257E32"/>
    <w:rsid w:val="002629A9"/>
    <w:rsid w:val="00266CD3"/>
    <w:rsid w:val="00275FF8"/>
    <w:rsid w:val="00277386"/>
    <w:rsid w:val="00280843"/>
    <w:rsid w:val="00281CAF"/>
    <w:rsid w:val="00284730"/>
    <w:rsid w:val="00285A49"/>
    <w:rsid w:val="0028711B"/>
    <w:rsid w:val="0028753F"/>
    <w:rsid w:val="00290C8F"/>
    <w:rsid w:val="00291D03"/>
    <w:rsid w:val="00292984"/>
    <w:rsid w:val="00294842"/>
    <w:rsid w:val="00295048"/>
    <w:rsid w:val="00295065"/>
    <w:rsid w:val="0029597D"/>
    <w:rsid w:val="00295FEA"/>
    <w:rsid w:val="002A14EF"/>
    <w:rsid w:val="002B1101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15C1"/>
    <w:rsid w:val="002F74F3"/>
    <w:rsid w:val="002F7DF1"/>
    <w:rsid w:val="00304906"/>
    <w:rsid w:val="0030494B"/>
    <w:rsid w:val="00304D1B"/>
    <w:rsid w:val="00307684"/>
    <w:rsid w:val="003124DA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676D8"/>
    <w:rsid w:val="00370220"/>
    <w:rsid w:val="003708D5"/>
    <w:rsid w:val="0037212F"/>
    <w:rsid w:val="003729B4"/>
    <w:rsid w:val="00377C7D"/>
    <w:rsid w:val="00377F18"/>
    <w:rsid w:val="00382954"/>
    <w:rsid w:val="00382B6F"/>
    <w:rsid w:val="003907BF"/>
    <w:rsid w:val="00392B1E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C7966"/>
    <w:rsid w:val="003D0DCF"/>
    <w:rsid w:val="003D4102"/>
    <w:rsid w:val="003D411E"/>
    <w:rsid w:val="003D53B7"/>
    <w:rsid w:val="003D686C"/>
    <w:rsid w:val="003E061E"/>
    <w:rsid w:val="003E0771"/>
    <w:rsid w:val="003E0A37"/>
    <w:rsid w:val="003E1131"/>
    <w:rsid w:val="003F0364"/>
    <w:rsid w:val="003F4B0D"/>
    <w:rsid w:val="003F5082"/>
    <w:rsid w:val="003F7FCC"/>
    <w:rsid w:val="00402228"/>
    <w:rsid w:val="00403055"/>
    <w:rsid w:val="00403663"/>
    <w:rsid w:val="00421C63"/>
    <w:rsid w:val="00421F80"/>
    <w:rsid w:val="00423F3F"/>
    <w:rsid w:val="00425F93"/>
    <w:rsid w:val="00430532"/>
    <w:rsid w:val="00431DC6"/>
    <w:rsid w:val="00432F00"/>
    <w:rsid w:val="00433CBC"/>
    <w:rsid w:val="00434B52"/>
    <w:rsid w:val="00435A23"/>
    <w:rsid w:val="004362B5"/>
    <w:rsid w:val="0043633E"/>
    <w:rsid w:val="00442364"/>
    <w:rsid w:val="00451130"/>
    <w:rsid w:val="00456EAA"/>
    <w:rsid w:val="00462EAD"/>
    <w:rsid w:val="00470893"/>
    <w:rsid w:val="00471482"/>
    <w:rsid w:val="00474491"/>
    <w:rsid w:val="004753AA"/>
    <w:rsid w:val="00475AF0"/>
    <w:rsid w:val="0048341A"/>
    <w:rsid w:val="0048681A"/>
    <w:rsid w:val="00486E9B"/>
    <w:rsid w:val="00487764"/>
    <w:rsid w:val="00492C50"/>
    <w:rsid w:val="00496110"/>
    <w:rsid w:val="004A44C5"/>
    <w:rsid w:val="004B028D"/>
    <w:rsid w:val="004D0127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60"/>
    <w:rsid w:val="00511E7B"/>
    <w:rsid w:val="00523532"/>
    <w:rsid w:val="00526A13"/>
    <w:rsid w:val="00527157"/>
    <w:rsid w:val="00527C61"/>
    <w:rsid w:val="00530900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637DD"/>
    <w:rsid w:val="005649AF"/>
    <w:rsid w:val="00564BB6"/>
    <w:rsid w:val="0057143D"/>
    <w:rsid w:val="005724EB"/>
    <w:rsid w:val="00573067"/>
    <w:rsid w:val="005740C0"/>
    <w:rsid w:val="005765CC"/>
    <w:rsid w:val="00580C89"/>
    <w:rsid w:val="0058227F"/>
    <w:rsid w:val="00582C10"/>
    <w:rsid w:val="005932E9"/>
    <w:rsid w:val="00593E74"/>
    <w:rsid w:val="005975A0"/>
    <w:rsid w:val="005A11E1"/>
    <w:rsid w:val="005B5B69"/>
    <w:rsid w:val="005B61C1"/>
    <w:rsid w:val="005C0CF1"/>
    <w:rsid w:val="005C31C9"/>
    <w:rsid w:val="005C320F"/>
    <w:rsid w:val="005C4DAD"/>
    <w:rsid w:val="005D750A"/>
    <w:rsid w:val="005E2348"/>
    <w:rsid w:val="005E23EE"/>
    <w:rsid w:val="005E3BF0"/>
    <w:rsid w:val="005E4B12"/>
    <w:rsid w:val="005F0256"/>
    <w:rsid w:val="005F10E4"/>
    <w:rsid w:val="005F28C1"/>
    <w:rsid w:val="005F390B"/>
    <w:rsid w:val="005F3BA9"/>
    <w:rsid w:val="005F4662"/>
    <w:rsid w:val="005F59F3"/>
    <w:rsid w:val="006075B1"/>
    <w:rsid w:val="00613B75"/>
    <w:rsid w:val="00615864"/>
    <w:rsid w:val="00616828"/>
    <w:rsid w:val="006217D1"/>
    <w:rsid w:val="006223FE"/>
    <w:rsid w:val="006249B2"/>
    <w:rsid w:val="00625C78"/>
    <w:rsid w:val="00630426"/>
    <w:rsid w:val="006327F5"/>
    <w:rsid w:val="00633A95"/>
    <w:rsid w:val="0063681F"/>
    <w:rsid w:val="006457C5"/>
    <w:rsid w:val="00646958"/>
    <w:rsid w:val="006531D9"/>
    <w:rsid w:val="006549AC"/>
    <w:rsid w:val="0066135A"/>
    <w:rsid w:val="0066144E"/>
    <w:rsid w:val="006627F5"/>
    <w:rsid w:val="00662DA3"/>
    <w:rsid w:val="00670B34"/>
    <w:rsid w:val="00677339"/>
    <w:rsid w:val="0068452C"/>
    <w:rsid w:val="00691F8F"/>
    <w:rsid w:val="0069389F"/>
    <w:rsid w:val="00694EEF"/>
    <w:rsid w:val="006962D5"/>
    <w:rsid w:val="006A2D36"/>
    <w:rsid w:val="006A3467"/>
    <w:rsid w:val="006A70A5"/>
    <w:rsid w:val="006B4909"/>
    <w:rsid w:val="006B5C7B"/>
    <w:rsid w:val="006B6D96"/>
    <w:rsid w:val="006C37E3"/>
    <w:rsid w:val="006C5E61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6F7776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19F7"/>
    <w:rsid w:val="007555A8"/>
    <w:rsid w:val="00755CC0"/>
    <w:rsid w:val="007567D9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3397"/>
    <w:rsid w:val="007A457D"/>
    <w:rsid w:val="007A7D93"/>
    <w:rsid w:val="007B51D5"/>
    <w:rsid w:val="007B5565"/>
    <w:rsid w:val="007B7E42"/>
    <w:rsid w:val="007C196C"/>
    <w:rsid w:val="007C3590"/>
    <w:rsid w:val="007C3EFA"/>
    <w:rsid w:val="007C4587"/>
    <w:rsid w:val="007D2D47"/>
    <w:rsid w:val="007D45A7"/>
    <w:rsid w:val="007D4D94"/>
    <w:rsid w:val="007E2527"/>
    <w:rsid w:val="007E4F6C"/>
    <w:rsid w:val="007F0AD2"/>
    <w:rsid w:val="007F620F"/>
    <w:rsid w:val="007F7E44"/>
    <w:rsid w:val="008047CD"/>
    <w:rsid w:val="00811342"/>
    <w:rsid w:val="00811E18"/>
    <w:rsid w:val="00816383"/>
    <w:rsid w:val="00817329"/>
    <w:rsid w:val="008230F7"/>
    <w:rsid w:val="00824784"/>
    <w:rsid w:val="00830609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6F7A"/>
    <w:rsid w:val="00847D2E"/>
    <w:rsid w:val="008527A8"/>
    <w:rsid w:val="00855D47"/>
    <w:rsid w:val="0086072C"/>
    <w:rsid w:val="00860CE5"/>
    <w:rsid w:val="0086271F"/>
    <w:rsid w:val="00863802"/>
    <w:rsid w:val="00865060"/>
    <w:rsid w:val="0086508D"/>
    <w:rsid w:val="00870DBA"/>
    <w:rsid w:val="0087162F"/>
    <w:rsid w:val="008757E5"/>
    <w:rsid w:val="00881785"/>
    <w:rsid w:val="00883EA8"/>
    <w:rsid w:val="00884451"/>
    <w:rsid w:val="00890086"/>
    <w:rsid w:val="008906D7"/>
    <w:rsid w:val="008918EB"/>
    <w:rsid w:val="008926D8"/>
    <w:rsid w:val="00893FE6"/>
    <w:rsid w:val="008966E1"/>
    <w:rsid w:val="00896CD6"/>
    <w:rsid w:val="00897AE6"/>
    <w:rsid w:val="008A4180"/>
    <w:rsid w:val="008B09A0"/>
    <w:rsid w:val="008B164E"/>
    <w:rsid w:val="008B7B7B"/>
    <w:rsid w:val="008C502A"/>
    <w:rsid w:val="008C5D5F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20263"/>
    <w:rsid w:val="00920700"/>
    <w:rsid w:val="009247F3"/>
    <w:rsid w:val="00926EA3"/>
    <w:rsid w:val="00927238"/>
    <w:rsid w:val="00940977"/>
    <w:rsid w:val="00942E72"/>
    <w:rsid w:val="009432E5"/>
    <w:rsid w:val="00946AE4"/>
    <w:rsid w:val="00946F9E"/>
    <w:rsid w:val="009553A0"/>
    <w:rsid w:val="009609A5"/>
    <w:rsid w:val="00960D5C"/>
    <w:rsid w:val="009628ED"/>
    <w:rsid w:val="00965601"/>
    <w:rsid w:val="0096725C"/>
    <w:rsid w:val="00971229"/>
    <w:rsid w:val="009716D5"/>
    <w:rsid w:val="00972A9E"/>
    <w:rsid w:val="00975357"/>
    <w:rsid w:val="00980933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A6900"/>
    <w:rsid w:val="009B181D"/>
    <w:rsid w:val="009B6E04"/>
    <w:rsid w:val="009C0A07"/>
    <w:rsid w:val="009C0AB8"/>
    <w:rsid w:val="009C121F"/>
    <w:rsid w:val="009C2DD8"/>
    <w:rsid w:val="009C3838"/>
    <w:rsid w:val="009C51D5"/>
    <w:rsid w:val="009C6148"/>
    <w:rsid w:val="009D017E"/>
    <w:rsid w:val="009D1A3D"/>
    <w:rsid w:val="009D434B"/>
    <w:rsid w:val="009D4CDC"/>
    <w:rsid w:val="009E57B6"/>
    <w:rsid w:val="009E5B0C"/>
    <w:rsid w:val="009E6236"/>
    <w:rsid w:val="009E63C2"/>
    <w:rsid w:val="009F3A7B"/>
    <w:rsid w:val="009F5281"/>
    <w:rsid w:val="00A0139B"/>
    <w:rsid w:val="00A073BC"/>
    <w:rsid w:val="00A168DF"/>
    <w:rsid w:val="00A17502"/>
    <w:rsid w:val="00A23A87"/>
    <w:rsid w:val="00A24502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E7771"/>
    <w:rsid w:val="00AF19F8"/>
    <w:rsid w:val="00B00CC7"/>
    <w:rsid w:val="00B0277B"/>
    <w:rsid w:val="00B04AD1"/>
    <w:rsid w:val="00B15DF0"/>
    <w:rsid w:val="00B178A0"/>
    <w:rsid w:val="00B2255D"/>
    <w:rsid w:val="00B22710"/>
    <w:rsid w:val="00B262E7"/>
    <w:rsid w:val="00B267B2"/>
    <w:rsid w:val="00B26E7F"/>
    <w:rsid w:val="00B337A4"/>
    <w:rsid w:val="00B35AA0"/>
    <w:rsid w:val="00B427B2"/>
    <w:rsid w:val="00B56A07"/>
    <w:rsid w:val="00B63387"/>
    <w:rsid w:val="00B65D02"/>
    <w:rsid w:val="00B673A9"/>
    <w:rsid w:val="00B67BF9"/>
    <w:rsid w:val="00B67E20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5F5"/>
    <w:rsid w:val="00BD3D44"/>
    <w:rsid w:val="00BE1E00"/>
    <w:rsid w:val="00BE7BEC"/>
    <w:rsid w:val="00BF2ACA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17A0A"/>
    <w:rsid w:val="00C203E3"/>
    <w:rsid w:val="00C22994"/>
    <w:rsid w:val="00C24D47"/>
    <w:rsid w:val="00C263E3"/>
    <w:rsid w:val="00C26E94"/>
    <w:rsid w:val="00C3231B"/>
    <w:rsid w:val="00C335DA"/>
    <w:rsid w:val="00C358CB"/>
    <w:rsid w:val="00C41903"/>
    <w:rsid w:val="00C42D4A"/>
    <w:rsid w:val="00C43719"/>
    <w:rsid w:val="00C440E2"/>
    <w:rsid w:val="00C463DD"/>
    <w:rsid w:val="00C50C20"/>
    <w:rsid w:val="00C5438D"/>
    <w:rsid w:val="00C56F9F"/>
    <w:rsid w:val="00C607FB"/>
    <w:rsid w:val="00C6292D"/>
    <w:rsid w:val="00C62D72"/>
    <w:rsid w:val="00C65490"/>
    <w:rsid w:val="00C66537"/>
    <w:rsid w:val="00C700F0"/>
    <w:rsid w:val="00C761C3"/>
    <w:rsid w:val="00C80498"/>
    <w:rsid w:val="00C86708"/>
    <w:rsid w:val="00C8720B"/>
    <w:rsid w:val="00C8743A"/>
    <w:rsid w:val="00C902E8"/>
    <w:rsid w:val="00C907AF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1EB9"/>
    <w:rsid w:val="00CC4819"/>
    <w:rsid w:val="00CC5314"/>
    <w:rsid w:val="00CD32C0"/>
    <w:rsid w:val="00CD3A70"/>
    <w:rsid w:val="00CD516A"/>
    <w:rsid w:val="00CE0AC2"/>
    <w:rsid w:val="00CF434C"/>
    <w:rsid w:val="00CF61F9"/>
    <w:rsid w:val="00D00480"/>
    <w:rsid w:val="00D1296C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5A03"/>
    <w:rsid w:val="00D50B1D"/>
    <w:rsid w:val="00D5456D"/>
    <w:rsid w:val="00D6053F"/>
    <w:rsid w:val="00D64998"/>
    <w:rsid w:val="00D656F9"/>
    <w:rsid w:val="00D66265"/>
    <w:rsid w:val="00D67283"/>
    <w:rsid w:val="00D6757A"/>
    <w:rsid w:val="00D6798E"/>
    <w:rsid w:val="00D70C10"/>
    <w:rsid w:val="00D75207"/>
    <w:rsid w:val="00D80E81"/>
    <w:rsid w:val="00D82568"/>
    <w:rsid w:val="00D9603F"/>
    <w:rsid w:val="00D96249"/>
    <w:rsid w:val="00DA14FD"/>
    <w:rsid w:val="00DA3491"/>
    <w:rsid w:val="00DA51F5"/>
    <w:rsid w:val="00DA6D9B"/>
    <w:rsid w:val="00DA7F87"/>
    <w:rsid w:val="00DB11CA"/>
    <w:rsid w:val="00DB138B"/>
    <w:rsid w:val="00DB24DC"/>
    <w:rsid w:val="00DB4EFE"/>
    <w:rsid w:val="00DB50D9"/>
    <w:rsid w:val="00DB5330"/>
    <w:rsid w:val="00DB7CE1"/>
    <w:rsid w:val="00DC5604"/>
    <w:rsid w:val="00DD0EEA"/>
    <w:rsid w:val="00DD1E37"/>
    <w:rsid w:val="00DD23F7"/>
    <w:rsid w:val="00DD7016"/>
    <w:rsid w:val="00DD7463"/>
    <w:rsid w:val="00DE10B3"/>
    <w:rsid w:val="00DF02B6"/>
    <w:rsid w:val="00DF685A"/>
    <w:rsid w:val="00DF68DA"/>
    <w:rsid w:val="00DF6E1E"/>
    <w:rsid w:val="00E04248"/>
    <w:rsid w:val="00E20607"/>
    <w:rsid w:val="00E31E6F"/>
    <w:rsid w:val="00E35F90"/>
    <w:rsid w:val="00E36B8E"/>
    <w:rsid w:val="00E37C50"/>
    <w:rsid w:val="00E454CE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29E5"/>
    <w:rsid w:val="00E957EF"/>
    <w:rsid w:val="00EA1FAF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D66E1"/>
    <w:rsid w:val="00EE1D97"/>
    <w:rsid w:val="00EE4AD0"/>
    <w:rsid w:val="00EE6D56"/>
    <w:rsid w:val="00EE71EC"/>
    <w:rsid w:val="00EF4CC1"/>
    <w:rsid w:val="00EF6392"/>
    <w:rsid w:val="00F05F8E"/>
    <w:rsid w:val="00F2007C"/>
    <w:rsid w:val="00F21253"/>
    <w:rsid w:val="00F24FBA"/>
    <w:rsid w:val="00F25284"/>
    <w:rsid w:val="00F27501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2E0A"/>
    <w:rsid w:val="00F443F7"/>
    <w:rsid w:val="00F51E70"/>
    <w:rsid w:val="00F5399A"/>
    <w:rsid w:val="00F539F1"/>
    <w:rsid w:val="00F5406B"/>
    <w:rsid w:val="00F55DEE"/>
    <w:rsid w:val="00F668DD"/>
    <w:rsid w:val="00F67618"/>
    <w:rsid w:val="00F714E6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106"/>
    <w:rsid w:val="00FA1AC9"/>
    <w:rsid w:val="00FA3B34"/>
    <w:rsid w:val="00FA7247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669F"/>
    <w:rsid w:val="00FE6F50"/>
    <w:rsid w:val="00FE7D57"/>
    <w:rsid w:val="00FF0ED2"/>
    <w:rsid w:val="00FF19A9"/>
    <w:rsid w:val="00FF1D07"/>
    <w:rsid w:val="00FF3FB3"/>
    <w:rsid w:val="00FF5DDD"/>
    <w:rsid w:val="6A595EC3"/>
    <w:rsid w:val="76E6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47"/>
    <w:qFormat/>
    <w:uiPriority w:val="0"/>
    <w:rPr>
      <w:rFonts w:ascii="宋体" w:hAnsi="Courier New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overflowPunct w:val="0"/>
      <w:autoSpaceDE w:val="0"/>
      <w:autoSpaceDN w:val="0"/>
      <w:adjustRightInd w:val="0"/>
      <w:ind w:left="100" w:leftChars="2500"/>
      <w:textAlignment w:val="baseline"/>
    </w:pPr>
    <w:rPr>
      <w:rFonts w:ascii="仿宋体" w:eastAsia="仿宋体"/>
      <w:sz w:val="24"/>
      <w:lang w:eastAsia="zh-CN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left" w:pos="630"/>
        <w:tab w:val="right" w:leader="dot" w:pos="829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styleId="12">
    <w:name w:val="Title"/>
    <w:basedOn w:val="2"/>
    <w:link w:val="24"/>
    <w:qFormat/>
    <w:uiPriority w:val="0"/>
    <w:pPr>
      <w:keepNext w:val="0"/>
      <w:numPr>
        <w:ilvl w:val="0"/>
        <w:numId w:val="1"/>
      </w:numPr>
      <w:snapToGrid w:val="0"/>
      <w:spacing w:beforeLines="50" w:after="0"/>
    </w:pPr>
    <w:rPr>
      <w:rFonts w:ascii="华文楷体" w:hAnsi="华文楷体" w:eastAsia="华文楷体"/>
      <w:kern w:val="0"/>
      <w:sz w:val="24"/>
      <w:szCs w:val="24"/>
      <w:lang w:eastAsia="zh-CN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9">
    <w:name w:val="Default"/>
    <w:link w:val="3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M9"/>
    <w:basedOn w:val="19"/>
    <w:next w:val="19"/>
    <w:qFormat/>
    <w:uiPriority w:val="99"/>
    <w:pPr>
      <w:spacing w:after="68"/>
    </w:pPr>
    <w:rPr>
      <w:color w:val="auto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  <w:lang w:eastAsia="en-US"/>
    </w:rPr>
  </w:style>
  <w:style w:type="character" w:customStyle="1" w:styleId="22">
    <w:name w:val="页脚 Char"/>
    <w:basedOn w:val="15"/>
    <w:link w:val="8"/>
    <w:qFormat/>
    <w:uiPriority w:val="99"/>
    <w:rPr>
      <w:sz w:val="18"/>
      <w:szCs w:val="18"/>
      <w:lang w:eastAsia="en-US"/>
    </w:rPr>
  </w:style>
  <w:style w:type="paragraph" w:customStyle="1" w:styleId="23">
    <w:name w:val="TOC Heading"/>
    <w:basedOn w:val="2"/>
    <w:next w:val="1"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24">
    <w:name w:val="标题 Char"/>
    <w:basedOn w:val="15"/>
    <w:link w:val="12"/>
    <w:uiPriority w:val="0"/>
    <w:rPr>
      <w:rFonts w:ascii="华文楷体" w:hAnsi="华文楷体" w:eastAsia="华文楷体"/>
      <w:b/>
      <w:sz w:val="24"/>
      <w:szCs w:val="24"/>
    </w:rPr>
  </w:style>
  <w:style w:type="character" w:customStyle="1" w:styleId="25">
    <w:name w:val="批注框文本 Char"/>
    <w:basedOn w:val="15"/>
    <w:link w:val="7"/>
    <w:qFormat/>
    <w:uiPriority w:val="0"/>
    <w:rPr>
      <w:sz w:val="18"/>
      <w:szCs w:val="18"/>
      <w:lang w:eastAsia="en-US"/>
    </w:rPr>
  </w:style>
  <w:style w:type="paragraph" w:customStyle="1" w:styleId="26">
    <w:name w:val="默认段落字体 Para Char Char Char Char Char Char Char"/>
    <w:basedOn w:val="1"/>
    <w:qFormat/>
    <w:uiPriority w:val="0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27">
    <w:name w:val="Char Char1 Char Char Char"/>
    <w:basedOn w:val="1"/>
    <w:qFormat/>
    <w:uiPriority w:val="0"/>
    <w:pPr>
      <w:spacing w:after="160" w:line="240" w:lineRule="exact"/>
    </w:pPr>
    <w:rPr>
      <w:rFonts w:ascii="Verdana" w:hAnsi="Verdana"/>
    </w:rPr>
  </w:style>
  <w:style w:type="paragraph" w:customStyle="1" w:styleId="28">
    <w:name w:val="Char Char"/>
    <w:basedOn w:val="1"/>
    <w:qFormat/>
    <w:uiPriority w:val="0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29">
    <w:name w:val="样式3"/>
    <w:basedOn w:val="5"/>
    <w:qFormat/>
    <w:uiPriority w:val="0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30">
    <w:name w:val="CM1"/>
    <w:basedOn w:val="19"/>
    <w:next w:val="19"/>
    <w:qFormat/>
    <w:uiPriority w:val="99"/>
    <w:rPr>
      <w:rFonts w:ascii="Arial" w:hAnsi="Arial"/>
      <w:color w:val="auto"/>
    </w:rPr>
  </w:style>
  <w:style w:type="paragraph" w:customStyle="1" w:styleId="31">
    <w:name w:val="CM11"/>
    <w:basedOn w:val="19"/>
    <w:next w:val="19"/>
    <w:qFormat/>
    <w:uiPriority w:val="99"/>
    <w:pPr>
      <w:spacing w:after="488"/>
    </w:pPr>
    <w:rPr>
      <w:rFonts w:ascii="Arial" w:hAnsi="Arial"/>
      <w:color w:val="auto"/>
    </w:rPr>
  </w:style>
  <w:style w:type="paragraph" w:customStyle="1" w:styleId="32">
    <w:name w:val="CM2"/>
    <w:basedOn w:val="19"/>
    <w:next w:val="19"/>
    <w:qFormat/>
    <w:uiPriority w:val="99"/>
    <w:pPr>
      <w:spacing w:line="263" w:lineRule="atLeast"/>
    </w:pPr>
    <w:rPr>
      <w:rFonts w:ascii="Arial" w:hAnsi="Arial"/>
      <w:color w:val="auto"/>
    </w:rPr>
  </w:style>
  <w:style w:type="paragraph" w:customStyle="1" w:styleId="33">
    <w:name w:val="CM12"/>
    <w:basedOn w:val="19"/>
    <w:next w:val="19"/>
    <w:qFormat/>
    <w:uiPriority w:val="99"/>
    <w:pPr>
      <w:spacing w:after="240"/>
    </w:pPr>
    <w:rPr>
      <w:rFonts w:ascii="Arial" w:hAnsi="Arial"/>
      <w:color w:val="auto"/>
    </w:rPr>
  </w:style>
  <w:style w:type="paragraph" w:customStyle="1" w:styleId="34">
    <w:name w:val="CM6"/>
    <w:basedOn w:val="19"/>
    <w:next w:val="19"/>
    <w:qFormat/>
    <w:uiPriority w:val="99"/>
    <w:rPr>
      <w:rFonts w:ascii="Arial" w:hAnsi="Arial"/>
      <w:color w:val="auto"/>
    </w:rPr>
  </w:style>
  <w:style w:type="paragraph" w:customStyle="1" w:styleId="35">
    <w:name w:val="CM10"/>
    <w:basedOn w:val="19"/>
    <w:next w:val="19"/>
    <w:qFormat/>
    <w:uiPriority w:val="99"/>
    <w:pPr>
      <w:spacing w:line="258" w:lineRule="atLeast"/>
    </w:pPr>
    <w:rPr>
      <w:rFonts w:ascii="Arial" w:hAnsi="Arial"/>
      <w:color w:val="auto"/>
    </w:rPr>
  </w:style>
  <w:style w:type="paragraph" w:customStyle="1" w:styleId="36">
    <w:name w:val="Char"/>
    <w:basedOn w:val="1"/>
    <w:qFormat/>
    <w:uiPriority w:val="0"/>
    <w:pPr>
      <w:spacing w:after="160" w:line="240" w:lineRule="exact"/>
    </w:pPr>
    <w:rPr>
      <w:rFonts w:ascii="Verdana" w:hAnsi="Verdana"/>
    </w:rPr>
  </w:style>
  <w:style w:type="character" w:customStyle="1" w:styleId="37">
    <w:name w:val="Default Char"/>
    <w:link w:val="19"/>
    <w:qFormat/>
    <w:uiPriority w:val="0"/>
    <w:rPr>
      <w:color w:val="000000"/>
      <w:sz w:val="24"/>
      <w:szCs w:val="24"/>
      <w:lang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orange bullets"/>
    <w:basedOn w:val="38"/>
    <w:qFormat/>
    <w:uiPriority w:val="0"/>
    <w:pPr>
      <w:numPr>
        <w:ilvl w:val="0"/>
        <w:numId w:val="2"/>
      </w:numPr>
      <w:tabs>
        <w:tab w:val="left" w:pos="360"/>
        <w:tab w:val="left" w:pos="425"/>
        <w:tab w:val="clear" w:pos="340"/>
      </w:tabs>
      <w:spacing w:line="240" w:lineRule="exact"/>
      <w:ind w:left="0" w:firstLine="0" w:firstLineChars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40">
    <w:name w:val="Tabelle"/>
    <w:basedOn w:val="1"/>
    <w:qFormat/>
    <w:uiPriority w:val="0"/>
    <w:pPr>
      <w:spacing w:before="40" w:after="40"/>
    </w:pPr>
    <w:rPr>
      <w:rFonts w:ascii="Arial" w:hAnsi="Arial"/>
      <w:lang w:eastAsia="de-DE"/>
    </w:rPr>
  </w:style>
  <w:style w:type="paragraph" w:customStyle="1" w:styleId="41">
    <w:name w:val="CM21"/>
    <w:basedOn w:val="19"/>
    <w:next w:val="19"/>
    <w:qFormat/>
    <w:uiPriority w:val="0"/>
    <w:pPr>
      <w:spacing w:line="360" w:lineRule="atLeast"/>
    </w:pPr>
    <w:rPr>
      <w:rFonts w:ascii="黑体" w:eastAsia="黑体"/>
      <w:color w:val="auto"/>
    </w:rPr>
  </w:style>
  <w:style w:type="paragraph" w:customStyle="1" w:styleId="42">
    <w:name w:val="Char Char Char Char Char Char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3">
    <w:name w:val="Char Char Char Char Char Char1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4">
    <w:name w:val="apple-converted-space"/>
    <w:basedOn w:val="15"/>
    <w:qFormat/>
    <w:uiPriority w:val="0"/>
  </w:style>
  <w:style w:type="paragraph" w:customStyle="1" w:styleId="45">
    <w:name w:val="Char Char Char Char Char Char2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6">
    <w:name w:val="Char Char Char Char Char Char3"/>
    <w:basedOn w:val="1"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7">
    <w:name w:val="纯文本 Char"/>
    <w:basedOn w:val="15"/>
    <w:link w:val="5"/>
    <w:qFormat/>
    <w:uiPriority w:val="0"/>
    <w:rPr>
      <w:rFonts w:ascii="宋体" w:hAnsi="Courier New" w:cs="Courier New"/>
      <w:sz w:val="21"/>
      <w:szCs w:val="21"/>
      <w:lang w:eastAsia="en-US"/>
    </w:rPr>
  </w:style>
  <w:style w:type="paragraph" w:customStyle="1" w:styleId="48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Document1.docx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BAED-89C1-464F-B10C-85F15CCA5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BeckmanCoulter</Company>
  <Pages>8</Pages>
  <Words>701</Words>
  <Characters>3998</Characters>
  <Lines>33</Lines>
  <Paragraphs>9</Paragraphs>
  <TotalTime>293</TotalTime>
  <ScaleCrop>false</ScaleCrop>
  <LinksUpToDate>false</LinksUpToDate>
  <CharactersWithSpaces>4690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2023-09-05T08:59:00Z</dcterms:created>
  <dc:creator>Gary Gu</dc:creator>
  <cp:lastModifiedBy>GM10</cp:lastModifiedBy>
  <cp:lastPrinted>2011-04-20T07:10:00Z</cp:lastPrinted>
  <dcterms:modified xsi:type="dcterms:W3CDTF">2023-10-25T06:33:03Z</dcterms:modified>
  <dc:title>技术协议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FF228D8E18F04AABAD4FCD59CA33B7B5_12</vt:lpwstr>
  </property>
</Properties>
</file>