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751" w:rsidRDefault="00DD5751" w:rsidP="00DD5751">
      <w:pPr>
        <w:adjustRightInd w:val="0"/>
        <w:rPr>
          <w:b/>
          <w:bCs/>
          <w:sz w:val="36"/>
          <w:lang w:eastAsia="zh-CN"/>
        </w:rPr>
      </w:pPr>
      <w:r>
        <w:rPr>
          <w:rFonts w:hint="eastAsia"/>
          <w:b/>
          <w:bCs/>
          <w:sz w:val="36"/>
          <w:lang w:eastAsia="zh-CN"/>
        </w:rPr>
        <w:t>福建福海创石油化工有限公司</w:t>
      </w:r>
      <w:r w:rsidRPr="00CA5DDF">
        <w:rPr>
          <w:rFonts w:hint="eastAsia"/>
          <w:b/>
          <w:bCs/>
          <w:sz w:val="36"/>
          <w:lang w:eastAsia="zh-CN"/>
        </w:rPr>
        <w:t>原料适应性技改项目</w:t>
      </w:r>
      <w:r w:rsidRPr="00857509">
        <w:rPr>
          <w:b/>
          <w:bCs/>
          <w:sz w:val="36"/>
          <w:lang w:eastAsia="zh-CN"/>
        </w:rPr>
        <w:t>61-P-201A~203A凝析油输送</w:t>
      </w:r>
      <w:proofErr w:type="gramStart"/>
      <w:r w:rsidRPr="00857509">
        <w:rPr>
          <w:b/>
          <w:bCs/>
          <w:sz w:val="36"/>
          <w:lang w:eastAsia="zh-CN"/>
        </w:rPr>
        <w:t>泵</w:t>
      </w:r>
      <w:r w:rsidRPr="00857509">
        <w:rPr>
          <w:rFonts w:hint="eastAsia"/>
          <w:b/>
          <w:bCs/>
          <w:sz w:val="36"/>
          <w:lang w:eastAsia="zh-CN"/>
        </w:rPr>
        <w:t>改造</w:t>
      </w:r>
      <w:proofErr w:type="gramEnd"/>
      <w:r w:rsidRPr="00857509">
        <w:rPr>
          <w:rFonts w:hint="eastAsia"/>
          <w:b/>
          <w:bCs/>
          <w:sz w:val="36"/>
          <w:lang w:eastAsia="zh-CN"/>
        </w:rPr>
        <w:t>项目</w:t>
      </w:r>
      <w:r>
        <w:rPr>
          <w:rFonts w:hint="eastAsia"/>
          <w:b/>
          <w:bCs/>
          <w:sz w:val="36"/>
          <w:lang w:eastAsia="zh-CN"/>
        </w:rPr>
        <w:t>公开比选公告</w:t>
      </w:r>
    </w:p>
    <w:p w:rsidR="00DD5751" w:rsidRDefault="00DD5751" w:rsidP="00DD5751">
      <w:pPr>
        <w:wordWrap w:val="0"/>
        <w:spacing w:line="360" w:lineRule="auto"/>
        <w:ind w:right="315"/>
        <w:jc w:val="right"/>
        <w:rPr>
          <w:bCs/>
          <w:szCs w:val="21"/>
          <w:lang w:eastAsia="zh-CN"/>
        </w:rPr>
      </w:pPr>
      <w:r>
        <w:rPr>
          <w:rFonts w:hint="eastAsia"/>
          <w:bCs/>
          <w:szCs w:val="21"/>
          <w:lang w:eastAsia="zh-CN"/>
        </w:rPr>
        <w:t>比选编号：</w:t>
      </w:r>
      <w:r w:rsidRPr="004932FE">
        <w:rPr>
          <w:bCs/>
          <w:szCs w:val="21"/>
          <w:lang w:eastAsia="zh-CN"/>
        </w:rPr>
        <w:t>FHC-GKJCG-20230112001</w:t>
      </w:r>
      <w:r>
        <w:rPr>
          <w:bCs/>
          <w:szCs w:val="21"/>
          <w:lang w:eastAsia="zh-CN"/>
        </w:rPr>
        <w:t xml:space="preserve"> </w:t>
      </w:r>
    </w:p>
    <w:p w:rsidR="00DD5751" w:rsidRDefault="00DD5751" w:rsidP="00DD5751">
      <w:pPr>
        <w:spacing w:line="360" w:lineRule="auto"/>
        <w:ind w:right="31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CA5DDF">
        <w:rPr>
          <w:rFonts w:asciiTheme="minorEastAsia" w:eastAsiaTheme="minorEastAsia" w:hAnsiTheme="minorEastAsia" w:hint="eastAsia"/>
          <w:bCs/>
          <w:sz w:val="24"/>
          <w:szCs w:val="24"/>
          <w:lang w:eastAsia="zh-CN"/>
        </w:rPr>
        <w:t>原料适应性技改项目</w:t>
      </w:r>
      <w:r w:rsidRPr="00857509">
        <w:rPr>
          <w:rFonts w:asciiTheme="minorEastAsia" w:eastAsiaTheme="minorEastAsia" w:hAnsiTheme="minorEastAsia"/>
          <w:bCs/>
          <w:sz w:val="24"/>
          <w:szCs w:val="24"/>
          <w:lang w:eastAsia="zh-CN"/>
        </w:rPr>
        <w:t>61-P-201A~203A凝析油输送泵采购</w:t>
      </w:r>
      <w:r>
        <w:rPr>
          <w:rFonts w:asciiTheme="minorEastAsia" w:eastAsiaTheme="minorEastAsia" w:hAnsiTheme="minorEastAsia" w:hint="eastAsia"/>
          <w:bCs/>
          <w:sz w:val="24"/>
          <w:szCs w:val="24"/>
          <w:lang w:eastAsia="zh-CN"/>
        </w:rPr>
        <w:t>（项目编号：</w:t>
      </w:r>
      <w:r w:rsidRPr="00857509">
        <w:rPr>
          <w:rFonts w:asciiTheme="minorEastAsia" w:eastAsiaTheme="minorEastAsia" w:hAnsiTheme="minorEastAsia"/>
          <w:bCs/>
          <w:sz w:val="24"/>
          <w:szCs w:val="24"/>
          <w:lang w:eastAsia="zh-CN"/>
        </w:rPr>
        <w:t>FHC-GKJCG-20230112001</w:t>
      </w:r>
      <w:r>
        <w:rPr>
          <w:rFonts w:asciiTheme="minorEastAsia" w:eastAsiaTheme="minorEastAsia" w:hAnsiTheme="minorEastAsia" w:hint="eastAsia"/>
          <w:bCs/>
          <w:sz w:val="24"/>
          <w:szCs w:val="24"/>
          <w:lang w:eastAsia="zh-CN"/>
        </w:rPr>
        <w:t>）”进行国内公开比选，欢迎国内符合条件的供应商积极参选。</w:t>
      </w:r>
    </w:p>
    <w:p w:rsidR="00DD5751" w:rsidRDefault="00DD5751" w:rsidP="00DD575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DD5751" w:rsidRDefault="00DD5751" w:rsidP="00DD5751">
      <w:pPr>
        <w:pStyle w:val="a4"/>
        <w:numPr>
          <w:ilvl w:val="0"/>
          <w:numId w:val="2"/>
        </w:numPr>
        <w:autoSpaceDE/>
        <w:autoSpaceDN/>
        <w:adjustRightInd w:val="0"/>
        <w:spacing w:before="0"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CA5DDF">
        <w:rPr>
          <w:rFonts w:asciiTheme="minorEastAsia" w:eastAsiaTheme="minorEastAsia" w:hAnsiTheme="minorEastAsia" w:hint="eastAsia"/>
          <w:bCs/>
          <w:sz w:val="24"/>
          <w:szCs w:val="24"/>
          <w:lang w:eastAsia="zh-CN"/>
        </w:rPr>
        <w:t>原料适应性技改项目</w:t>
      </w:r>
      <w:r w:rsidRPr="00857509">
        <w:rPr>
          <w:rFonts w:asciiTheme="minorEastAsia" w:eastAsiaTheme="minorEastAsia" w:hAnsiTheme="minorEastAsia"/>
          <w:bCs/>
          <w:sz w:val="24"/>
          <w:szCs w:val="24"/>
          <w:lang w:eastAsia="zh-CN"/>
        </w:rPr>
        <w:t>61-P-201A~203A凝析油输送泵采购</w:t>
      </w:r>
      <w:r>
        <w:rPr>
          <w:rFonts w:asciiTheme="minorEastAsia" w:eastAsiaTheme="minorEastAsia" w:hAnsiTheme="minorEastAsia" w:hint="eastAsia"/>
          <w:bCs/>
          <w:sz w:val="24"/>
          <w:szCs w:val="24"/>
          <w:lang w:eastAsia="zh-CN"/>
        </w:rPr>
        <w:t>；</w:t>
      </w:r>
    </w:p>
    <w:p w:rsidR="00DD5751" w:rsidRDefault="00DD5751" w:rsidP="00DD5751">
      <w:pPr>
        <w:pStyle w:val="a4"/>
        <w:numPr>
          <w:ilvl w:val="0"/>
          <w:numId w:val="2"/>
        </w:numPr>
        <w:autoSpaceDE/>
        <w:autoSpaceDN/>
        <w:adjustRightInd w:val="0"/>
        <w:spacing w:before="0"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89"/>
        <w:gridCol w:w="2281"/>
        <w:gridCol w:w="1220"/>
        <w:gridCol w:w="3906"/>
      </w:tblGrid>
      <w:tr w:rsidR="00DD5751" w:rsidTr="006032E6">
        <w:trPr>
          <w:trHeight w:hRule="exact" w:val="566"/>
          <w:jc w:val="center"/>
        </w:trPr>
        <w:tc>
          <w:tcPr>
            <w:tcW w:w="536" w:type="pct"/>
            <w:tcBorders>
              <w:tl2br w:val="nil"/>
              <w:tr2bl w:val="nil"/>
            </w:tcBorders>
            <w:shd w:val="clear" w:color="auto" w:fill="FFFFFF"/>
            <w:vAlign w:val="center"/>
          </w:tcPr>
          <w:p w:rsidR="00DD5751" w:rsidRDefault="00DD5751" w:rsidP="006032E6">
            <w:pPr>
              <w:pStyle w:val="Other1"/>
              <w:jc w:val="center"/>
              <w:rPr>
                <w:sz w:val="24"/>
                <w:szCs w:val="24"/>
                <w:lang w:val="en-US" w:eastAsia="zh-CN" w:bidi="ar-SA"/>
              </w:rPr>
            </w:pPr>
            <w:r>
              <w:rPr>
                <w:rFonts w:hint="eastAsia"/>
                <w:sz w:val="24"/>
                <w:szCs w:val="24"/>
                <w:lang w:val="en-US" w:eastAsia="zh-CN" w:bidi="ar-SA"/>
              </w:rPr>
              <w:t>序号</w:t>
            </w:r>
          </w:p>
        </w:tc>
        <w:tc>
          <w:tcPr>
            <w:tcW w:w="1375" w:type="pct"/>
            <w:tcBorders>
              <w:tl2br w:val="nil"/>
              <w:tr2bl w:val="nil"/>
            </w:tcBorders>
            <w:shd w:val="clear" w:color="auto" w:fill="FFFFFF"/>
            <w:vAlign w:val="center"/>
          </w:tcPr>
          <w:p w:rsidR="00DD5751" w:rsidRDefault="00DD5751" w:rsidP="006032E6">
            <w:pPr>
              <w:pStyle w:val="Other1"/>
              <w:jc w:val="center"/>
              <w:rPr>
                <w:sz w:val="24"/>
                <w:szCs w:val="24"/>
                <w:lang w:val="en-US" w:eastAsia="zh-CN" w:bidi="ar-SA"/>
              </w:rPr>
            </w:pPr>
            <w:r>
              <w:rPr>
                <w:rFonts w:hint="eastAsia"/>
                <w:sz w:val="24"/>
                <w:szCs w:val="24"/>
                <w:lang w:val="en-US" w:eastAsia="zh-CN" w:bidi="ar-SA"/>
              </w:rPr>
              <w:t>位号</w:t>
            </w:r>
          </w:p>
        </w:tc>
        <w:tc>
          <w:tcPr>
            <w:tcW w:w="735" w:type="pct"/>
            <w:tcBorders>
              <w:tl2br w:val="nil"/>
              <w:tr2bl w:val="nil"/>
            </w:tcBorders>
            <w:shd w:val="clear" w:color="auto" w:fill="FFFFFF"/>
            <w:vAlign w:val="center"/>
          </w:tcPr>
          <w:p w:rsidR="00DD5751" w:rsidRDefault="00DD5751" w:rsidP="006032E6">
            <w:pPr>
              <w:pStyle w:val="Other1"/>
              <w:jc w:val="center"/>
              <w:rPr>
                <w:sz w:val="24"/>
                <w:szCs w:val="24"/>
                <w:lang w:val="en-US" w:eastAsia="zh-CN" w:bidi="ar-SA"/>
              </w:rPr>
            </w:pPr>
            <w:r>
              <w:rPr>
                <w:rFonts w:hint="eastAsia"/>
                <w:sz w:val="24"/>
                <w:szCs w:val="24"/>
                <w:lang w:val="en-US" w:eastAsia="zh-CN" w:bidi="ar-SA"/>
              </w:rPr>
              <w:t>数量</w:t>
            </w:r>
          </w:p>
        </w:tc>
        <w:tc>
          <w:tcPr>
            <w:tcW w:w="2354" w:type="pct"/>
            <w:tcBorders>
              <w:tl2br w:val="nil"/>
              <w:tr2bl w:val="nil"/>
            </w:tcBorders>
            <w:shd w:val="clear" w:color="auto" w:fill="FFFFFF"/>
            <w:vAlign w:val="center"/>
          </w:tcPr>
          <w:p w:rsidR="00DD5751" w:rsidRDefault="00DD5751" w:rsidP="006032E6">
            <w:pPr>
              <w:pStyle w:val="Other1"/>
              <w:jc w:val="center"/>
              <w:rPr>
                <w:sz w:val="24"/>
                <w:szCs w:val="24"/>
                <w:lang w:val="en-US" w:eastAsia="zh-CN" w:bidi="ar-SA"/>
              </w:rPr>
            </w:pPr>
            <w:r>
              <w:rPr>
                <w:rFonts w:hint="eastAsia"/>
                <w:sz w:val="24"/>
                <w:szCs w:val="24"/>
                <w:lang w:val="en-US" w:eastAsia="zh-CN" w:bidi="ar-SA"/>
              </w:rPr>
              <w:t>名称</w:t>
            </w:r>
          </w:p>
        </w:tc>
      </w:tr>
      <w:tr w:rsidR="00DD5751" w:rsidTr="006032E6">
        <w:trPr>
          <w:trHeight w:hRule="exact" w:val="552"/>
          <w:jc w:val="center"/>
        </w:trPr>
        <w:tc>
          <w:tcPr>
            <w:tcW w:w="536" w:type="pct"/>
            <w:tcBorders>
              <w:tl2br w:val="nil"/>
              <w:tr2bl w:val="nil"/>
            </w:tcBorders>
            <w:shd w:val="clear" w:color="auto" w:fill="FFFFFF"/>
            <w:vAlign w:val="center"/>
          </w:tcPr>
          <w:p w:rsidR="00DD5751" w:rsidRDefault="00DD5751" w:rsidP="006032E6">
            <w:pPr>
              <w:pStyle w:val="Other1"/>
              <w:jc w:val="center"/>
              <w:rPr>
                <w:sz w:val="24"/>
                <w:szCs w:val="24"/>
                <w:lang w:val="en-US" w:eastAsia="zh-CN" w:bidi="ar-SA"/>
              </w:rPr>
            </w:pPr>
            <w:bookmarkStart w:id="0" w:name="OLE_LINK1" w:colFirst="1" w:colLast="1"/>
            <w:r>
              <w:rPr>
                <w:rFonts w:hint="eastAsia"/>
                <w:sz w:val="24"/>
                <w:szCs w:val="24"/>
                <w:lang w:val="en-US" w:eastAsia="zh-CN" w:bidi="ar-SA"/>
              </w:rPr>
              <w:t>1</w:t>
            </w:r>
          </w:p>
        </w:tc>
        <w:tc>
          <w:tcPr>
            <w:tcW w:w="1375" w:type="pct"/>
            <w:tcBorders>
              <w:tl2br w:val="nil"/>
              <w:tr2bl w:val="nil"/>
            </w:tcBorders>
            <w:shd w:val="clear" w:color="auto" w:fill="FFFFFF"/>
            <w:vAlign w:val="center"/>
          </w:tcPr>
          <w:p w:rsidR="00DD5751" w:rsidRDefault="00DD5751" w:rsidP="006032E6">
            <w:pPr>
              <w:pStyle w:val="Other1"/>
              <w:jc w:val="center"/>
              <w:rPr>
                <w:sz w:val="24"/>
                <w:szCs w:val="24"/>
                <w:lang w:val="en-US" w:eastAsia="zh-CN" w:bidi="ar-SA"/>
              </w:rPr>
            </w:pPr>
            <w:r>
              <w:rPr>
                <w:rFonts w:hint="eastAsia"/>
                <w:sz w:val="24"/>
                <w:szCs w:val="24"/>
                <w:lang w:val="en-US" w:eastAsia="zh-CN" w:bidi="ar-SA"/>
              </w:rPr>
              <w:t xml:space="preserve"> </w:t>
            </w:r>
            <w:r>
              <w:rPr>
                <w:rFonts w:hAnsi="Times New Roman"/>
                <w:kern w:val="0"/>
                <w:sz w:val="24"/>
                <w:szCs w:val="24"/>
              </w:rPr>
              <w:t>61-P-201A</w:t>
            </w:r>
          </w:p>
        </w:tc>
        <w:tc>
          <w:tcPr>
            <w:tcW w:w="735" w:type="pct"/>
            <w:tcBorders>
              <w:tl2br w:val="nil"/>
              <w:tr2bl w:val="nil"/>
            </w:tcBorders>
            <w:shd w:val="clear" w:color="auto" w:fill="FFFFFF"/>
            <w:vAlign w:val="center"/>
          </w:tcPr>
          <w:p w:rsidR="00DD5751" w:rsidRDefault="00DD5751" w:rsidP="006032E6">
            <w:pPr>
              <w:pStyle w:val="Other1"/>
              <w:jc w:val="center"/>
              <w:rPr>
                <w:sz w:val="24"/>
                <w:szCs w:val="24"/>
                <w:lang w:val="en-US" w:eastAsia="zh-CN" w:bidi="ar-SA"/>
              </w:rPr>
            </w:pPr>
            <w:r>
              <w:rPr>
                <w:sz w:val="24"/>
                <w:szCs w:val="24"/>
                <w:lang w:val="en-US" w:eastAsia="zh-CN" w:bidi="ar-SA"/>
              </w:rPr>
              <w:t>1</w:t>
            </w:r>
          </w:p>
        </w:tc>
        <w:tc>
          <w:tcPr>
            <w:tcW w:w="2354" w:type="pct"/>
            <w:tcBorders>
              <w:tl2br w:val="nil"/>
              <w:tr2bl w:val="nil"/>
            </w:tcBorders>
            <w:shd w:val="clear" w:color="auto" w:fill="FFFFFF"/>
            <w:vAlign w:val="center"/>
          </w:tcPr>
          <w:p w:rsidR="00DD5751" w:rsidRDefault="00DD5751" w:rsidP="006032E6">
            <w:pPr>
              <w:pStyle w:val="Other1"/>
              <w:jc w:val="center"/>
              <w:rPr>
                <w:sz w:val="24"/>
                <w:szCs w:val="24"/>
                <w:lang w:val="en-US" w:eastAsia="zh-CN" w:bidi="ar-SA"/>
              </w:rPr>
            </w:pPr>
            <w:proofErr w:type="spellStart"/>
            <w:r>
              <w:rPr>
                <w:sz w:val="24"/>
                <w:szCs w:val="24"/>
                <w:lang w:val="en-US" w:eastAsia="en-US" w:bidi="ar-SA"/>
              </w:rPr>
              <w:t>凝析油输送泵</w:t>
            </w:r>
            <w:proofErr w:type="spellEnd"/>
          </w:p>
        </w:tc>
      </w:tr>
      <w:tr w:rsidR="00DD5751" w:rsidTr="006032E6">
        <w:trPr>
          <w:trHeight w:hRule="exact" w:val="552"/>
          <w:jc w:val="center"/>
        </w:trPr>
        <w:tc>
          <w:tcPr>
            <w:tcW w:w="536" w:type="pct"/>
            <w:tcBorders>
              <w:tl2br w:val="nil"/>
              <w:tr2bl w:val="nil"/>
            </w:tcBorders>
            <w:shd w:val="clear" w:color="auto" w:fill="FFFFFF"/>
            <w:vAlign w:val="center"/>
          </w:tcPr>
          <w:p w:rsidR="00DD5751" w:rsidRDefault="00DD5751" w:rsidP="006032E6">
            <w:pPr>
              <w:pStyle w:val="Other1"/>
              <w:jc w:val="center"/>
              <w:rPr>
                <w:sz w:val="24"/>
                <w:szCs w:val="24"/>
                <w:lang w:val="en-US" w:eastAsia="zh-CN" w:bidi="ar-SA"/>
              </w:rPr>
            </w:pPr>
            <w:r>
              <w:rPr>
                <w:rFonts w:hint="eastAsia"/>
                <w:sz w:val="24"/>
                <w:szCs w:val="24"/>
                <w:lang w:val="en-US" w:eastAsia="zh-CN" w:bidi="ar-SA"/>
              </w:rPr>
              <w:t>2</w:t>
            </w:r>
          </w:p>
        </w:tc>
        <w:tc>
          <w:tcPr>
            <w:tcW w:w="1375" w:type="pct"/>
            <w:tcBorders>
              <w:tl2br w:val="nil"/>
              <w:tr2bl w:val="nil"/>
            </w:tcBorders>
            <w:shd w:val="clear" w:color="auto" w:fill="FFFFFF"/>
            <w:vAlign w:val="center"/>
          </w:tcPr>
          <w:p w:rsidR="00DD5751" w:rsidRPr="009F2DC9" w:rsidRDefault="00DD5751" w:rsidP="006032E6">
            <w:pPr>
              <w:pStyle w:val="Other1"/>
              <w:jc w:val="center"/>
              <w:rPr>
                <w:rFonts w:eastAsia="PMingLiU"/>
                <w:sz w:val="24"/>
                <w:szCs w:val="24"/>
                <w:lang w:val="en-US" w:eastAsia="zh-CN" w:bidi="ar-SA"/>
              </w:rPr>
            </w:pPr>
            <w:r>
              <w:rPr>
                <w:rFonts w:hAnsi="Times New Roman"/>
                <w:kern w:val="0"/>
                <w:sz w:val="24"/>
                <w:szCs w:val="24"/>
              </w:rPr>
              <w:t>61-P-20</w:t>
            </w:r>
            <w:r>
              <w:rPr>
                <w:rFonts w:eastAsia="PMingLiU" w:hAnsi="Times New Roman"/>
                <w:kern w:val="0"/>
                <w:sz w:val="24"/>
                <w:szCs w:val="24"/>
              </w:rPr>
              <w:t>2A</w:t>
            </w:r>
          </w:p>
        </w:tc>
        <w:tc>
          <w:tcPr>
            <w:tcW w:w="735" w:type="pct"/>
            <w:tcBorders>
              <w:tl2br w:val="nil"/>
              <w:tr2bl w:val="nil"/>
            </w:tcBorders>
            <w:shd w:val="clear" w:color="auto" w:fill="FFFFFF"/>
            <w:vAlign w:val="center"/>
          </w:tcPr>
          <w:p w:rsidR="00DD5751" w:rsidRDefault="00DD5751" w:rsidP="006032E6">
            <w:pPr>
              <w:pStyle w:val="Other1"/>
              <w:jc w:val="center"/>
              <w:rPr>
                <w:sz w:val="24"/>
                <w:szCs w:val="24"/>
                <w:lang w:val="en-US" w:eastAsia="zh-CN" w:bidi="ar-SA"/>
              </w:rPr>
            </w:pPr>
            <w:r>
              <w:rPr>
                <w:sz w:val="24"/>
                <w:szCs w:val="24"/>
                <w:lang w:val="en-US" w:eastAsia="zh-CN" w:bidi="ar-SA"/>
              </w:rPr>
              <w:t>1</w:t>
            </w:r>
          </w:p>
        </w:tc>
        <w:tc>
          <w:tcPr>
            <w:tcW w:w="2354" w:type="pct"/>
            <w:tcBorders>
              <w:tl2br w:val="nil"/>
              <w:tr2bl w:val="nil"/>
            </w:tcBorders>
            <w:shd w:val="clear" w:color="auto" w:fill="FFFFFF"/>
            <w:vAlign w:val="center"/>
          </w:tcPr>
          <w:p w:rsidR="00DD5751" w:rsidRDefault="00DD5751" w:rsidP="006032E6">
            <w:pPr>
              <w:pStyle w:val="Other1"/>
              <w:jc w:val="center"/>
              <w:rPr>
                <w:sz w:val="24"/>
                <w:szCs w:val="24"/>
                <w:lang w:val="en-US" w:eastAsia="zh-CN" w:bidi="ar-SA"/>
              </w:rPr>
            </w:pPr>
            <w:proofErr w:type="spellStart"/>
            <w:r>
              <w:rPr>
                <w:sz w:val="24"/>
                <w:szCs w:val="24"/>
                <w:lang w:val="en-US" w:eastAsia="en-US" w:bidi="ar-SA"/>
              </w:rPr>
              <w:t>凝析油输送泵</w:t>
            </w:r>
            <w:proofErr w:type="spellEnd"/>
          </w:p>
        </w:tc>
      </w:tr>
      <w:tr w:rsidR="00DD5751" w:rsidTr="006032E6">
        <w:trPr>
          <w:trHeight w:hRule="exact" w:val="552"/>
          <w:jc w:val="center"/>
        </w:trPr>
        <w:tc>
          <w:tcPr>
            <w:tcW w:w="536" w:type="pct"/>
            <w:tcBorders>
              <w:tl2br w:val="nil"/>
              <w:tr2bl w:val="nil"/>
            </w:tcBorders>
            <w:shd w:val="clear" w:color="auto" w:fill="FFFFFF"/>
            <w:vAlign w:val="center"/>
          </w:tcPr>
          <w:p w:rsidR="00DD5751" w:rsidRDefault="00DD5751" w:rsidP="006032E6">
            <w:pPr>
              <w:pStyle w:val="Other1"/>
              <w:jc w:val="center"/>
              <w:rPr>
                <w:sz w:val="24"/>
                <w:szCs w:val="24"/>
                <w:lang w:val="en-US" w:eastAsia="zh-CN" w:bidi="ar-SA"/>
              </w:rPr>
            </w:pPr>
            <w:r>
              <w:rPr>
                <w:rFonts w:hint="eastAsia"/>
                <w:sz w:val="24"/>
                <w:szCs w:val="24"/>
                <w:lang w:val="en-US" w:eastAsia="zh-CN" w:bidi="ar-SA"/>
              </w:rPr>
              <w:t>3</w:t>
            </w:r>
          </w:p>
        </w:tc>
        <w:tc>
          <w:tcPr>
            <w:tcW w:w="1375" w:type="pct"/>
            <w:tcBorders>
              <w:tl2br w:val="nil"/>
              <w:tr2bl w:val="nil"/>
            </w:tcBorders>
            <w:shd w:val="clear" w:color="auto" w:fill="FFFFFF"/>
            <w:vAlign w:val="center"/>
          </w:tcPr>
          <w:p w:rsidR="00DD5751" w:rsidRDefault="00DD5751" w:rsidP="006032E6">
            <w:pPr>
              <w:pStyle w:val="Other1"/>
              <w:jc w:val="center"/>
              <w:rPr>
                <w:sz w:val="24"/>
                <w:szCs w:val="24"/>
                <w:lang w:val="en-US" w:eastAsia="en-US" w:bidi="ar-SA"/>
              </w:rPr>
            </w:pPr>
            <w:r>
              <w:rPr>
                <w:rFonts w:hAnsi="Times New Roman"/>
                <w:kern w:val="0"/>
                <w:sz w:val="24"/>
                <w:szCs w:val="24"/>
              </w:rPr>
              <w:t>61-P-20</w:t>
            </w:r>
            <w:r>
              <w:rPr>
                <w:rFonts w:eastAsia="PMingLiU" w:hAnsi="Times New Roman"/>
                <w:kern w:val="0"/>
                <w:sz w:val="24"/>
                <w:szCs w:val="24"/>
              </w:rPr>
              <w:t>3A</w:t>
            </w:r>
          </w:p>
        </w:tc>
        <w:tc>
          <w:tcPr>
            <w:tcW w:w="735" w:type="pct"/>
            <w:tcBorders>
              <w:tl2br w:val="nil"/>
              <w:tr2bl w:val="nil"/>
            </w:tcBorders>
            <w:shd w:val="clear" w:color="auto" w:fill="FFFFFF"/>
            <w:vAlign w:val="center"/>
          </w:tcPr>
          <w:p w:rsidR="00DD5751" w:rsidRDefault="00DD5751" w:rsidP="006032E6">
            <w:pPr>
              <w:pStyle w:val="Other1"/>
              <w:jc w:val="center"/>
              <w:rPr>
                <w:sz w:val="24"/>
                <w:szCs w:val="24"/>
                <w:lang w:val="en-US" w:eastAsia="zh-CN" w:bidi="ar-SA"/>
              </w:rPr>
            </w:pPr>
            <w:r>
              <w:rPr>
                <w:rFonts w:hint="eastAsia"/>
                <w:sz w:val="24"/>
                <w:szCs w:val="24"/>
                <w:lang w:val="en-US" w:eastAsia="zh-CN" w:bidi="ar-SA"/>
              </w:rPr>
              <w:t>1</w:t>
            </w:r>
          </w:p>
        </w:tc>
        <w:tc>
          <w:tcPr>
            <w:tcW w:w="2354" w:type="pct"/>
            <w:tcBorders>
              <w:tl2br w:val="nil"/>
              <w:tr2bl w:val="nil"/>
            </w:tcBorders>
            <w:shd w:val="clear" w:color="auto" w:fill="FFFFFF"/>
            <w:vAlign w:val="center"/>
          </w:tcPr>
          <w:p w:rsidR="00DD5751" w:rsidRDefault="00DD5751" w:rsidP="006032E6">
            <w:pPr>
              <w:pStyle w:val="Other1"/>
              <w:jc w:val="center"/>
              <w:rPr>
                <w:sz w:val="24"/>
                <w:szCs w:val="24"/>
                <w:lang w:val="en-US" w:eastAsia="en-US" w:bidi="ar-SA"/>
              </w:rPr>
            </w:pPr>
            <w:proofErr w:type="spellStart"/>
            <w:r>
              <w:rPr>
                <w:sz w:val="24"/>
                <w:szCs w:val="24"/>
                <w:lang w:val="en-US" w:eastAsia="en-US" w:bidi="ar-SA"/>
              </w:rPr>
              <w:t>凝析油输送泵</w:t>
            </w:r>
            <w:proofErr w:type="spellEnd"/>
          </w:p>
        </w:tc>
      </w:tr>
      <w:tr w:rsidR="00DD5751" w:rsidTr="006032E6">
        <w:trPr>
          <w:trHeight w:hRule="exact" w:val="2216"/>
          <w:jc w:val="center"/>
        </w:trPr>
        <w:tc>
          <w:tcPr>
            <w:tcW w:w="1" w:type="pct"/>
            <w:gridSpan w:val="4"/>
            <w:tcBorders>
              <w:tl2br w:val="nil"/>
              <w:tr2bl w:val="nil"/>
            </w:tcBorders>
            <w:shd w:val="clear" w:color="auto" w:fill="FFFFFF"/>
            <w:vAlign w:val="center"/>
          </w:tcPr>
          <w:p w:rsidR="00DD5751" w:rsidRDefault="00DD5751" w:rsidP="006032E6">
            <w:pPr>
              <w:pStyle w:val="Other1"/>
              <w:jc w:val="left"/>
              <w:rPr>
                <w:sz w:val="24"/>
                <w:szCs w:val="24"/>
                <w:lang w:val="en-US" w:eastAsia="zh-CN" w:bidi="ar-SA"/>
              </w:rPr>
            </w:pPr>
            <w:r w:rsidRPr="00D11709">
              <w:rPr>
                <w:b/>
                <w:sz w:val="24"/>
                <w:szCs w:val="24"/>
                <w:lang w:val="en-US" w:eastAsia="zh-CN" w:bidi="ar-SA"/>
              </w:rPr>
              <w:t>注</w:t>
            </w:r>
            <w:r>
              <w:rPr>
                <w:sz w:val="24"/>
                <w:szCs w:val="24"/>
                <w:lang w:val="en-US" w:eastAsia="zh-CN" w:bidi="ar-SA"/>
              </w:rPr>
              <w:t>：本项目为泵体扩能更换项目。</w:t>
            </w:r>
          </w:p>
          <w:p w:rsidR="00DD5751" w:rsidRDefault="00DD5751" w:rsidP="006032E6">
            <w:pPr>
              <w:pStyle w:val="Other1"/>
              <w:jc w:val="left"/>
              <w:rPr>
                <w:sz w:val="24"/>
                <w:szCs w:val="24"/>
                <w:lang w:val="en-US" w:eastAsia="zh-CN" w:bidi="ar-SA"/>
              </w:rPr>
            </w:pPr>
            <w:r>
              <w:rPr>
                <w:rFonts w:hint="eastAsia"/>
                <w:sz w:val="24"/>
                <w:szCs w:val="24"/>
                <w:lang w:val="en-US" w:eastAsia="zh-CN" w:bidi="ar-SA"/>
              </w:rPr>
              <w:t>1、</w:t>
            </w:r>
            <w:r>
              <w:rPr>
                <w:sz w:val="24"/>
                <w:szCs w:val="24"/>
                <w:lang w:val="en-US" w:eastAsia="zh-CN" w:bidi="ar-SA"/>
              </w:rPr>
              <w:t>采购范围包含泵</w:t>
            </w:r>
            <w:r>
              <w:rPr>
                <w:rFonts w:hint="eastAsia"/>
                <w:sz w:val="24"/>
                <w:szCs w:val="24"/>
                <w:lang w:val="en-US" w:eastAsia="zh-CN" w:bidi="ar-SA"/>
              </w:rPr>
              <w:t>本体及本体辅件、</w:t>
            </w:r>
            <w:r>
              <w:rPr>
                <w:sz w:val="24"/>
                <w:szCs w:val="24"/>
                <w:lang w:val="en-US" w:eastAsia="zh-CN" w:bidi="ar-SA"/>
              </w:rPr>
              <w:t>联轴器、联轴器膜片（包含螺栓）、</w:t>
            </w:r>
            <w:r>
              <w:rPr>
                <w:rFonts w:hint="eastAsia"/>
                <w:sz w:val="24"/>
                <w:szCs w:val="24"/>
                <w:lang w:val="en-US" w:eastAsia="zh-CN" w:bidi="ar-SA"/>
              </w:rPr>
              <w:t>泵</w:t>
            </w:r>
            <w:r>
              <w:rPr>
                <w:sz w:val="24"/>
                <w:szCs w:val="24"/>
                <w:lang w:val="en-US" w:eastAsia="zh-CN" w:bidi="ar-SA"/>
              </w:rPr>
              <w:t>本体相连接的仪表器件、机械密封系统；</w:t>
            </w:r>
          </w:p>
          <w:p w:rsidR="00DD5751" w:rsidRDefault="00DD5751" w:rsidP="006032E6">
            <w:pPr>
              <w:pStyle w:val="Other1"/>
              <w:jc w:val="left"/>
              <w:rPr>
                <w:sz w:val="24"/>
                <w:szCs w:val="24"/>
                <w:lang w:val="en-US" w:eastAsia="zh-CN" w:bidi="ar-SA"/>
              </w:rPr>
            </w:pPr>
            <w:r>
              <w:rPr>
                <w:rFonts w:hint="eastAsia"/>
                <w:sz w:val="24"/>
                <w:szCs w:val="24"/>
                <w:lang w:val="en-US" w:eastAsia="zh-CN" w:bidi="ar-SA"/>
              </w:rPr>
              <w:t>2、</w:t>
            </w:r>
            <w:r>
              <w:rPr>
                <w:sz w:val="24"/>
                <w:szCs w:val="24"/>
                <w:lang w:val="en-US" w:eastAsia="zh-CN" w:bidi="ar-SA"/>
              </w:rPr>
              <w:t>电机利旧</w:t>
            </w:r>
            <w:r>
              <w:rPr>
                <w:rFonts w:hint="eastAsia"/>
                <w:sz w:val="24"/>
                <w:szCs w:val="24"/>
                <w:lang w:val="en-US" w:eastAsia="zh-CN" w:bidi="ar-SA"/>
              </w:rPr>
              <w:t>；</w:t>
            </w:r>
          </w:p>
          <w:p w:rsidR="00DD5751" w:rsidRDefault="00DD5751" w:rsidP="006032E6">
            <w:pPr>
              <w:pStyle w:val="Other1"/>
              <w:jc w:val="left"/>
              <w:rPr>
                <w:sz w:val="24"/>
                <w:szCs w:val="24"/>
                <w:lang w:val="en-US" w:eastAsia="zh-CN" w:bidi="ar-SA"/>
              </w:rPr>
            </w:pPr>
            <w:r>
              <w:rPr>
                <w:rFonts w:hint="eastAsia"/>
                <w:sz w:val="24"/>
                <w:szCs w:val="24"/>
                <w:lang w:val="en-US" w:eastAsia="zh-CN" w:bidi="ar-SA"/>
              </w:rPr>
              <w:t>3、</w:t>
            </w:r>
            <w:r>
              <w:rPr>
                <w:sz w:val="24"/>
                <w:szCs w:val="24"/>
                <w:lang w:val="en-US" w:eastAsia="zh-CN" w:bidi="ar-SA"/>
              </w:rPr>
              <w:t>基础</w:t>
            </w:r>
            <w:r>
              <w:rPr>
                <w:rFonts w:hint="eastAsia"/>
                <w:sz w:val="24"/>
                <w:szCs w:val="24"/>
                <w:lang w:val="en-US" w:eastAsia="zh-CN" w:bidi="ar-SA"/>
              </w:rPr>
              <w:t>台板</w:t>
            </w:r>
            <w:r>
              <w:rPr>
                <w:sz w:val="24"/>
                <w:szCs w:val="24"/>
                <w:lang w:val="en-US" w:eastAsia="zh-CN" w:bidi="ar-SA"/>
              </w:rPr>
              <w:t>尽量考虑利旧，如果无法保证布局、或者强度支撑，根据不同厂家泵型，选择更换。</w:t>
            </w:r>
          </w:p>
        </w:tc>
      </w:tr>
      <w:bookmarkEnd w:id="0"/>
    </w:tbl>
    <w:p w:rsidR="00DD5751" w:rsidRPr="006F5904" w:rsidRDefault="00DD5751" w:rsidP="00DD5751">
      <w:pPr>
        <w:pStyle w:val="a4"/>
        <w:autoSpaceDE/>
        <w:autoSpaceDN/>
        <w:adjustRightInd w:val="0"/>
        <w:spacing w:before="0" w:line="360" w:lineRule="auto"/>
        <w:ind w:left="1252" w:firstLine="0"/>
        <w:rPr>
          <w:rFonts w:asciiTheme="minorEastAsia" w:eastAsiaTheme="minorEastAsia" w:hAnsiTheme="minorEastAsia"/>
          <w:bCs/>
          <w:sz w:val="24"/>
          <w:szCs w:val="24"/>
          <w:lang w:eastAsia="zh-CN"/>
        </w:rPr>
      </w:pPr>
    </w:p>
    <w:p w:rsidR="00DD5751" w:rsidRDefault="00DD5751" w:rsidP="00DD5751">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DD5751" w:rsidRDefault="00DD5751" w:rsidP="00DD5751">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、参选人必须对合同包中的全部物资与服务进行参选，不得仅对合同包中的部分物资或服务进行参选，否则其比选文件将被拒绝。</w:t>
      </w:r>
    </w:p>
    <w:p w:rsidR="00DD5751" w:rsidRDefault="00DD5751" w:rsidP="00DD5751">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3.控制价：￥195万元（含税</w:t>
      </w: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3%）。</w:t>
      </w:r>
    </w:p>
    <w:p w:rsidR="00DD5751" w:rsidRDefault="00DD5751" w:rsidP="00DD575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DD5751" w:rsidRPr="00B72C5C" w:rsidRDefault="00DD5751" w:rsidP="00DD5751">
      <w:pPr>
        <w:pStyle w:val="Style4"/>
        <w:tabs>
          <w:tab w:val="left" w:pos="0"/>
        </w:tabs>
        <w:spacing w:line="360" w:lineRule="auto"/>
        <w:ind w:left="0" w:firstLineChars="200" w:firstLine="480"/>
        <w:jc w:val="left"/>
        <w:rPr>
          <w:rFonts w:ascii="宋体" w:eastAsia="宋体" w:hAnsi="宋体" w:cs="宋体"/>
          <w:sz w:val="24"/>
          <w:szCs w:val="24"/>
        </w:rPr>
      </w:pPr>
      <w:bookmarkStart w:id="1" w:name="_Toc256000005"/>
      <w:r>
        <w:rPr>
          <w:rFonts w:ascii="宋体" w:eastAsia="宋体" w:hAnsi="宋体" w:cs="宋体" w:hint="eastAsia"/>
          <w:sz w:val="24"/>
          <w:szCs w:val="24"/>
        </w:rPr>
        <w:t>1.本次招标要求投标人须具备</w:t>
      </w:r>
      <w:r w:rsidRPr="00B72C5C">
        <w:rPr>
          <w:rFonts w:ascii="宋体" w:eastAsia="宋体" w:hAnsi="宋体" w:cs="宋体" w:hint="eastAsia"/>
          <w:sz w:val="24"/>
          <w:szCs w:val="24"/>
        </w:rPr>
        <w:t xml:space="preserve"> 独立法人资格， </w:t>
      </w:r>
      <w:r>
        <w:rPr>
          <w:rFonts w:ascii="宋体" w:eastAsia="宋体" w:hAnsi="宋体" w:cs="宋体" w:hint="eastAsia"/>
          <w:sz w:val="24"/>
          <w:szCs w:val="24"/>
        </w:rPr>
        <w:t>资质，并具有与本招标项目</w:t>
      </w:r>
      <w:r w:rsidRPr="00B72C5C">
        <w:rPr>
          <w:rFonts w:ascii="宋体" w:eastAsia="宋体" w:hAnsi="宋体" w:cs="宋体" w:hint="eastAsia"/>
          <w:sz w:val="24"/>
          <w:szCs w:val="24"/>
        </w:rPr>
        <w:t>相</w:t>
      </w:r>
      <w:r>
        <w:rPr>
          <w:rFonts w:ascii="宋体" w:eastAsia="宋体" w:hAnsi="宋体" w:cs="宋体" w:hint="eastAsia"/>
          <w:sz w:val="24"/>
          <w:szCs w:val="24"/>
        </w:rPr>
        <w:t>应的</w:t>
      </w:r>
      <w:r w:rsidRPr="00B72C5C">
        <w:rPr>
          <w:rFonts w:ascii="宋体" w:eastAsia="宋体" w:hAnsi="宋体" w:cs="宋体" w:hint="eastAsia"/>
          <w:sz w:val="24"/>
          <w:szCs w:val="24"/>
        </w:rPr>
        <w:t>供</w:t>
      </w:r>
      <w:r>
        <w:rPr>
          <w:rFonts w:ascii="宋体" w:eastAsia="宋体" w:hAnsi="宋体" w:cs="宋体" w:hint="eastAsia"/>
          <w:sz w:val="24"/>
          <w:szCs w:val="24"/>
        </w:rPr>
        <w:t>货</w:t>
      </w:r>
      <w:r w:rsidRPr="00B72C5C">
        <w:rPr>
          <w:rFonts w:ascii="宋体" w:eastAsia="宋体" w:hAnsi="宋体" w:cs="宋体" w:hint="eastAsia"/>
          <w:sz w:val="24"/>
          <w:szCs w:val="24"/>
        </w:rPr>
        <w:t>能</w:t>
      </w:r>
      <w:r>
        <w:rPr>
          <w:rFonts w:ascii="宋体" w:eastAsia="宋体" w:hAnsi="宋体" w:cs="宋体" w:hint="eastAsia"/>
          <w:sz w:val="24"/>
          <w:szCs w:val="24"/>
        </w:rPr>
        <w:t>力（具体要求详见招标文件）。</w:t>
      </w:r>
      <w:bookmarkStart w:id="2" w:name="_Toc256000006"/>
      <w:bookmarkEnd w:id="1"/>
    </w:p>
    <w:p w:rsidR="00DD5751" w:rsidRPr="00B72C5C" w:rsidRDefault="00DD5751" w:rsidP="00DD5751">
      <w:pPr>
        <w:pStyle w:val="Style4"/>
        <w:tabs>
          <w:tab w:val="left" w:pos="0"/>
        </w:tabs>
        <w:spacing w:line="360" w:lineRule="auto"/>
        <w:ind w:left="0" w:firstLineChars="200" w:firstLine="480"/>
        <w:jc w:val="left"/>
        <w:rPr>
          <w:rFonts w:ascii="宋体" w:eastAsia="宋体" w:hAnsi="宋体" w:cs="宋体"/>
          <w:sz w:val="24"/>
          <w:szCs w:val="24"/>
        </w:rPr>
      </w:pPr>
      <w:r w:rsidRPr="00B72C5C">
        <w:rPr>
          <w:rFonts w:ascii="宋体" w:eastAsia="宋体" w:hAnsi="宋体" w:cs="宋体" w:hint="eastAsia"/>
          <w:sz w:val="24"/>
          <w:szCs w:val="24"/>
        </w:rPr>
        <w:lastRenderedPageBreak/>
        <w:t>2.本次招标</w:t>
      </w:r>
      <w:bookmarkStart w:id="3" w:name="EB59a8be82f9bd487b871cbb77532127c7"/>
      <w:r w:rsidRPr="00B72C5C">
        <w:rPr>
          <w:rFonts w:ascii="宋体" w:eastAsia="宋体" w:hAnsi="宋体" w:cs="宋体" w:hint="eastAsia"/>
          <w:sz w:val="24"/>
          <w:szCs w:val="24"/>
        </w:rPr>
        <w:t>不接受</w:t>
      </w:r>
      <w:bookmarkEnd w:id="3"/>
      <w:r w:rsidRPr="00B72C5C">
        <w:rPr>
          <w:rFonts w:ascii="宋体" w:eastAsia="宋体" w:hAnsi="宋体" w:cs="宋体" w:hint="eastAsia"/>
          <w:sz w:val="24"/>
          <w:szCs w:val="24"/>
        </w:rPr>
        <w:t>联合体投标</w:t>
      </w:r>
      <w:r>
        <w:rPr>
          <w:rFonts w:ascii="宋体" w:eastAsia="宋体" w:hAnsi="宋体" w:cs="宋体" w:hint="eastAsia"/>
          <w:sz w:val="24"/>
          <w:szCs w:val="24"/>
        </w:rPr>
        <w:t>，</w:t>
      </w:r>
      <w:bookmarkStart w:id="4" w:name="EB46dfafe62ff743db8047db45134ec2f6"/>
      <w:r>
        <w:rPr>
          <w:rFonts w:ascii="宋体" w:eastAsia="宋体" w:hAnsi="宋体" w:cs="宋体" w:hint="eastAsia"/>
          <w:sz w:val="24"/>
          <w:szCs w:val="24"/>
          <w:u w:val="single"/>
        </w:rPr>
        <w:t xml:space="preserve"> 不接受</w:t>
      </w:r>
      <w:bookmarkEnd w:id="4"/>
      <w:r>
        <w:rPr>
          <w:rFonts w:ascii="宋体" w:eastAsia="宋体" w:hAnsi="宋体" w:cs="宋体" w:hint="eastAsia"/>
          <w:sz w:val="24"/>
          <w:szCs w:val="24"/>
          <w:u w:val="single"/>
        </w:rPr>
        <w:t xml:space="preserve"> </w:t>
      </w:r>
      <w:r>
        <w:rPr>
          <w:rFonts w:ascii="宋体" w:eastAsia="宋体" w:hAnsi="宋体" w:cs="宋体" w:hint="eastAsia"/>
          <w:sz w:val="24"/>
          <w:szCs w:val="24"/>
        </w:rPr>
        <w:t>代理商或经销商投标</w:t>
      </w:r>
      <w:r w:rsidRPr="00B72C5C">
        <w:rPr>
          <w:rFonts w:ascii="宋体" w:eastAsia="宋体" w:hAnsi="宋体" w:cs="宋体" w:hint="eastAsia"/>
          <w:sz w:val="24"/>
          <w:szCs w:val="24"/>
        </w:rPr>
        <w:t>。</w:t>
      </w:r>
      <w:bookmarkEnd w:id="2"/>
    </w:p>
    <w:p w:rsidR="00DD5751" w:rsidRDefault="00DD5751" w:rsidP="00DD5751">
      <w:pPr>
        <w:pStyle w:val="Style4"/>
        <w:tabs>
          <w:tab w:val="left" w:pos="0"/>
        </w:tabs>
        <w:spacing w:line="360" w:lineRule="auto"/>
        <w:ind w:left="0" w:firstLineChars="200" w:firstLine="480"/>
        <w:jc w:val="left"/>
        <w:rPr>
          <w:rFonts w:ascii="宋体" w:eastAsia="宋体" w:hAnsi="宋体" w:cs="宋体"/>
          <w:sz w:val="24"/>
          <w:szCs w:val="24"/>
        </w:rPr>
      </w:pPr>
      <w:r w:rsidRPr="00B72C5C">
        <w:rPr>
          <w:rFonts w:ascii="宋体" w:eastAsia="宋体" w:hAnsi="宋体" w:cs="宋体" w:hint="eastAsia"/>
          <w:sz w:val="24"/>
          <w:szCs w:val="24"/>
        </w:rPr>
        <w:t>3.</w:t>
      </w:r>
      <w:r>
        <w:rPr>
          <w:rFonts w:ascii="宋体" w:eastAsia="宋体" w:hAnsi="宋体" w:cs="宋体" w:hint="eastAsia"/>
          <w:sz w:val="24"/>
          <w:szCs w:val="24"/>
        </w:rPr>
        <w:t>相似业绩要求：</w:t>
      </w:r>
    </w:p>
    <w:p w:rsidR="00DD5751" w:rsidRPr="002865EE" w:rsidRDefault="00DD5751" w:rsidP="00DD5751">
      <w:pPr>
        <w:pStyle w:val="a4"/>
        <w:adjustRightInd w:val="0"/>
        <w:spacing w:before="0" w:line="360" w:lineRule="auto"/>
        <w:ind w:left="0" w:firstLineChars="200" w:firstLine="480"/>
        <w:rPr>
          <w:sz w:val="24"/>
          <w:szCs w:val="24"/>
          <w:lang w:eastAsia="zh-CN"/>
        </w:rPr>
      </w:pPr>
      <w:r w:rsidRPr="002865EE">
        <w:rPr>
          <w:rFonts w:hint="eastAsia"/>
          <w:sz w:val="24"/>
          <w:szCs w:val="24"/>
          <w:lang w:eastAsia="zh-CN"/>
        </w:rPr>
        <w:t>投标人在近5年（201</w:t>
      </w:r>
      <w:r w:rsidRPr="002865EE">
        <w:rPr>
          <w:sz w:val="24"/>
          <w:szCs w:val="24"/>
          <w:lang w:eastAsia="zh-CN"/>
        </w:rPr>
        <w:t>7</w:t>
      </w:r>
      <w:r w:rsidRPr="002865EE">
        <w:rPr>
          <w:rFonts w:hint="eastAsia"/>
          <w:sz w:val="24"/>
          <w:szCs w:val="24"/>
          <w:lang w:eastAsia="zh-CN"/>
        </w:rPr>
        <w:t>-202</w:t>
      </w:r>
      <w:r w:rsidRPr="002865EE">
        <w:rPr>
          <w:sz w:val="24"/>
          <w:szCs w:val="24"/>
          <w:lang w:eastAsia="zh-CN"/>
        </w:rPr>
        <w:t>1</w:t>
      </w:r>
      <w:r w:rsidRPr="002865EE">
        <w:rPr>
          <w:rFonts w:hint="eastAsia"/>
          <w:sz w:val="24"/>
          <w:szCs w:val="24"/>
          <w:lang w:eastAsia="zh-CN"/>
        </w:rPr>
        <w:t>年度)拥有</w:t>
      </w:r>
      <w:r>
        <w:rPr>
          <w:sz w:val="24"/>
          <w:szCs w:val="24"/>
          <w:lang w:eastAsia="zh-CN"/>
        </w:rPr>
        <w:t>1</w:t>
      </w:r>
      <w:r w:rsidRPr="002865EE">
        <w:rPr>
          <w:sz w:val="24"/>
          <w:szCs w:val="24"/>
          <w:lang w:eastAsia="zh-CN"/>
        </w:rPr>
        <w:t>台</w:t>
      </w:r>
      <w:r w:rsidRPr="002865EE">
        <w:rPr>
          <w:rFonts w:hint="eastAsia"/>
          <w:sz w:val="24"/>
          <w:szCs w:val="24"/>
          <w:lang w:eastAsia="zh-CN"/>
        </w:rPr>
        <w:t>石油炼化装置或芳烃联合装置或乙烯联合装置中符合BB</w:t>
      </w:r>
      <w:r w:rsidRPr="002865EE">
        <w:rPr>
          <w:sz w:val="24"/>
          <w:szCs w:val="24"/>
          <w:lang w:eastAsia="zh-CN"/>
        </w:rPr>
        <w:t>3</w:t>
      </w:r>
      <w:r w:rsidRPr="002865EE">
        <w:rPr>
          <w:rFonts w:hint="eastAsia"/>
          <w:sz w:val="24"/>
          <w:szCs w:val="24"/>
          <w:lang w:eastAsia="zh-CN"/>
        </w:rPr>
        <w:t>泵型的工艺流程泵的合同业绩，且</w:t>
      </w:r>
      <w:r>
        <w:rPr>
          <w:sz w:val="24"/>
          <w:szCs w:val="24"/>
          <w:lang w:eastAsia="zh-CN"/>
        </w:rPr>
        <w:t>1</w:t>
      </w:r>
      <w:r w:rsidRPr="002865EE">
        <w:rPr>
          <w:rFonts w:hint="eastAsia"/>
          <w:sz w:val="24"/>
          <w:szCs w:val="24"/>
          <w:lang w:eastAsia="zh-CN"/>
        </w:rPr>
        <w:t>台泵流量≥</w:t>
      </w:r>
      <w:r w:rsidRPr="002865EE">
        <w:rPr>
          <w:sz w:val="24"/>
          <w:szCs w:val="24"/>
          <w:lang w:eastAsia="zh-CN"/>
        </w:rPr>
        <w:t>480</w:t>
      </w:r>
      <w:r w:rsidRPr="002865EE">
        <w:rPr>
          <w:rFonts w:hint="eastAsia"/>
          <w:sz w:val="24"/>
          <w:szCs w:val="24"/>
          <w:lang w:eastAsia="zh-CN"/>
        </w:rPr>
        <w:t>m3/h，扬程≥</w:t>
      </w:r>
      <w:r w:rsidRPr="002865EE">
        <w:rPr>
          <w:sz w:val="24"/>
          <w:szCs w:val="24"/>
          <w:lang w:eastAsia="zh-CN"/>
        </w:rPr>
        <w:t>290</w:t>
      </w:r>
      <w:r w:rsidRPr="002865EE">
        <w:rPr>
          <w:rFonts w:hint="eastAsia"/>
          <w:sz w:val="24"/>
          <w:szCs w:val="24"/>
          <w:lang w:eastAsia="zh-CN"/>
        </w:rPr>
        <w:t>m业绩。提供证明文件，证明所提供业绩</w:t>
      </w:r>
      <w:proofErr w:type="gramStart"/>
      <w:r w:rsidRPr="002865EE">
        <w:rPr>
          <w:rFonts w:hint="eastAsia"/>
          <w:sz w:val="24"/>
          <w:szCs w:val="24"/>
          <w:lang w:eastAsia="zh-CN"/>
        </w:rPr>
        <w:t>表需含</w:t>
      </w:r>
      <w:proofErr w:type="gramEnd"/>
      <w:r w:rsidRPr="002865EE">
        <w:rPr>
          <w:rFonts w:hint="eastAsia"/>
          <w:sz w:val="24"/>
          <w:szCs w:val="24"/>
          <w:lang w:eastAsia="zh-CN"/>
        </w:rPr>
        <w:t>泵型、流量、扬程、温度、介质、电机功率、装置名称、投用时间、用户联系人信息、合同复印件（</w:t>
      </w:r>
      <w:proofErr w:type="gramStart"/>
      <w:r w:rsidRPr="002865EE">
        <w:rPr>
          <w:rFonts w:hint="eastAsia"/>
          <w:sz w:val="24"/>
          <w:szCs w:val="24"/>
          <w:lang w:eastAsia="zh-CN"/>
        </w:rPr>
        <w:t>含合同</w:t>
      </w:r>
      <w:proofErr w:type="gramEnd"/>
      <w:r w:rsidRPr="002865EE">
        <w:rPr>
          <w:rFonts w:hint="eastAsia"/>
          <w:sz w:val="24"/>
          <w:szCs w:val="24"/>
          <w:lang w:eastAsia="zh-CN"/>
        </w:rPr>
        <w:t>封皮、签字页、供货范围页，价格可隐藏）及技术协议并加盖投标人公章。</w:t>
      </w:r>
    </w:p>
    <w:p w:rsidR="00DD5751" w:rsidRPr="00F81028" w:rsidRDefault="00DD5751" w:rsidP="00DD5751">
      <w:pPr>
        <w:pStyle w:val="Style4"/>
        <w:tabs>
          <w:tab w:val="left" w:pos="0"/>
        </w:tabs>
        <w:spacing w:line="360" w:lineRule="auto"/>
        <w:ind w:left="0" w:firstLineChars="200" w:firstLine="480"/>
        <w:jc w:val="left"/>
        <w:rPr>
          <w:rFonts w:ascii="宋体" w:eastAsia="宋体" w:hAnsi="宋体" w:cs="宋体"/>
          <w:sz w:val="24"/>
          <w:szCs w:val="24"/>
        </w:rPr>
      </w:pPr>
      <w:r w:rsidRPr="00F81028">
        <w:rPr>
          <w:rFonts w:ascii="宋体" w:eastAsia="宋体" w:hAnsi="宋体" w:cs="宋体" w:hint="eastAsia"/>
          <w:sz w:val="24"/>
          <w:szCs w:val="24"/>
        </w:rPr>
        <w:t>4. 请购文件</w:t>
      </w:r>
      <w:r>
        <w:rPr>
          <w:rFonts w:ascii="宋体" w:eastAsia="宋体" w:hAnsi="宋体" w:cs="宋体" w:hint="eastAsia"/>
          <w:sz w:val="24"/>
          <w:szCs w:val="24"/>
        </w:rPr>
        <w:t>《</w:t>
      </w:r>
      <w:r w:rsidRPr="00F81028">
        <w:rPr>
          <w:rFonts w:ascii="宋体" w:eastAsia="宋体" w:hAnsi="宋体" w:cs="宋体" w:hint="eastAsia"/>
          <w:sz w:val="24"/>
          <w:szCs w:val="24"/>
        </w:rPr>
        <w:t>文件编号：</w:t>
      </w:r>
      <w:r w:rsidRPr="00F81028">
        <w:rPr>
          <w:rFonts w:ascii="宋体" w:eastAsia="宋体" w:hAnsi="宋体" w:cs="宋体"/>
          <w:sz w:val="24"/>
          <w:szCs w:val="24"/>
        </w:rPr>
        <w:t>Z59606-01DD-338600-RE-RQ-0001</w:t>
      </w:r>
      <w:r>
        <w:rPr>
          <w:rFonts w:ascii="宋体" w:eastAsia="宋体" w:hAnsi="宋体" w:cs="宋体" w:hint="eastAsia"/>
          <w:sz w:val="24"/>
          <w:szCs w:val="24"/>
        </w:rPr>
        <w:t>》</w:t>
      </w:r>
      <w:r w:rsidRPr="00F81028">
        <w:rPr>
          <w:rFonts w:ascii="宋体" w:eastAsia="宋体" w:hAnsi="宋体" w:cs="宋体" w:hint="eastAsia"/>
          <w:sz w:val="24"/>
          <w:szCs w:val="24"/>
        </w:rPr>
        <w:t>带“★”条款为关键指标，若有偏离，则视为未实质性响应招标要求，投标将被否决。</w:t>
      </w:r>
      <w:bookmarkStart w:id="5" w:name="_Toc256000010"/>
    </w:p>
    <w:p w:rsidR="00DD5751" w:rsidRDefault="00DD5751" w:rsidP="00DD5751">
      <w:pPr>
        <w:pStyle w:val="Style4"/>
        <w:tabs>
          <w:tab w:val="left" w:pos="0"/>
        </w:tabs>
        <w:spacing w:line="360" w:lineRule="auto"/>
        <w:ind w:left="0" w:firstLineChars="200" w:firstLine="480"/>
        <w:jc w:val="left"/>
        <w:rPr>
          <w:rFonts w:ascii="宋体" w:eastAsia="宋体" w:hAnsi="宋体" w:cs="宋体"/>
          <w:sz w:val="24"/>
          <w:szCs w:val="24"/>
        </w:rPr>
      </w:pPr>
      <w:r>
        <w:rPr>
          <w:rFonts w:ascii="宋体" w:hAnsi="宋体" w:cs="宋体" w:hint="eastAsia"/>
          <w:sz w:val="24"/>
          <w:szCs w:val="24"/>
        </w:rPr>
        <w:t>5.</w:t>
      </w:r>
      <w:r>
        <w:rPr>
          <w:rFonts w:ascii="宋体" w:eastAsia="宋体" w:hAnsi="宋体" w:cs="宋体" w:hint="eastAsia"/>
          <w:sz w:val="24"/>
          <w:szCs w:val="24"/>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5"/>
    </w:p>
    <w:p w:rsidR="00DD5751" w:rsidRDefault="00DD5751" w:rsidP="00DD5751">
      <w:pPr>
        <w:pStyle w:val="Style4"/>
        <w:spacing w:line="360" w:lineRule="auto"/>
        <w:ind w:left="0" w:firstLineChars="200" w:firstLine="480"/>
        <w:jc w:val="left"/>
        <w:rPr>
          <w:rFonts w:ascii="宋体" w:eastAsia="宋体" w:hAnsi="宋体" w:cs="宋体"/>
          <w:spacing w:val="-18"/>
          <w:sz w:val="24"/>
          <w:szCs w:val="24"/>
        </w:rPr>
      </w:pPr>
      <w:bookmarkStart w:id="6" w:name="_Toc256000011"/>
      <w:r>
        <w:rPr>
          <w:rFonts w:ascii="宋体" w:hAnsi="宋体" w:cs="宋体" w:hint="eastAsia"/>
          <w:sz w:val="24"/>
          <w:szCs w:val="24"/>
        </w:rPr>
        <w:t>6.</w:t>
      </w:r>
      <w:r>
        <w:rPr>
          <w:rFonts w:ascii="宋体" w:eastAsia="宋体" w:hAnsi="宋体" w:cs="宋体" w:hint="eastAsia"/>
          <w:sz w:val="24"/>
          <w:szCs w:val="24"/>
        </w:rPr>
        <w:t>其他资格要求</w:t>
      </w:r>
      <w:bookmarkEnd w:id="6"/>
      <w:r>
        <w:rPr>
          <w:rFonts w:ascii="宋体" w:eastAsia="宋体" w:hAnsi="宋体" w:cs="宋体" w:hint="eastAsia"/>
          <w:sz w:val="24"/>
          <w:szCs w:val="24"/>
        </w:rPr>
        <w:t>。</w:t>
      </w:r>
      <w:r>
        <w:rPr>
          <w:rFonts w:ascii="宋体" w:eastAsia="宋体" w:hAnsi="宋体" w:cs="宋体" w:hint="eastAsia"/>
          <w:spacing w:val="-3"/>
          <w:sz w:val="24"/>
          <w:szCs w:val="24"/>
        </w:rPr>
        <w:t>投标人不得存在下列情形之一</w:t>
      </w:r>
      <w:r>
        <w:rPr>
          <w:rFonts w:ascii="宋体" w:eastAsia="宋体" w:hAnsi="宋体" w:cs="宋体" w:hint="eastAsia"/>
          <w:spacing w:val="-18"/>
          <w:sz w:val="24"/>
          <w:szCs w:val="24"/>
        </w:rPr>
        <w:t>：</w:t>
      </w:r>
    </w:p>
    <w:p w:rsidR="00DD5751" w:rsidRDefault="00DD5751" w:rsidP="00DD5751">
      <w:pPr>
        <w:pStyle w:val="Style1"/>
        <w:spacing w:line="360" w:lineRule="auto"/>
        <w:ind w:left="0" w:firstLineChars="200" w:firstLine="468"/>
        <w:jc w:val="left"/>
        <w:rPr>
          <w:rFonts w:ascii="宋体" w:eastAsia="宋体" w:hAnsi="宋体" w:cs="宋体"/>
          <w:sz w:val="24"/>
          <w:szCs w:val="24"/>
        </w:rPr>
      </w:pPr>
      <w:r>
        <w:rPr>
          <w:rFonts w:ascii="宋体" w:eastAsia="宋体" w:hAnsi="宋体" w:cs="宋体" w:hint="eastAsia"/>
          <w:spacing w:val="-3"/>
          <w:sz w:val="24"/>
          <w:szCs w:val="24"/>
        </w:rPr>
        <w:t>6.1.与招标人存在利害关系且可能影响招标公正性；</w:t>
      </w:r>
    </w:p>
    <w:p w:rsidR="00DD5751" w:rsidRDefault="00DD5751" w:rsidP="00DD5751">
      <w:pPr>
        <w:pStyle w:val="Style1"/>
        <w:spacing w:line="360" w:lineRule="auto"/>
        <w:ind w:left="0" w:firstLineChars="200" w:firstLine="468"/>
        <w:jc w:val="left"/>
        <w:rPr>
          <w:rFonts w:ascii="宋体" w:eastAsia="宋体" w:hAnsi="宋体" w:cs="宋体"/>
          <w:sz w:val="24"/>
          <w:szCs w:val="24"/>
        </w:rPr>
      </w:pPr>
      <w:r>
        <w:rPr>
          <w:rFonts w:ascii="宋体" w:eastAsia="宋体" w:hAnsi="宋体" w:cs="宋体" w:hint="eastAsia"/>
          <w:spacing w:val="-3"/>
          <w:sz w:val="24"/>
          <w:szCs w:val="24"/>
        </w:rPr>
        <w:t>6.2.与本招标项目的其他投标人为同一个单位负责人；</w:t>
      </w:r>
    </w:p>
    <w:p w:rsidR="00DD5751" w:rsidRDefault="00DD5751" w:rsidP="00DD5751">
      <w:pPr>
        <w:pStyle w:val="Style1"/>
        <w:spacing w:line="360" w:lineRule="auto"/>
        <w:ind w:left="0" w:firstLineChars="200" w:firstLine="468"/>
        <w:jc w:val="left"/>
        <w:rPr>
          <w:rFonts w:ascii="宋体" w:eastAsia="宋体" w:hAnsi="宋体" w:cs="宋体"/>
          <w:sz w:val="24"/>
          <w:szCs w:val="24"/>
        </w:rPr>
      </w:pPr>
      <w:r>
        <w:rPr>
          <w:rFonts w:ascii="宋体" w:eastAsia="宋体" w:hAnsi="宋体" w:cs="宋体" w:hint="eastAsia"/>
          <w:spacing w:val="-3"/>
          <w:sz w:val="24"/>
          <w:szCs w:val="24"/>
        </w:rPr>
        <w:t>6.3.与本招标项目的其他投标人存在控股、管理关系；</w:t>
      </w:r>
    </w:p>
    <w:p w:rsidR="00DD5751" w:rsidRDefault="00DD5751" w:rsidP="00DD575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hint="eastAsia"/>
          <w:spacing w:val="-3"/>
          <w:sz w:val="24"/>
          <w:szCs w:val="24"/>
        </w:rPr>
        <w:t>6.4.与本招标项目其他投标人代理同一个制造商同一品牌同一型号的设备投标；</w:t>
      </w:r>
    </w:p>
    <w:p w:rsidR="00DD5751" w:rsidRDefault="00DD5751" w:rsidP="00DD575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hint="eastAsia"/>
          <w:spacing w:val="-3"/>
          <w:sz w:val="24"/>
          <w:szCs w:val="24"/>
        </w:rPr>
        <w:t>6.5.为本招标项目提供过设计、编制技术规范和其他文件的咨询服务；</w:t>
      </w:r>
    </w:p>
    <w:p w:rsidR="00DD5751" w:rsidRDefault="00DD5751" w:rsidP="00DD575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hint="eastAsia"/>
          <w:spacing w:val="-3"/>
          <w:sz w:val="24"/>
          <w:szCs w:val="24"/>
        </w:rPr>
        <w:t>6.6.为本招标项目的相关监理人，或者与本工程项目的相关监理人存在隶属关系或者其他利害关系；</w:t>
      </w:r>
    </w:p>
    <w:p w:rsidR="00DD5751" w:rsidRDefault="00DD5751" w:rsidP="00DD575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hint="eastAsia"/>
          <w:spacing w:val="-3"/>
          <w:sz w:val="24"/>
          <w:szCs w:val="24"/>
        </w:rPr>
        <w:t>6.7.为本招标项目的代建人；</w:t>
      </w:r>
    </w:p>
    <w:p w:rsidR="00DD5751" w:rsidRDefault="00DD5751" w:rsidP="00DD575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hint="eastAsia"/>
          <w:spacing w:val="-3"/>
          <w:sz w:val="24"/>
          <w:szCs w:val="24"/>
        </w:rPr>
        <w:t>6.8.为本招标项目的招标代理机构；</w:t>
      </w:r>
    </w:p>
    <w:p w:rsidR="00DD5751" w:rsidRDefault="00DD5751" w:rsidP="00DD575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hint="eastAsia"/>
          <w:spacing w:val="-3"/>
          <w:sz w:val="24"/>
          <w:szCs w:val="24"/>
        </w:rPr>
        <w:t>6.9.与本招标项目的监理人或代建人或招标代理机构同为一个法定代表人；</w:t>
      </w:r>
    </w:p>
    <w:p w:rsidR="00DD5751" w:rsidRDefault="00DD5751" w:rsidP="00DD575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hint="eastAsia"/>
          <w:spacing w:val="-3"/>
          <w:sz w:val="24"/>
          <w:szCs w:val="24"/>
        </w:rPr>
        <w:t>6.10.与本招标项目的监理人或代建人或招标代理机构存在控股或参股关系；</w:t>
      </w:r>
    </w:p>
    <w:p w:rsidR="00DD5751" w:rsidRDefault="00DD5751" w:rsidP="00DD575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hint="eastAsia"/>
          <w:spacing w:val="-3"/>
          <w:sz w:val="24"/>
          <w:szCs w:val="24"/>
        </w:rPr>
        <w:t>6.11.被依法暂停或者取消投标资格；</w:t>
      </w:r>
    </w:p>
    <w:p w:rsidR="00DD5751" w:rsidRDefault="00DD5751" w:rsidP="00DD575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hint="eastAsia"/>
          <w:spacing w:val="-3"/>
          <w:sz w:val="24"/>
          <w:szCs w:val="24"/>
        </w:rPr>
        <w:lastRenderedPageBreak/>
        <w:t>6.12.被责令停产停业、暂扣或者吊销许可证、暂扣或者吊销执照；</w:t>
      </w:r>
    </w:p>
    <w:p w:rsidR="00DD5751" w:rsidRDefault="00DD5751" w:rsidP="00DD575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hint="eastAsia"/>
          <w:spacing w:val="-3"/>
          <w:sz w:val="24"/>
          <w:szCs w:val="24"/>
        </w:rPr>
        <w:t>6.13.进入清算程序，或被宣告破产，或其他丧失履约能力的情形；</w:t>
      </w:r>
    </w:p>
    <w:p w:rsidR="00DD5751" w:rsidRDefault="00DD5751" w:rsidP="00DD575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hint="eastAsia"/>
          <w:spacing w:val="-3"/>
          <w:sz w:val="24"/>
          <w:szCs w:val="24"/>
        </w:rPr>
        <w:t>6.14.在最近三年内发生重大产品质量问题（以相关行业主管部门的行政处罚决定或司法机关出具的有关法律文书为准）；</w:t>
      </w:r>
    </w:p>
    <w:p w:rsidR="00DD5751" w:rsidRDefault="00DD5751" w:rsidP="00DD575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hint="eastAsia"/>
          <w:spacing w:val="-3"/>
          <w:sz w:val="24"/>
          <w:szCs w:val="24"/>
        </w:rPr>
        <w:t>6.15.被市场监督管理机关在全国企业信用信息公示系统中列入严重违法失信企业名单；</w:t>
      </w:r>
    </w:p>
    <w:p w:rsidR="00DD5751" w:rsidRDefault="00DD5751" w:rsidP="00DD575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hint="eastAsia"/>
          <w:spacing w:val="-3"/>
          <w:sz w:val="24"/>
          <w:szCs w:val="24"/>
        </w:rPr>
        <w:t>6.16.被最高人民法院在“信用中国”网站（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Pr>
          <w:rFonts w:ascii="宋体" w:eastAsia="宋体" w:hAnsi="宋体" w:cs="宋体" w:hint="eastAsia"/>
          <w:spacing w:val="-3"/>
          <w:sz w:val="24"/>
          <w:szCs w:val="24"/>
        </w:rPr>
        <w:t>）或各级信用信息共享平台中列入失信被执行人名单；</w:t>
      </w:r>
    </w:p>
    <w:p w:rsidR="00DD5751" w:rsidRDefault="00DD5751" w:rsidP="00DD575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hint="eastAsia"/>
          <w:spacing w:val="-3"/>
          <w:sz w:val="24"/>
          <w:szCs w:val="24"/>
        </w:rPr>
        <w:t>6.17.在近三年内投标人或其法定代表人、拟委任的项目负责人有行贿犯罪行为的（以检察机关职务犯罪预防部门出具的查询结果为准）；</w:t>
      </w:r>
    </w:p>
    <w:p w:rsidR="00DD5751" w:rsidRDefault="00DD5751" w:rsidP="00DD5751">
      <w:pPr>
        <w:pStyle w:val="Style4"/>
        <w:spacing w:line="360" w:lineRule="auto"/>
        <w:ind w:left="0" w:firstLineChars="200" w:firstLine="468"/>
        <w:jc w:val="left"/>
        <w:rPr>
          <w:rFonts w:asciiTheme="minorEastAsia" w:hAnsiTheme="minorEastAsia"/>
          <w:b/>
          <w:bCs/>
          <w:sz w:val="24"/>
          <w:szCs w:val="24"/>
        </w:rPr>
      </w:pPr>
      <w:r>
        <w:rPr>
          <w:rFonts w:ascii="宋体" w:eastAsia="宋体" w:hAnsi="宋体" w:cs="宋体" w:hint="eastAsia"/>
          <w:spacing w:val="-3"/>
          <w:sz w:val="24"/>
          <w:szCs w:val="24"/>
        </w:rPr>
        <w:t>6.18.法律法规或投标人须知前附表规定的其他情形。</w:t>
      </w:r>
    </w:p>
    <w:p w:rsidR="00DD5751" w:rsidRDefault="00DD5751" w:rsidP="00DD575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DD5751" w:rsidRDefault="00DD5751" w:rsidP="00DD5751">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3</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01</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19</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3</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01</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28</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DD5751" w:rsidRDefault="00DD5751" w:rsidP="00DD5751">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DD5751" w:rsidRDefault="00DD5751" w:rsidP="00DD5751">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DD5751" w:rsidRDefault="00DD5751" w:rsidP="00DD5751">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DD5751" w:rsidRDefault="00DD5751" w:rsidP="00DD575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DD5751" w:rsidRDefault="00DD5751" w:rsidP="00DD5751">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本项目参选保证金的金额为：人民币叁万元（￥</w:t>
      </w:r>
      <w:r>
        <w:rPr>
          <w:rFonts w:asciiTheme="minorEastAsia" w:eastAsiaTheme="minorEastAsia" w:hAnsiTheme="minorEastAsia"/>
          <w:sz w:val="24"/>
          <w:szCs w:val="24"/>
          <w:lang w:eastAsia="zh-CN"/>
        </w:rPr>
        <w:t>30,000.00元</w:t>
      </w:r>
      <w:r>
        <w:rPr>
          <w:rFonts w:asciiTheme="minorEastAsia" w:eastAsiaTheme="minorEastAsia" w:hAnsiTheme="minorEastAsia" w:hint="eastAsia"/>
          <w:sz w:val="24"/>
          <w:szCs w:val="24"/>
          <w:lang w:eastAsia="zh-CN"/>
        </w:rPr>
        <w:t>）；</w:t>
      </w:r>
    </w:p>
    <w:p w:rsidR="00DD5751" w:rsidRDefault="00DD5751" w:rsidP="00DD575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DD5751" w:rsidRDefault="00DD5751" w:rsidP="00DD5751">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DD5751" w:rsidRDefault="00DD5751" w:rsidP="00DD575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DD5751" w:rsidRDefault="00DD5751" w:rsidP="00DD575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DD5751" w:rsidRDefault="00DD5751" w:rsidP="00DD575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DD5751" w:rsidRDefault="00DD5751" w:rsidP="00DD575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DD5751" w:rsidRDefault="00DD5751" w:rsidP="00DD5751">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857509">
        <w:rPr>
          <w:rFonts w:asciiTheme="minorEastAsia" w:eastAsiaTheme="minorEastAsia" w:hAnsiTheme="minorEastAsia"/>
          <w:bCs/>
          <w:sz w:val="24"/>
          <w:szCs w:val="24"/>
          <w:lang w:eastAsia="zh-CN"/>
        </w:rPr>
        <w:t>凝析油输送泵</w:t>
      </w:r>
      <w:r>
        <w:rPr>
          <w:rFonts w:asciiTheme="minorEastAsia" w:eastAsiaTheme="minorEastAsia" w:hAnsiTheme="minorEastAsia"/>
          <w:bCs/>
          <w:sz w:val="24"/>
          <w:szCs w:val="24"/>
          <w:lang w:eastAsia="zh-CN"/>
        </w:rPr>
        <w:t>采购</w:t>
      </w:r>
    </w:p>
    <w:p w:rsidR="00DD5751" w:rsidRDefault="00DD5751" w:rsidP="00DD575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DD5751" w:rsidRDefault="00DD5751" w:rsidP="00DD5751">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DD5751" w:rsidRDefault="00DD5751" w:rsidP="00DD5751">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DD5751" w:rsidRDefault="00DD5751" w:rsidP="00DD5751">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DD5751" w:rsidRDefault="00DD5751" w:rsidP="00DD5751">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DD5751" w:rsidRDefault="00DD5751" w:rsidP="00DD5751">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DD5751" w:rsidRDefault="00DD5751" w:rsidP="00DD575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DD5751" w:rsidRDefault="00DD5751" w:rsidP="00DD5751">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DD5751" w:rsidRDefault="00DD5751" w:rsidP="00DD5751">
      <w:pPr>
        <w:pStyle w:val="a4"/>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递交截止时间（收到参选文件时间）：</w:t>
      </w:r>
      <w:r>
        <w:rPr>
          <w:rFonts w:asciiTheme="minorEastAsia" w:eastAsiaTheme="minorEastAsia" w:hAnsiTheme="minorEastAsia" w:hint="eastAsia"/>
          <w:bCs/>
          <w:color w:val="FF0000"/>
          <w:sz w:val="24"/>
          <w:szCs w:val="24"/>
          <w:lang w:eastAsia="zh-CN"/>
        </w:rPr>
        <w:t xml:space="preserve"> </w:t>
      </w:r>
      <w:r>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3</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02</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01</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DD5751" w:rsidRDefault="00DD5751" w:rsidP="00DD575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DD5751" w:rsidRDefault="00DD5751" w:rsidP="00DD5751">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DD5751" w:rsidRDefault="00DD5751" w:rsidP="00DD5751">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DD5751" w:rsidRDefault="00DD5751" w:rsidP="00DD5751">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DD5751" w:rsidRDefault="00DD5751" w:rsidP="00DD5751">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DD5751" w:rsidRDefault="00DD5751" w:rsidP="00DD5751">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DD5751" w:rsidRDefault="00DD5751" w:rsidP="00DD5751">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023.01.19</w:t>
      </w:r>
    </w:p>
    <w:p w:rsidR="009C7FCF" w:rsidRDefault="009C7FCF">
      <w:bookmarkStart w:id="7" w:name="_GoBack"/>
      <w:bookmarkEnd w:id="7"/>
    </w:p>
    <w:sectPr w:rsidR="009C7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60350D40"/>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51"/>
    <w:rsid w:val="009C7FCF"/>
    <w:rsid w:val="00DD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4C2CE-34A6-4347-84EE-4A8DCCDF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D5751"/>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DD5751"/>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DD5751"/>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DD5751"/>
    <w:pPr>
      <w:spacing w:before="206"/>
      <w:ind w:left="959" w:hanging="361"/>
    </w:pPr>
  </w:style>
  <w:style w:type="character" w:customStyle="1" w:styleId="Char">
    <w:name w:val="正文缩进 Char"/>
    <w:link w:val="a3"/>
    <w:qFormat/>
    <w:rsid w:val="00DD5751"/>
    <w:rPr>
      <w:rFonts w:ascii="Times New Roman" w:eastAsia="宋体" w:hAnsi="Times New Roman" w:cs="Times New Roman"/>
      <w:szCs w:val="20"/>
    </w:rPr>
  </w:style>
  <w:style w:type="paragraph" w:customStyle="1" w:styleId="Style4">
    <w:name w:val="_Style 4"/>
    <w:basedOn w:val="a"/>
    <w:uiPriority w:val="1"/>
    <w:qFormat/>
    <w:rsid w:val="00DD5751"/>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DD5751"/>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Other1">
    <w:name w:val="Other|1"/>
    <w:basedOn w:val="a"/>
    <w:qFormat/>
    <w:rsid w:val="00DD5751"/>
    <w:pPr>
      <w:autoSpaceDE/>
      <w:autoSpaceDN/>
      <w:jc w:val="both"/>
    </w:pPr>
    <w:rPr>
      <w:kern w:val="2"/>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395</Words>
  <Characters>2253</Characters>
  <Application>Microsoft Office Word</Application>
  <DocSecurity>0</DocSecurity>
  <Lines>18</Lines>
  <Paragraphs>5</Paragraphs>
  <ScaleCrop>false</ScaleCrop>
  <Company>fhcpec.com.cn</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2023-01-19T02:45:00Z</dcterms:created>
  <dcterms:modified xsi:type="dcterms:W3CDTF">2023-01-19T02:45:00Z</dcterms:modified>
</cp:coreProperties>
</file>