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 xml:space="preserve"> 福建福海创石油化工有限公司</w:t>
      </w:r>
    </w:p>
    <w:p>
      <w:pPr>
        <w:ind w:left="169"/>
        <w:jc w:val="center"/>
        <w:rPr>
          <w:rFonts w:ascii="微软雅黑" w:eastAsia="微软雅黑"/>
          <w:b/>
          <w:sz w:val="36"/>
          <w:szCs w:val="36"/>
          <w:u w:val="single"/>
          <w:lang w:eastAsia="zh-CN"/>
        </w:rPr>
      </w:pPr>
    </w:p>
    <w:p>
      <w:pPr>
        <w:rPr>
          <w:rFonts w:ascii="微软雅黑" w:eastAsia="微软雅黑"/>
          <w:b/>
          <w:sz w:val="36"/>
          <w:szCs w:val="36"/>
          <w:u w:val="single"/>
          <w:lang w:eastAsia="zh-CN"/>
        </w:rPr>
      </w:pPr>
    </w:p>
    <w:p>
      <w:pPr>
        <w:rPr>
          <w:rFonts w:ascii="微软雅黑" w:eastAsia="微软雅黑"/>
          <w:b/>
          <w:sz w:val="36"/>
          <w:szCs w:val="36"/>
          <w:u w:val="single"/>
          <w:lang w:eastAsia="zh-CN"/>
        </w:rPr>
      </w:pPr>
    </w:p>
    <w:p>
      <w:pPr>
        <w:ind w:left="3262" w:leftChars="100" w:hanging="3042" w:hangingChars="691"/>
        <w:rPr>
          <w:rFonts w:ascii="微软雅黑" w:hAnsi="微软雅黑" w:eastAsia="微软雅黑"/>
          <w:b/>
          <w:bCs/>
          <w:sz w:val="44"/>
          <w:szCs w:val="44"/>
          <w:u w:val="single"/>
          <w:lang w:eastAsia="zh-CN"/>
        </w:rPr>
      </w:pPr>
      <w:r>
        <w:rPr>
          <w:rFonts w:hint="eastAsia" w:ascii="微软雅黑" w:hAnsi="微软雅黑" w:eastAsia="微软雅黑"/>
          <w:b/>
          <w:bCs/>
          <w:sz w:val="44"/>
          <w:szCs w:val="44"/>
          <w:u w:val="single"/>
          <w:lang w:eastAsia="zh-CN"/>
        </w:rPr>
        <w:t>202</w:t>
      </w:r>
      <w:r>
        <w:rPr>
          <w:rFonts w:hint="eastAsia" w:ascii="微软雅黑" w:hAnsi="微软雅黑" w:eastAsia="微软雅黑"/>
          <w:b/>
          <w:bCs/>
          <w:sz w:val="44"/>
          <w:szCs w:val="44"/>
          <w:u w:val="single"/>
          <w:lang w:val="en-US" w:eastAsia="zh-CN"/>
        </w:rPr>
        <w:t>3</w:t>
      </w:r>
      <w:r>
        <w:rPr>
          <w:rFonts w:hint="eastAsia" w:ascii="微软雅黑" w:hAnsi="微软雅黑" w:eastAsia="微软雅黑"/>
          <w:b/>
          <w:bCs/>
          <w:sz w:val="44"/>
          <w:szCs w:val="44"/>
          <w:u w:val="single"/>
          <w:lang w:eastAsia="zh-CN"/>
        </w:rPr>
        <w:t>年海水冷却系统排海口海洋环境监测</w:t>
      </w:r>
      <w:r>
        <w:rPr>
          <w:rFonts w:hint="eastAsia" w:ascii="微软雅黑" w:hAnsi="微软雅黑" w:eastAsia="微软雅黑"/>
          <w:b/>
          <w:sz w:val="44"/>
          <w:szCs w:val="44"/>
          <w:u w:val="single"/>
          <w:lang w:eastAsia="zh-CN"/>
        </w:rPr>
        <w:t>比选文件</w:t>
      </w: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0"/>
        <w:jc w:val="center"/>
        <w:rPr>
          <w:rFonts w:asciiTheme="minorEastAsia" w:hAnsiTheme="minorEastAsia" w:eastAsiaTheme="minorEastAsia"/>
          <w:b/>
          <w:u w:val="single"/>
          <w:lang w:eastAsia="zh-CN"/>
        </w:rPr>
      </w:pPr>
    </w:p>
    <w:p>
      <w:pPr>
        <w:pStyle w:val="2"/>
        <w:jc w:val="center"/>
        <w:rPr>
          <w:b/>
          <w:sz w:val="30"/>
          <w:szCs w:val="30"/>
        </w:rPr>
      </w:pPr>
      <w:r>
        <w:rPr>
          <w:rFonts w:hint="eastAsia" w:asciiTheme="minorEastAsia" w:hAnsiTheme="minorEastAsia" w:eastAsiaTheme="minorEastAsia"/>
          <w:b/>
          <w:sz w:val="30"/>
          <w:szCs w:val="30"/>
        </w:rPr>
        <w:t>（项目编号：</w:t>
      </w:r>
      <w:r>
        <w:rPr>
          <w:rFonts w:ascii="inherit" w:hAnsi="inherit" w:cs="宋体"/>
          <w:sz w:val="24"/>
          <w:szCs w:val="24"/>
          <w:u w:val="single"/>
        </w:rPr>
        <w:t>FHC-PTCG202</w:t>
      </w:r>
      <w:r>
        <w:rPr>
          <w:rFonts w:hint="eastAsia" w:ascii="inherit" w:hAnsi="inherit" w:cs="宋体"/>
          <w:sz w:val="24"/>
          <w:szCs w:val="24"/>
          <w:u w:val="single"/>
          <w:lang w:val="en-US" w:eastAsia="zh-CN"/>
        </w:rPr>
        <w:t>21228</w:t>
      </w:r>
      <w:r>
        <w:rPr>
          <w:rFonts w:hint="eastAsia" w:ascii="inherit" w:hAnsi="inherit" w:cs="宋体"/>
          <w:sz w:val="24"/>
          <w:szCs w:val="24"/>
          <w:u w:val="single"/>
        </w:rPr>
        <w:t>00</w:t>
      </w:r>
      <w:r>
        <w:rPr>
          <w:rFonts w:hint="eastAsia" w:ascii="inherit" w:hAnsi="inherit" w:cs="宋体"/>
          <w:sz w:val="24"/>
          <w:szCs w:val="24"/>
          <w:u w:val="single"/>
          <w:lang w:val="en-US" w:eastAsia="zh-CN"/>
        </w:rPr>
        <w:t>1</w:t>
      </w:r>
      <w:r>
        <w:rPr>
          <w:rFonts w:hint="eastAsia" w:cs="宋体" w:asciiTheme="minorEastAsia" w:hAnsiTheme="minorEastAsia" w:eastAsiaTheme="minorEastAsia"/>
          <w:b/>
          <w:sz w:val="30"/>
          <w:szCs w:val="30"/>
          <w:u w:val="single"/>
        </w:rPr>
        <w:t>）</w:t>
      </w:r>
    </w:p>
    <w:p>
      <w:pPr>
        <w:pStyle w:val="20"/>
        <w:rPr>
          <w:rFonts w:ascii="微软雅黑"/>
          <w:b/>
          <w:sz w:val="30"/>
          <w:szCs w:val="30"/>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二〇二三年一月</w:t>
      </w:r>
    </w:p>
    <w:p>
      <w:pPr>
        <w:spacing w:line="271" w:lineRule="auto"/>
        <w:jc w:val="center"/>
        <w:rPr>
          <w:rFonts w:ascii="微软雅黑" w:eastAsia="微软雅黑"/>
          <w:sz w:val="32"/>
          <w:lang w:eastAsia="zh-CN"/>
        </w:rPr>
        <w:sectPr>
          <w:pgSz w:w="11910" w:h="16840"/>
          <w:pgMar w:top="102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rPr>
          <w:sz w:val="24"/>
          <w:szCs w:val="24"/>
        </w:rPr>
      </w:pPr>
      <w:r>
        <w:rPr>
          <w:rFonts w:hint="eastAsia"/>
          <w:sz w:val="24"/>
          <w:szCs w:val="24"/>
        </w:rPr>
        <w:t xml:space="preserve">   </w:t>
      </w:r>
    </w:p>
    <w:p>
      <w:pPr>
        <w:pStyle w:val="2"/>
        <w:ind w:firstLine="480" w:firstLineChars="200"/>
        <w:rPr>
          <w:rFonts w:asciiTheme="minorEastAsia" w:hAnsiTheme="minorEastAsia" w:eastAsiaTheme="minorEastAsia"/>
          <w:sz w:val="24"/>
          <w:szCs w:val="24"/>
        </w:rPr>
      </w:pPr>
      <w:r>
        <w:rPr>
          <w:rFonts w:hint="eastAsia"/>
          <w:sz w:val="24"/>
          <w:szCs w:val="24"/>
        </w:rPr>
        <w:t>附件四：海水冷却系统</w:t>
      </w:r>
      <w:r>
        <w:rPr>
          <w:rFonts w:hint="eastAsia" w:cs="宋体" w:asciiTheme="minorEastAsia" w:hAnsiTheme="minorEastAsia" w:eastAsiaTheme="minorEastAsia"/>
          <w:bCs/>
          <w:sz w:val="24"/>
          <w:szCs w:val="24"/>
        </w:rPr>
        <w:t>排海口环境监测发包技术协议</w:t>
      </w:r>
    </w:p>
    <w:p>
      <w:pPr>
        <w:pStyle w:val="2"/>
        <w:rPr>
          <w:sz w:val="24"/>
          <w:szCs w:val="24"/>
        </w:rPr>
      </w:pPr>
    </w:p>
    <w:p>
      <w:pPr>
        <w:ind w:firstLine="480" w:firstLineChars="200"/>
        <w:rPr>
          <w:sz w:val="24"/>
          <w:szCs w:val="24"/>
          <w:lang w:eastAsia="zh-CN"/>
        </w:rPr>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5"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480" w:lineRule="exact"/>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u w:val="single"/>
          <w:lang w:eastAsia="zh-CN"/>
        </w:rPr>
        <w:t>202</w:t>
      </w:r>
      <w:r>
        <w:rPr>
          <w:rFonts w:hint="eastAsia" w:asciiTheme="minorEastAsia" w:hAnsiTheme="minorEastAsia" w:eastAsiaTheme="minorEastAsia"/>
          <w:bCs/>
          <w:sz w:val="24"/>
          <w:szCs w:val="24"/>
          <w:u w:val="single"/>
          <w:lang w:val="en-US" w:eastAsia="zh-CN"/>
        </w:rPr>
        <w:t>3</w:t>
      </w:r>
      <w:r>
        <w:rPr>
          <w:rFonts w:hint="eastAsia" w:asciiTheme="minorEastAsia" w:hAnsiTheme="minorEastAsia" w:eastAsiaTheme="minorEastAsia"/>
          <w:bCs/>
          <w:sz w:val="24"/>
          <w:szCs w:val="24"/>
          <w:u w:val="single"/>
          <w:lang w:eastAsia="zh-CN"/>
        </w:rPr>
        <w:t>年海水冷却系统排海口海洋环境监测项目</w:t>
      </w:r>
      <w:r>
        <w:rPr>
          <w:rFonts w:hint="eastAsia" w:asciiTheme="minorEastAsia" w:hAnsiTheme="minorEastAsia" w:eastAsiaTheme="minorEastAsia"/>
          <w:sz w:val="24"/>
          <w:szCs w:val="24"/>
          <w:lang w:eastAsia="zh-CN"/>
        </w:rPr>
        <w:t>，项目编号：</w:t>
      </w:r>
      <w:r>
        <w:rPr>
          <w:rFonts w:ascii="inherit" w:hAnsi="inherit"/>
          <w:sz w:val="24"/>
          <w:szCs w:val="24"/>
          <w:u w:val="single"/>
          <w:lang w:eastAsia="zh-CN"/>
        </w:rPr>
        <w:t>FHC-PTCG202</w:t>
      </w:r>
      <w:r>
        <w:rPr>
          <w:rFonts w:hint="eastAsia" w:ascii="inherit" w:hAnsi="inherit"/>
          <w:sz w:val="24"/>
          <w:szCs w:val="24"/>
          <w:u w:val="single"/>
          <w:lang w:val="en-US" w:eastAsia="zh-CN"/>
        </w:rPr>
        <w:t>21228</w:t>
      </w:r>
      <w:r>
        <w:rPr>
          <w:rFonts w:hint="eastAsia" w:ascii="inherit" w:hAnsi="inherit"/>
          <w:sz w:val="24"/>
          <w:szCs w:val="24"/>
          <w:u w:val="single"/>
          <w:lang w:eastAsia="zh-CN"/>
        </w:rPr>
        <w:t>00</w:t>
      </w:r>
      <w:r>
        <w:rPr>
          <w:rFonts w:hint="eastAsia" w:ascii="inherit" w:hAnsi="inherit"/>
          <w:sz w:val="24"/>
          <w:szCs w:val="24"/>
          <w:u w:val="single"/>
          <w:lang w:val="en-US" w:eastAsia="zh-CN"/>
        </w:rPr>
        <w:t>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spacing w:line="360" w:lineRule="auto"/>
        <w:ind w:left="480"/>
        <w:rPr>
          <w:rFonts w:asciiTheme="minorEastAsia" w:hAnsiTheme="minorEastAsia" w:eastAsiaTheme="minorEastAsia"/>
          <w:sz w:val="24"/>
          <w:szCs w:val="24"/>
        </w:rPr>
      </w:pPr>
    </w:p>
    <w:p>
      <w:pPr>
        <w:pStyle w:val="2"/>
        <w:numPr>
          <w:ilvl w:val="0"/>
          <w:numId w:val="7"/>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0"/>
        </w:numPr>
        <w:spacing w:line="360" w:lineRule="auto"/>
        <w:ind w:left="480" w:leftChars="0"/>
        <w:rPr>
          <w:rFonts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项目名称：</w:t>
      </w:r>
      <w:r>
        <w:rPr>
          <w:rFonts w:hint="eastAsia" w:asciiTheme="minorEastAsia" w:hAnsiTheme="minorEastAsia" w:eastAsiaTheme="minorEastAsia"/>
          <w:bCs/>
          <w:sz w:val="24"/>
          <w:szCs w:val="24"/>
        </w:rPr>
        <w:t>202</w:t>
      </w: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rPr>
        <w:t>年海水冷却系统</w:t>
      </w:r>
      <w:r>
        <w:rPr>
          <w:rFonts w:hint="eastAsia" w:cs="宋体" w:asciiTheme="minorEastAsia" w:hAnsiTheme="minorEastAsia" w:eastAsiaTheme="minorEastAsia"/>
          <w:bCs/>
          <w:sz w:val="24"/>
          <w:szCs w:val="24"/>
        </w:rPr>
        <w:t>排海口</w:t>
      </w:r>
      <w:r>
        <w:rPr>
          <w:rFonts w:hint="eastAsia" w:asciiTheme="minorEastAsia" w:hAnsiTheme="minorEastAsia" w:eastAsiaTheme="minorEastAsia"/>
          <w:bCs/>
          <w:sz w:val="24"/>
          <w:szCs w:val="24"/>
        </w:rPr>
        <w:t>海洋</w:t>
      </w:r>
      <w:r>
        <w:rPr>
          <w:rFonts w:hint="eastAsia" w:cs="宋体" w:asciiTheme="minorEastAsia" w:hAnsiTheme="minorEastAsia" w:eastAsiaTheme="minorEastAsia"/>
          <w:bCs/>
          <w:sz w:val="24"/>
          <w:szCs w:val="24"/>
        </w:rPr>
        <w:t>环境监测</w:t>
      </w:r>
      <w:r>
        <w:rPr>
          <w:rFonts w:hint="eastAsia" w:asciiTheme="minorEastAsia" w:hAnsiTheme="minorEastAsia" w:eastAsiaTheme="minorEastAsia"/>
          <w:bCs/>
          <w:sz w:val="24"/>
          <w:szCs w:val="24"/>
        </w:rPr>
        <w:t>项目</w:t>
      </w:r>
      <w:r>
        <w:rPr>
          <w:rFonts w:hint="eastAsia" w:asciiTheme="minorEastAsia" w:hAnsiTheme="minorEastAsia" w:eastAsiaTheme="minorEastAsia"/>
          <w:sz w:val="24"/>
          <w:szCs w:val="24"/>
        </w:rPr>
        <w:t>；</w:t>
      </w:r>
    </w:p>
    <w:p>
      <w:pPr>
        <w:pStyle w:val="2"/>
        <w:numPr>
          <w:ilvl w:val="0"/>
          <w:numId w:val="0"/>
        </w:numPr>
        <w:spacing w:line="360" w:lineRule="auto"/>
        <w:ind w:left="480" w:leftChars="0"/>
        <w:rPr>
          <w:rFonts w:asciiTheme="minorEastAsia" w:hAnsiTheme="minorEastAsia" w:eastAsiaTheme="minorEastAsia"/>
          <w:bCs/>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比选控制价：</w:t>
      </w:r>
      <w:r>
        <w:rPr>
          <w:rFonts w:hint="eastAsia" w:asciiTheme="minorEastAsia" w:hAnsiTheme="minorEastAsia" w:eastAsiaTheme="minorEastAsia"/>
          <w:sz w:val="24"/>
          <w:szCs w:val="24"/>
          <w:lang w:eastAsia="zh-CN"/>
        </w:rPr>
        <w:t>人民币</w:t>
      </w: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18</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00.00</w:t>
      </w:r>
      <w:r>
        <w:rPr>
          <w:rFonts w:hint="eastAsia" w:asciiTheme="minorEastAsia" w:hAnsiTheme="minorEastAsia" w:eastAsiaTheme="minorEastAsia"/>
          <w:bCs/>
          <w:sz w:val="24"/>
          <w:szCs w:val="24"/>
        </w:rPr>
        <w:t>元；</w:t>
      </w:r>
    </w:p>
    <w:p>
      <w:pPr>
        <w:pStyle w:val="2"/>
        <w:numPr>
          <w:ilvl w:val="0"/>
          <w:numId w:val="7"/>
        </w:num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tabs>
          <w:tab w:val="left" w:pos="360"/>
          <w:tab w:val="left" w:pos="540"/>
          <w:tab w:val="left" w:pos="720"/>
        </w:tabs>
        <w:autoSpaceDE/>
        <w:spacing w:line="360" w:lineRule="auto"/>
        <w:ind w:firstLine="480" w:firstLineChars="200"/>
        <w:jc w:val="both"/>
        <w:rPr>
          <w:rFonts w:cs="Times New Roman" w:asciiTheme="minorEastAsia" w:hAnsiTheme="minorEastAsia" w:eastAsiaTheme="minorEastAsia"/>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asciiTheme="minorEastAsia" w:hAnsiTheme="minorEastAsia" w:eastAsiaTheme="minorEastAsia"/>
          <w:sz w:val="24"/>
          <w:szCs w:val="24"/>
          <w:lang w:eastAsia="zh-CN"/>
        </w:rPr>
        <w:t>参选人必须具备有效的企业法人营业执照；</w:t>
      </w:r>
    </w:p>
    <w:p>
      <w:pPr>
        <w:pStyle w:val="2"/>
        <w:spacing w:line="360" w:lineRule="auto"/>
        <w:ind w:firstLine="480" w:firstLineChars="200"/>
        <w:rPr>
          <w:rFonts w:hint="eastAsia" w:hAnsi="宋体"/>
          <w:snapToGrid w:val="0"/>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napToGrid w:val="0"/>
          <w:sz w:val="24"/>
          <w:szCs w:val="24"/>
        </w:rPr>
        <w:t>监测单位资质要求：</w:t>
      </w:r>
      <w:r>
        <w:rPr>
          <w:rFonts w:hint="eastAsia" w:hAnsi="宋体"/>
          <w:snapToGrid w:val="0"/>
          <w:sz w:val="24"/>
          <w:szCs w:val="24"/>
        </w:rPr>
        <w:t>持有效的省级（含）以上质量技术监督部门颁发的计量认证证书和取得CMA计量认证资质，并提供包括所有海洋检测项目方法证明文件的CMA证书附表；</w:t>
      </w:r>
    </w:p>
    <w:p>
      <w:pPr>
        <w:pStyle w:val="78"/>
        <w:spacing w:line="312" w:lineRule="auto"/>
        <w:ind w:left="799" w:leftChars="218" w:hanging="319" w:hangingChars="133"/>
        <w:rPr>
          <w:color w:val="000000" w:themeColor="text1"/>
        </w:rPr>
      </w:pPr>
      <w:r>
        <w:rPr>
          <w:rFonts w:hint="eastAsia"/>
          <w:color w:val="000000" w:themeColor="text1"/>
          <w:lang w:val="en-US" w:eastAsia="zh-CN"/>
        </w:rPr>
        <w:t>3、</w:t>
      </w:r>
      <w:r>
        <w:rPr>
          <w:color w:val="000000" w:themeColor="text1"/>
        </w:rPr>
        <w:t>参选人没有失信黑名单记录（以最高院失信被执行人系统发布信息为准）</w:t>
      </w:r>
      <w:r>
        <w:rPr>
          <w:rFonts w:hint="eastAsia"/>
          <w:color w:val="000000" w:themeColor="text1"/>
        </w:rPr>
        <w:t>。</w:t>
      </w:r>
    </w:p>
    <w:p>
      <w:pPr>
        <w:pStyle w:val="2"/>
        <w:spacing w:line="312" w:lineRule="auto"/>
        <w:ind w:firstLine="480" w:firstLineChars="200"/>
        <w:rPr>
          <w:sz w:val="24"/>
          <w:szCs w:val="24"/>
        </w:rPr>
      </w:pPr>
      <w:r>
        <w:rPr>
          <w:rFonts w:hint="eastAsia"/>
          <w:color w:val="000000" w:themeColor="text1"/>
          <w:sz w:val="24"/>
          <w:szCs w:val="24"/>
          <w:lang w:val="en-US" w:eastAsia="zh-CN"/>
        </w:rPr>
        <w:t>4、</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p>
    <w:p>
      <w:pPr>
        <w:spacing w:line="312" w:lineRule="auto"/>
        <w:ind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0"/>
        </w:numPr>
        <w:spacing w:line="360" w:lineRule="auto"/>
        <w:ind w:left="480" w:leftChars="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报名时间：202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01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日至202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01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21</w:t>
      </w:r>
      <w:bookmarkStart w:id="9" w:name="_GoBack"/>
      <w:bookmarkEnd w:id="9"/>
      <w:r>
        <w:rPr>
          <w:rFonts w:hint="eastAsia" w:asciiTheme="minorEastAsia" w:hAnsiTheme="minorEastAsia" w:eastAsiaTheme="minorEastAsia"/>
          <w:sz w:val="24"/>
          <w:szCs w:val="24"/>
        </w:rPr>
        <w:t>日（共10天）；</w:t>
      </w:r>
    </w:p>
    <w:p>
      <w:pPr>
        <w:spacing w:line="360" w:lineRule="auto"/>
        <w:ind w:left="724" w:leftChars="220" w:hanging="240" w:hangingChars="100"/>
        <w:rPr>
          <w:rFonts w:asciiTheme="minorEastAsia" w:hAnsiTheme="minorEastAsia" w:eastAsiaTheme="minorEastAsia"/>
          <w:color w:val="333333"/>
          <w:sz w:val="24"/>
          <w:szCs w:val="24"/>
          <w:lang w:eastAsia="zh-CN"/>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color w:val="333333"/>
          <w:sz w:val="24"/>
          <w:szCs w:val="24"/>
          <w:lang w:eastAsia="zh-CN"/>
        </w:rPr>
        <w:t>参选人自行下载比选文件；</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360" w:lineRule="auto"/>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1、参选文件递交地点：福建省</w:t>
      </w:r>
      <w:r>
        <w:rPr>
          <w:rFonts w:hint="eastAsia" w:asciiTheme="minorEastAsia" w:hAnsiTheme="minorEastAsia" w:eastAsiaTheme="minorEastAsia"/>
          <w:bCs/>
          <w:sz w:val="24"/>
          <w:szCs w:val="24"/>
          <w:lang w:eastAsia="zh-CN"/>
        </w:rPr>
        <w:t>漳州市漳浦县杜浔镇杜昌路9号，福海创办公楼三楼设备及服务团队；</w:t>
      </w:r>
    </w:p>
    <w:p>
      <w:pPr>
        <w:autoSpaceDE/>
        <w:autoSpaceDN/>
        <w:spacing w:line="360" w:lineRule="auto"/>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lang w:eastAsia="zh-CN"/>
        </w:rPr>
        <w:t>202</w:t>
      </w:r>
      <w:r>
        <w:rPr>
          <w:rFonts w:hint="eastAsia" w:asciiTheme="minorEastAsia" w:hAnsiTheme="minorEastAsia" w:eastAsiaTheme="minorEastAsia"/>
          <w:spacing w:val="8"/>
          <w:sz w:val="24"/>
          <w:szCs w:val="24"/>
          <w:lang w:val="en-US" w:eastAsia="zh-CN"/>
        </w:rPr>
        <w:t>3</w:t>
      </w:r>
      <w:r>
        <w:rPr>
          <w:rFonts w:hint="eastAsia" w:asciiTheme="minorEastAsia" w:hAnsiTheme="minorEastAsia" w:eastAsiaTheme="minorEastAsia"/>
          <w:spacing w:val="8"/>
          <w:sz w:val="24"/>
          <w:szCs w:val="24"/>
          <w:lang w:eastAsia="zh-CN"/>
        </w:rPr>
        <w:t>年</w:t>
      </w:r>
      <w:r>
        <w:rPr>
          <w:rFonts w:hint="eastAsia" w:asciiTheme="minorEastAsia" w:hAnsiTheme="minorEastAsia" w:eastAsiaTheme="minorEastAsia"/>
          <w:spacing w:val="8"/>
          <w:sz w:val="24"/>
          <w:szCs w:val="24"/>
          <w:lang w:val="en-US" w:eastAsia="zh-CN"/>
        </w:rPr>
        <w:t>01</w:t>
      </w:r>
      <w:r>
        <w:rPr>
          <w:rFonts w:hint="eastAsia" w:asciiTheme="minorEastAsia" w:hAnsiTheme="minorEastAsia" w:eastAsiaTheme="minorEastAsia"/>
          <w:spacing w:val="8"/>
          <w:sz w:val="24"/>
          <w:szCs w:val="24"/>
          <w:lang w:eastAsia="zh-CN"/>
        </w:rPr>
        <w:t>月</w:t>
      </w:r>
      <w:r>
        <w:rPr>
          <w:rFonts w:hint="eastAsia" w:asciiTheme="minorEastAsia" w:hAnsiTheme="minorEastAsia" w:eastAsiaTheme="minorEastAsia"/>
          <w:spacing w:val="8"/>
          <w:sz w:val="24"/>
          <w:szCs w:val="24"/>
          <w:lang w:val="en-US" w:eastAsia="zh-CN"/>
        </w:rPr>
        <w:t>22</w:t>
      </w:r>
      <w:r>
        <w:rPr>
          <w:rFonts w:hint="eastAsia" w:asciiTheme="minorEastAsia" w:hAnsiTheme="minorEastAsia" w:eastAsiaTheme="minorEastAsia"/>
          <w:spacing w:val="8"/>
          <w:sz w:val="24"/>
          <w:szCs w:val="24"/>
          <w:lang w:eastAsia="zh-CN"/>
        </w:rPr>
        <w:t xml:space="preserve"> 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w:t>
      </w:r>
      <w:r>
        <w:rPr>
          <w:rFonts w:hint="eastAsia" w:asciiTheme="minorEastAsia" w:hAnsiTheme="minorEastAsia" w:eastAsiaTheme="minorEastAsia"/>
          <w:color w:val="333333"/>
          <w:sz w:val="24"/>
          <w:szCs w:val="24"/>
          <w:lang w:val="en-US" w:eastAsia="zh-CN"/>
        </w:rPr>
        <w:t>2</w:t>
      </w:r>
      <w:r>
        <w:rPr>
          <w:rFonts w:hint="eastAsia" w:asciiTheme="minorEastAsia" w:hAnsiTheme="minorEastAsia" w:eastAsiaTheme="minorEastAsia"/>
          <w:color w:val="333333"/>
          <w:sz w:val="24"/>
          <w:szCs w:val="24"/>
          <w:lang w:eastAsia="zh-CN"/>
        </w:rPr>
        <w:t>天）；</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360" w:lineRule="auto"/>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w:t>
      </w:r>
      <w:r>
        <w:rPr>
          <w:rFonts w:hint="eastAsia" w:cs="宋体" w:asciiTheme="minorEastAsia" w:hAnsiTheme="minorEastAsia" w:eastAsiaTheme="minorEastAsia"/>
          <w:bCs/>
          <w:color w:val="000000" w:themeColor="text1"/>
          <w:szCs w:val="24"/>
          <w:lang w:eastAsia="zh-CN"/>
        </w:rPr>
        <w:t>黄梅钦</w:t>
      </w:r>
      <w:r>
        <w:rPr>
          <w:rFonts w:hint="eastAsia" w:cs="宋体" w:asciiTheme="minorEastAsia" w:hAnsiTheme="minorEastAsia" w:eastAsiaTheme="minorEastAsia"/>
          <w:bCs/>
          <w:color w:val="000000" w:themeColor="text1"/>
          <w:szCs w:val="24"/>
        </w:rPr>
        <w:t xml:space="preserve">  电话：0596-6311</w:t>
      </w:r>
      <w:r>
        <w:rPr>
          <w:rFonts w:hint="eastAsia" w:cs="宋体" w:asciiTheme="minorEastAsia" w:hAnsiTheme="minorEastAsia" w:eastAsiaTheme="minorEastAsia"/>
          <w:bCs/>
          <w:color w:val="000000" w:themeColor="text1"/>
          <w:szCs w:val="24"/>
          <w:lang w:val="en-US" w:eastAsia="zh-CN"/>
        </w:rPr>
        <w:t xml:space="preserve">073 </w:t>
      </w:r>
      <w:r>
        <w:rPr>
          <w:rFonts w:hint="eastAsia" w:cs="宋体" w:asciiTheme="minorEastAsia" w:hAnsiTheme="minorEastAsia" w:eastAsiaTheme="minorEastAsia"/>
          <w:bCs/>
          <w:color w:val="000000" w:themeColor="text1"/>
          <w:szCs w:val="24"/>
        </w:rPr>
        <w:t xml:space="preserve"> 邮箱：</w:t>
      </w:r>
      <w:r>
        <w:rPr>
          <w:rFonts w:hint="eastAsia" w:cs="宋体" w:asciiTheme="minorEastAsia" w:hAnsiTheme="minorEastAsia" w:eastAsiaTheme="minorEastAsia"/>
          <w:bCs/>
          <w:color w:val="000000" w:themeColor="text1"/>
          <w:szCs w:val="24"/>
          <w:lang w:val="en-US" w:eastAsia="zh-CN"/>
        </w:rPr>
        <w:t>huangmq</w:t>
      </w:r>
      <w:r>
        <w:rPr>
          <w:rFonts w:hint="eastAsia" w:cs="宋体" w:asciiTheme="minorEastAsia" w:hAnsiTheme="minorEastAsia" w:eastAsiaTheme="minorEastAsia"/>
          <w:bCs/>
          <w:color w:val="000000" w:themeColor="text1"/>
          <w:szCs w:val="24"/>
          <w:u w:val="single"/>
        </w:rPr>
        <w:t>@f</w:t>
      </w:r>
      <w:r>
        <w:rPr>
          <w:rFonts w:hint="eastAsia" w:cs="宋体" w:asciiTheme="minorEastAsia" w:hAnsiTheme="minorEastAsia" w:eastAsiaTheme="minorEastAsia"/>
          <w:bCs/>
          <w:color w:val="000000" w:themeColor="text1"/>
          <w:szCs w:val="24"/>
          <w:u w:val="single"/>
          <w:lang w:val="en-US" w:eastAsia="zh-CN"/>
        </w:rPr>
        <w:t>j</w:t>
      </w:r>
      <w:r>
        <w:rPr>
          <w:rFonts w:hint="eastAsia" w:cs="宋体" w:asciiTheme="minorEastAsia" w:hAnsiTheme="minorEastAsia" w:eastAsiaTheme="minorEastAsia"/>
          <w:bCs/>
          <w:color w:val="000000" w:themeColor="text1"/>
          <w:szCs w:val="24"/>
          <w:u w:val="single"/>
        </w:rPr>
        <w:t>pec.com.cn</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纪检监察室电话：0596-6311774  邮箱：</w:t>
      </w:r>
      <w:r>
        <w:rPr>
          <w:rFonts w:asciiTheme="minorEastAsia" w:hAnsiTheme="minorEastAsia" w:eastAsiaTheme="minorEastAsia"/>
          <w:szCs w:val="24"/>
        </w:rPr>
        <w:t>fhcjc@fhcpec.com.cn</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360" w:lineRule="auto"/>
        <w:ind w:right="121" w:firstLine="360" w:firstLineChars="150"/>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2</w:t>
      </w:r>
      <w:r>
        <w:rPr>
          <w:rFonts w:hint="eastAsia" w:asciiTheme="minorEastAsia" w:hAnsiTheme="minorEastAsia" w:eastAsiaTheme="minorEastAsia"/>
          <w:bCs/>
          <w:lang w:eastAsia="zh-CN"/>
        </w:rPr>
        <w:t>02</w:t>
      </w:r>
      <w:r>
        <w:rPr>
          <w:rFonts w:hint="eastAsia" w:asciiTheme="minorEastAsia" w:hAnsiTheme="minorEastAsia" w:eastAsiaTheme="minorEastAsia"/>
          <w:bCs/>
          <w:lang w:val="en-US" w:eastAsia="zh-CN"/>
        </w:rPr>
        <w:t>3</w:t>
      </w:r>
      <w:r>
        <w:rPr>
          <w:rFonts w:hint="eastAsia" w:asciiTheme="minorEastAsia" w:hAnsiTheme="minorEastAsia" w:eastAsiaTheme="minorEastAsia"/>
          <w:bCs/>
          <w:lang w:eastAsia="zh-CN"/>
        </w:rPr>
        <w:t>年海水冷却系统排海口海洋环境监测项目</w:t>
      </w:r>
      <w:r>
        <w:rPr>
          <w:rFonts w:hint="eastAsia" w:asciiTheme="minorEastAsia" w:hAnsiTheme="minorEastAsia" w:eastAsiaTheme="minorEastAsia"/>
          <w:lang w:eastAsia="zh-CN"/>
        </w:rPr>
        <w:t>。</w:t>
      </w:r>
    </w:p>
    <w:p>
      <w:pPr>
        <w:pStyle w:val="20"/>
        <w:spacing w:line="360" w:lineRule="auto"/>
        <w:ind w:right="121" w:firstLine="360" w:firstLineChars="150"/>
        <w:jc w:val="both"/>
        <w:rPr>
          <w:rFonts w:hint="eastAsia" w:asciiTheme="minorEastAsia" w:hAnsiTheme="minorEastAsia" w:eastAsiaTheme="minorEastAsia"/>
          <w:lang w:eastAsia="zh-CN"/>
        </w:rPr>
      </w:pPr>
      <w:r>
        <w:rPr>
          <w:rFonts w:hint="eastAsia" w:asciiTheme="minorEastAsia" w:hAnsiTheme="minorEastAsia" w:eastAsiaTheme="minorEastAsia"/>
          <w:lang w:eastAsia="zh-CN"/>
        </w:rPr>
        <w:t>2、监测项目：</w:t>
      </w:r>
    </w:p>
    <w:p>
      <w:pPr>
        <w:pStyle w:val="78"/>
        <w:spacing w:line="360" w:lineRule="auto"/>
        <w:ind w:firstLine="360" w:firstLineChars="150"/>
        <w:jc w:val="both"/>
        <w:rPr>
          <w:rFonts w:hint="eastAsia" w:asciiTheme="minorEastAsia" w:hAnsiTheme="minorEastAsia" w:eastAsiaTheme="minorEastAsia"/>
          <w:snapToGrid w:val="0"/>
          <w:color w:val="auto"/>
        </w:rPr>
      </w:pPr>
      <w:r>
        <w:rPr>
          <w:rFonts w:hint="eastAsia" w:asciiTheme="minorEastAsia" w:hAnsiTheme="minorEastAsia" w:eastAsiaTheme="minorEastAsia"/>
          <w:snapToGrid w:val="0"/>
          <w:color w:val="auto"/>
        </w:rPr>
        <w:t xml:space="preserve">2.1海水水质监测：   </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2.1.1海洋水文气象：水色、透明度、水温、</w:t>
      </w:r>
      <w:r>
        <w:rPr>
          <w:rFonts w:asciiTheme="minorEastAsia" w:hAnsiTheme="minorEastAsia" w:eastAsiaTheme="minorEastAsia"/>
          <w:snapToGrid w:val="0"/>
          <w:color w:val="auto"/>
        </w:rPr>
        <w:t>悬浮物</w:t>
      </w:r>
      <w:r>
        <w:rPr>
          <w:rFonts w:hint="eastAsia" w:asciiTheme="minorEastAsia" w:hAnsiTheme="minorEastAsia" w:eastAsiaTheme="minorEastAsia"/>
          <w:snapToGrid w:val="0"/>
          <w:color w:val="auto"/>
        </w:rPr>
        <w:t>，共计4个要素。</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2.1.2海洋水质：p</w:t>
      </w:r>
      <w:r>
        <w:rPr>
          <w:rFonts w:asciiTheme="minorEastAsia" w:hAnsiTheme="minorEastAsia" w:eastAsiaTheme="minorEastAsia"/>
          <w:snapToGrid w:val="0"/>
          <w:color w:val="auto"/>
        </w:rPr>
        <w:t>H、盐度、溶解氧、</w:t>
      </w:r>
      <w:r>
        <w:rPr>
          <w:rFonts w:hint="eastAsia" w:asciiTheme="minorEastAsia" w:hAnsiTheme="minorEastAsia" w:eastAsiaTheme="minorEastAsia"/>
          <w:snapToGrid w:val="0"/>
          <w:color w:val="auto"/>
        </w:rPr>
        <w:t>化学需氧量、活性</w:t>
      </w:r>
      <w:r>
        <w:rPr>
          <w:rFonts w:asciiTheme="minorEastAsia" w:hAnsiTheme="minorEastAsia" w:eastAsiaTheme="minorEastAsia"/>
          <w:snapToGrid w:val="0"/>
          <w:color w:val="auto"/>
        </w:rPr>
        <w:t>磷酸盐、亚硝酸盐—氮、硝酸盐—氮、氨—氮</w:t>
      </w:r>
      <w:r>
        <w:rPr>
          <w:rFonts w:hint="eastAsia" w:asciiTheme="minorEastAsia" w:hAnsiTheme="minorEastAsia" w:eastAsiaTheme="minorEastAsia"/>
          <w:snapToGrid w:val="0"/>
          <w:color w:val="auto"/>
        </w:rPr>
        <w:t>、铜、铅、锌、镉、总铬、汞、砷、油类、苯、甲苯、二甲苯，共19个要素进行监测。</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2.1.3采样层次：样品采集严格按《海洋调查规范》</w:t>
      </w:r>
      <w:r>
        <w:rPr>
          <w:rFonts w:asciiTheme="minorEastAsia" w:hAnsiTheme="minorEastAsia" w:eastAsiaTheme="minorEastAsia"/>
          <w:snapToGrid w:val="0"/>
          <w:color w:val="auto"/>
        </w:rPr>
        <w:t>GB/T 12763.4-2007</w:t>
      </w:r>
      <w:r>
        <w:rPr>
          <w:rFonts w:hint="eastAsia" w:asciiTheme="minorEastAsia" w:hAnsiTheme="minorEastAsia" w:eastAsiaTheme="minorEastAsia"/>
          <w:snapToGrid w:val="0"/>
          <w:color w:val="auto"/>
        </w:rPr>
        <w:t>，第</w:t>
      </w:r>
      <w:r>
        <w:rPr>
          <w:rFonts w:asciiTheme="minorEastAsia" w:hAnsiTheme="minorEastAsia" w:eastAsiaTheme="minorEastAsia"/>
          <w:snapToGrid w:val="0"/>
          <w:color w:val="auto"/>
        </w:rPr>
        <w:t>4.4</w:t>
      </w:r>
      <w:r>
        <w:rPr>
          <w:rFonts w:hint="eastAsia" w:asciiTheme="minorEastAsia" w:hAnsiTheme="minorEastAsia" w:eastAsiaTheme="minorEastAsia"/>
          <w:snapToGrid w:val="0"/>
          <w:color w:val="auto"/>
        </w:rPr>
        <w:t>节样品采集与贮存以及《海洋监测规范》（</w:t>
      </w:r>
      <w:r>
        <w:rPr>
          <w:rFonts w:asciiTheme="minorEastAsia" w:hAnsiTheme="minorEastAsia" w:eastAsiaTheme="minorEastAsia"/>
          <w:snapToGrid w:val="0"/>
          <w:color w:val="auto"/>
        </w:rPr>
        <w:t>GB 17378.3-2007</w:t>
      </w:r>
      <w:r>
        <w:rPr>
          <w:rFonts w:hint="eastAsia" w:asciiTheme="minorEastAsia" w:hAnsiTheme="minorEastAsia" w:eastAsiaTheme="minorEastAsia"/>
          <w:snapToGrid w:val="0"/>
          <w:color w:val="auto"/>
        </w:rPr>
        <w:t>）中第一部分样品采集、贮存与运输规定执行。用有机玻璃采水器，采样层次要求如下：</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2.1.4各项目样品采集、保存和分析方法分别按《海洋调查规范》（</w:t>
      </w:r>
      <w:r>
        <w:rPr>
          <w:rFonts w:asciiTheme="minorEastAsia" w:hAnsiTheme="minorEastAsia" w:eastAsiaTheme="minorEastAsia"/>
          <w:snapToGrid w:val="0"/>
          <w:color w:val="auto"/>
        </w:rPr>
        <w:t>GB/T 12763-2007</w:t>
      </w:r>
      <w:r>
        <w:rPr>
          <w:rFonts w:hint="eastAsia" w:asciiTheme="minorEastAsia" w:hAnsiTheme="minorEastAsia" w:eastAsiaTheme="minorEastAsia"/>
          <w:snapToGrid w:val="0"/>
          <w:color w:val="auto"/>
        </w:rPr>
        <w:t>）和《海洋监测规范》（</w:t>
      </w:r>
      <w:r>
        <w:rPr>
          <w:rFonts w:asciiTheme="minorEastAsia" w:hAnsiTheme="minorEastAsia" w:eastAsiaTheme="minorEastAsia"/>
          <w:snapToGrid w:val="0"/>
          <w:color w:val="auto"/>
        </w:rPr>
        <w:t>GB17378-2007</w:t>
      </w:r>
      <w:r>
        <w:rPr>
          <w:rFonts w:hint="eastAsia" w:asciiTheme="minorEastAsia" w:hAnsiTheme="minorEastAsia" w:eastAsiaTheme="minorEastAsia"/>
          <w:snapToGrid w:val="0"/>
          <w:color w:val="auto"/>
        </w:rPr>
        <w:t>）中规定的有关方法进行。石油类、苯、甲苯、二甲苯只采集表层，其余各项目，＜10</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，采集表层；</w:t>
      </w:r>
      <w:r>
        <w:rPr>
          <w:rFonts w:asciiTheme="minorEastAsia" w:hAnsiTheme="minorEastAsia" w:eastAsiaTheme="minorEastAsia"/>
          <w:snapToGrid w:val="0"/>
          <w:color w:val="auto"/>
        </w:rPr>
        <w:t>≥</w:t>
      </w:r>
      <w:r>
        <w:rPr>
          <w:rFonts w:hint="eastAsia" w:asciiTheme="minorEastAsia" w:hAnsiTheme="minorEastAsia" w:eastAsiaTheme="minorEastAsia"/>
          <w:snapToGrid w:val="0"/>
          <w:color w:val="auto"/>
        </w:rPr>
        <w:t>10</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1</w:t>
      </w:r>
      <w:r>
        <w:rPr>
          <w:rFonts w:hint="eastAsia" w:asciiTheme="minorEastAsia" w:hAnsiTheme="minorEastAsia" w:eastAsiaTheme="minorEastAsia"/>
          <w:snapToGrid w:val="0"/>
          <w:color w:val="auto"/>
        </w:rPr>
        <w:t>5</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，采集表、底层；</w:t>
      </w:r>
      <w:r>
        <w:rPr>
          <w:rFonts w:asciiTheme="minorEastAsia" w:hAnsiTheme="minorEastAsia" w:eastAsiaTheme="minorEastAsia"/>
          <w:snapToGrid w:val="0"/>
          <w:color w:val="auto"/>
        </w:rPr>
        <w:t>≥</w:t>
      </w:r>
      <w:r>
        <w:rPr>
          <w:rFonts w:hint="eastAsia" w:asciiTheme="minorEastAsia" w:hAnsiTheme="minorEastAsia" w:eastAsiaTheme="minorEastAsia"/>
          <w:snapToGrid w:val="0"/>
          <w:color w:val="auto"/>
        </w:rPr>
        <w:t>15</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，采集表、10m、底层。</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2.1.5站位布设：共设9个监测站位。</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2.2 海洋</w:t>
      </w:r>
      <w:r>
        <w:rPr>
          <w:rFonts w:asciiTheme="minorEastAsia" w:hAnsiTheme="minorEastAsia" w:eastAsiaTheme="minorEastAsia"/>
          <w:snapToGrid w:val="0"/>
          <w:color w:val="auto"/>
        </w:rPr>
        <w:t>沉积物质量监测</w:t>
      </w:r>
      <w:r>
        <w:rPr>
          <w:rFonts w:hint="eastAsia" w:asciiTheme="minorEastAsia" w:hAnsiTheme="minorEastAsia" w:eastAsiaTheme="minorEastAsia"/>
          <w:snapToGrid w:val="0"/>
          <w:color w:val="auto"/>
        </w:rPr>
        <w:t>：</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2.2.1监测项目：铜、铅、锌、镉、铬、汞、砷、石油类、有机碳、硫化物、沉积物类型共计11个要素</w:t>
      </w:r>
      <w:r>
        <w:rPr>
          <w:rFonts w:asciiTheme="minorEastAsia" w:hAnsiTheme="minorEastAsia" w:eastAsiaTheme="minorEastAsia"/>
          <w:snapToGrid w:val="0"/>
          <w:color w:val="auto"/>
        </w:rPr>
        <w:t>。</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2.2.2</w:t>
      </w:r>
      <w:r>
        <w:rPr>
          <w:rFonts w:asciiTheme="minorEastAsia" w:hAnsiTheme="minorEastAsia" w:eastAsiaTheme="minorEastAsia"/>
          <w:snapToGrid w:val="0"/>
          <w:color w:val="auto"/>
        </w:rPr>
        <w:t>采样层次</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采集表层沉积物样品。</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2.2.3</w:t>
      </w:r>
      <w:r>
        <w:rPr>
          <w:rFonts w:asciiTheme="minorEastAsia" w:hAnsiTheme="minorEastAsia" w:eastAsiaTheme="minorEastAsia"/>
          <w:snapToGrid w:val="0"/>
          <w:color w:val="auto"/>
        </w:rPr>
        <w:t>站位布设</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布设</w:t>
      </w:r>
      <w:r>
        <w:rPr>
          <w:rFonts w:hint="eastAsia" w:asciiTheme="minorEastAsia" w:hAnsiTheme="minorEastAsia" w:eastAsiaTheme="minorEastAsia"/>
          <w:snapToGrid w:val="0"/>
          <w:color w:val="auto"/>
        </w:rPr>
        <w:t>6</w:t>
      </w:r>
      <w:r>
        <w:rPr>
          <w:rFonts w:asciiTheme="minorEastAsia" w:hAnsiTheme="minorEastAsia" w:eastAsiaTheme="minorEastAsia"/>
          <w:snapToGrid w:val="0"/>
          <w:color w:val="auto"/>
        </w:rPr>
        <w:t>个沉积物监测站位。</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bCs/>
        </w:rPr>
        <w:t xml:space="preserve">2.3 </w:t>
      </w:r>
      <w:r>
        <w:rPr>
          <w:rFonts w:hint="eastAsia" w:asciiTheme="minorEastAsia" w:hAnsiTheme="minorEastAsia" w:eastAsiaTheme="minorEastAsia"/>
          <w:snapToGrid w:val="0"/>
          <w:color w:val="auto"/>
        </w:rPr>
        <w:t>海洋生态监测：</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叶绿素a、水采浮游植物、浮游动物、潮下带底栖生物6个调查站位，采样方法和样品测试方法均按《海洋调查规范》和《海洋监测规范》相关规定执行。</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2.4海水温度和余氯监测：</w:t>
      </w:r>
    </w:p>
    <w:p>
      <w:pPr>
        <w:pStyle w:val="78"/>
        <w:spacing w:line="360" w:lineRule="auto"/>
        <w:ind w:firstLine="360" w:firstLine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2.4.1</w:t>
      </w:r>
      <w:r>
        <w:rPr>
          <w:rFonts w:asciiTheme="minorEastAsia" w:hAnsiTheme="minorEastAsia" w:eastAsiaTheme="minorEastAsia"/>
          <w:snapToGrid w:val="0"/>
          <w:color w:val="auto"/>
        </w:rPr>
        <w:t>排</w:t>
      </w:r>
      <w:r>
        <w:rPr>
          <w:rFonts w:hint="eastAsia" w:asciiTheme="minorEastAsia" w:hAnsiTheme="minorEastAsia" w:eastAsiaTheme="minorEastAsia"/>
          <w:snapToGrid w:val="0"/>
          <w:color w:val="auto"/>
        </w:rPr>
        <w:t>放</w:t>
      </w:r>
      <w:r>
        <w:rPr>
          <w:rFonts w:asciiTheme="minorEastAsia" w:hAnsiTheme="minorEastAsia" w:eastAsiaTheme="minorEastAsia"/>
          <w:snapToGrid w:val="0"/>
          <w:color w:val="auto"/>
        </w:rPr>
        <w:t>口</w:t>
      </w:r>
      <w:r>
        <w:rPr>
          <w:rFonts w:hint="eastAsia" w:asciiTheme="minorEastAsia" w:hAnsiTheme="minorEastAsia" w:eastAsiaTheme="minorEastAsia"/>
          <w:snapToGrid w:val="0"/>
          <w:color w:val="auto"/>
        </w:rPr>
        <w:t>海水温升4℃、2℃、1℃包络范围和</w:t>
      </w:r>
      <w:r>
        <w:rPr>
          <w:rFonts w:asciiTheme="minorEastAsia" w:hAnsiTheme="minorEastAsia" w:eastAsiaTheme="minorEastAsia"/>
          <w:snapToGrid w:val="0"/>
          <w:color w:val="auto"/>
        </w:rPr>
        <w:t>余氯增量0.02mg/L</w:t>
      </w:r>
      <w:r>
        <w:rPr>
          <w:rFonts w:hint="eastAsia" w:asciiTheme="minorEastAsia" w:hAnsiTheme="minorEastAsia" w:eastAsiaTheme="minorEastAsia"/>
          <w:snapToGrid w:val="0"/>
          <w:color w:val="auto"/>
        </w:rPr>
        <w:t>包络</w:t>
      </w:r>
      <w:r>
        <w:rPr>
          <w:rFonts w:asciiTheme="minorEastAsia" w:hAnsiTheme="minorEastAsia" w:eastAsiaTheme="minorEastAsia"/>
          <w:snapToGrid w:val="0"/>
          <w:color w:val="auto"/>
        </w:rPr>
        <w:t>范围</w:t>
      </w:r>
      <w:r>
        <w:rPr>
          <w:rFonts w:hint="eastAsia" w:asciiTheme="minorEastAsia" w:hAnsiTheme="minorEastAsia" w:eastAsiaTheme="minorEastAsia"/>
          <w:snapToGrid w:val="0"/>
          <w:color w:val="auto"/>
        </w:rPr>
        <w:t>。</w:t>
      </w:r>
    </w:p>
    <w:p>
      <w:pPr>
        <w:pStyle w:val="78"/>
        <w:spacing w:line="360" w:lineRule="auto"/>
        <w:ind w:left="363" w:leftChars="165"/>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2.4.2</w:t>
      </w:r>
      <w:r>
        <w:rPr>
          <w:rFonts w:asciiTheme="minorEastAsia" w:hAnsiTheme="minorEastAsia" w:eastAsiaTheme="minorEastAsia"/>
          <w:snapToGrid w:val="0"/>
          <w:color w:val="auto"/>
        </w:rPr>
        <w:t>站位布设</w:t>
      </w:r>
      <w:r>
        <w:rPr>
          <w:rFonts w:hint="eastAsia" w:asciiTheme="minorEastAsia" w:hAnsiTheme="minorEastAsia" w:eastAsiaTheme="minorEastAsia"/>
          <w:snapToGrid w:val="0"/>
          <w:color w:val="auto"/>
        </w:rPr>
        <w:t>及监测频次：</w:t>
      </w:r>
      <w:r>
        <w:rPr>
          <w:rFonts w:asciiTheme="minorEastAsia" w:hAnsiTheme="minorEastAsia" w:eastAsiaTheme="minorEastAsia"/>
          <w:snapToGrid w:val="0"/>
          <w:color w:val="auto"/>
        </w:rPr>
        <w:t>营运期春、夏、秋、冬季的大、小潮高低平潮</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明确</w:t>
      </w:r>
      <w:r>
        <w:rPr>
          <w:rFonts w:hint="eastAsia" w:asciiTheme="minorEastAsia" w:hAnsiTheme="minorEastAsia" w:eastAsiaTheme="minorEastAsia"/>
          <w:snapToGrid w:val="0"/>
          <w:color w:val="auto"/>
        </w:rPr>
        <w:t>海水温升4℃、2℃1℃包络范围和</w:t>
      </w:r>
      <w:r>
        <w:rPr>
          <w:rFonts w:asciiTheme="minorEastAsia" w:hAnsiTheme="minorEastAsia" w:eastAsiaTheme="minorEastAsia"/>
          <w:snapToGrid w:val="0"/>
          <w:color w:val="auto"/>
        </w:rPr>
        <w:t>余氯浓度</w:t>
      </w:r>
      <w:r>
        <w:rPr>
          <w:rFonts w:hint="eastAsia" w:asciiTheme="minorEastAsia" w:hAnsiTheme="minorEastAsia" w:eastAsiaTheme="minorEastAsia"/>
          <w:snapToGrid w:val="0"/>
          <w:color w:val="auto"/>
        </w:rPr>
        <w:t>增量</w:t>
      </w:r>
      <w:r>
        <w:rPr>
          <w:rFonts w:asciiTheme="minorEastAsia" w:hAnsiTheme="minorEastAsia" w:eastAsiaTheme="minorEastAsia"/>
          <w:snapToGrid w:val="0"/>
          <w:color w:val="auto"/>
        </w:rPr>
        <w:t>0.02mg/L范围。</w:t>
      </w:r>
      <w:r>
        <w:rPr>
          <w:rFonts w:hint="eastAsia" w:asciiTheme="minorEastAsia" w:hAnsiTheme="minorEastAsia" w:eastAsiaTheme="minorEastAsia"/>
          <w:snapToGrid w:val="0"/>
          <w:color w:val="auto"/>
        </w:rPr>
        <w:t>以排放口为中心，放射状设</w:t>
      </w:r>
      <w:r>
        <w:rPr>
          <w:rFonts w:asciiTheme="minorEastAsia" w:hAnsiTheme="minorEastAsia" w:eastAsiaTheme="minorEastAsia"/>
          <w:snapToGrid w:val="0"/>
          <w:color w:val="auto"/>
        </w:rPr>
        <w:t>3条断面，</w:t>
      </w:r>
      <w:r>
        <w:rPr>
          <w:rFonts w:hint="eastAsia" w:asciiTheme="minorEastAsia" w:hAnsiTheme="minorEastAsia" w:eastAsiaTheme="minorEastAsia"/>
          <w:snapToGrid w:val="0"/>
          <w:color w:val="auto"/>
        </w:rPr>
        <w:t>计</w:t>
      </w:r>
      <w:r>
        <w:rPr>
          <w:rFonts w:asciiTheme="minorEastAsia" w:hAnsiTheme="minorEastAsia" w:eastAsiaTheme="minorEastAsia"/>
          <w:snapToGrid w:val="0"/>
          <w:color w:val="auto"/>
        </w:rPr>
        <w:t>15个</w:t>
      </w:r>
      <w:r>
        <w:rPr>
          <w:rFonts w:hint="eastAsia" w:asciiTheme="minorEastAsia" w:hAnsiTheme="minorEastAsia" w:eastAsiaTheme="minorEastAsia"/>
          <w:snapToGrid w:val="0"/>
          <w:color w:val="auto"/>
        </w:rPr>
        <w:t>取样</w:t>
      </w:r>
      <w:r>
        <w:rPr>
          <w:rFonts w:asciiTheme="minorEastAsia" w:hAnsiTheme="minorEastAsia" w:eastAsiaTheme="minorEastAsia"/>
          <w:snapToGrid w:val="0"/>
          <w:color w:val="auto"/>
        </w:rPr>
        <w:t>站位。</w:t>
      </w:r>
    </w:p>
    <w:p>
      <w:pPr>
        <w:pStyle w:val="78"/>
        <w:spacing w:line="360" w:lineRule="auto"/>
        <w:ind w:firstLine="240" w:firstLineChars="100"/>
        <w:jc w:val="both"/>
        <w:rPr>
          <w:rFonts w:asciiTheme="minorEastAsia" w:hAnsiTheme="minorEastAsia" w:eastAsiaTheme="minorEastAsia"/>
        </w:rPr>
      </w:pPr>
      <w:r>
        <w:rPr>
          <w:rFonts w:hint="eastAsia" w:asciiTheme="minorEastAsia" w:hAnsiTheme="minorEastAsia" w:eastAsiaTheme="minorEastAsia"/>
        </w:rPr>
        <w:t>3、项目技术参数要求：</w:t>
      </w:r>
    </w:p>
    <w:p>
      <w:pPr>
        <w:pStyle w:val="78"/>
        <w:spacing w:line="360" w:lineRule="auto"/>
        <w:ind w:left="722" w:leftChars="110" w:hanging="480" w:hangingChars="200"/>
        <w:jc w:val="both"/>
        <w:rPr>
          <w:rFonts w:hAnsi="宋体"/>
          <w:snapToGrid w:val="0"/>
          <w:color w:val="auto"/>
        </w:rPr>
      </w:pPr>
      <w:r>
        <w:rPr>
          <w:rFonts w:hint="eastAsia" w:hAnsi="宋体"/>
          <w:snapToGrid w:val="0"/>
          <w:color w:val="auto"/>
        </w:rPr>
        <w:t>3.1 监测单位使用的计量检测器、设备及计量器等监测仪器需进行检定、校准或核查，并在有效期内使用。</w:t>
      </w:r>
    </w:p>
    <w:p>
      <w:pPr>
        <w:pStyle w:val="78"/>
        <w:spacing w:line="360" w:lineRule="auto"/>
        <w:ind w:left="722" w:leftChars="110" w:hanging="480" w:hangingChars="200"/>
        <w:jc w:val="both"/>
        <w:rPr>
          <w:rFonts w:hAnsi="宋体"/>
          <w:snapToGrid w:val="0"/>
          <w:color w:val="auto"/>
        </w:rPr>
      </w:pPr>
      <w:r>
        <w:rPr>
          <w:rFonts w:hint="eastAsia" w:hAnsi="宋体"/>
          <w:snapToGrid w:val="0"/>
          <w:color w:val="auto"/>
        </w:rPr>
        <w:t>3.2 监测单位可根据实际需要调整监测内容，但必须符合相关法律、法规以及相关规范要求。</w:t>
      </w:r>
    </w:p>
    <w:p>
      <w:pPr>
        <w:pStyle w:val="78"/>
        <w:spacing w:line="360" w:lineRule="auto"/>
        <w:ind w:left="722" w:leftChars="110" w:hanging="480" w:hangingChars="200"/>
        <w:jc w:val="both"/>
        <w:rPr>
          <w:rFonts w:hAnsi="宋体"/>
          <w:snapToGrid w:val="0"/>
          <w:color w:val="auto"/>
        </w:rPr>
      </w:pPr>
      <w:r>
        <w:rPr>
          <w:rFonts w:hint="eastAsia" w:hAnsi="宋体"/>
          <w:snapToGrid w:val="0"/>
          <w:color w:val="auto"/>
        </w:rPr>
        <w:t>3.3 站位布设位置由监测单位决定，但必须满足相关规范要求。根据第一次监测结果，业主在符合规范等相关要求下有权调整第二次监测方案。</w:t>
      </w:r>
    </w:p>
    <w:p>
      <w:pPr>
        <w:pStyle w:val="78"/>
        <w:spacing w:line="360" w:lineRule="auto"/>
        <w:ind w:left="722" w:leftChars="110" w:hanging="480" w:hangingChars="200"/>
        <w:jc w:val="both"/>
        <w:rPr>
          <w:rFonts w:hAnsi="宋体"/>
          <w:snapToGrid w:val="0"/>
          <w:color w:val="auto"/>
        </w:rPr>
      </w:pPr>
      <w:r>
        <w:rPr>
          <w:rFonts w:hint="eastAsia" w:hAnsi="宋体"/>
          <w:snapToGrid w:val="0"/>
          <w:color w:val="auto"/>
        </w:rPr>
        <w:t xml:space="preserve">3.4 监测单位应提供计划采样检测时间表，入场需与业主方联系确认。由业主方根据需求派员参与监护海洋采样过程。   </w:t>
      </w:r>
    </w:p>
    <w:p>
      <w:pPr>
        <w:pStyle w:val="78"/>
        <w:spacing w:line="360" w:lineRule="auto"/>
        <w:ind w:left="722" w:leftChars="110" w:hanging="480" w:hangingChars="200"/>
        <w:jc w:val="both"/>
        <w:rPr>
          <w:rFonts w:hint="eastAsia" w:hAnsi="宋体"/>
          <w:snapToGrid w:val="0"/>
          <w:color w:val="auto"/>
        </w:rPr>
      </w:pPr>
      <w:r>
        <w:rPr>
          <w:rFonts w:hint="eastAsia" w:hAnsi="宋体"/>
          <w:snapToGrid w:val="0"/>
          <w:color w:val="auto"/>
        </w:rPr>
        <w:t>3.5 按照监测项目内容要求，分期及时提交监测结果报告。报告内容应包括但不限于：采样点位置的海图坐标、项目标准和规范的引用说明、各监测项目的化验分析数据列表、温升及余氯的包络绘制、监测结果分析评价报告与环境改善建议等。监测报告应在每次取样后的45天内完成并提交，纸质3本，电子档一份。</w:t>
      </w:r>
    </w:p>
    <w:p>
      <w:pPr>
        <w:pStyle w:val="2"/>
        <w:spacing w:line="360" w:lineRule="auto"/>
        <w:ind w:firstLine="240" w:firstLineChars="100"/>
        <w:rPr>
          <w:rFonts w:asciiTheme="minorEastAsia" w:hAnsiTheme="minorEastAsia" w:eastAsiaTheme="minorEastAsia"/>
          <w:sz w:val="24"/>
          <w:szCs w:val="24"/>
        </w:rPr>
      </w:pPr>
      <w:r>
        <w:rPr>
          <w:rFonts w:hint="eastAsia" w:hAnsi="宋体"/>
          <w:snapToGrid w:val="0"/>
          <w:sz w:val="24"/>
          <w:szCs w:val="24"/>
        </w:rPr>
        <w:t>3.6 其它事项参看附件四：</w:t>
      </w:r>
      <w:r>
        <w:rPr>
          <w:rFonts w:hint="eastAsia"/>
          <w:sz w:val="24"/>
          <w:szCs w:val="24"/>
        </w:rPr>
        <w:t>海水冷却系统</w:t>
      </w:r>
      <w:r>
        <w:rPr>
          <w:rFonts w:hint="eastAsia" w:cs="宋体" w:asciiTheme="minorEastAsia" w:hAnsiTheme="minorEastAsia" w:eastAsiaTheme="minorEastAsia"/>
          <w:bCs/>
          <w:sz w:val="24"/>
          <w:szCs w:val="24"/>
        </w:rPr>
        <w:t>排海口环境监测发包技术协议。</w:t>
      </w:r>
    </w:p>
    <w:p>
      <w:pPr>
        <w:pStyle w:val="20"/>
        <w:spacing w:line="360" w:lineRule="auto"/>
        <w:ind w:right="121" w:firstLine="240" w:firstLineChars="100"/>
        <w:jc w:val="both"/>
        <w:rPr>
          <w:rFonts w:asciiTheme="minorEastAsia" w:hAnsiTheme="minorEastAsia" w:eastAsiaTheme="minorEastAsia"/>
          <w:bCs/>
          <w:lang w:eastAsia="zh-CN"/>
        </w:rPr>
      </w:pPr>
      <w:r>
        <w:rPr>
          <w:rFonts w:hint="eastAsia" w:asciiTheme="minorEastAsia" w:hAnsiTheme="minorEastAsia" w:eastAsiaTheme="minorEastAsia"/>
          <w:lang w:eastAsia="zh-CN"/>
        </w:rPr>
        <w:t>4、项目联系人</w:t>
      </w:r>
    </w:p>
    <w:p>
      <w:pPr>
        <w:spacing w:line="360" w:lineRule="auto"/>
        <w:ind w:firstLine="660" w:firstLineChars="300"/>
        <w:rPr>
          <w:sz w:val="24"/>
          <w:lang w:eastAsia="zh-CN"/>
        </w:rPr>
      </w:pPr>
      <w:r>
        <w:rPr>
          <w:rFonts w:hint="eastAsia" w:asciiTheme="minorEastAsia" w:hAnsiTheme="minorEastAsia" w:eastAsiaTheme="minorEastAsia"/>
          <w:lang w:eastAsia="zh-CN"/>
        </w:rPr>
        <w:t xml:space="preserve">技术联系人：  </w:t>
      </w:r>
      <w:r>
        <w:rPr>
          <w:rFonts w:hint="eastAsia"/>
          <w:sz w:val="24"/>
          <w:lang w:eastAsia="zh-CN"/>
        </w:rPr>
        <w:t>郑</w:t>
      </w:r>
      <w:r>
        <w:rPr>
          <w:rFonts w:hint="eastAsia"/>
          <w:sz w:val="24"/>
          <w:lang w:val="en-US" w:eastAsia="zh-CN"/>
        </w:rPr>
        <w:t xml:space="preserve">  </w:t>
      </w:r>
      <w:r>
        <w:rPr>
          <w:rFonts w:hint="eastAsia"/>
          <w:sz w:val="24"/>
          <w:lang w:eastAsia="zh-CN"/>
        </w:rPr>
        <w:t>伟  15345929588</w:t>
      </w:r>
    </w:p>
    <w:p>
      <w:pPr>
        <w:pStyle w:val="20"/>
        <w:spacing w:line="360" w:lineRule="auto"/>
        <w:ind w:right="121" w:firstLine="600" w:firstLineChars="250"/>
        <w:jc w:val="both"/>
        <w:rPr>
          <w:rFonts w:hint="default" w:asciiTheme="minorEastAsia" w:hAnsiTheme="minorEastAsia" w:eastAsiaTheme="minorEastAsia"/>
          <w:lang w:val="en-US" w:eastAsia="zh-CN"/>
        </w:rPr>
      </w:pPr>
      <w:r>
        <w:rPr>
          <w:rFonts w:hint="eastAsia" w:asciiTheme="minorEastAsia" w:hAnsiTheme="minorEastAsia" w:eastAsiaTheme="minorEastAsia"/>
          <w:lang w:eastAsia="zh-CN"/>
        </w:rPr>
        <w:t>商务联系人： 黄梅钦  0596-6311</w:t>
      </w:r>
      <w:r>
        <w:rPr>
          <w:rFonts w:hint="eastAsia" w:asciiTheme="minorEastAsia" w:hAnsiTheme="minorEastAsia" w:eastAsiaTheme="minorEastAsia"/>
          <w:lang w:val="en-US" w:eastAsia="zh-CN"/>
        </w:rPr>
        <w:t>073</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tabs>
          <w:tab w:val="left" w:pos="360"/>
          <w:tab w:val="left" w:pos="540"/>
          <w:tab w:val="left" w:pos="720"/>
        </w:tabs>
        <w:autoSpaceDE/>
        <w:spacing w:line="360" w:lineRule="auto"/>
        <w:ind w:firstLine="480" w:firstLineChars="200"/>
        <w:jc w:val="both"/>
        <w:rPr>
          <w:rFonts w:cs="Times New Roman" w:asciiTheme="minorEastAsia" w:hAnsiTheme="minorEastAsia" w:eastAsiaTheme="minorEastAsia"/>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asciiTheme="minorEastAsia" w:hAnsiTheme="minorEastAsia" w:eastAsiaTheme="minorEastAsia"/>
          <w:sz w:val="24"/>
          <w:szCs w:val="24"/>
          <w:lang w:eastAsia="zh-CN"/>
        </w:rPr>
        <w:t>参选人必须具备有效的企业法人营业执照；</w:t>
      </w:r>
    </w:p>
    <w:p>
      <w:pPr>
        <w:pStyle w:val="2"/>
        <w:spacing w:line="360" w:lineRule="auto"/>
        <w:ind w:firstLine="480" w:firstLineChars="200"/>
        <w:rPr>
          <w:rFonts w:hint="eastAsia" w:hAnsi="宋体"/>
          <w:snapToGrid w:val="0"/>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napToGrid w:val="0"/>
          <w:sz w:val="24"/>
          <w:szCs w:val="24"/>
        </w:rPr>
        <w:t>监测单位资质要求：</w:t>
      </w:r>
      <w:r>
        <w:rPr>
          <w:rFonts w:hint="eastAsia" w:hAnsi="宋体"/>
          <w:snapToGrid w:val="0"/>
          <w:sz w:val="24"/>
          <w:szCs w:val="24"/>
        </w:rPr>
        <w:t>持有效的省级（含）以上质量技术监督部门颁发的计量认证证书和取得CMA计量认证资质，并提供包括所有海洋检测项目方法证明文件的CMA证书附表；</w:t>
      </w:r>
    </w:p>
    <w:p>
      <w:pPr>
        <w:pStyle w:val="78"/>
        <w:spacing w:line="312" w:lineRule="auto"/>
        <w:ind w:left="799" w:leftChars="218" w:hanging="319" w:hangingChars="133"/>
        <w:rPr>
          <w:color w:val="000000" w:themeColor="text1"/>
        </w:rPr>
      </w:pPr>
      <w:r>
        <w:rPr>
          <w:rFonts w:hint="eastAsia"/>
          <w:color w:val="000000" w:themeColor="text1"/>
          <w:lang w:val="en-US" w:eastAsia="zh-CN"/>
        </w:rPr>
        <w:t>3、</w:t>
      </w:r>
      <w:r>
        <w:rPr>
          <w:color w:val="000000" w:themeColor="text1"/>
        </w:rPr>
        <w:t>参选人没有失信黑名单记录（以最高院失信被执行人系统发布信息为准）</w:t>
      </w:r>
      <w:r>
        <w:rPr>
          <w:rFonts w:hint="eastAsia"/>
          <w:color w:val="000000" w:themeColor="text1"/>
        </w:rPr>
        <w:t>。</w:t>
      </w:r>
    </w:p>
    <w:p>
      <w:pPr>
        <w:pStyle w:val="2"/>
        <w:spacing w:line="312" w:lineRule="auto"/>
        <w:ind w:firstLine="480" w:firstLineChars="200"/>
        <w:rPr>
          <w:sz w:val="24"/>
          <w:szCs w:val="24"/>
        </w:rPr>
      </w:pPr>
      <w:r>
        <w:rPr>
          <w:rFonts w:hint="eastAsia"/>
          <w:color w:val="000000" w:themeColor="text1"/>
          <w:sz w:val="24"/>
          <w:szCs w:val="24"/>
          <w:lang w:val="en-US" w:eastAsia="zh-CN"/>
        </w:rPr>
        <w:t>4、</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p>
    <w:p>
      <w:pPr>
        <w:spacing w:line="312" w:lineRule="auto"/>
        <w:ind w:firstLine="480" w:firstLineChars="200"/>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spacing w:line="360" w:lineRule="auto"/>
        <w:rPr>
          <w:b/>
          <w:w w:val="95"/>
          <w:sz w:val="24"/>
          <w:szCs w:val="24"/>
          <w:lang w:eastAsia="zh-CN"/>
        </w:rPr>
      </w:pPr>
      <w:r>
        <w:rPr>
          <w:b/>
          <w:w w:val="95"/>
          <w:sz w:val="24"/>
          <w:szCs w:val="24"/>
          <w:lang w:eastAsia="zh-CN"/>
        </w:rPr>
        <w:t>七、参选保证金</w:t>
      </w:r>
    </w:p>
    <w:p>
      <w:pPr>
        <w:widowControl/>
        <w:autoSpaceDE/>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1、参选保证金的金额为：人民币伍仟元整（</w:t>
      </w:r>
      <w:r>
        <w:rPr>
          <w:rFonts w:hint="default" w:ascii="Arial" w:hAnsi="Arial" w:cs="Arial" w:eastAsiaTheme="majorEastAsia"/>
          <w:color w:val="333333"/>
          <w:sz w:val="24"/>
          <w:szCs w:val="24"/>
          <w:lang w:eastAsia="zh-CN"/>
        </w:rPr>
        <w:t>¥</w:t>
      </w:r>
      <w:r>
        <w:rPr>
          <w:rFonts w:hint="eastAsia" w:cs="Arial" w:asciiTheme="majorEastAsia" w:hAnsiTheme="majorEastAsia" w:eastAsiaTheme="majorEastAsia"/>
          <w:color w:val="333333"/>
          <w:sz w:val="24"/>
          <w:szCs w:val="24"/>
          <w:lang w:val="en-US" w:eastAsia="zh-CN"/>
        </w:rPr>
        <w:t>4</w:t>
      </w:r>
      <w:r>
        <w:rPr>
          <w:rFonts w:hint="eastAsia" w:cs="Arial" w:asciiTheme="majorEastAsia" w:hAnsiTheme="majorEastAsia" w:eastAsiaTheme="majorEastAsia"/>
          <w:color w:val="333333"/>
          <w:sz w:val="24"/>
          <w:szCs w:val="24"/>
          <w:lang w:eastAsia="zh-CN"/>
        </w:rPr>
        <w:t>,</w:t>
      </w:r>
      <w:r>
        <w:rPr>
          <w:rFonts w:hint="eastAsia" w:cs="Arial" w:asciiTheme="majorEastAsia" w:hAnsiTheme="majorEastAsia" w:eastAsiaTheme="majorEastAsia"/>
          <w:color w:val="333333"/>
          <w:sz w:val="24"/>
          <w:szCs w:val="24"/>
          <w:lang w:val="en-US" w:eastAsia="zh-CN"/>
        </w:rPr>
        <w:t>362</w:t>
      </w:r>
      <w:r>
        <w:rPr>
          <w:rFonts w:hint="eastAsia" w:cs="Arial" w:asciiTheme="majorEastAsia" w:hAnsiTheme="majorEastAsia" w:eastAsiaTheme="majorEastAsia"/>
          <w:color w:val="333333"/>
          <w:sz w:val="24"/>
          <w:szCs w:val="24"/>
          <w:lang w:eastAsia="zh-CN"/>
        </w:rPr>
        <w:t>.00元）；</w:t>
      </w:r>
    </w:p>
    <w:p>
      <w:pPr>
        <w:widowControl/>
        <w:autoSpaceDE/>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spacing w:line="360" w:lineRule="auto"/>
        <w:ind w:left="844" w:leftChars="220" w:hanging="360" w:hanging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4065 7481 6628</w:t>
      </w:r>
    </w:p>
    <w:p>
      <w:pPr>
        <w:pStyle w:val="20"/>
        <w:ind w:firstLine="480" w:firstLineChars="200"/>
        <w:rPr>
          <w:rFonts w:asciiTheme="minorEastAsia" w:hAnsiTheme="minorEastAsia" w:eastAsiaTheme="minorEastAsia"/>
          <w:b/>
          <w:u w:val="single"/>
          <w:lang w:eastAsia="zh-CN"/>
        </w:rPr>
      </w:pPr>
      <w:r>
        <w:rPr>
          <w:rFonts w:hint="eastAsia" w:cs="Arial" w:asciiTheme="majorEastAsia" w:hAnsiTheme="majorEastAsia" w:eastAsiaTheme="majorEastAsia"/>
          <w:color w:val="333333"/>
          <w:lang w:eastAsia="zh-CN"/>
        </w:rPr>
        <w:t>注明用途：</w:t>
      </w:r>
      <w:r>
        <w:rPr>
          <w:rFonts w:hint="eastAsia" w:asciiTheme="minorEastAsia" w:hAnsiTheme="minorEastAsia" w:eastAsiaTheme="minorEastAsia"/>
          <w:b/>
          <w:lang w:eastAsia="zh-CN"/>
        </w:rPr>
        <w:t>2</w:t>
      </w:r>
      <w:r>
        <w:rPr>
          <w:rFonts w:hint="eastAsia" w:asciiTheme="minorEastAsia" w:hAnsiTheme="minorEastAsia" w:eastAsiaTheme="minorEastAsia"/>
          <w:b/>
          <w:bCs/>
          <w:lang w:eastAsia="zh-CN"/>
        </w:rPr>
        <w:t>02</w:t>
      </w:r>
      <w:r>
        <w:rPr>
          <w:rFonts w:hint="eastAsia" w:asciiTheme="minorEastAsia" w:hAnsiTheme="minorEastAsia" w:eastAsiaTheme="minorEastAsia"/>
          <w:b/>
          <w:bCs/>
          <w:lang w:val="en-US" w:eastAsia="zh-CN"/>
        </w:rPr>
        <w:t>3</w:t>
      </w:r>
      <w:r>
        <w:rPr>
          <w:rFonts w:hint="eastAsia" w:asciiTheme="minorEastAsia" w:hAnsiTheme="minorEastAsia" w:eastAsiaTheme="minorEastAsia"/>
          <w:b/>
          <w:bCs/>
          <w:lang w:eastAsia="zh-CN"/>
        </w:rPr>
        <w:t>年海水冷却系统排海口海洋环境监测</w:t>
      </w:r>
      <w:r>
        <w:rPr>
          <w:rFonts w:hint="eastAsia" w:asciiTheme="majorEastAsia" w:hAnsiTheme="majorEastAsia" w:eastAsiaTheme="majorEastAsia"/>
          <w:b/>
          <w:lang w:eastAsia="zh-CN"/>
        </w:rPr>
        <w:t>项目</w:t>
      </w:r>
      <w:r>
        <w:rPr>
          <w:rFonts w:hint="eastAsia" w:cs="Arial" w:asciiTheme="majorEastAsia" w:hAnsiTheme="majorEastAsia" w:eastAsiaTheme="majorEastAsia"/>
          <w:b/>
          <w:color w:val="333333"/>
          <w:lang w:eastAsia="zh-CN"/>
        </w:rPr>
        <w:t>参选保证金</w:t>
      </w:r>
    </w:p>
    <w:p>
      <w:pPr>
        <w:widowControl/>
        <w:autoSpaceDE/>
        <w:spacing w:line="360" w:lineRule="auto"/>
        <w:ind w:firstLine="480"/>
        <w:jc w:val="both"/>
        <w:rPr>
          <w:rFonts w:cs="Arial" w:asciiTheme="majorEastAsia" w:hAnsiTheme="majorEastAsia" w:eastAsiaTheme="majorEastAsia"/>
          <w:color w:val="333333"/>
          <w:sz w:val="24"/>
          <w:szCs w:val="24"/>
          <w:lang w:eastAsia="zh-CN"/>
        </w:rPr>
      </w:pPr>
    </w:p>
    <w:p>
      <w:pPr>
        <w:widowControl/>
        <w:autoSpaceDE/>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spacing w:line="360" w:lineRule="auto"/>
        <w:ind w:left="484" w:leftChars="22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keepNext w:val="0"/>
        <w:keepLines w:val="0"/>
        <w:pageBreakBefore w:val="0"/>
        <w:kinsoku/>
        <w:wordWrap/>
        <w:overflowPunct/>
        <w:topLinePunct w:val="0"/>
        <w:autoSpaceDE w:val="0"/>
        <w:autoSpaceDN w:val="0"/>
        <w:bidi w:val="0"/>
        <w:adjustRightInd/>
        <w:snapToGrid/>
        <w:spacing w:line="360" w:lineRule="auto"/>
        <w:ind w:left="242" w:leftChars="110" w:right="121" w:firstLine="120" w:firstLineChars="50"/>
        <w:jc w:val="both"/>
        <w:textAlignment w:val="auto"/>
        <w:rPr>
          <w:lang w:eastAsia="zh-CN"/>
        </w:rPr>
      </w:pPr>
      <w:r>
        <w:rPr>
          <w:rFonts w:hint="eastAsia"/>
          <w:lang w:eastAsia="zh-CN"/>
        </w:rPr>
        <w:t>5、对于未能按要求提交保证金的参选文件，比选单位可以视为不符合上面比选要求而予以拒绝；</w:t>
      </w:r>
    </w:p>
    <w:p>
      <w:pPr>
        <w:pStyle w:val="20"/>
        <w:keepNext w:val="0"/>
        <w:keepLines w:val="0"/>
        <w:pageBreakBefore w:val="0"/>
        <w:kinsoku/>
        <w:wordWrap/>
        <w:overflowPunct/>
        <w:topLinePunct w:val="0"/>
        <w:autoSpaceDE w:val="0"/>
        <w:autoSpaceDN w:val="0"/>
        <w:bidi w:val="0"/>
        <w:adjustRightInd/>
        <w:snapToGrid/>
        <w:spacing w:line="360" w:lineRule="auto"/>
        <w:ind w:left="483" w:leftChars="165" w:right="121" w:hanging="120" w:hangingChars="50"/>
        <w:jc w:val="both"/>
        <w:textAlignment w:val="auto"/>
        <w:rPr>
          <w:color w:val="FF0000"/>
          <w:lang w:eastAsia="zh-CN"/>
        </w:rPr>
      </w:pPr>
      <w:r>
        <w:rPr>
          <w:rFonts w:hint="eastAsia"/>
          <w:lang w:eastAsia="zh-CN"/>
        </w:rPr>
        <w:t>6、</w:t>
      </w:r>
      <w:r>
        <w:rPr>
          <w:rFonts w:hint="eastAsia"/>
          <w:spacing w:val="8"/>
          <w:lang w:eastAsia="zh-CN"/>
        </w:rPr>
        <w:t>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，最迟不超过规定的比选有效期满后的90天；</w:t>
      </w:r>
      <w:r>
        <w:rPr>
          <w:color w:val="FF0000"/>
          <w:lang w:eastAsia="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360" w:lineRule="auto"/>
        <w:ind w:left="556" w:leftChars="154" w:right="0" w:hanging="217" w:hangingChars="85"/>
        <w:jc w:val="both"/>
        <w:textAlignment w:val="auto"/>
        <w:rPr>
          <w:rFonts w:hint="eastAsia" w:ascii="宋体" w:hAnsi="宋体" w:eastAsia="宋体" w:cs="宋体"/>
          <w:spacing w:val="8"/>
          <w:kern w:val="0"/>
          <w:sz w:val="24"/>
          <w:szCs w:val="24"/>
          <w:lang w:val="en-US" w:eastAsia="zh-CN" w:bidi="ar-SA"/>
        </w:rPr>
      </w:pPr>
      <w:r>
        <w:rPr>
          <w:rFonts w:hint="eastAsia" w:cs="宋体"/>
          <w:spacing w:val="8"/>
          <w:kern w:val="0"/>
          <w:sz w:val="24"/>
          <w:szCs w:val="24"/>
          <w:lang w:val="en-US" w:eastAsia="zh-CN" w:bidi="ar-SA"/>
        </w:rPr>
        <w:t>7、</w:t>
      </w:r>
      <w:r>
        <w:rPr>
          <w:rFonts w:hint="eastAsia" w:ascii="宋体" w:hAnsi="宋体" w:eastAsia="宋体" w:cs="宋体"/>
          <w:spacing w:val="8"/>
          <w:kern w:val="0"/>
          <w:sz w:val="24"/>
          <w:szCs w:val="24"/>
          <w:lang w:val="en-US" w:eastAsia="zh-CN" w:bidi="ar-SA"/>
        </w:rPr>
        <w:t>中选者的参选保证金（无息），将在合同签订后自动转为履约保证金，将于合同周期完成后15个工作日内，甲方无息退还履约保证金；</w:t>
      </w:r>
    </w:p>
    <w:p>
      <w:pPr>
        <w:pStyle w:val="20"/>
        <w:keepNext w:val="0"/>
        <w:keepLines w:val="0"/>
        <w:pageBreakBefore w:val="0"/>
        <w:kinsoku/>
        <w:wordWrap/>
        <w:overflowPunct/>
        <w:topLinePunct w:val="0"/>
        <w:autoSpaceDE w:val="0"/>
        <w:autoSpaceDN w:val="0"/>
        <w:bidi w:val="0"/>
        <w:adjustRightInd/>
        <w:snapToGrid/>
        <w:spacing w:line="360" w:lineRule="auto"/>
        <w:ind w:right="121" w:firstLine="360" w:firstLineChars="150"/>
        <w:jc w:val="both"/>
        <w:textAlignment w:val="auto"/>
        <w:rPr>
          <w:lang w:eastAsia="zh-CN"/>
        </w:rPr>
      </w:pPr>
      <w:r>
        <w:rPr>
          <w:rFonts w:hint="eastAsia"/>
          <w:lang w:val="en-US" w:eastAsia="zh-CN"/>
        </w:rPr>
        <w:t>8</w:t>
      </w:r>
      <w:r>
        <w:rPr>
          <w:rFonts w:hint="eastAsia"/>
          <w:lang w:eastAsia="zh-CN"/>
        </w:rPr>
        <w:t xml:space="preserve">、如有下列情况发生，将被没收参选保证金：  </w:t>
      </w:r>
    </w:p>
    <w:p>
      <w:pPr>
        <w:pStyle w:val="20"/>
        <w:keepNext w:val="0"/>
        <w:keepLines w:val="0"/>
        <w:pageBreakBefore w:val="0"/>
        <w:kinsoku/>
        <w:wordWrap/>
        <w:overflowPunct/>
        <w:topLinePunct w:val="0"/>
        <w:autoSpaceDE w:val="0"/>
        <w:autoSpaceDN w:val="0"/>
        <w:bidi w:val="0"/>
        <w:adjustRightInd/>
        <w:snapToGrid/>
        <w:spacing w:line="360" w:lineRule="auto"/>
        <w:ind w:right="121"/>
        <w:jc w:val="both"/>
        <w:textAlignment w:val="auto"/>
        <w:rPr>
          <w:lang w:eastAsia="zh-CN"/>
        </w:rPr>
      </w:pPr>
      <w:r>
        <w:rPr>
          <w:rFonts w:hint="eastAsia"/>
          <w:lang w:eastAsia="zh-CN"/>
        </w:rPr>
        <w:t xml:space="preserve">   （1）参选单位在参选有效期内撤回参选文件；</w:t>
      </w:r>
    </w:p>
    <w:p>
      <w:pPr>
        <w:pStyle w:val="3"/>
        <w:keepNext w:val="0"/>
        <w:keepLines w:val="0"/>
        <w:pageBreakBefore w:val="0"/>
        <w:kinsoku/>
        <w:wordWrap/>
        <w:overflowPunct/>
        <w:topLinePunct w:val="0"/>
        <w:autoSpaceDE w:val="0"/>
        <w:autoSpaceDN w:val="0"/>
        <w:bidi w:val="0"/>
        <w:adjustRightInd/>
        <w:snapToGrid/>
        <w:spacing w:line="360" w:lineRule="auto"/>
        <w:ind w:left="0" w:firstLine="352" w:firstLineChars="147"/>
        <w:textAlignment w:val="auto"/>
        <w:rPr>
          <w:b w:val="0"/>
          <w:sz w:val="24"/>
          <w:szCs w:val="24"/>
          <w:lang w:eastAsia="zh-CN"/>
        </w:rPr>
      </w:pPr>
      <w:r>
        <w:rPr>
          <w:rFonts w:hint="eastAsia"/>
          <w:b w:val="0"/>
          <w:sz w:val="24"/>
          <w:szCs w:val="24"/>
          <w:lang w:eastAsia="zh-CN"/>
        </w:rPr>
        <w:t>（2）参选单位未能按接到中标通知书后规定的时间内签定合同。</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01</w:t>
      </w:r>
      <w:r>
        <w:rPr>
          <w:rFonts w:hint="eastAsia"/>
          <w:color w:val="000000" w:themeColor="text1"/>
          <w:lang w:eastAsia="zh-CN"/>
        </w:rPr>
        <w:t>月</w:t>
      </w:r>
      <w:r>
        <w:rPr>
          <w:rFonts w:hint="eastAsia"/>
          <w:color w:val="000000" w:themeColor="text1"/>
          <w:lang w:val="en-US" w:eastAsia="zh-CN"/>
        </w:rPr>
        <w:t>22</w:t>
      </w:r>
      <w:r>
        <w:rPr>
          <w:rFonts w:hint="eastAsia"/>
          <w:color w:val="000000" w:themeColor="text1"/>
          <w:lang w:eastAsia="zh-CN"/>
        </w:rPr>
        <w:t xml:space="preserve"> 日17时00分（自公示之日起</w:t>
      </w:r>
      <w:r>
        <w:rPr>
          <w:rFonts w:hint="eastAsia"/>
          <w:color w:val="000000" w:themeColor="text1"/>
          <w:lang w:val="en-US" w:eastAsia="zh-CN"/>
        </w:rPr>
        <w:t>12天</w:t>
      </w:r>
      <w:r>
        <w:rPr>
          <w:rFonts w:hint="eastAsia"/>
          <w:color w:val="000000" w:themeColor="text1"/>
          <w:lang w:eastAsia="zh-CN"/>
        </w:rPr>
        <w:t>）</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eastAsia="zh-CN"/>
        </w:rPr>
        <w:t>黄</w:t>
      </w:r>
      <w:r>
        <w:rPr>
          <w:rFonts w:hint="eastAsia"/>
          <w:lang w:eastAsia="zh-CN"/>
        </w:rPr>
        <w:t xml:space="preserve"> 梅钦 </w:t>
      </w:r>
      <w:r>
        <w:rPr>
          <w:spacing w:val="-6"/>
          <w:lang w:eastAsia="zh-CN"/>
        </w:rPr>
        <w:t xml:space="preserve"> </w:t>
      </w:r>
      <w:r>
        <w:rPr>
          <w:lang w:eastAsia="zh-CN"/>
        </w:rPr>
        <w:t>联系电话</w:t>
      </w:r>
      <w:r>
        <w:rPr>
          <w:spacing w:val="-4"/>
          <w:lang w:eastAsia="zh-CN"/>
        </w:rPr>
        <w:t>：</w:t>
      </w:r>
      <w:r>
        <w:rPr>
          <w:rFonts w:hint="eastAsia"/>
          <w:spacing w:val="-4"/>
          <w:lang w:eastAsia="zh-CN"/>
        </w:rPr>
        <w:t>0596-6311</w:t>
      </w:r>
      <w:r>
        <w:rPr>
          <w:rFonts w:hint="eastAsia"/>
          <w:spacing w:val="-4"/>
          <w:lang w:val="en-US" w:eastAsia="zh-CN"/>
        </w:rPr>
        <w:t>073</w:t>
      </w:r>
      <w:r>
        <w:rPr>
          <w:rFonts w:hint="eastAsia"/>
          <w:spacing w:val="-4"/>
          <w:lang w:eastAsia="zh-CN"/>
        </w:rPr>
        <w:t xml:space="preserve">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539" w:leftChars="245" w:firstLine="2502" w:firstLineChars="890"/>
        <w:rPr>
          <w:lang w:eastAsia="zh-CN"/>
        </w:rPr>
      </w:pPr>
      <w:bookmarkStart w:id="0" w:name="_Toc251742852"/>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0"/>
        <w:rPr>
          <w:rFonts w:hint="eastAsia"/>
          <w:lang w:eastAsia="zh-CN"/>
        </w:rPr>
      </w:pPr>
    </w:p>
    <w:p>
      <w:pPr>
        <w:pStyle w:val="3"/>
        <w:widowControl/>
        <w:spacing w:line="355" w:lineRule="exact"/>
        <w:ind w:left="3363"/>
        <w:rPr>
          <w:rFonts w:hint="eastAsia" w:ascii="宋体" w:hAnsi="宋体" w:eastAsia="宋体" w:cs="宋体"/>
          <w:b/>
          <w:bCs/>
          <w:kern w:val="0"/>
          <w:sz w:val="28"/>
          <w:szCs w:val="28"/>
        </w:rPr>
      </w:pPr>
      <w:r>
        <w:rPr>
          <w:rFonts w:hint="eastAsia" w:ascii="宋体" w:hAnsi="宋体" w:eastAsia="宋体" w:cs="宋体"/>
          <w:b/>
          <w:bCs/>
          <w:kern w:val="0"/>
          <w:sz w:val="28"/>
          <w:szCs w:val="28"/>
        </w:rPr>
        <w:t>第三章</w:t>
      </w:r>
      <w:r>
        <w:rPr>
          <w:rFonts w:hint="eastAsia" w:ascii="宋体" w:hAnsi="宋体" w:eastAsia="宋体" w:cs="宋体"/>
          <w:b/>
          <w:bCs/>
          <w:kern w:val="0"/>
          <w:sz w:val="28"/>
          <w:szCs w:val="28"/>
        </w:rPr>
        <w:tab/>
      </w:r>
      <w:r>
        <w:rPr>
          <w:rFonts w:hint="eastAsia" w:ascii="宋体" w:hAnsi="宋体" w:eastAsia="宋体" w:cs="宋体"/>
          <w:b/>
          <w:bCs/>
          <w:spacing w:val="-1"/>
          <w:kern w:val="0"/>
          <w:sz w:val="28"/>
          <w:szCs w:val="28"/>
        </w:rPr>
        <w:t>参选文</w:t>
      </w:r>
      <w:r>
        <w:rPr>
          <w:rFonts w:hint="eastAsia" w:ascii="宋体" w:hAnsi="宋体" w:eastAsia="宋体" w:cs="宋体"/>
          <w:b/>
          <w:bCs/>
          <w:kern w:val="0"/>
          <w:sz w:val="28"/>
          <w:szCs w:val="28"/>
        </w:rPr>
        <w:t>件的编制</w:t>
      </w:r>
    </w:p>
    <w:p>
      <w:pPr>
        <w:pStyle w:val="41"/>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b/>
          <w:bCs/>
          <w:kern w:val="0"/>
          <w:sz w:val="20"/>
          <w:szCs w:val="20"/>
        </w:rPr>
      </w:pPr>
      <w:r>
        <w:rPr>
          <w:rFonts w:hint="eastAsia" w:ascii="宋体" w:hAnsi="宋体" w:eastAsia="宋体" w:cs="宋体"/>
          <w:b/>
          <w:bCs/>
          <w:kern w:val="0"/>
          <w:sz w:val="20"/>
          <w:szCs w:val="20"/>
          <w:lang w:val="en-US" w:eastAsia="zh-CN" w:bidi="ar"/>
        </w:rPr>
        <w:t xml:space="preserve"> </w:t>
      </w:r>
    </w:p>
    <w:p>
      <w:pPr>
        <w:pStyle w:val="41"/>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41"/>
        <w:keepNext w:val="0"/>
        <w:keepLines w:val="0"/>
        <w:pageBreakBefore w:val="0"/>
        <w:widowControl w:val="0"/>
        <w:numPr>
          <w:ilvl w:val="0"/>
          <w:numId w:val="8"/>
        </w:numPr>
        <w:suppressLineNumbers w:val="0"/>
        <w:kinsoku/>
        <w:wordWrap/>
        <w:overflowPunct/>
        <w:topLinePunct w:val="0"/>
        <w:autoSpaceDE w:val="0"/>
        <w:autoSpaceDN w:val="0"/>
        <w:bidi w:val="0"/>
        <w:adjustRightInd/>
        <w:snapToGrid/>
        <w:spacing w:before="0" w:beforeAutospacing="0" w:after="0" w:afterAutospacing="1" w:line="240" w:lineRule="auto"/>
        <w:ind w:left="993" w:leftChars="124" w:right="0" w:hanging="72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bidi="ar"/>
        </w:rPr>
        <w:t>参选文件的组成：</w:t>
      </w:r>
      <w:r>
        <w:rPr>
          <w:rFonts w:hint="eastAsia" w:ascii="宋体" w:hAnsi="宋体" w:eastAsia="宋体" w:cs="宋体"/>
          <w:b/>
          <w:bCs/>
          <w:kern w:val="0"/>
          <w:sz w:val="24"/>
          <w:szCs w:val="24"/>
          <w:lang w:val="en-US" w:eastAsia="zh-CN" w:bidi="ar"/>
        </w:rPr>
        <w:t>（</w:t>
      </w:r>
      <w:r>
        <w:rPr>
          <w:rFonts w:hint="eastAsia" w:ascii="宋体" w:hAnsi="宋体" w:eastAsia="宋体" w:cs="宋体"/>
          <w:kern w:val="59"/>
          <w:sz w:val="24"/>
          <w:szCs w:val="24"/>
          <w:lang w:val="en-US" w:eastAsia="zh-CN" w:bidi="ar"/>
        </w:rPr>
        <w:t>包括但不限于</w:t>
      </w:r>
      <w:r>
        <w:rPr>
          <w:rFonts w:hint="eastAsia" w:ascii="宋体" w:hAnsi="宋体" w:eastAsia="宋体" w:cs="宋体"/>
          <w:b/>
          <w:bCs/>
          <w:kern w:val="0"/>
          <w:sz w:val="24"/>
          <w:szCs w:val="24"/>
          <w:lang w:val="en-US" w:eastAsia="zh-CN" w:bidi="ar"/>
        </w:rPr>
        <w:t>）</w:t>
      </w:r>
    </w:p>
    <w:p>
      <w:pPr>
        <w:pStyle w:val="41"/>
        <w:keepNext w:val="0"/>
        <w:keepLines w:val="0"/>
        <w:widowControl w:val="0"/>
        <w:suppressLineNumbers w:val="0"/>
        <w:autoSpaceDE w:val="0"/>
        <w:autoSpaceDN w:val="0"/>
        <w:spacing w:before="186" w:beforeAutospacing="0" w:after="0" w:afterAutospacing="0" w:line="319" w:lineRule="auto"/>
        <w:ind w:left="118" w:right="92" w:firstLine="48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①参选单位营业执照税务登记证（经年检或年审合格的）等。</w:t>
      </w:r>
    </w:p>
    <w:p>
      <w:pPr>
        <w:pStyle w:val="41"/>
        <w:keepNext w:val="0"/>
        <w:keepLines w:val="0"/>
        <w:widowControl w:val="0"/>
        <w:suppressLineNumbers w:val="0"/>
        <w:autoSpaceDE w:val="0"/>
        <w:autoSpaceDN w:val="0"/>
        <w:spacing w:before="23" w:beforeAutospacing="0" w:after="0" w:afterAutospacing="0" w:line="319" w:lineRule="auto"/>
        <w:ind w:left="118" w:right="92" w:firstLine="480"/>
        <w:jc w:val="left"/>
        <w:rPr>
          <w:rFonts w:hint="eastAsia" w:ascii="宋体" w:hAnsi="宋体" w:eastAsia="宋体" w:cs="宋体"/>
          <w:kern w:val="0"/>
          <w:sz w:val="24"/>
          <w:szCs w:val="24"/>
        </w:rPr>
      </w:pPr>
      <w:r>
        <w:rPr>
          <w:rFonts w:hint="eastAsia" w:ascii="宋体" w:hAnsi="宋体" w:eastAsia="宋体" w:cs="宋体"/>
          <w:spacing w:val="-7"/>
          <w:kern w:val="0"/>
          <w:sz w:val="24"/>
          <w:szCs w:val="24"/>
          <w:lang w:val="en-US" w:eastAsia="zh-CN" w:bidi="ar"/>
        </w:rPr>
        <w:t>②业绩的证明。</w:t>
      </w:r>
      <w:r>
        <w:rPr>
          <w:rFonts w:hint="eastAsia" w:ascii="宋体" w:hAnsi="宋体" w:eastAsia="宋体" w:cs="宋体"/>
          <w:spacing w:val="-5"/>
          <w:kern w:val="0"/>
          <w:sz w:val="24"/>
          <w:szCs w:val="24"/>
          <w:lang w:val="en-US" w:eastAsia="zh-CN" w:bidi="ar"/>
        </w:rPr>
        <w:t>其他可以证明参选单位具有类似业绩的相关材料；凡弄虚作假的，一经查实，比选人有权取消其中选资格。</w:t>
      </w:r>
    </w:p>
    <w:p>
      <w:pPr>
        <w:pStyle w:val="41"/>
        <w:keepNext w:val="0"/>
        <w:keepLines w:val="0"/>
        <w:widowControl w:val="0"/>
        <w:suppressLineNumbers w:val="0"/>
        <w:autoSpaceDE w:val="0"/>
        <w:autoSpaceDN w:val="0"/>
        <w:spacing w:before="26" w:beforeAutospacing="0" w:after="0" w:afterAutospacing="0" w:line="319" w:lineRule="auto"/>
        <w:ind w:left="118" w:right="222" w:firstLine="480"/>
        <w:jc w:val="left"/>
        <w:rPr>
          <w:rFonts w:hint="eastAsia" w:ascii="宋体" w:hAnsi="宋体" w:eastAsia="宋体" w:cs="宋体"/>
          <w:kern w:val="0"/>
          <w:sz w:val="24"/>
          <w:szCs w:val="24"/>
        </w:rPr>
      </w:pPr>
      <w:r>
        <w:rPr>
          <w:rFonts w:hint="eastAsia" w:ascii="宋体" w:hAnsi="宋体" w:eastAsia="宋体" w:cs="宋体"/>
          <w:spacing w:val="-6"/>
          <w:kern w:val="0"/>
          <w:sz w:val="24"/>
          <w:szCs w:val="24"/>
          <w:lang w:val="en-US" w:eastAsia="zh-CN" w:bidi="ar"/>
        </w:rPr>
        <w:t>③参选单位出具业务联系人的授权代表证明，业务联系人或被授权代表变更时应取得相应的具有法律效力的证明材料。</w:t>
      </w:r>
    </w:p>
    <w:p>
      <w:pPr>
        <w:pStyle w:val="41"/>
        <w:keepNext w:val="0"/>
        <w:keepLines w:val="0"/>
        <w:widowControl w:val="0"/>
        <w:suppressLineNumbers w:val="0"/>
        <w:autoSpaceDE w:val="0"/>
        <w:autoSpaceDN w:val="0"/>
        <w:spacing w:before="26" w:beforeAutospacing="0" w:after="0" w:afterAutospacing="0" w:line="321" w:lineRule="auto"/>
        <w:ind w:left="595"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④提供参选报价表(即询价函，详见附件)。</w:t>
      </w:r>
    </w:p>
    <w:p>
      <w:pPr>
        <w:pStyle w:val="41"/>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b/>
          <w:bCs/>
          <w:kern w:val="0"/>
          <w:sz w:val="24"/>
          <w:szCs w:val="24"/>
        </w:rPr>
      </w:pPr>
      <w:r>
        <w:rPr>
          <w:rFonts w:hint="eastAsia" w:ascii="宋体" w:hAnsi="宋体" w:eastAsia="宋体" w:cs="宋体"/>
          <w:kern w:val="0"/>
          <w:sz w:val="24"/>
          <w:szCs w:val="24"/>
          <w:lang w:val="en-US" w:eastAsia="zh-CN" w:bidi="ar"/>
        </w:rPr>
        <w:t>⑤以上①至④项内容密封并加盖公章（一正两副）。即</w:t>
      </w:r>
      <w:r>
        <w:rPr>
          <w:rFonts w:hint="eastAsia" w:ascii="宋体" w:hAnsi="宋体" w:eastAsia="宋体" w:cs="宋体"/>
          <w:b/>
          <w:bCs/>
          <w:kern w:val="0"/>
          <w:sz w:val="24"/>
          <w:szCs w:val="24"/>
          <w:u w:val="double"/>
          <w:lang w:val="en-US" w:eastAsia="zh-CN" w:bidi="ar"/>
        </w:rPr>
        <w:t>参选文件正本及副本密封在一个信封</w:t>
      </w:r>
      <w:r>
        <w:rPr>
          <w:rFonts w:hint="eastAsia" w:ascii="宋体" w:hAnsi="宋体" w:eastAsia="宋体" w:cs="宋体"/>
          <w:kern w:val="0"/>
          <w:sz w:val="24"/>
          <w:szCs w:val="24"/>
          <w:lang w:val="en-US" w:eastAsia="zh-CN" w:bidi="ar"/>
        </w:rPr>
        <w:t>，并标明比选编号、参选名称及正本或副本。信封上注明“于年月日时之前（指参选规定的开标日期及时间）不准启封”的字样。</w:t>
      </w:r>
    </w:p>
    <w:p>
      <w:pPr>
        <w:pStyle w:val="41"/>
        <w:keepNext w:val="0"/>
        <w:keepLines w:val="0"/>
        <w:widowControl w:val="0"/>
        <w:suppressLineNumbers w:val="0"/>
        <w:autoSpaceDE w:val="0"/>
        <w:autoSpaceDN w:val="0"/>
        <w:spacing w:before="0" w:beforeAutospacing="0" w:after="0" w:afterAutospacing="0" w:line="360" w:lineRule="auto"/>
        <w:ind w:left="0" w:right="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bidi="ar"/>
        </w:rPr>
        <w:t>注：需提供参选文件及报价表电子版一份（盖章PDF版），报价表须独立盖章密封</w:t>
      </w:r>
    </w:p>
    <w:p>
      <w:pPr>
        <w:pStyle w:val="3"/>
        <w:widowControl/>
        <w:spacing w:before="176" w:beforeAutospacing="0"/>
        <w:ind w:left="0" w:leftChars="0" w:firstLine="0" w:firstLineChars="0"/>
        <w:rPr>
          <w:rFonts w:hint="eastAsia" w:ascii="宋体" w:hAnsi="宋体" w:eastAsia="宋体" w:cs="宋体"/>
          <w:b/>
          <w:bCs/>
          <w:kern w:val="0"/>
          <w:sz w:val="28"/>
          <w:szCs w:val="28"/>
        </w:rPr>
      </w:pPr>
      <w:r>
        <w:rPr>
          <w:rFonts w:hint="eastAsia" w:ascii="宋体" w:hAnsi="宋体" w:eastAsia="宋体" w:cs="宋体"/>
          <w:b/>
          <w:bCs/>
          <w:kern w:val="0"/>
          <w:sz w:val="28"/>
          <w:szCs w:val="28"/>
        </w:rPr>
        <w:t>二、参选书格式内容</w:t>
      </w:r>
    </w:p>
    <w:p>
      <w:pPr>
        <w:pStyle w:val="41"/>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参选人应按附件二格式内容要求进行参选书的编制。参选人应仔细阅读比选文件的所有内容，按照比选文件的要求提交参选文件。参选文件应对比选文件的要求作出实质性响应，并保证所提供的全部资料的真实性，否则，</w:t>
      </w:r>
      <w:r>
        <w:rPr>
          <w:rFonts w:hint="eastAsia" w:ascii="宋体" w:hAnsi="宋体" w:eastAsia="宋体" w:cs="宋体"/>
          <w:b/>
          <w:bCs/>
          <w:kern w:val="0"/>
          <w:sz w:val="24"/>
          <w:szCs w:val="24"/>
          <w:lang w:val="en-US" w:eastAsia="zh-CN" w:bidi="ar"/>
        </w:rPr>
        <w:t>其参选将被拒绝。</w:t>
      </w:r>
      <w:r>
        <w:rPr>
          <w:rFonts w:hint="eastAsia" w:ascii="宋体" w:hAnsi="宋体" w:eastAsia="宋体" w:cs="宋体"/>
          <w:kern w:val="0"/>
          <w:sz w:val="24"/>
          <w:szCs w:val="24"/>
          <w:lang w:val="en-US" w:eastAsia="zh-CN" w:bidi="ar"/>
        </w:rPr>
        <w:t>参选人应按附件二格式内容要求进行参选文件的编制，完整提供比选文件附件二所规定的全部资格证明文件并按规定盖章和签署。</w:t>
      </w:r>
    </w:p>
    <w:p>
      <w:pPr>
        <w:pStyle w:val="3"/>
        <w:widowControl/>
        <w:spacing w:before="176" w:beforeAutospacing="0"/>
        <w:ind w:left="0" w:leftChars="0" w:firstLine="0" w:firstLineChars="0"/>
        <w:rPr>
          <w:rFonts w:hint="eastAsia" w:ascii="宋体" w:hAnsi="宋体" w:eastAsia="宋体" w:cs="宋体"/>
          <w:b/>
          <w:bCs/>
          <w:kern w:val="0"/>
          <w:sz w:val="28"/>
          <w:szCs w:val="28"/>
        </w:rPr>
      </w:pPr>
      <w:r>
        <w:rPr>
          <w:rFonts w:hint="eastAsia" w:ascii="宋体" w:hAnsi="宋体" w:eastAsia="宋体" w:cs="宋体"/>
          <w:b/>
          <w:bCs/>
          <w:kern w:val="0"/>
          <w:sz w:val="28"/>
          <w:szCs w:val="28"/>
        </w:rPr>
        <w:t>三、参选报价</w:t>
      </w:r>
    </w:p>
    <w:p>
      <w:pPr>
        <w:pStyle w:val="41"/>
        <w:keepNext w:val="0"/>
        <w:keepLines w:val="0"/>
        <w:widowControl w:val="0"/>
        <w:suppressLineNumbers w:val="0"/>
        <w:autoSpaceDE w:val="0"/>
        <w:autoSpaceDN w:val="0"/>
        <w:spacing w:before="134" w:beforeAutospacing="0" w:after="0" w:afterAutospacing="0" w:line="352" w:lineRule="auto"/>
        <w:ind w:left="118" w:right="222" w:firstLine="477"/>
        <w:jc w:val="left"/>
        <w:rPr>
          <w:rFonts w:hint="eastAsia" w:ascii="宋体" w:hAnsi="宋体" w:eastAsia="宋体" w:cs="宋体"/>
          <w:kern w:val="0"/>
          <w:sz w:val="24"/>
          <w:szCs w:val="24"/>
        </w:rPr>
      </w:pPr>
      <w:r>
        <w:rPr>
          <w:rFonts w:hint="eastAsia" w:ascii="宋体" w:hAnsi="宋体" w:eastAsia="宋体" w:cs="宋体"/>
          <w:spacing w:val="-3"/>
          <w:kern w:val="0"/>
          <w:sz w:val="24"/>
          <w:szCs w:val="24"/>
          <w:lang w:val="en-US" w:eastAsia="zh-CN" w:bidi="ar"/>
        </w:rPr>
        <w:t>参选人须按要求进行报价</w:t>
      </w:r>
      <w:r>
        <w:rPr>
          <w:rFonts w:hint="eastAsia" w:ascii="宋体" w:hAnsi="宋体" w:eastAsia="宋体" w:cs="宋体"/>
          <w:kern w:val="0"/>
          <w:sz w:val="24"/>
          <w:szCs w:val="24"/>
          <w:lang w:val="en-US" w:eastAsia="zh-CN" w:bidi="ar"/>
        </w:rPr>
        <w:t>（即参选报价单</w:t>
      </w:r>
      <w:r>
        <w:rPr>
          <w:rFonts w:hint="eastAsia" w:ascii="宋体" w:hAnsi="宋体" w:eastAsia="宋体" w:cs="宋体"/>
          <w:spacing w:val="-29"/>
          <w:kern w:val="0"/>
          <w:sz w:val="24"/>
          <w:szCs w:val="24"/>
          <w:lang w:val="en-US" w:eastAsia="zh-CN" w:bidi="ar"/>
        </w:rPr>
        <w:t>），</w:t>
      </w:r>
      <w:r>
        <w:rPr>
          <w:rFonts w:hint="eastAsia" w:ascii="宋体" w:hAnsi="宋体" w:eastAsia="宋体" w:cs="宋体"/>
          <w:spacing w:val="-4"/>
          <w:kern w:val="0"/>
          <w:sz w:val="24"/>
          <w:szCs w:val="24"/>
          <w:lang w:val="en-US" w:eastAsia="zh-CN" w:bidi="ar"/>
        </w:rPr>
        <w:t>对参选报价负责。参选报价应加盖参选人印章，字迹清晰，否则视为无效。</w:t>
      </w:r>
    </w:p>
    <w:p>
      <w:pPr>
        <w:pStyle w:val="3"/>
        <w:widowControl/>
        <w:numPr>
          <w:ilvl w:val="0"/>
          <w:numId w:val="9"/>
        </w:numPr>
        <w:spacing w:before="30" w:beforeAutospacing="0"/>
        <w:ind w:left="0" w:leftChars="0" w:firstLine="0" w:firstLineChars="0"/>
        <w:rPr>
          <w:rFonts w:hint="eastAsia" w:ascii="宋体" w:hAnsi="宋体" w:eastAsia="宋体" w:cs="宋体"/>
          <w:b/>
          <w:bCs/>
          <w:kern w:val="0"/>
          <w:sz w:val="28"/>
          <w:szCs w:val="28"/>
        </w:rPr>
      </w:pPr>
      <w:r>
        <w:rPr>
          <w:rFonts w:hint="eastAsia" w:ascii="宋体" w:hAnsi="宋体" w:eastAsia="宋体" w:cs="宋体"/>
          <w:b/>
          <w:bCs/>
          <w:kern w:val="0"/>
          <w:sz w:val="28"/>
          <w:szCs w:val="28"/>
        </w:rPr>
        <w:t>特别说明</w:t>
      </w:r>
    </w:p>
    <w:p>
      <w:pPr>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 xml:space="preserve"> </w:t>
      </w:r>
    </w:p>
    <w:p>
      <w:pPr>
        <w:pStyle w:val="41"/>
        <w:keepNext w:val="0"/>
        <w:keepLines w:val="0"/>
        <w:widowControl w:val="0"/>
        <w:suppressLineNumbers w:val="0"/>
        <w:autoSpaceDE w:val="0"/>
        <w:autoSpaceDN w:val="0"/>
        <w:spacing w:before="0" w:beforeAutospacing="0" w:after="0" w:afterAutospacing="0" w:line="360" w:lineRule="auto"/>
        <w:ind w:left="335" w:leftChars="36" w:right="222" w:hanging="256" w:hangingChars="107"/>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spacing w:val="-5"/>
          <w:kern w:val="0"/>
          <w:sz w:val="24"/>
          <w:szCs w:val="24"/>
          <w:lang w:val="en-US" w:eastAsia="zh-CN" w:bidi="ar"/>
        </w:rPr>
        <w:t>参选人承担所有与准备和参加比选有关的费用。</w:t>
      </w:r>
      <w:r>
        <w:rPr>
          <w:rFonts w:hint="eastAsia" w:ascii="宋体" w:hAnsi="宋体" w:eastAsia="宋体" w:cs="宋体"/>
          <w:kern w:val="0"/>
          <w:sz w:val="24"/>
          <w:szCs w:val="24"/>
          <w:lang w:val="en-US" w:eastAsia="zh-CN" w:bidi="ar"/>
        </w:rPr>
        <w:t>无论比选过程中的作法和结果如何，</w:t>
      </w:r>
      <w:r>
        <w:rPr>
          <w:rFonts w:hint="eastAsia" w:ascii="宋体" w:hAnsi="宋体" w:eastAsia="宋体" w:cs="宋体"/>
          <w:spacing w:val="-5"/>
          <w:kern w:val="0"/>
          <w:sz w:val="24"/>
          <w:szCs w:val="24"/>
          <w:lang w:val="en-US" w:eastAsia="zh-CN" w:bidi="ar"/>
        </w:rPr>
        <w:t>比选机构和比选人均无义务和责任承担这些费用，参选</w:t>
      </w:r>
      <w:r>
        <w:rPr>
          <w:rFonts w:hint="eastAsia" w:ascii="宋体" w:hAnsi="宋体" w:eastAsia="宋体" w:cs="宋体"/>
          <w:kern w:val="0"/>
          <w:sz w:val="24"/>
          <w:szCs w:val="24"/>
          <w:lang w:val="en-US" w:eastAsia="zh-CN" w:bidi="ar"/>
        </w:rPr>
        <w:t>人应自行承担所有与参加投标有关的全部费用。</w:t>
      </w:r>
    </w:p>
    <w:p>
      <w:pPr>
        <w:pStyle w:val="41"/>
        <w:keepNext w:val="0"/>
        <w:keepLines w:val="0"/>
        <w:widowControl w:val="0"/>
        <w:suppressLineNumbers w:val="0"/>
        <w:autoSpaceDE w:val="0"/>
        <w:autoSpaceDN w:val="0"/>
        <w:spacing w:before="0" w:beforeAutospacing="0" w:after="0" w:afterAutospacing="0" w:line="360" w:lineRule="auto"/>
        <w:ind w:left="335" w:leftChars="36" w:right="224" w:hanging="256" w:hangingChars="107"/>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w:t>
      </w:r>
      <w:r>
        <w:rPr>
          <w:rFonts w:hint="eastAsia" w:ascii="宋体" w:hAnsi="宋体" w:eastAsia="宋体" w:cs="宋体"/>
          <w:spacing w:val="-9"/>
          <w:kern w:val="0"/>
          <w:sz w:val="24"/>
          <w:szCs w:val="24"/>
          <w:lang w:val="en-US" w:eastAsia="zh-CN" w:bidi="ar"/>
        </w:rPr>
        <w:t>参选人收到比选文件后，如有疑问需要澄清，请以书面形式在规定时间内报比选人汇总。</w:t>
      </w:r>
    </w:p>
    <w:p>
      <w:pPr>
        <w:pStyle w:val="41"/>
        <w:keepNext w:val="0"/>
        <w:keepLines w:val="0"/>
        <w:widowControl w:val="0"/>
        <w:suppressLineNumbers w:val="0"/>
        <w:autoSpaceDE w:val="0"/>
        <w:autoSpaceDN w:val="0"/>
        <w:spacing w:before="0" w:beforeAutospacing="0" w:after="0" w:afterAutospacing="0" w:line="360" w:lineRule="auto"/>
        <w:ind w:left="335" w:leftChars="36" w:right="226" w:hanging="256" w:hangingChars="107"/>
        <w:jc w:val="both"/>
        <w:rPr>
          <w:rFonts w:hint="eastAsia" w:ascii="宋体" w:hAnsi="宋体" w:eastAsia="宋体" w:cs="宋体"/>
          <w:spacing w:val="-9"/>
          <w:kern w:val="0"/>
          <w:sz w:val="24"/>
          <w:szCs w:val="24"/>
        </w:rPr>
      </w:pPr>
      <w:r>
        <w:rPr>
          <w:rFonts w:hint="eastAsia" w:ascii="宋体" w:hAnsi="宋体" w:eastAsia="宋体" w:cs="宋体"/>
          <w:kern w:val="0"/>
          <w:sz w:val="24"/>
          <w:szCs w:val="24"/>
          <w:lang w:val="en-US" w:eastAsia="zh-CN" w:bidi="ar"/>
        </w:rPr>
        <w:t>3.</w:t>
      </w:r>
      <w:r>
        <w:rPr>
          <w:rFonts w:hint="eastAsia" w:ascii="宋体" w:hAnsi="宋体" w:eastAsia="宋体" w:cs="宋体"/>
          <w:spacing w:val="-6"/>
          <w:kern w:val="0"/>
          <w:sz w:val="24"/>
          <w:szCs w:val="24"/>
          <w:lang w:val="en-US" w:eastAsia="zh-CN" w:bidi="ar"/>
        </w:rPr>
        <w:t>参选人对比选人提供的比选文件所做出的推论、解释和结论，比选人概不负责。参</w:t>
      </w:r>
      <w:r>
        <w:rPr>
          <w:rFonts w:hint="eastAsia" w:ascii="宋体" w:hAnsi="宋体" w:eastAsia="宋体" w:cs="宋体"/>
          <w:spacing w:val="-9"/>
          <w:kern w:val="0"/>
          <w:sz w:val="24"/>
          <w:szCs w:val="24"/>
          <w:lang w:val="en-US" w:eastAsia="zh-CN" w:bidi="ar"/>
        </w:rPr>
        <w:t>选人由于对比选文件的任何推论和误解以及比选对有关问题的口头解释所造成的后果，均由参选人负责。</w:t>
      </w:r>
    </w:p>
    <w:p>
      <w:pPr>
        <w:pStyle w:val="41"/>
        <w:keepNext w:val="0"/>
        <w:keepLines w:val="0"/>
        <w:widowControl w:val="0"/>
        <w:suppressLineNumbers w:val="0"/>
        <w:autoSpaceDE w:val="0"/>
        <w:autoSpaceDN w:val="0"/>
        <w:spacing w:before="0" w:beforeAutospacing="1" w:after="0" w:afterAutospacing="0" w:line="360" w:lineRule="auto"/>
        <w:ind w:left="316" w:leftChars="36" w:right="0" w:hanging="237" w:hangingChars="107"/>
        <w:jc w:val="left"/>
        <w:rPr>
          <w:rFonts w:hint="eastAsia" w:ascii="宋体" w:hAnsi="宋体" w:eastAsia="宋体" w:cs="宋体"/>
          <w:b/>
          <w:bCs/>
          <w:kern w:val="0"/>
          <w:sz w:val="24"/>
          <w:szCs w:val="24"/>
          <w:u w:val="double"/>
        </w:rPr>
      </w:pPr>
      <w:r>
        <w:rPr>
          <w:rFonts w:hint="eastAsia" w:ascii="宋体" w:hAnsi="宋体" w:eastAsia="宋体" w:cs="宋体"/>
          <w:spacing w:val="-9"/>
          <w:kern w:val="0"/>
          <w:sz w:val="24"/>
          <w:szCs w:val="24"/>
          <w:lang w:val="en-US" w:eastAsia="zh-CN" w:bidi="ar"/>
        </w:rPr>
        <w:t>4</w:t>
      </w:r>
      <w:r>
        <w:rPr>
          <w:rFonts w:hint="eastAsia" w:cs="宋体"/>
          <w:spacing w:val="-9"/>
          <w:kern w:val="0"/>
          <w:sz w:val="24"/>
          <w:szCs w:val="24"/>
          <w:lang w:val="en-US" w:eastAsia="zh-CN" w:bidi="ar"/>
        </w:rPr>
        <w:t>.</w:t>
      </w:r>
      <w:r>
        <w:rPr>
          <w:rFonts w:hint="eastAsia" w:ascii="宋体" w:hAnsi="宋体" w:eastAsia="宋体" w:cs="宋体"/>
          <w:kern w:val="0"/>
          <w:sz w:val="24"/>
          <w:szCs w:val="24"/>
          <w:lang w:val="en-US" w:eastAsia="zh-CN" w:bidi="ar"/>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41"/>
        <w:keepNext w:val="0"/>
        <w:keepLines w:val="0"/>
        <w:widowControl w:val="0"/>
        <w:suppressLineNumbers w:val="0"/>
        <w:autoSpaceDE w:val="0"/>
        <w:autoSpaceDN w:val="0"/>
        <w:spacing w:before="0" w:beforeAutospacing="0" w:after="0" w:afterAutospacing="0" w:line="360" w:lineRule="auto"/>
        <w:ind w:left="335" w:leftChars="36" w:right="226" w:hanging="256" w:hangingChars="107"/>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参选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41"/>
        <w:keepNext w:val="0"/>
        <w:keepLines w:val="0"/>
        <w:widowControl w:val="0"/>
        <w:suppressLineNumbers w:val="0"/>
        <w:autoSpaceDE w:val="0"/>
        <w:autoSpaceDN w:val="0"/>
        <w:spacing w:before="0" w:beforeAutospacing="0" w:after="0" w:afterAutospacing="0" w:line="360" w:lineRule="auto"/>
        <w:ind w:left="335" w:leftChars="36" w:right="227" w:hanging="256" w:hangingChars="107"/>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6. 参选文件对比选文件未提出异议的条款，均被视为参选人已接受和同意。参选文件与比选文件有差异之处，均应按“偏离表”的格式统一汇总说明。</w:t>
      </w:r>
    </w:p>
    <w:p>
      <w:pPr>
        <w:pStyle w:val="41"/>
        <w:keepNext w:val="0"/>
        <w:keepLines w:val="0"/>
        <w:widowControl w:val="0"/>
        <w:suppressLineNumbers w:val="0"/>
        <w:autoSpaceDE w:val="0"/>
        <w:autoSpaceDN w:val="0"/>
        <w:spacing w:before="0" w:beforeAutospacing="0" w:after="0" w:afterAutospacing="0" w:line="360" w:lineRule="auto"/>
        <w:ind w:left="335" w:leftChars="36" w:right="227" w:hanging="256" w:hangingChars="107"/>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7. 参选报价</w:t>
      </w:r>
    </w:p>
    <w:p>
      <w:pPr>
        <w:keepNext w:val="0"/>
        <w:keepLines w:val="0"/>
        <w:widowControl w:val="0"/>
        <w:suppressLineNumbers w:val="0"/>
        <w:autoSpaceDE w:val="0"/>
        <w:autoSpaceDN w:val="0"/>
        <w:spacing w:before="0" w:beforeAutospacing="0" w:after="0" w:afterAutospacing="0" w:line="360" w:lineRule="auto"/>
        <w:ind w:left="335" w:leftChars="36" w:right="0" w:hanging="256" w:hangingChars="107"/>
        <w:jc w:val="left"/>
        <w:rPr>
          <w:rFonts w:hint="eastAsia" w:ascii="宋体" w:hAnsi="宋体" w:eastAsia="宋体" w:cs="黑体"/>
          <w:b/>
          <w:bCs/>
          <w:kern w:val="0"/>
          <w:sz w:val="24"/>
          <w:szCs w:val="24"/>
        </w:rPr>
      </w:pPr>
      <w:r>
        <w:rPr>
          <w:rFonts w:hint="eastAsia" w:ascii="宋体" w:hAnsi="宋体" w:eastAsia="宋体" w:cs="宋体"/>
          <w:kern w:val="0"/>
          <w:sz w:val="24"/>
          <w:szCs w:val="24"/>
          <w:lang w:val="en-US" w:eastAsia="zh-CN" w:bidi="ar"/>
        </w:rPr>
        <w:t>7.1 参选人应在参选文件所附的参选报价表上写明参选</w:t>
      </w:r>
      <w:r>
        <w:rPr>
          <w:rFonts w:hint="eastAsia" w:ascii="宋体" w:hAnsi="宋体" w:eastAsia="宋体" w:cs="宋体"/>
          <w:b/>
          <w:bCs/>
          <w:kern w:val="0"/>
          <w:sz w:val="24"/>
          <w:szCs w:val="24"/>
          <w:lang w:val="en-US" w:eastAsia="zh-CN" w:bidi="ar"/>
        </w:rPr>
        <w:t>价格</w:t>
      </w:r>
      <w:r>
        <w:rPr>
          <w:rFonts w:hint="eastAsia" w:ascii="宋体" w:hAnsi="宋体" w:eastAsia="宋体" w:cs="宋体"/>
          <w:kern w:val="0"/>
          <w:sz w:val="24"/>
          <w:szCs w:val="24"/>
          <w:lang w:val="en-US" w:eastAsia="zh-CN" w:bidi="ar"/>
        </w:rPr>
        <w:t>。</w:t>
      </w:r>
    </w:p>
    <w:p>
      <w:pPr>
        <w:keepNext w:val="0"/>
        <w:keepLines w:val="0"/>
        <w:widowControl w:val="0"/>
        <w:suppressLineNumbers w:val="0"/>
        <w:autoSpaceDE w:val="0"/>
        <w:autoSpaceDN w:val="0"/>
        <w:spacing w:before="0" w:beforeAutospacing="0" w:after="0" w:afterAutospacing="0" w:line="360" w:lineRule="auto"/>
        <w:ind w:left="335" w:leftChars="36" w:right="0" w:hanging="256" w:hangingChars="107"/>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7.2 参选报价将按照参选文件第</w:t>
      </w:r>
      <w:r>
        <w:rPr>
          <w:rFonts w:hint="eastAsia" w:ascii="宋体" w:hAnsi="宋体" w:eastAsia="宋体" w:cs="宋体"/>
          <w:b/>
          <w:bCs/>
          <w:kern w:val="0"/>
          <w:sz w:val="24"/>
          <w:szCs w:val="24"/>
          <w:lang w:val="en-US" w:eastAsia="zh-CN" w:bidi="ar"/>
        </w:rPr>
        <w:t>4</w:t>
      </w:r>
      <w:r>
        <w:rPr>
          <w:rFonts w:hint="eastAsia" w:ascii="宋体" w:hAnsi="宋体" w:eastAsia="宋体" w:cs="宋体"/>
          <w:kern w:val="0"/>
          <w:sz w:val="24"/>
          <w:szCs w:val="24"/>
          <w:lang w:val="en-US" w:eastAsia="zh-CN" w:bidi="ar"/>
        </w:rPr>
        <w:t>章“评选规则”的规定进行。</w:t>
      </w:r>
    </w:p>
    <w:p>
      <w:pPr>
        <w:keepNext w:val="0"/>
        <w:keepLines w:val="0"/>
        <w:widowControl w:val="0"/>
        <w:suppressLineNumbers w:val="0"/>
        <w:autoSpaceDE w:val="0"/>
        <w:autoSpaceDN w:val="0"/>
        <w:spacing w:before="0" w:beforeAutospacing="0" w:after="0" w:afterAutospacing="0" w:line="360" w:lineRule="auto"/>
        <w:ind w:left="335" w:leftChars="36" w:right="0" w:hanging="256" w:hangingChars="107"/>
        <w:jc w:val="left"/>
        <w:rPr>
          <w:rFonts w:hint="eastAsia" w:ascii="宋体" w:hAnsi="宋体" w:eastAsia="宋体" w:cs="黑体"/>
          <w:b/>
          <w:bCs/>
          <w:kern w:val="0"/>
          <w:sz w:val="24"/>
          <w:szCs w:val="24"/>
        </w:rPr>
      </w:pPr>
      <w:r>
        <w:rPr>
          <w:rFonts w:hint="eastAsia" w:ascii="宋体" w:hAnsi="宋体" w:eastAsia="宋体" w:cs="宋体"/>
          <w:kern w:val="0"/>
          <w:sz w:val="24"/>
          <w:szCs w:val="24"/>
          <w:lang w:val="en-US" w:eastAsia="zh-CN" w:bidi="ar"/>
        </w:rPr>
        <w:t>7.3 除非另有规定或许可，国内参选人应用人民币报价。</w:t>
      </w:r>
    </w:p>
    <w:p>
      <w:pPr>
        <w:keepNext w:val="0"/>
        <w:keepLines w:val="0"/>
        <w:widowControl w:val="0"/>
        <w:suppressLineNumbers w:val="0"/>
        <w:autoSpaceDE w:val="0"/>
        <w:autoSpaceDN w:val="0"/>
        <w:spacing w:before="0" w:beforeAutospacing="0" w:after="0" w:afterAutospacing="0" w:line="360" w:lineRule="auto"/>
        <w:ind w:left="335" w:leftChars="36" w:right="0" w:hanging="256" w:hangingChars="107"/>
        <w:jc w:val="left"/>
        <w:rPr>
          <w:rFonts w:hint="eastAsia" w:ascii="宋体" w:hAnsi="宋体" w:eastAsia="宋体" w:cs="黑体"/>
          <w:kern w:val="0"/>
          <w:sz w:val="24"/>
          <w:szCs w:val="24"/>
        </w:rPr>
      </w:pPr>
      <w:r>
        <w:rPr>
          <w:rFonts w:hint="eastAsia" w:ascii="宋体" w:hAnsi="宋体" w:eastAsia="宋体" w:cs="宋体"/>
          <w:kern w:val="0"/>
          <w:sz w:val="24"/>
          <w:szCs w:val="24"/>
          <w:lang w:val="en-US" w:eastAsia="zh-CN" w:bidi="ar"/>
        </w:rPr>
        <w:t>7.4</w:t>
      </w:r>
      <w:r>
        <w:rPr>
          <w:rFonts w:hint="eastAsia" w:ascii="宋体" w:hAnsi="宋体" w:eastAsia="宋体" w:cs="宋体"/>
          <w:b/>
          <w:bCs/>
          <w:kern w:val="0"/>
          <w:sz w:val="24"/>
          <w:szCs w:val="24"/>
          <w:lang w:val="en-US" w:eastAsia="zh-CN" w:bidi="ar"/>
        </w:rPr>
        <w:t xml:space="preserve"> </w:t>
      </w:r>
      <w:r>
        <w:rPr>
          <w:rFonts w:hint="eastAsia" w:ascii="宋体" w:hAnsi="宋体" w:eastAsia="宋体" w:cs="宋体"/>
          <w:kern w:val="0"/>
          <w:sz w:val="24"/>
          <w:szCs w:val="24"/>
          <w:lang w:val="en-US" w:eastAsia="zh-CN" w:bidi="ar"/>
        </w:rPr>
        <w:t>参选人对每项内容只允许有一个报价，比选人不接受有任何选择的报价。</w:t>
      </w:r>
    </w:p>
    <w:p>
      <w:pPr>
        <w:pStyle w:val="41"/>
        <w:keepNext w:val="0"/>
        <w:keepLines w:val="0"/>
        <w:widowControl w:val="0"/>
        <w:suppressLineNumbers w:val="0"/>
        <w:autoSpaceDE w:val="0"/>
        <w:autoSpaceDN w:val="0"/>
        <w:spacing w:before="0" w:beforeAutospacing="0" w:after="0" w:afterAutospacing="0" w:line="360" w:lineRule="auto"/>
        <w:ind w:left="335" w:leftChars="36" w:right="226" w:hanging="256" w:hangingChars="107"/>
        <w:jc w:val="both"/>
        <w:rPr>
          <w:rFonts w:hint="eastAsia" w:ascii="宋体" w:hAnsi="宋体" w:eastAsia="宋体" w:cs="宋体"/>
          <w:kern w:val="0"/>
          <w:sz w:val="24"/>
          <w:szCs w:val="24"/>
          <w:highlight w:val="yellow"/>
        </w:rPr>
      </w:pPr>
      <w:r>
        <w:rPr>
          <w:rFonts w:hint="eastAsia" w:ascii="宋体" w:hAnsi="宋体" w:eastAsia="宋体" w:cs="宋体"/>
          <w:kern w:val="0"/>
          <w:sz w:val="24"/>
          <w:szCs w:val="24"/>
          <w:lang w:val="en-US" w:eastAsia="zh-CN" w:bidi="ar"/>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41"/>
        <w:keepNext w:val="0"/>
        <w:keepLines w:val="0"/>
        <w:widowControl w:val="0"/>
        <w:suppressLineNumbers w:val="0"/>
        <w:autoSpaceDE w:val="0"/>
        <w:autoSpaceDN w:val="0"/>
        <w:spacing w:before="0" w:beforeAutospacing="0" w:after="0" w:afterAutospacing="0" w:line="360" w:lineRule="auto"/>
        <w:ind w:left="335" w:leftChars="36" w:right="226" w:hanging="256" w:hangingChars="107"/>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8. 参选文件的正本和副本均需打（复）印或使用不褪色的蓝、黑墨水笔书写，字迹应清晰易于辨认，并应在投标文件封面上清楚的注明“正本”或“副本”。正本与副本如有不一致之处，则以正本为准。</w:t>
      </w:r>
    </w:p>
    <w:p>
      <w:pPr>
        <w:keepNext w:val="0"/>
        <w:keepLines w:val="0"/>
        <w:widowControl w:val="0"/>
        <w:suppressLineNumbers w:val="0"/>
        <w:autoSpaceDE w:val="0"/>
        <w:autoSpaceDN w:val="0"/>
        <w:spacing w:before="0" w:beforeAutospacing="0" w:after="0" w:afterAutospacing="0" w:line="360" w:lineRule="auto"/>
        <w:ind w:left="335" w:leftChars="36" w:right="0" w:hanging="256" w:hangingChars="107"/>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9. 参选文件正本应按要求由经正式授权的参选人代表签字并加盖参选人公章。副本可以用复印件。</w:t>
      </w:r>
    </w:p>
    <w:p>
      <w:pPr>
        <w:spacing w:line="480" w:lineRule="exact"/>
        <w:ind w:left="335" w:leftChars="36" w:hanging="256" w:hangingChars="107"/>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left="376" w:leftChars="171" w:right="121" w:firstLine="400" w:firstLineChars="167"/>
        <w:jc w:val="both"/>
        <w:rPr>
          <w:lang w:eastAsia="zh-CN"/>
        </w:rPr>
      </w:pPr>
      <w:r>
        <w:rPr>
          <w:rFonts w:hint="eastAsia"/>
          <w:lang w:eastAsia="zh-CN"/>
        </w:rPr>
        <w:t>本项目设置最高控制价人民币2</w:t>
      </w:r>
      <w:r>
        <w:rPr>
          <w:rFonts w:hint="eastAsia"/>
          <w:lang w:val="en-US" w:eastAsia="zh-CN"/>
        </w:rPr>
        <w:t>18</w:t>
      </w:r>
      <w:r>
        <w:rPr>
          <w:rFonts w:hint="eastAsia"/>
          <w:lang w:eastAsia="zh-CN"/>
        </w:rPr>
        <w:t>,</w:t>
      </w:r>
      <w:r>
        <w:rPr>
          <w:rFonts w:hint="eastAsia"/>
          <w:lang w:val="en-US" w:eastAsia="zh-CN"/>
        </w:rPr>
        <w:t>1</w:t>
      </w:r>
      <w:r>
        <w:rPr>
          <w:rFonts w:hint="eastAsia"/>
          <w:lang w:eastAsia="zh-CN"/>
        </w:rPr>
        <w:t>00.00</w:t>
      </w:r>
      <w:r>
        <w:rPr>
          <w:rFonts w:hint="eastAsia" w:ascii="inherit" w:hAnsi="inherit"/>
          <w:sz w:val="22"/>
          <w:szCs w:val="22"/>
          <w:lang w:eastAsia="zh-CN"/>
        </w:rPr>
        <w:t>元，</w:t>
      </w:r>
      <w:r>
        <w:rPr>
          <w:rFonts w:hint="eastAsia"/>
          <w:lang w:eastAsia="zh-CN"/>
        </w:rPr>
        <w:t>参选人所填报的报价高于本项目最高限价的，其参选将被比选小组予以否决。</w:t>
      </w:r>
    </w:p>
    <w:p>
      <w:pPr>
        <w:tabs>
          <w:tab w:val="left" w:pos="709"/>
        </w:tabs>
        <w:spacing w:line="480" w:lineRule="exact"/>
        <w:ind w:left="376" w:leftChars="171" w:firstLine="427" w:firstLineChars="167"/>
        <w:rPr>
          <w:rFonts w:asciiTheme="minorEastAsia" w:hAnsiTheme="minorEastAsia" w:eastAsia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本自主比选采用商务报价决标的评标办法，经技术评选合格后选未税总价最低者作为中选人。</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240" w:leftChars="109" w:right="121" w:firstLine="0" w:firstLineChars="0"/>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left="240" w:leftChars="109" w:right="121" w:firstLine="0" w:firstLineChars="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left="240" w:leftChars="109" w:right="121" w:firstLine="0" w:firstLineChars="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left="240" w:leftChars="109" w:right="121" w:firstLine="0" w:firstLineChars="0"/>
        <w:jc w:val="both"/>
        <w:rPr>
          <w:lang w:eastAsia="zh-CN"/>
        </w:rPr>
      </w:pPr>
      <w:r>
        <w:rPr>
          <w:rFonts w:hint="eastAsia"/>
          <w:lang w:eastAsia="zh-CN"/>
        </w:rPr>
        <w:t>4、业主将根据评选结果与中选人签订合同。</w:t>
      </w: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6" w:type="default"/>
          <w:pgSz w:w="11910" w:h="16840"/>
          <w:pgMar w:top="106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7"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spacing w:line="360" w:lineRule="auto"/>
        <w:jc w:val="center"/>
        <w:rPr>
          <w:b/>
          <w:color w:val="000000"/>
          <w:sz w:val="44"/>
          <w:szCs w:val="44"/>
          <w:lang w:eastAsia="zh-CN"/>
        </w:rPr>
      </w:pPr>
      <w:r>
        <w:rPr>
          <w:rFonts w:hint="eastAsia"/>
          <w:b/>
          <w:bCs/>
          <w:sz w:val="44"/>
          <w:szCs w:val="44"/>
          <w:lang w:eastAsia="zh-CN"/>
        </w:rPr>
        <w:t>排海口环境监测</w:t>
      </w:r>
      <w:r>
        <w:rPr>
          <w:rFonts w:hint="eastAsia"/>
          <w:b/>
          <w:color w:val="000000"/>
          <w:sz w:val="44"/>
          <w:szCs w:val="44"/>
          <w:lang w:eastAsia="zh-CN"/>
        </w:rPr>
        <w:t>合同</w:t>
      </w:r>
    </w:p>
    <w:p>
      <w:pPr>
        <w:ind w:firstLine="4920" w:firstLineChars="2050"/>
        <w:rPr>
          <w:color w:val="000000"/>
          <w:sz w:val="24"/>
          <w:lang w:eastAsia="zh-CN"/>
        </w:rPr>
      </w:pPr>
    </w:p>
    <w:p>
      <w:pPr>
        <w:ind w:firstLine="4680" w:firstLineChars="1950"/>
        <w:rPr>
          <w:color w:val="000000"/>
          <w:sz w:val="24"/>
          <w:lang w:eastAsia="zh-CN"/>
        </w:rPr>
      </w:pPr>
      <w:r>
        <w:rPr>
          <w:rFonts w:hint="eastAsia"/>
          <w:color w:val="000000"/>
          <w:sz w:val="24"/>
          <w:lang w:eastAsia="zh-CN"/>
        </w:rPr>
        <w:t>合同编号：</w:t>
      </w:r>
    </w:p>
    <w:p>
      <w:pPr>
        <w:spacing w:line="360" w:lineRule="auto"/>
        <w:jc w:val="center"/>
        <w:outlineLvl w:val="0"/>
        <w:rPr>
          <w:b/>
          <w:color w:val="000000"/>
          <w:sz w:val="24"/>
          <w:lang w:eastAsia="zh-CN"/>
        </w:rPr>
      </w:pPr>
    </w:p>
    <w:p>
      <w:pPr>
        <w:spacing w:line="360" w:lineRule="auto"/>
        <w:jc w:val="center"/>
        <w:outlineLvl w:val="0"/>
        <w:rPr>
          <w:b/>
          <w:color w:val="000000"/>
          <w:sz w:val="24"/>
          <w:lang w:eastAsia="zh-CN"/>
        </w:rPr>
      </w:pPr>
    </w:p>
    <w:p>
      <w:pPr>
        <w:spacing w:line="360" w:lineRule="auto"/>
        <w:jc w:val="center"/>
        <w:outlineLvl w:val="0"/>
        <w:rPr>
          <w:b/>
          <w:color w:val="000000"/>
          <w:sz w:val="24"/>
          <w:lang w:eastAsia="zh-CN"/>
        </w:rPr>
      </w:pPr>
    </w:p>
    <w:p>
      <w:pPr>
        <w:spacing w:line="360" w:lineRule="auto"/>
        <w:outlineLvl w:val="0"/>
        <w:rPr>
          <w:b/>
          <w:color w:val="000000"/>
          <w:sz w:val="28"/>
          <w:szCs w:val="28"/>
          <w:lang w:eastAsia="zh-CN"/>
        </w:rPr>
      </w:pPr>
    </w:p>
    <w:p>
      <w:pPr>
        <w:spacing w:line="360" w:lineRule="auto"/>
        <w:outlineLvl w:val="0"/>
        <w:rPr>
          <w:b/>
          <w:color w:val="000000"/>
          <w:sz w:val="28"/>
          <w:szCs w:val="28"/>
          <w:lang w:eastAsia="zh-CN"/>
        </w:rPr>
      </w:pPr>
    </w:p>
    <w:p>
      <w:pPr>
        <w:spacing w:line="1080" w:lineRule="exact"/>
        <w:ind w:firstLine="320" w:firstLineChars="100"/>
        <w:rPr>
          <w:color w:val="000000"/>
          <w:sz w:val="32"/>
          <w:szCs w:val="32"/>
          <w:lang w:eastAsia="zh-CN"/>
        </w:rPr>
      </w:pPr>
      <w:r>
        <w:rPr>
          <w:rFonts w:hint="eastAsia"/>
          <w:color w:val="000000"/>
          <w:sz w:val="32"/>
          <w:szCs w:val="32"/>
          <w:lang w:eastAsia="zh-CN"/>
        </w:rPr>
        <w:t>委托方（甲方）：</w:t>
      </w:r>
      <w:r>
        <w:rPr>
          <w:rFonts w:hint="eastAsia"/>
          <w:color w:val="000000"/>
          <w:sz w:val="32"/>
          <w:szCs w:val="32"/>
          <w:u w:val="single"/>
          <w:lang w:eastAsia="zh-CN"/>
        </w:rPr>
        <w:t xml:space="preserve">翔鹭石化（漳州）有限公司     </w:t>
      </w:r>
      <w:r>
        <w:rPr>
          <w:rFonts w:hint="eastAsia"/>
          <w:color w:val="000000"/>
          <w:sz w:val="32"/>
          <w:szCs w:val="32"/>
          <w:lang w:eastAsia="zh-CN"/>
        </w:rPr>
        <w:t xml:space="preserve">             </w:t>
      </w:r>
    </w:p>
    <w:p>
      <w:pPr>
        <w:spacing w:line="1080" w:lineRule="exact"/>
        <w:ind w:firstLine="320" w:firstLineChars="100"/>
        <w:rPr>
          <w:color w:val="000000"/>
          <w:sz w:val="32"/>
          <w:szCs w:val="32"/>
          <w:u w:val="single"/>
          <w:lang w:eastAsia="zh-CN"/>
        </w:rPr>
      </w:pPr>
      <w:r>
        <w:rPr>
          <w:rFonts w:hint="eastAsia"/>
          <w:color w:val="000000"/>
          <w:sz w:val="32"/>
          <w:szCs w:val="32"/>
          <w:lang w:eastAsia="zh-CN"/>
        </w:rPr>
        <w:t>受托方（乙方）：</w:t>
      </w:r>
      <w:r>
        <w:rPr>
          <w:rFonts w:hint="eastAsia"/>
          <w:color w:val="000000"/>
          <w:sz w:val="32"/>
          <w:szCs w:val="32"/>
          <w:u w:val="single"/>
          <w:lang w:eastAsia="zh-CN"/>
        </w:rPr>
        <w:t xml:space="preserve">                             </w:t>
      </w:r>
    </w:p>
    <w:p>
      <w:pPr>
        <w:spacing w:line="1080" w:lineRule="exact"/>
        <w:ind w:firstLine="320" w:firstLineChars="100"/>
        <w:rPr>
          <w:color w:val="000000"/>
          <w:sz w:val="32"/>
          <w:szCs w:val="32"/>
          <w:u w:val="single"/>
          <w:lang w:eastAsia="zh-CN"/>
        </w:rPr>
      </w:pPr>
      <w:r>
        <w:rPr>
          <w:rFonts w:hint="eastAsia"/>
          <w:color w:val="000000"/>
          <w:sz w:val="32"/>
          <w:szCs w:val="32"/>
          <w:lang w:eastAsia="zh-CN"/>
        </w:rPr>
        <w:t xml:space="preserve">签订时间：  </w:t>
      </w:r>
      <w:r>
        <w:rPr>
          <w:rFonts w:hint="eastAsia"/>
          <w:color w:val="000000"/>
          <w:sz w:val="32"/>
          <w:szCs w:val="32"/>
          <w:u w:val="single"/>
          <w:lang w:eastAsia="zh-CN"/>
        </w:rPr>
        <w:t xml:space="preserve">                                 </w:t>
      </w:r>
    </w:p>
    <w:p>
      <w:pPr>
        <w:spacing w:line="1080" w:lineRule="exact"/>
        <w:ind w:firstLine="320" w:firstLineChars="100"/>
        <w:rPr>
          <w:color w:val="000000"/>
          <w:sz w:val="32"/>
          <w:szCs w:val="32"/>
          <w:lang w:eastAsia="zh-CN"/>
        </w:rPr>
      </w:pPr>
      <w:r>
        <w:rPr>
          <w:rFonts w:hint="eastAsia"/>
          <w:color w:val="000000"/>
          <w:sz w:val="32"/>
          <w:szCs w:val="32"/>
          <w:lang w:eastAsia="zh-CN"/>
        </w:rPr>
        <w:t xml:space="preserve">签订地点：  </w:t>
      </w:r>
      <w:r>
        <w:rPr>
          <w:rFonts w:hint="eastAsia"/>
          <w:color w:val="000000"/>
          <w:sz w:val="32"/>
          <w:szCs w:val="32"/>
          <w:u w:val="single"/>
          <w:lang w:eastAsia="zh-CN"/>
        </w:rPr>
        <w:t xml:space="preserve">漳浦古雷                          </w:t>
      </w:r>
      <w:r>
        <w:rPr>
          <w:rFonts w:hint="eastAsia"/>
          <w:color w:val="000000"/>
          <w:sz w:val="32"/>
          <w:szCs w:val="32"/>
          <w:lang w:eastAsia="zh-CN"/>
        </w:rPr>
        <w:t xml:space="preserve">   </w:t>
      </w:r>
    </w:p>
    <w:p>
      <w:pPr>
        <w:spacing w:line="1080" w:lineRule="exact"/>
        <w:ind w:firstLine="320" w:firstLineChars="100"/>
        <w:rPr>
          <w:color w:val="000000"/>
          <w:sz w:val="32"/>
          <w:szCs w:val="32"/>
          <w:u w:val="single"/>
          <w:lang w:eastAsia="zh-CN"/>
        </w:rPr>
      </w:pPr>
      <w:r>
        <w:rPr>
          <w:rFonts w:hint="eastAsia"/>
          <w:color w:val="000000"/>
          <w:sz w:val="32"/>
          <w:szCs w:val="32"/>
          <w:lang w:eastAsia="zh-CN"/>
        </w:rPr>
        <w:t xml:space="preserve">有效期限： </w:t>
      </w:r>
      <w:r>
        <w:rPr>
          <w:rFonts w:hint="eastAsia"/>
          <w:color w:val="000000"/>
          <w:sz w:val="32"/>
          <w:szCs w:val="32"/>
          <w:u w:val="single"/>
          <w:lang w:eastAsia="zh-CN"/>
        </w:rPr>
        <w:t xml:space="preserve">一年（自合同签订生效之日起）       </w:t>
      </w:r>
      <w:r>
        <w:rPr>
          <w:rFonts w:hint="eastAsia"/>
          <w:color w:val="000000"/>
          <w:sz w:val="32"/>
          <w:szCs w:val="32"/>
          <w:lang w:eastAsia="zh-CN"/>
        </w:rPr>
        <w:t xml:space="preserve">        </w:t>
      </w:r>
    </w:p>
    <w:p>
      <w:pPr>
        <w:spacing w:line="1080" w:lineRule="exact"/>
        <w:jc w:val="center"/>
        <w:rPr>
          <w:b/>
          <w:color w:val="000000"/>
          <w:sz w:val="32"/>
          <w:szCs w:val="32"/>
          <w:u w:val="single"/>
          <w:lang w:eastAsia="zh-CN"/>
        </w:rPr>
      </w:pPr>
    </w:p>
    <w:p>
      <w:pPr>
        <w:jc w:val="center"/>
        <w:rPr>
          <w:b/>
          <w:color w:val="000000"/>
          <w:sz w:val="28"/>
          <w:szCs w:val="28"/>
          <w:lang w:eastAsia="zh-CN"/>
        </w:rPr>
      </w:pPr>
    </w:p>
    <w:p>
      <w:pPr>
        <w:jc w:val="center"/>
        <w:rPr>
          <w:b/>
          <w:color w:val="000000"/>
          <w:sz w:val="28"/>
          <w:szCs w:val="28"/>
          <w:lang w:eastAsia="zh-CN"/>
        </w:rPr>
      </w:pPr>
    </w:p>
    <w:p>
      <w:pPr>
        <w:jc w:val="center"/>
        <w:rPr>
          <w:b/>
          <w:color w:val="000000"/>
          <w:sz w:val="28"/>
          <w:szCs w:val="28"/>
          <w:lang w:eastAsia="zh-CN"/>
        </w:rPr>
      </w:pPr>
    </w:p>
    <w:p>
      <w:pPr>
        <w:jc w:val="center"/>
        <w:rPr>
          <w:b/>
          <w:color w:val="000000"/>
          <w:sz w:val="28"/>
          <w:szCs w:val="28"/>
          <w:lang w:eastAsia="zh-CN"/>
        </w:rPr>
      </w:pPr>
    </w:p>
    <w:p>
      <w:pPr>
        <w:spacing w:line="660" w:lineRule="exact"/>
        <w:ind w:firstLine="240" w:firstLineChars="100"/>
        <w:rPr>
          <w:color w:val="000000"/>
          <w:sz w:val="24"/>
          <w:lang w:eastAsia="zh-CN"/>
        </w:rPr>
      </w:pPr>
    </w:p>
    <w:p>
      <w:pPr>
        <w:spacing w:line="740" w:lineRule="exact"/>
        <w:ind w:firstLine="280" w:firstLineChars="100"/>
        <w:rPr>
          <w:color w:val="000000"/>
          <w:sz w:val="28"/>
          <w:szCs w:val="28"/>
          <w:lang w:eastAsia="zh-CN"/>
        </w:rPr>
      </w:pPr>
      <w:r>
        <w:rPr>
          <w:rFonts w:hint="eastAsia"/>
          <w:color w:val="000000"/>
          <w:sz w:val="28"/>
          <w:szCs w:val="28"/>
          <w:lang w:eastAsia="zh-CN"/>
        </w:rPr>
        <w:t xml:space="preserve">委托方（甲方）：  </w:t>
      </w:r>
      <w:r>
        <w:rPr>
          <w:rFonts w:hint="eastAsia"/>
          <w:color w:val="000000"/>
          <w:sz w:val="28"/>
          <w:szCs w:val="28"/>
          <w:u w:val="single"/>
          <w:lang w:eastAsia="zh-CN"/>
        </w:rPr>
        <w:t xml:space="preserve">翔鹭石化（漳州）有限公司            </w:t>
      </w:r>
      <w:r>
        <w:rPr>
          <w:rFonts w:hint="eastAsia"/>
          <w:color w:val="000000"/>
          <w:sz w:val="28"/>
          <w:szCs w:val="28"/>
          <w:lang w:eastAsia="zh-CN"/>
        </w:rPr>
        <w:t xml:space="preserve">     </w:t>
      </w:r>
    </w:p>
    <w:p>
      <w:pPr>
        <w:spacing w:line="740" w:lineRule="exact"/>
        <w:ind w:firstLine="280" w:firstLineChars="100"/>
        <w:rPr>
          <w:sz w:val="28"/>
          <w:szCs w:val="28"/>
          <w:u w:val="single"/>
          <w:lang w:eastAsia="zh-CN"/>
        </w:rPr>
      </w:pPr>
      <w:r>
        <w:rPr>
          <w:rFonts w:hint="eastAsia"/>
          <w:color w:val="000000"/>
          <w:sz w:val="28"/>
          <w:szCs w:val="28"/>
          <w:lang w:eastAsia="zh-CN"/>
        </w:rPr>
        <w:t>住  所  地：</w:t>
      </w:r>
      <w:r>
        <w:rPr>
          <w:rFonts w:hint="eastAsia"/>
          <w:color w:val="000000"/>
          <w:sz w:val="28"/>
          <w:szCs w:val="28"/>
          <w:u w:val="single"/>
          <w:lang w:eastAsia="zh-CN"/>
        </w:rPr>
        <w:t xml:space="preserve">   </w:t>
      </w:r>
      <w:r>
        <w:rPr>
          <w:rFonts w:hint="eastAsia" w:asciiTheme="majorEastAsia" w:hAnsiTheme="majorEastAsia" w:eastAsiaTheme="majorEastAsia"/>
          <w:color w:val="000000"/>
          <w:sz w:val="28"/>
          <w:szCs w:val="28"/>
          <w:u w:val="single"/>
          <w:lang w:eastAsia="zh-CN"/>
        </w:rPr>
        <w:t xml:space="preserve"> </w:t>
      </w:r>
      <w:r>
        <w:rPr>
          <w:rFonts w:hint="eastAsia"/>
          <w:sz w:val="28"/>
          <w:szCs w:val="28"/>
          <w:u w:val="single"/>
          <w:lang w:eastAsia="zh-CN"/>
        </w:rPr>
        <w:t>福建省漳州市古雷港经济开发区腾龙路8</w:t>
      </w:r>
      <w:r>
        <w:rPr>
          <w:rFonts w:hint="eastAsia" w:asciiTheme="majorEastAsia" w:hAnsiTheme="majorEastAsia" w:eastAsiaTheme="majorEastAsia"/>
          <w:sz w:val="28"/>
          <w:szCs w:val="28"/>
          <w:u w:val="single"/>
          <w:lang w:eastAsia="zh-CN"/>
        </w:rPr>
        <w:t>6</w:t>
      </w:r>
      <w:r>
        <w:rPr>
          <w:rFonts w:hint="eastAsia"/>
          <w:sz w:val="28"/>
          <w:szCs w:val="28"/>
          <w:u w:val="single"/>
          <w:lang w:eastAsia="zh-CN"/>
        </w:rPr>
        <w:t xml:space="preserve">号 </w:t>
      </w:r>
    </w:p>
    <w:p>
      <w:pPr>
        <w:spacing w:line="740" w:lineRule="exact"/>
        <w:ind w:firstLine="280" w:firstLineChars="100"/>
        <w:rPr>
          <w:color w:val="000000"/>
          <w:sz w:val="28"/>
          <w:szCs w:val="28"/>
          <w:u w:val="single"/>
          <w:lang w:eastAsia="zh-CN"/>
        </w:rPr>
      </w:pPr>
      <w:r>
        <w:rPr>
          <w:rFonts w:hint="eastAsia"/>
          <w:color w:val="000000"/>
          <w:sz w:val="28"/>
          <w:szCs w:val="28"/>
          <w:lang w:eastAsia="zh-CN"/>
        </w:rPr>
        <w:t>法定代表人：</w:t>
      </w:r>
      <w:r>
        <w:rPr>
          <w:rFonts w:hint="eastAsia"/>
          <w:color w:val="000000"/>
          <w:sz w:val="28"/>
          <w:szCs w:val="28"/>
          <w:u w:val="single"/>
          <w:lang w:eastAsia="zh-CN"/>
        </w:rPr>
        <w:t xml:space="preserve">                                           </w:t>
      </w:r>
    </w:p>
    <w:p>
      <w:pPr>
        <w:spacing w:line="740" w:lineRule="exact"/>
        <w:ind w:firstLine="280" w:firstLineChars="100"/>
        <w:rPr>
          <w:color w:val="000000"/>
          <w:sz w:val="28"/>
          <w:szCs w:val="28"/>
          <w:u w:val="single"/>
          <w:lang w:eastAsia="zh-CN"/>
        </w:rPr>
      </w:pPr>
      <w:r>
        <w:rPr>
          <w:rFonts w:hint="eastAsia"/>
          <w:color w:val="000000"/>
          <w:sz w:val="28"/>
          <w:szCs w:val="28"/>
          <w:lang w:eastAsia="zh-CN"/>
        </w:rPr>
        <w:t>项目联系人：</w:t>
      </w:r>
      <w:r>
        <w:rPr>
          <w:rFonts w:hint="eastAsia"/>
          <w:color w:val="000000"/>
          <w:sz w:val="28"/>
          <w:szCs w:val="28"/>
          <w:u w:val="single"/>
          <w:lang w:eastAsia="zh-CN"/>
        </w:rPr>
        <w:t xml:space="preserve">                                          </w:t>
      </w:r>
    </w:p>
    <w:p>
      <w:pPr>
        <w:adjustRightInd w:val="0"/>
        <w:snapToGrid w:val="0"/>
        <w:spacing w:line="740" w:lineRule="exact"/>
        <w:ind w:firstLine="280" w:firstLineChars="100"/>
        <w:rPr>
          <w:color w:val="000000"/>
          <w:sz w:val="28"/>
          <w:szCs w:val="28"/>
          <w:u w:val="single"/>
          <w:lang w:eastAsia="zh-CN"/>
        </w:rPr>
      </w:pPr>
      <w:r>
        <w:rPr>
          <w:rFonts w:hint="eastAsia"/>
          <w:color w:val="000000"/>
          <w:sz w:val="28"/>
          <w:szCs w:val="28"/>
          <w:lang w:eastAsia="zh-CN"/>
        </w:rPr>
        <w:t>联系方式：</w:t>
      </w:r>
      <w:r>
        <w:rPr>
          <w:rFonts w:hint="eastAsia"/>
          <w:sz w:val="28"/>
          <w:szCs w:val="28"/>
          <w:u w:val="single"/>
          <w:lang w:eastAsia="zh-CN"/>
        </w:rPr>
        <w:t xml:space="preserve">   </w:t>
      </w:r>
      <w:r>
        <w:rPr>
          <w:rFonts w:hint="eastAsia"/>
          <w:i/>
          <w:sz w:val="28"/>
          <w:szCs w:val="28"/>
          <w:u w:val="single"/>
          <w:lang w:eastAsia="zh-CN"/>
        </w:rPr>
        <w:t xml:space="preserve"> </w:t>
      </w:r>
      <w:r>
        <w:rPr>
          <w:rFonts w:hint="eastAsia"/>
          <w:color w:val="000000"/>
          <w:sz w:val="28"/>
          <w:szCs w:val="28"/>
          <w:u w:val="single"/>
          <w:lang w:eastAsia="zh-CN"/>
        </w:rPr>
        <w:t xml:space="preserve">                                         </w:t>
      </w:r>
    </w:p>
    <w:p>
      <w:pPr>
        <w:spacing w:line="740" w:lineRule="exact"/>
        <w:ind w:firstLine="280" w:firstLineChars="100"/>
        <w:rPr>
          <w:color w:val="000000"/>
          <w:sz w:val="28"/>
          <w:szCs w:val="28"/>
          <w:u w:val="single"/>
          <w:lang w:eastAsia="zh-CN"/>
        </w:rPr>
      </w:pPr>
      <w:r>
        <w:rPr>
          <w:rFonts w:hint="eastAsia"/>
          <w:color w:val="000000"/>
          <w:sz w:val="28"/>
          <w:szCs w:val="28"/>
          <w:lang w:eastAsia="zh-CN"/>
        </w:rPr>
        <w:t>通讯地址：</w:t>
      </w:r>
      <w:r>
        <w:rPr>
          <w:rFonts w:hint="eastAsia"/>
          <w:color w:val="000000"/>
          <w:sz w:val="28"/>
          <w:szCs w:val="28"/>
          <w:u w:val="single"/>
          <w:lang w:eastAsia="zh-CN"/>
        </w:rPr>
        <w:t xml:space="preserve">  </w:t>
      </w:r>
      <w:r>
        <w:rPr>
          <w:rFonts w:hint="eastAsia"/>
          <w:sz w:val="28"/>
          <w:szCs w:val="28"/>
          <w:u w:val="single"/>
          <w:lang w:eastAsia="zh-CN"/>
        </w:rPr>
        <w:t>福建省漳州市古雷港经济开发区腾龙路8</w:t>
      </w:r>
      <w:r>
        <w:rPr>
          <w:rFonts w:hint="eastAsia" w:asciiTheme="majorEastAsia" w:hAnsiTheme="majorEastAsia" w:eastAsiaTheme="majorEastAsia"/>
          <w:sz w:val="28"/>
          <w:szCs w:val="28"/>
          <w:u w:val="single"/>
          <w:lang w:eastAsia="zh-CN"/>
        </w:rPr>
        <w:t>6</w:t>
      </w:r>
      <w:r>
        <w:rPr>
          <w:rFonts w:hint="eastAsia"/>
          <w:sz w:val="28"/>
          <w:szCs w:val="28"/>
          <w:u w:val="single"/>
          <w:lang w:eastAsia="zh-CN"/>
        </w:rPr>
        <w:t>号</w:t>
      </w:r>
      <w:r>
        <w:rPr>
          <w:rFonts w:hint="eastAsia"/>
          <w:color w:val="000000"/>
          <w:sz w:val="28"/>
          <w:szCs w:val="28"/>
          <w:u w:val="single"/>
          <w:lang w:eastAsia="zh-CN"/>
        </w:rPr>
        <w:t xml:space="preserve">    </w:t>
      </w:r>
    </w:p>
    <w:p>
      <w:pPr>
        <w:spacing w:line="740" w:lineRule="exact"/>
        <w:ind w:firstLine="280" w:firstLineChars="100"/>
        <w:rPr>
          <w:color w:val="000000"/>
          <w:sz w:val="28"/>
          <w:szCs w:val="28"/>
          <w:u w:val="single"/>
          <w:lang w:eastAsia="zh-CN"/>
        </w:rPr>
      </w:pPr>
      <w:r>
        <w:rPr>
          <w:rFonts w:hint="eastAsia"/>
          <w:color w:val="000000"/>
          <w:sz w:val="28"/>
          <w:szCs w:val="28"/>
          <w:lang w:eastAsia="zh-CN"/>
        </w:rPr>
        <w:t>电    话：</w:t>
      </w:r>
      <w:r>
        <w:rPr>
          <w:rFonts w:hint="eastAsia"/>
          <w:color w:val="000000"/>
          <w:sz w:val="28"/>
          <w:szCs w:val="28"/>
          <w:u w:val="single"/>
          <w:lang w:eastAsia="zh-CN"/>
        </w:rPr>
        <w:t xml:space="preserve">                      </w:t>
      </w:r>
    </w:p>
    <w:p>
      <w:pPr>
        <w:spacing w:line="740" w:lineRule="exact"/>
        <w:ind w:firstLine="280" w:firstLineChars="100"/>
        <w:rPr>
          <w:color w:val="000000"/>
          <w:sz w:val="28"/>
          <w:szCs w:val="28"/>
          <w:u w:val="single"/>
          <w:lang w:eastAsia="zh-CN"/>
        </w:rPr>
      </w:pPr>
      <w:r>
        <w:rPr>
          <w:rFonts w:hint="eastAsia"/>
          <w:color w:val="000000"/>
          <w:sz w:val="28"/>
          <w:szCs w:val="28"/>
          <w:lang w:eastAsia="zh-CN"/>
        </w:rPr>
        <w:t>传    真：</w:t>
      </w:r>
      <w:r>
        <w:rPr>
          <w:rFonts w:hint="eastAsia"/>
          <w:color w:val="000000"/>
          <w:sz w:val="28"/>
          <w:szCs w:val="28"/>
          <w:u w:val="single"/>
          <w:lang w:eastAsia="zh-CN"/>
        </w:rPr>
        <w:t xml:space="preserve">                       </w:t>
      </w:r>
    </w:p>
    <w:p>
      <w:pPr>
        <w:spacing w:line="740" w:lineRule="exact"/>
        <w:ind w:left="297" w:leftChars="135"/>
        <w:rPr>
          <w:color w:val="000000"/>
          <w:sz w:val="28"/>
          <w:szCs w:val="28"/>
          <w:u w:val="single"/>
          <w:lang w:eastAsia="zh-CN"/>
        </w:rPr>
      </w:pPr>
    </w:p>
    <w:p>
      <w:pPr>
        <w:pStyle w:val="2"/>
        <w:rPr>
          <w:lang w:eastAsia="zh-CN"/>
        </w:rPr>
      </w:pPr>
    </w:p>
    <w:p>
      <w:pPr>
        <w:spacing w:line="740" w:lineRule="exact"/>
        <w:ind w:left="220" w:leftChars="100" w:firstLine="0" w:firstLineChars="0"/>
        <w:rPr>
          <w:color w:val="000000"/>
          <w:sz w:val="28"/>
          <w:szCs w:val="28"/>
          <w:u w:val="single"/>
          <w:lang w:eastAsia="zh-CN"/>
        </w:rPr>
      </w:pPr>
      <w:r>
        <w:rPr>
          <w:rFonts w:hint="eastAsia"/>
          <w:color w:val="000000"/>
          <w:sz w:val="28"/>
          <w:szCs w:val="28"/>
          <w:lang w:eastAsia="zh-CN"/>
        </w:rPr>
        <w:t>受托方（乙方）:</w:t>
      </w:r>
      <w:r>
        <w:rPr>
          <w:rFonts w:hint="eastAsia"/>
          <w:color w:val="000000"/>
          <w:sz w:val="28"/>
          <w:szCs w:val="28"/>
          <w:u w:val="single"/>
          <w:lang w:eastAsia="zh-CN"/>
        </w:rPr>
        <w:t xml:space="preserve">                                        </w:t>
      </w:r>
    </w:p>
    <w:p>
      <w:pPr>
        <w:spacing w:line="740" w:lineRule="exact"/>
        <w:ind w:left="220" w:leftChars="100" w:firstLine="0" w:firstLineChars="0"/>
        <w:rPr>
          <w:color w:val="000000"/>
          <w:sz w:val="28"/>
          <w:szCs w:val="28"/>
          <w:u w:val="single"/>
          <w:lang w:eastAsia="zh-CN"/>
        </w:rPr>
      </w:pPr>
      <w:r>
        <w:rPr>
          <w:rFonts w:hint="eastAsia"/>
          <w:color w:val="000000"/>
          <w:sz w:val="28"/>
          <w:szCs w:val="28"/>
          <w:lang w:eastAsia="zh-CN"/>
        </w:rPr>
        <w:t>住  所  地：</w:t>
      </w:r>
      <w:r>
        <w:rPr>
          <w:rFonts w:hint="eastAsia"/>
          <w:color w:val="000000"/>
          <w:sz w:val="28"/>
          <w:szCs w:val="28"/>
          <w:u w:val="single"/>
          <w:lang w:eastAsia="zh-CN"/>
        </w:rPr>
        <w:t xml:space="preserve">                                           </w:t>
      </w:r>
    </w:p>
    <w:p>
      <w:pPr>
        <w:spacing w:line="740" w:lineRule="exact"/>
        <w:ind w:left="220" w:leftChars="100" w:firstLine="0" w:firstLineChars="0"/>
        <w:rPr>
          <w:color w:val="000000"/>
          <w:sz w:val="28"/>
          <w:szCs w:val="28"/>
          <w:u w:val="single"/>
          <w:lang w:eastAsia="zh-CN"/>
        </w:rPr>
      </w:pPr>
      <w:r>
        <w:rPr>
          <w:rFonts w:hint="eastAsia"/>
          <w:color w:val="000000"/>
          <w:sz w:val="28"/>
          <w:szCs w:val="28"/>
          <w:lang w:eastAsia="zh-CN"/>
        </w:rPr>
        <w:t>法定代表人：</w:t>
      </w:r>
      <w:r>
        <w:rPr>
          <w:rFonts w:hint="eastAsia"/>
          <w:color w:val="000000"/>
          <w:sz w:val="28"/>
          <w:szCs w:val="28"/>
          <w:u w:val="single"/>
          <w:lang w:eastAsia="zh-CN"/>
        </w:rPr>
        <w:t xml:space="preserve">                                           </w:t>
      </w:r>
    </w:p>
    <w:p>
      <w:pPr>
        <w:spacing w:line="740" w:lineRule="exact"/>
        <w:ind w:left="220" w:leftChars="100" w:right="-516" w:firstLine="0" w:firstLineChars="0"/>
        <w:rPr>
          <w:sz w:val="28"/>
          <w:szCs w:val="28"/>
          <w:u w:val="single"/>
          <w:lang w:eastAsia="zh-CN"/>
        </w:rPr>
      </w:pPr>
      <w:r>
        <w:rPr>
          <w:rFonts w:hint="eastAsia"/>
          <w:color w:val="000000"/>
          <w:sz w:val="28"/>
          <w:szCs w:val="28"/>
          <w:lang w:eastAsia="zh-CN"/>
        </w:rPr>
        <w:t>项目联系人：</w:t>
      </w:r>
      <w:r>
        <w:rPr>
          <w:rFonts w:hint="eastAsia"/>
          <w:sz w:val="28"/>
          <w:szCs w:val="28"/>
          <w:u w:val="single"/>
          <w:lang w:eastAsia="zh-CN"/>
        </w:rPr>
        <w:t xml:space="preserve">                                            </w:t>
      </w:r>
    </w:p>
    <w:p>
      <w:pPr>
        <w:tabs>
          <w:tab w:val="left" w:pos="3969"/>
          <w:tab w:val="left" w:pos="4111"/>
        </w:tabs>
        <w:spacing w:line="740" w:lineRule="exact"/>
        <w:ind w:left="220" w:leftChars="100" w:firstLine="0" w:firstLineChars="0"/>
        <w:rPr>
          <w:b/>
          <w:color w:val="000000"/>
          <w:sz w:val="28"/>
          <w:szCs w:val="28"/>
          <w:u w:val="single"/>
          <w:lang w:eastAsia="zh-CN"/>
        </w:rPr>
      </w:pPr>
      <w:r>
        <w:rPr>
          <w:rFonts w:hint="eastAsia"/>
          <w:color w:val="000000"/>
          <w:sz w:val="28"/>
          <w:szCs w:val="28"/>
          <w:lang w:eastAsia="zh-CN"/>
        </w:rPr>
        <w:t>联系方式：</w:t>
      </w:r>
      <w:r>
        <w:rPr>
          <w:rFonts w:hint="eastAsia"/>
          <w:b/>
          <w:color w:val="000000"/>
          <w:sz w:val="28"/>
          <w:szCs w:val="28"/>
          <w:u w:val="single"/>
          <w:lang w:eastAsia="zh-CN"/>
        </w:rPr>
        <w:t xml:space="preserve">                                               </w:t>
      </w:r>
    </w:p>
    <w:p>
      <w:pPr>
        <w:tabs>
          <w:tab w:val="left" w:pos="3969"/>
          <w:tab w:val="left" w:pos="4111"/>
        </w:tabs>
        <w:spacing w:line="740" w:lineRule="exact"/>
        <w:ind w:left="220" w:leftChars="100" w:firstLine="0" w:firstLineChars="0"/>
        <w:rPr>
          <w:b/>
          <w:color w:val="000000"/>
          <w:sz w:val="28"/>
          <w:szCs w:val="28"/>
          <w:u w:val="single"/>
          <w:lang w:eastAsia="zh-CN"/>
        </w:rPr>
      </w:pPr>
      <w:r>
        <w:rPr>
          <w:rFonts w:hint="eastAsia"/>
          <w:color w:val="000000"/>
          <w:sz w:val="28"/>
          <w:szCs w:val="28"/>
          <w:lang w:eastAsia="zh-CN"/>
        </w:rPr>
        <w:t>电     话：</w:t>
      </w:r>
      <w:r>
        <w:rPr>
          <w:rFonts w:hint="eastAsia"/>
          <w:b/>
          <w:color w:val="000000"/>
          <w:sz w:val="28"/>
          <w:szCs w:val="28"/>
          <w:u w:val="single"/>
          <w:lang w:eastAsia="zh-CN"/>
        </w:rPr>
        <w:t xml:space="preserve"> </w:t>
      </w:r>
      <w:r>
        <w:rPr>
          <w:rFonts w:hint="eastAsia"/>
          <w:sz w:val="28"/>
          <w:szCs w:val="28"/>
          <w:u w:val="single"/>
          <w:lang w:eastAsia="zh-CN"/>
        </w:rPr>
        <w:t xml:space="preserve">     </w:t>
      </w:r>
      <w:r>
        <w:rPr>
          <w:rFonts w:hint="eastAsia"/>
          <w:b/>
          <w:color w:val="000000"/>
          <w:sz w:val="28"/>
          <w:szCs w:val="28"/>
          <w:u w:val="single"/>
          <w:lang w:eastAsia="zh-CN"/>
        </w:rPr>
        <w:t xml:space="preserve">                                     </w:t>
      </w:r>
    </w:p>
    <w:p>
      <w:pPr>
        <w:spacing w:line="740" w:lineRule="exact"/>
        <w:ind w:left="220" w:leftChars="100" w:right="-516" w:firstLine="0" w:firstLineChars="0"/>
        <w:rPr>
          <w:sz w:val="28"/>
          <w:szCs w:val="28"/>
          <w:lang w:eastAsia="zh-CN"/>
        </w:rPr>
      </w:pPr>
      <w:r>
        <w:rPr>
          <w:rFonts w:hint="eastAsia"/>
          <w:color w:val="000000"/>
          <w:sz w:val="28"/>
          <w:szCs w:val="28"/>
          <w:lang w:eastAsia="zh-CN"/>
        </w:rPr>
        <w:t>传     真：</w:t>
      </w:r>
      <w:r>
        <w:rPr>
          <w:rFonts w:hint="eastAsia"/>
          <w:color w:val="000000"/>
          <w:sz w:val="28"/>
          <w:szCs w:val="28"/>
          <w:u w:val="single"/>
          <w:lang w:eastAsia="zh-CN"/>
        </w:rPr>
        <w:t xml:space="preserve">                                             </w:t>
      </w:r>
    </w:p>
    <w:p>
      <w:pPr>
        <w:spacing w:line="600" w:lineRule="exact"/>
        <w:rPr>
          <w:color w:val="000000"/>
          <w:sz w:val="24"/>
          <w:lang w:eastAsia="zh-CN"/>
        </w:rPr>
      </w:pPr>
    </w:p>
    <w:p>
      <w:pPr>
        <w:spacing w:line="440" w:lineRule="exact"/>
        <w:ind w:firstLine="480" w:firstLineChars="200"/>
        <w:rPr>
          <w:rFonts w:asciiTheme="minorEastAsia" w:hAnsiTheme="minorEastAsia" w:eastAsiaTheme="minorEastAsia"/>
          <w:color w:val="000000"/>
          <w:sz w:val="24"/>
          <w:szCs w:val="24"/>
          <w:lang w:eastAsia="zh-CN"/>
        </w:rPr>
      </w:pPr>
    </w:p>
    <w:p>
      <w:pPr>
        <w:spacing w:line="440" w:lineRule="exact"/>
        <w:ind w:firstLine="480" w:firstLineChars="200"/>
        <w:rPr>
          <w:rFonts w:asciiTheme="minorEastAsia" w:hAnsiTheme="minorEastAsia" w:eastAsiaTheme="minorEastAsia"/>
          <w:color w:val="000000"/>
          <w:sz w:val="24"/>
          <w:szCs w:val="24"/>
          <w:lang w:eastAsia="zh-CN"/>
        </w:rPr>
      </w:pPr>
    </w:p>
    <w:p>
      <w:pPr>
        <w:spacing w:line="440" w:lineRule="exact"/>
        <w:ind w:firstLine="480" w:firstLineChars="200"/>
        <w:rPr>
          <w:rFonts w:asciiTheme="minorEastAsia" w:hAnsiTheme="minorEastAsia" w:eastAsiaTheme="minorEastAsia"/>
          <w:bCs/>
          <w:color w:val="000000"/>
          <w:spacing w:val="2"/>
          <w:sz w:val="24"/>
          <w:szCs w:val="24"/>
          <w:lang w:eastAsia="zh-CN"/>
        </w:rPr>
      </w:pPr>
      <w:r>
        <w:rPr>
          <w:rFonts w:hint="eastAsia" w:asciiTheme="minorEastAsia" w:hAnsiTheme="minorEastAsia" w:eastAsiaTheme="minorEastAsia"/>
          <w:color w:val="000000"/>
          <w:sz w:val="24"/>
          <w:szCs w:val="24"/>
          <w:lang w:eastAsia="zh-CN"/>
        </w:rPr>
        <w:t>甲方</w:t>
      </w:r>
      <w:r>
        <w:rPr>
          <w:rFonts w:hint="eastAsia" w:asciiTheme="minorEastAsia" w:hAnsiTheme="minorEastAsia" w:eastAsiaTheme="minorEastAsia"/>
          <w:color w:val="000000"/>
          <w:sz w:val="24"/>
          <w:szCs w:val="24"/>
          <w:u w:val="single"/>
          <w:lang w:eastAsia="zh-CN"/>
        </w:rPr>
        <w:t>翔鹭石化(漳州)有限公司</w:t>
      </w:r>
      <w:r>
        <w:rPr>
          <w:rFonts w:hint="eastAsia" w:asciiTheme="minorEastAsia" w:hAnsiTheme="minorEastAsia" w:eastAsiaTheme="minorEastAsia"/>
          <w:bCs/>
          <w:color w:val="000000"/>
          <w:sz w:val="24"/>
          <w:szCs w:val="24"/>
          <w:u w:val="single"/>
          <w:lang w:eastAsia="zh-CN"/>
        </w:rPr>
        <w:t xml:space="preserve">排海口环境监测项目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（以下简称“本项目”</w:t>
      </w:r>
      <w:r>
        <w:rPr>
          <w:rFonts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lang w:eastAsia="zh-CN"/>
        </w:rPr>
        <w:t>委托</w:t>
      </w:r>
      <w:r>
        <w:rPr>
          <w:rFonts w:hint="eastAsia" w:asciiTheme="minorEastAsia" w:hAnsiTheme="minorEastAsia" w:eastAsiaTheme="minorEastAsia"/>
          <w:color w:val="000000"/>
          <w:sz w:val="24"/>
          <w:szCs w:val="24"/>
          <w:u w:val="single"/>
          <w:lang w:eastAsia="zh-CN"/>
        </w:rPr>
        <w:t>乙方</w:t>
      </w:r>
      <w:r>
        <w:rPr>
          <w:rFonts w:hint="eastAsia" w:asciiTheme="minorEastAsia" w:hAnsiTheme="minorEastAsia" w:eastAsiaTheme="minorEastAsia"/>
          <w:color w:val="000000"/>
          <w:sz w:val="24"/>
          <w:szCs w:val="24"/>
          <w:u w:val="single"/>
          <w:lang w:val="en-US" w:eastAsia="zh-CN"/>
        </w:rPr>
        <w:t xml:space="preserve">                </w:t>
      </w:r>
      <w:r>
        <w:rPr>
          <w:rFonts w:hint="eastAsia" w:asciiTheme="minorEastAsia" w:hAnsiTheme="minorEastAsia" w:eastAsiaTheme="minorEastAsia"/>
          <w:color w:val="000000"/>
          <w:sz w:val="24"/>
          <w:szCs w:val="24"/>
          <w:lang w:eastAsia="zh-CN"/>
        </w:rPr>
        <w:t>开展</w:t>
      </w: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bCs/>
          <w:color w:val="000000"/>
          <w:sz w:val="24"/>
          <w:szCs w:val="24"/>
          <w:u w:val="single"/>
          <w:lang w:eastAsia="zh-CN"/>
        </w:rPr>
        <w:t xml:space="preserve">环境检测及分析 </w:t>
      </w:r>
      <w:r>
        <w:rPr>
          <w:rFonts w:hint="eastAsia" w:asciiTheme="minorEastAsia" w:hAnsiTheme="minorEastAsia" w:eastAsiaTheme="minorEastAsia"/>
          <w:color w:val="000000"/>
          <w:sz w:val="24"/>
          <w:szCs w:val="24"/>
          <w:lang w:eastAsia="zh-CN"/>
        </w:rPr>
        <w:t>技术服务工作，双方经过平等协商，在真实、充分地表达各自意愿的基础上，根据《中华人民共和国合同法》的规定，达成如下协议，并共同恪守。</w:t>
      </w:r>
    </w:p>
    <w:p>
      <w:pPr>
        <w:pStyle w:val="253"/>
        <w:numPr>
          <w:ilvl w:val="0"/>
          <w:numId w:val="10"/>
        </w:numPr>
        <w:spacing w:line="440" w:lineRule="exact"/>
        <w:rPr>
          <w:rFonts w:asciiTheme="minorEastAsia" w:hAnsiTheme="minorEastAsia" w:eastAsiaTheme="minorEastAsia"/>
          <w:b/>
          <w:bCs/>
          <w:color w:val="000000"/>
          <w:szCs w:val="24"/>
          <w:lang w:eastAsia="zh-CN"/>
        </w:rPr>
      </w:pPr>
      <w:r>
        <w:rPr>
          <w:rFonts w:hint="eastAsia" w:asciiTheme="minorEastAsia" w:hAnsiTheme="minorEastAsia" w:eastAsiaTheme="minorEastAsia"/>
          <w:b/>
          <w:bCs/>
          <w:color w:val="000000"/>
          <w:szCs w:val="24"/>
          <w:lang w:eastAsia="zh-CN"/>
        </w:rPr>
        <w:t>检测内容、要求、时间和方式：</w:t>
      </w:r>
    </w:p>
    <w:p>
      <w:pPr>
        <w:pStyle w:val="253"/>
        <w:tabs>
          <w:tab w:val="left" w:pos="709"/>
          <w:tab w:val="clear" w:pos="960"/>
        </w:tabs>
        <w:spacing w:line="440" w:lineRule="exact"/>
        <w:rPr>
          <w:rFonts w:asciiTheme="minorEastAsia" w:hAnsiTheme="minorEastAsia" w:eastAsiaTheme="minorEastAsia"/>
          <w:bCs/>
          <w:color w:val="000000"/>
          <w:szCs w:val="24"/>
          <w:lang w:eastAsia="zh-CN"/>
        </w:rPr>
      </w:pPr>
      <w:r>
        <w:rPr>
          <w:rFonts w:hint="eastAsia" w:asciiTheme="minorEastAsia" w:hAnsiTheme="minorEastAsia" w:eastAsiaTheme="minorEastAsia"/>
          <w:bCs/>
          <w:color w:val="000000"/>
          <w:szCs w:val="24"/>
          <w:lang w:eastAsia="zh-CN"/>
        </w:rPr>
        <w:t>1、咨询内容：甲方委托乙方进行“翔鹭石化（漳州）有限公司排海口检测项目”开展环境检测工作。</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bCs/>
        </w:rPr>
        <w:t>2、</w:t>
      </w:r>
      <w:r>
        <w:rPr>
          <w:rFonts w:hint="eastAsia" w:asciiTheme="minorEastAsia" w:hAnsiTheme="minorEastAsia" w:eastAsiaTheme="minorEastAsia"/>
          <w:snapToGrid w:val="0"/>
          <w:color w:val="auto"/>
        </w:rPr>
        <w:t>监测项目：</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2.1 海洋水文气象：水色、透明度、水温、</w:t>
      </w:r>
      <w:r>
        <w:rPr>
          <w:rFonts w:asciiTheme="minorEastAsia" w:hAnsiTheme="minorEastAsia" w:eastAsiaTheme="minorEastAsia"/>
          <w:snapToGrid w:val="0"/>
          <w:color w:val="auto"/>
        </w:rPr>
        <w:t>悬浮物</w:t>
      </w:r>
      <w:r>
        <w:rPr>
          <w:rFonts w:hint="eastAsia" w:asciiTheme="minorEastAsia" w:hAnsiTheme="minorEastAsia" w:eastAsiaTheme="minorEastAsia"/>
          <w:snapToGrid w:val="0"/>
          <w:color w:val="auto"/>
        </w:rPr>
        <w:t>，共计4个要素。</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2.2 海洋水质：p</w:t>
      </w:r>
      <w:r>
        <w:rPr>
          <w:rFonts w:asciiTheme="minorEastAsia" w:hAnsiTheme="minorEastAsia" w:eastAsiaTheme="minorEastAsia"/>
          <w:snapToGrid w:val="0"/>
          <w:color w:val="auto"/>
        </w:rPr>
        <w:t>H、盐度、溶解氧、</w:t>
      </w:r>
      <w:r>
        <w:rPr>
          <w:rFonts w:hint="eastAsia" w:asciiTheme="minorEastAsia" w:hAnsiTheme="minorEastAsia" w:eastAsiaTheme="minorEastAsia"/>
          <w:snapToGrid w:val="0"/>
          <w:color w:val="auto"/>
        </w:rPr>
        <w:t>化学需氧量、活性</w:t>
      </w:r>
      <w:r>
        <w:rPr>
          <w:rFonts w:asciiTheme="minorEastAsia" w:hAnsiTheme="minorEastAsia" w:eastAsiaTheme="minorEastAsia"/>
          <w:snapToGrid w:val="0"/>
          <w:color w:val="auto"/>
        </w:rPr>
        <w:t>磷酸盐、亚硝酸盐—氮、硝酸盐—氮、氨—氮</w:t>
      </w:r>
      <w:r>
        <w:rPr>
          <w:rFonts w:hint="eastAsia" w:asciiTheme="minorEastAsia" w:hAnsiTheme="minorEastAsia" w:eastAsiaTheme="minorEastAsia"/>
          <w:snapToGrid w:val="0"/>
          <w:color w:val="auto"/>
        </w:rPr>
        <w:t>、铜、铅、锌、镉、总铬、汞、砷、油类、苯、甲苯、二甲苯，共19个要素进行监测。</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2.3 采样层次：样品采集严格按《海洋调查规范》</w:t>
      </w:r>
      <w:r>
        <w:rPr>
          <w:rFonts w:asciiTheme="minorEastAsia" w:hAnsiTheme="minorEastAsia" w:eastAsiaTheme="minorEastAsia"/>
          <w:snapToGrid w:val="0"/>
          <w:color w:val="auto"/>
        </w:rPr>
        <w:t>GB/T 12763.4-2007</w:t>
      </w:r>
      <w:r>
        <w:rPr>
          <w:rFonts w:hint="eastAsia" w:asciiTheme="minorEastAsia" w:hAnsiTheme="minorEastAsia" w:eastAsiaTheme="minorEastAsia"/>
          <w:snapToGrid w:val="0"/>
          <w:color w:val="auto"/>
        </w:rPr>
        <w:t>，第</w:t>
      </w:r>
      <w:r>
        <w:rPr>
          <w:rFonts w:asciiTheme="minorEastAsia" w:hAnsiTheme="minorEastAsia" w:eastAsiaTheme="minorEastAsia"/>
          <w:snapToGrid w:val="0"/>
          <w:color w:val="auto"/>
        </w:rPr>
        <w:t>4.4</w:t>
      </w:r>
      <w:r>
        <w:rPr>
          <w:rFonts w:hint="eastAsia" w:asciiTheme="minorEastAsia" w:hAnsiTheme="minorEastAsia" w:eastAsiaTheme="minorEastAsia"/>
          <w:snapToGrid w:val="0"/>
          <w:color w:val="auto"/>
        </w:rPr>
        <w:t>节样品采集与贮存以及《海洋监测规范》（</w:t>
      </w:r>
      <w:r>
        <w:rPr>
          <w:rFonts w:asciiTheme="minorEastAsia" w:hAnsiTheme="minorEastAsia" w:eastAsiaTheme="minorEastAsia"/>
          <w:snapToGrid w:val="0"/>
          <w:color w:val="auto"/>
        </w:rPr>
        <w:t>GB 17378.3-2007</w:t>
      </w:r>
      <w:r>
        <w:rPr>
          <w:rFonts w:hint="eastAsia" w:asciiTheme="minorEastAsia" w:hAnsiTheme="minorEastAsia" w:eastAsiaTheme="minorEastAsia"/>
          <w:snapToGrid w:val="0"/>
          <w:color w:val="auto"/>
        </w:rPr>
        <w:t>）中第一部分样品采集、贮存与运输规定执行。用有机玻璃采水器，采样层次要求如下：</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各项目样品采集、保存和分析方法分别按《海洋调查规范》（</w:t>
      </w:r>
      <w:r>
        <w:rPr>
          <w:rFonts w:asciiTheme="minorEastAsia" w:hAnsiTheme="minorEastAsia" w:eastAsiaTheme="minorEastAsia"/>
          <w:snapToGrid w:val="0"/>
          <w:color w:val="auto"/>
        </w:rPr>
        <w:t>GB/T 12763-2007</w:t>
      </w:r>
      <w:r>
        <w:rPr>
          <w:rFonts w:hint="eastAsia" w:asciiTheme="minorEastAsia" w:hAnsiTheme="minorEastAsia" w:eastAsiaTheme="minorEastAsia"/>
          <w:snapToGrid w:val="0"/>
          <w:color w:val="auto"/>
        </w:rPr>
        <w:t>）和《海洋监测规范》（</w:t>
      </w:r>
      <w:r>
        <w:rPr>
          <w:rFonts w:asciiTheme="minorEastAsia" w:hAnsiTheme="minorEastAsia" w:eastAsiaTheme="minorEastAsia"/>
          <w:snapToGrid w:val="0"/>
          <w:color w:val="auto"/>
        </w:rPr>
        <w:t>GB17378-2007</w:t>
      </w:r>
      <w:r>
        <w:rPr>
          <w:rFonts w:hint="eastAsia" w:asciiTheme="minorEastAsia" w:hAnsiTheme="minorEastAsia" w:eastAsiaTheme="minorEastAsia"/>
          <w:snapToGrid w:val="0"/>
          <w:color w:val="auto"/>
        </w:rPr>
        <w:t>）中规定的有关方法进行。石油类、苯、甲苯、二甲苯只采集表层，其余各项目，＜10</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，采集表层；</w:t>
      </w:r>
      <w:r>
        <w:rPr>
          <w:rFonts w:asciiTheme="minorEastAsia" w:hAnsiTheme="minorEastAsia" w:eastAsiaTheme="minorEastAsia"/>
          <w:snapToGrid w:val="0"/>
          <w:color w:val="auto"/>
        </w:rPr>
        <w:t>≥</w:t>
      </w:r>
      <w:r>
        <w:rPr>
          <w:rFonts w:hint="eastAsia" w:asciiTheme="minorEastAsia" w:hAnsiTheme="minorEastAsia" w:eastAsiaTheme="minorEastAsia"/>
          <w:snapToGrid w:val="0"/>
          <w:color w:val="auto"/>
        </w:rPr>
        <w:t>10</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1</w:t>
      </w:r>
      <w:r>
        <w:rPr>
          <w:rFonts w:hint="eastAsia" w:asciiTheme="minorEastAsia" w:hAnsiTheme="minorEastAsia" w:eastAsiaTheme="minorEastAsia"/>
          <w:snapToGrid w:val="0"/>
          <w:color w:val="auto"/>
        </w:rPr>
        <w:t>5</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，采集表、底层；</w:t>
      </w:r>
      <w:r>
        <w:rPr>
          <w:rFonts w:asciiTheme="minorEastAsia" w:hAnsiTheme="minorEastAsia" w:eastAsiaTheme="minorEastAsia"/>
          <w:snapToGrid w:val="0"/>
          <w:color w:val="auto"/>
        </w:rPr>
        <w:t>≥</w:t>
      </w:r>
      <w:r>
        <w:rPr>
          <w:rFonts w:hint="eastAsia" w:asciiTheme="minorEastAsia" w:hAnsiTheme="minorEastAsia" w:eastAsiaTheme="minorEastAsia"/>
          <w:snapToGrid w:val="0"/>
          <w:color w:val="auto"/>
        </w:rPr>
        <w:t>15</w:t>
      </w:r>
      <w:r>
        <w:rPr>
          <w:rFonts w:asciiTheme="minorEastAsia" w:hAnsiTheme="minorEastAsia" w:eastAsiaTheme="minorEastAsia"/>
          <w:snapToGrid w:val="0"/>
          <w:color w:val="auto"/>
        </w:rPr>
        <w:t>m</w:t>
      </w:r>
      <w:r>
        <w:rPr>
          <w:rFonts w:hint="eastAsia" w:asciiTheme="minorEastAsia" w:hAnsiTheme="minorEastAsia" w:eastAsiaTheme="minorEastAsia"/>
          <w:snapToGrid w:val="0"/>
          <w:color w:val="auto"/>
        </w:rPr>
        <w:t>，采集表、10m、底层。</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2.4 站位布设：共设9个监测站位。</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3、海洋</w:t>
      </w:r>
      <w:r>
        <w:rPr>
          <w:rFonts w:asciiTheme="minorEastAsia" w:hAnsiTheme="minorEastAsia" w:eastAsiaTheme="minorEastAsia"/>
          <w:snapToGrid w:val="0"/>
          <w:color w:val="auto"/>
        </w:rPr>
        <w:t>沉积物质量监测</w:t>
      </w:r>
      <w:r>
        <w:rPr>
          <w:rFonts w:hint="eastAsia" w:asciiTheme="minorEastAsia" w:hAnsiTheme="minorEastAsia" w:eastAsiaTheme="minorEastAsia"/>
          <w:snapToGrid w:val="0"/>
          <w:color w:val="auto"/>
        </w:rPr>
        <w:t>：</w:t>
      </w:r>
    </w:p>
    <w:p>
      <w:pPr>
        <w:pStyle w:val="78"/>
        <w:spacing w:line="440" w:lineRule="exact"/>
        <w:ind w:left="360" w:hanging="360" w:hangingChars="150"/>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3.1监测项目：铜、铅、锌、镉、铬、汞、砷、石油类、有机碳、硫化物、沉积物类型共计11个要素</w:t>
      </w:r>
      <w:r>
        <w:rPr>
          <w:rFonts w:asciiTheme="minorEastAsia" w:hAnsiTheme="minorEastAsia" w:eastAsiaTheme="minorEastAsia"/>
          <w:snapToGrid w:val="0"/>
          <w:color w:val="auto"/>
        </w:rPr>
        <w:t>。</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3.2</w:t>
      </w:r>
      <w:r>
        <w:rPr>
          <w:rFonts w:asciiTheme="minorEastAsia" w:hAnsiTheme="minorEastAsia" w:eastAsiaTheme="minorEastAsia"/>
          <w:snapToGrid w:val="0"/>
          <w:color w:val="auto"/>
        </w:rPr>
        <w:t>采样层次</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采集表层沉积物样品。</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3.3</w:t>
      </w:r>
      <w:r>
        <w:rPr>
          <w:rFonts w:asciiTheme="minorEastAsia" w:hAnsiTheme="minorEastAsia" w:eastAsiaTheme="minorEastAsia"/>
          <w:snapToGrid w:val="0"/>
          <w:color w:val="auto"/>
        </w:rPr>
        <w:t>站位布设</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布设</w:t>
      </w:r>
      <w:r>
        <w:rPr>
          <w:rFonts w:hint="eastAsia" w:asciiTheme="minorEastAsia" w:hAnsiTheme="minorEastAsia" w:eastAsiaTheme="minorEastAsia"/>
          <w:snapToGrid w:val="0"/>
          <w:color w:val="auto"/>
        </w:rPr>
        <w:t>6</w:t>
      </w:r>
      <w:r>
        <w:rPr>
          <w:rFonts w:asciiTheme="minorEastAsia" w:hAnsiTheme="minorEastAsia" w:eastAsiaTheme="minorEastAsia"/>
          <w:snapToGrid w:val="0"/>
          <w:color w:val="auto"/>
        </w:rPr>
        <w:t>个沉积物监测站位。</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bCs/>
        </w:rPr>
        <w:t>4、</w:t>
      </w:r>
      <w:r>
        <w:rPr>
          <w:rFonts w:hint="eastAsia" w:asciiTheme="minorEastAsia" w:hAnsiTheme="minorEastAsia" w:eastAsiaTheme="minorEastAsia"/>
          <w:snapToGrid w:val="0"/>
          <w:color w:val="auto"/>
        </w:rPr>
        <w:t>海洋生态监测</w:t>
      </w:r>
    </w:p>
    <w:p>
      <w:pPr>
        <w:pStyle w:val="78"/>
        <w:spacing w:line="440" w:lineRule="exact"/>
        <w:jc w:val="both"/>
        <w:rPr>
          <w:rFonts w:asciiTheme="minorEastAsia" w:hAnsiTheme="minorEastAsia" w:eastAsiaTheme="minorEastAsia"/>
          <w:snapToGrid w:val="0"/>
          <w:color w:val="auto"/>
        </w:rPr>
      </w:pPr>
      <w:bookmarkStart w:id="1" w:name="_Toc353873664"/>
      <w:bookmarkStart w:id="2" w:name="_Toc308618234"/>
      <w:bookmarkStart w:id="3" w:name="_Toc481527179"/>
      <w:r>
        <w:rPr>
          <w:rFonts w:hint="eastAsia" w:asciiTheme="minorEastAsia" w:hAnsiTheme="minorEastAsia" w:eastAsiaTheme="minorEastAsia"/>
          <w:snapToGrid w:val="0"/>
          <w:color w:val="auto"/>
        </w:rPr>
        <w:t>包括叶绿素a、水采浮游植物、浮游动物、潮下带底栖生物6个调查站位，采样方法和样品测试方法均按《海洋调查规范》和《海洋监测规范》相关规定执行。</w:t>
      </w:r>
      <w:bookmarkEnd w:id="1"/>
      <w:bookmarkEnd w:id="2"/>
      <w:bookmarkEnd w:id="3"/>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5、海水温度和余氯监测</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5.1 监测项目：</w:t>
      </w:r>
      <w:r>
        <w:rPr>
          <w:rFonts w:asciiTheme="minorEastAsia" w:hAnsiTheme="minorEastAsia" w:eastAsiaTheme="minorEastAsia"/>
          <w:snapToGrid w:val="0"/>
          <w:color w:val="auto"/>
        </w:rPr>
        <w:t>排</w:t>
      </w:r>
      <w:r>
        <w:rPr>
          <w:rFonts w:hint="eastAsia" w:asciiTheme="minorEastAsia" w:hAnsiTheme="minorEastAsia" w:eastAsiaTheme="minorEastAsia"/>
          <w:snapToGrid w:val="0"/>
          <w:color w:val="auto"/>
        </w:rPr>
        <w:t>放</w:t>
      </w:r>
      <w:r>
        <w:rPr>
          <w:rFonts w:asciiTheme="minorEastAsia" w:hAnsiTheme="minorEastAsia" w:eastAsiaTheme="minorEastAsia"/>
          <w:snapToGrid w:val="0"/>
          <w:color w:val="auto"/>
        </w:rPr>
        <w:t>口</w:t>
      </w:r>
      <w:r>
        <w:rPr>
          <w:rFonts w:hint="eastAsia" w:asciiTheme="minorEastAsia" w:hAnsiTheme="minorEastAsia" w:eastAsiaTheme="minorEastAsia"/>
          <w:snapToGrid w:val="0"/>
          <w:color w:val="auto"/>
        </w:rPr>
        <w:t>海水温升1℃包络范围和</w:t>
      </w:r>
      <w:r>
        <w:rPr>
          <w:rFonts w:asciiTheme="minorEastAsia" w:hAnsiTheme="minorEastAsia" w:eastAsiaTheme="minorEastAsia"/>
          <w:snapToGrid w:val="0"/>
          <w:color w:val="auto"/>
        </w:rPr>
        <w:t>余氯增量0.02mg/L</w:t>
      </w:r>
      <w:r>
        <w:rPr>
          <w:rFonts w:hint="eastAsia" w:asciiTheme="minorEastAsia" w:hAnsiTheme="minorEastAsia" w:eastAsiaTheme="minorEastAsia"/>
          <w:snapToGrid w:val="0"/>
          <w:color w:val="auto"/>
        </w:rPr>
        <w:t>包络</w:t>
      </w:r>
      <w:r>
        <w:rPr>
          <w:rFonts w:asciiTheme="minorEastAsia" w:hAnsiTheme="minorEastAsia" w:eastAsiaTheme="minorEastAsia"/>
          <w:snapToGrid w:val="0"/>
          <w:color w:val="auto"/>
        </w:rPr>
        <w:t>范围</w:t>
      </w:r>
      <w:r>
        <w:rPr>
          <w:rFonts w:hint="eastAsia" w:asciiTheme="minorEastAsia" w:hAnsiTheme="minorEastAsia" w:eastAsiaTheme="minorEastAsia"/>
          <w:snapToGrid w:val="0"/>
          <w:color w:val="auto"/>
        </w:rPr>
        <w:t>。</w:t>
      </w:r>
    </w:p>
    <w:p>
      <w:pPr>
        <w:pStyle w:val="78"/>
        <w:spacing w:line="440" w:lineRule="exact"/>
        <w:jc w:val="both"/>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 xml:space="preserve">5.2 </w:t>
      </w:r>
      <w:r>
        <w:rPr>
          <w:rFonts w:asciiTheme="minorEastAsia" w:hAnsiTheme="minorEastAsia" w:eastAsiaTheme="minorEastAsia"/>
          <w:snapToGrid w:val="0"/>
          <w:color w:val="auto"/>
        </w:rPr>
        <w:t>站位布设</w:t>
      </w:r>
      <w:r>
        <w:rPr>
          <w:rFonts w:hint="eastAsia" w:asciiTheme="minorEastAsia" w:hAnsiTheme="minorEastAsia" w:eastAsiaTheme="minorEastAsia"/>
          <w:snapToGrid w:val="0"/>
          <w:color w:val="auto"/>
        </w:rPr>
        <w:t>及监测频次：</w:t>
      </w:r>
      <w:r>
        <w:rPr>
          <w:rFonts w:asciiTheme="minorEastAsia" w:hAnsiTheme="minorEastAsia" w:eastAsiaTheme="minorEastAsia"/>
          <w:snapToGrid w:val="0"/>
          <w:color w:val="auto"/>
        </w:rPr>
        <w:t>营运期春、夏、秋、冬季的大、小潮高低平潮</w:t>
      </w:r>
      <w:r>
        <w:rPr>
          <w:rFonts w:hint="eastAsia" w:asciiTheme="minorEastAsia" w:hAnsiTheme="minorEastAsia" w:eastAsiaTheme="minorEastAsia"/>
          <w:snapToGrid w:val="0"/>
          <w:color w:val="auto"/>
        </w:rPr>
        <w:t>，</w:t>
      </w:r>
      <w:r>
        <w:rPr>
          <w:rFonts w:asciiTheme="minorEastAsia" w:hAnsiTheme="minorEastAsia" w:eastAsiaTheme="minorEastAsia"/>
          <w:snapToGrid w:val="0"/>
          <w:color w:val="auto"/>
        </w:rPr>
        <w:t>明确</w:t>
      </w:r>
      <w:r>
        <w:rPr>
          <w:rFonts w:hint="eastAsia" w:asciiTheme="minorEastAsia" w:hAnsiTheme="minorEastAsia" w:eastAsiaTheme="minorEastAsia"/>
          <w:snapToGrid w:val="0"/>
          <w:color w:val="auto"/>
        </w:rPr>
        <w:t>海水温升1℃包络范围和</w:t>
      </w:r>
      <w:r>
        <w:rPr>
          <w:rFonts w:asciiTheme="minorEastAsia" w:hAnsiTheme="minorEastAsia" w:eastAsiaTheme="minorEastAsia"/>
          <w:snapToGrid w:val="0"/>
          <w:color w:val="auto"/>
        </w:rPr>
        <w:t>余氯浓度</w:t>
      </w:r>
      <w:r>
        <w:rPr>
          <w:rFonts w:hint="eastAsia" w:asciiTheme="minorEastAsia" w:hAnsiTheme="minorEastAsia" w:eastAsiaTheme="minorEastAsia"/>
          <w:snapToGrid w:val="0"/>
          <w:color w:val="auto"/>
        </w:rPr>
        <w:t>增量</w:t>
      </w:r>
      <w:r>
        <w:rPr>
          <w:rFonts w:asciiTheme="minorEastAsia" w:hAnsiTheme="minorEastAsia" w:eastAsiaTheme="minorEastAsia"/>
          <w:snapToGrid w:val="0"/>
          <w:color w:val="auto"/>
        </w:rPr>
        <w:t>0.02mg/L范围。</w:t>
      </w:r>
      <w:r>
        <w:rPr>
          <w:rFonts w:hint="eastAsia" w:asciiTheme="minorEastAsia" w:hAnsiTheme="minorEastAsia" w:eastAsiaTheme="minorEastAsia"/>
          <w:snapToGrid w:val="0"/>
          <w:color w:val="auto"/>
        </w:rPr>
        <w:t>以排放口为中心，放射状设</w:t>
      </w:r>
      <w:r>
        <w:rPr>
          <w:rFonts w:asciiTheme="minorEastAsia" w:hAnsiTheme="minorEastAsia" w:eastAsiaTheme="minorEastAsia"/>
          <w:snapToGrid w:val="0"/>
          <w:color w:val="auto"/>
        </w:rPr>
        <w:t>3条断面，</w:t>
      </w:r>
      <w:r>
        <w:rPr>
          <w:rFonts w:hint="eastAsia" w:asciiTheme="minorEastAsia" w:hAnsiTheme="minorEastAsia" w:eastAsiaTheme="minorEastAsia"/>
          <w:snapToGrid w:val="0"/>
          <w:color w:val="auto"/>
        </w:rPr>
        <w:t>计</w:t>
      </w:r>
      <w:r>
        <w:rPr>
          <w:rFonts w:asciiTheme="minorEastAsia" w:hAnsiTheme="minorEastAsia" w:eastAsiaTheme="minorEastAsia"/>
          <w:snapToGrid w:val="0"/>
          <w:color w:val="auto"/>
        </w:rPr>
        <w:t>15个</w:t>
      </w:r>
      <w:r>
        <w:rPr>
          <w:rFonts w:hint="eastAsia" w:asciiTheme="minorEastAsia" w:hAnsiTheme="minorEastAsia" w:eastAsiaTheme="minorEastAsia"/>
          <w:snapToGrid w:val="0"/>
          <w:color w:val="auto"/>
        </w:rPr>
        <w:t>取样</w:t>
      </w:r>
      <w:r>
        <w:rPr>
          <w:rFonts w:asciiTheme="minorEastAsia" w:hAnsiTheme="minorEastAsia" w:eastAsiaTheme="minorEastAsia"/>
          <w:snapToGrid w:val="0"/>
          <w:color w:val="auto"/>
        </w:rPr>
        <w:t>站位。</w:t>
      </w:r>
    </w:p>
    <w:p>
      <w:pPr>
        <w:pStyle w:val="253"/>
        <w:tabs>
          <w:tab w:val="left" w:pos="709"/>
          <w:tab w:val="clear" w:pos="960"/>
        </w:tabs>
        <w:spacing w:line="440" w:lineRule="exact"/>
        <w:rPr>
          <w:rFonts w:asciiTheme="minorEastAsia" w:hAnsiTheme="minorEastAsia" w:eastAsiaTheme="minorEastAsia"/>
          <w:bCs/>
          <w:color w:val="000000"/>
          <w:szCs w:val="24"/>
          <w:lang w:eastAsia="zh-CN"/>
        </w:rPr>
      </w:pPr>
      <w:r>
        <w:rPr>
          <w:rFonts w:hint="eastAsia" w:asciiTheme="minorEastAsia" w:hAnsiTheme="minorEastAsia" w:eastAsiaTheme="minorEastAsia"/>
          <w:bCs/>
          <w:color w:val="000000"/>
          <w:szCs w:val="24"/>
          <w:lang w:eastAsia="zh-CN"/>
        </w:rPr>
        <w:t>6、检测报告要求：乙方按照附件一“翔鹭石化（漳州）有限公司海水冷却水系统排海口海洋环境跟踪检测方案”的工作要求，如实、认真地完成本项目的环境检测工作，编制本项目的检测分析报告。</w:t>
      </w:r>
    </w:p>
    <w:p>
      <w:pPr>
        <w:pStyle w:val="253"/>
        <w:tabs>
          <w:tab w:val="left" w:pos="709"/>
          <w:tab w:val="clear" w:pos="960"/>
        </w:tabs>
        <w:spacing w:line="440" w:lineRule="exact"/>
        <w:rPr>
          <w:rFonts w:asciiTheme="minorEastAsia" w:hAnsiTheme="minorEastAsia" w:eastAsiaTheme="minorEastAsia"/>
          <w:bCs/>
          <w:color w:val="000000"/>
          <w:szCs w:val="24"/>
          <w:lang w:eastAsia="zh-CN"/>
        </w:rPr>
      </w:pPr>
      <w:r>
        <w:rPr>
          <w:rFonts w:hint="eastAsia" w:asciiTheme="minorEastAsia" w:hAnsiTheme="minorEastAsia" w:eastAsiaTheme="minorEastAsia"/>
          <w:bCs/>
          <w:color w:val="000000"/>
          <w:szCs w:val="24"/>
          <w:lang w:eastAsia="zh-CN"/>
        </w:rPr>
        <w:t>7、检测方式：根据双方共同确认的时间到现场进行环境检测，采样结束后20个工作日内出具检测报告。</w:t>
      </w:r>
    </w:p>
    <w:p>
      <w:pPr>
        <w:pStyle w:val="253"/>
        <w:tabs>
          <w:tab w:val="left" w:pos="709"/>
          <w:tab w:val="clear" w:pos="960"/>
        </w:tabs>
        <w:spacing w:line="440" w:lineRule="exact"/>
        <w:rPr>
          <w:rFonts w:asciiTheme="minorEastAsia" w:hAnsiTheme="minorEastAsia" w:eastAsiaTheme="minorEastAsia"/>
          <w:bCs/>
          <w:color w:val="000000"/>
          <w:szCs w:val="24"/>
          <w:lang w:eastAsia="zh-CN"/>
        </w:rPr>
      </w:pPr>
      <w:r>
        <w:rPr>
          <w:rFonts w:hint="eastAsia" w:asciiTheme="minorEastAsia" w:hAnsiTheme="minorEastAsia" w:eastAsiaTheme="minorEastAsia"/>
          <w:bCs/>
          <w:color w:val="000000"/>
          <w:szCs w:val="24"/>
          <w:lang w:eastAsia="zh-CN"/>
        </w:rPr>
        <w:t>8、检测时间：</w:t>
      </w:r>
      <w:r>
        <w:rPr>
          <w:rFonts w:hint="eastAsia" w:asciiTheme="minorEastAsia" w:hAnsiTheme="minorEastAsia" w:eastAsiaTheme="minorEastAsia"/>
          <w:bCs/>
          <w:color w:val="auto"/>
          <w:szCs w:val="24"/>
          <w:highlight w:val="yellow"/>
          <w:lang w:eastAsia="zh-CN"/>
        </w:rPr>
        <w:t>202</w:t>
      </w:r>
      <w:r>
        <w:rPr>
          <w:rFonts w:hint="eastAsia" w:asciiTheme="minorEastAsia" w:hAnsiTheme="minorEastAsia" w:eastAsiaTheme="minorEastAsia"/>
          <w:bCs/>
          <w:color w:val="auto"/>
          <w:szCs w:val="24"/>
          <w:highlight w:val="yellow"/>
          <w:lang w:val="en-US" w:eastAsia="zh-CN"/>
        </w:rPr>
        <w:t>3</w:t>
      </w:r>
      <w:r>
        <w:rPr>
          <w:rFonts w:hint="eastAsia" w:asciiTheme="minorEastAsia" w:hAnsiTheme="minorEastAsia" w:eastAsiaTheme="minorEastAsia"/>
          <w:bCs/>
          <w:color w:val="auto"/>
          <w:szCs w:val="24"/>
          <w:highlight w:val="yellow"/>
          <w:lang w:eastAsia="zh-CN"/>
        </w:rPr>
        <w:t>年</w:t>
      </w:r>
      <w:r>
        <w:rPr>
          <w:rFonts w:hint="eastAsia" w:asciiTheme="minorEastAsia" w:hAnsiTheme="minorEastAsia" w:eastAsiaTheme="minorEastAsia"/>
          <w:bCs/>
          <w:color w:val="auto"/>
          <w:szCs w:val="24"/>
          <w:highlight w:val="yellow"/>
          <w:lang w:val="en-US" w:eastAsia="zh-CN"/>
        </w:rPr>
        <w:t xml:space="preserve"> </w:t>
      </w:r>
      <w:r>
        <w:rPr>
          <w:rFonts w:hint="eastAsia" w:asciiTheme="minorEastAsia" w:hAnsiTheme="minorEastAsia" w:eastAsiaTheme="minorEastAsia"/>
          <w:bCs/>
          <w:color w:val="auto"/>
          <w:szCs w:val="24"/>
          <w:highlight w:val="yellow"/>
          <w:lang w:eastAsia="zh-CN"/>
        </w:rPr>
        <w:t>月、</w:t>
      </w:r>
      <w:r>
        <w:rPr>
          <w:rFonts w:hint="eastAsia" w:asciiTheme="minorEastAsia" w:hAnsiTheme="minorEastAsia" w:eastAsiaTheme="minorEastAsia"/>
          <w:bCs/>
          <w:color w:val="auto"/>
          <w:szCs w:val="24"/>
          <w:highlight w:val="yellow"/>
          <w:lang w:val="en-US" w:eastAsia="zh-CN"/>
        </w:rPr>
        <w:t xml:space="preserve"> </w:t>
      </w:r>
      <w:r>
        <w:rPr>
          <w:rFonts w:hint="eastAsia" w:asciiTheme="minorEastAsia" w:hAnsiTheme="minorEastAsia" w:eastAsiaTheme="minorEastAsia"/>
          <w:bCs/>
          <w:color w:val="auto"/>
          <w:szCs w:val="24"/>
          <w:highlight w:val="yellow"/>
          <w:lang w:eastAsia="zh-CN"/>
        </w:rPr>
        <w:t>月、</w:t>
      </w:r>
      <w:r>
        <w:rPr>
          <w:rFonts w:hint="eastAsia" w:asciiTheme="minorEastAsia" w:hAnsiTheme="minorEastAsia" w:eastAsiaTheme="minorEastAsia"/>
          <w:bCs/>
          <w:color w:val="auto"/>
          <w:szCs w:val="24"/>
          <w:highlight w:val="yellow"/>
          <w:lang w:val="en-US" w:eastAsia="zh-CN"/>
        </w:rPr>
        <w:t xml:space="preserve"> </w:t>
      </w:r>
      <w:r>
        <w:rPr>
          <w:rFonts w:hint="eastAsia" w:asciiTheme="minorEastAsia" w:hAnsiTheme="minorEastAsia" w:eastAsiaTheme="minorEastAsia"/>
          <w:bCs/>
          <w:color w:val="auto"/>
          <w:szCs w:val="24"/>
          <w:highlight w:val="yellow"/>
          <w:lang w:eastAsia="zh-CN"/>
        </w:rPr>
        <w:t>月、</w:t>
      </w:r>
      <w:r>
        <w:rPr>
          <w:rFonts w:hint="eastAsia" w:asciiTheme="minorEastAsia" w:hAnsiTheme="minorEastAsia" w:eastAsiaTheme="minorEastAsia"/>
          <w:bCs/>
          <w:color w:val="auto"/>
          <w:szCs w:val="24"/>
          <w:highlight w:val="yellow"/>
          <w:lang w:val="en-US" w:eastAsia="zh-CN"/>
        </w:rPr>
        <w:t xml:space="preserve"> </w:t>
      </w:r>
      <w:r>
        <w:rPr>
          <w:rFonts w:hint="eastAsia" w:asciiTheme="minorEastAsia" w:hAnsiTheme="minorEastAsia" w:eastAsiaTheme="minorEastAsia"/>
          <w:bCs/>
          <w:color w:val="auto"/>
          <w:szCs w:val="24"/>
          <w:highlight w:val="yellow"/>
          <w:lang w:eastAsia="zh-CN"/>
        </w:rPr>
        <w:t>月出海采样监测。</w:t>
      </w:r>
    </w:p>
    <w:p>
      <w:pPr>
        <w:pStyle w:val="253"/>
        <w:numPr>
          <w:ilvl w:val="0"/>
          <w:numId w:val="10"/>
        </w:numPr>
        <w:tabs>
          <w:tab w:val="left" w:pos="709"/>
          <w:tab w:val="left" w:pos="993"/>
          <w:tab w:val="clear" w:pos="960"/>
          <w:tab w:val="clear" w:pos="4560"/>
        </w:tabs>
        <w:spacing w:line="440" w:lineRule="exact"/>
        <w:rPr>
          <w:rFonts w:asciiTheme="minorEastAsia" w:hAnsiTheme="minorEastAsia" w:eastAsiaTheme="minorEastAsia"/>
          <w:b/>
          <w:bCs/>
          <w:color w:val="000000"/>
          <w:szCs w:val="24"/>
          <w:lang w:eastAsia="zh-CN"/>
        </w:rPr>
      </w:pPr>
      <w:r>
        <w:rPr>
          <w:rFonts w:hint="eastAsia" w:asciiTheme="minorEastAsia" w:hAnsiTheme="minorEastAsia" w:eastAsiaTheme="minorEastAsia"/>
          <w:b/>
          <w:bCs/>
          <w:color w:val="000000"/>
          <w:szCs w:val="24"/>
          <w:lang w:eastAsia="zh-CN"/>
        </w:rPr>
        <w:t>甲方应向乙方支付报酬及支付方式为：</w:t>
      </w:r>
    </w:p>
    <w:p>
      <w:pPr>
        <w:pStyle w:val="253"/>
        <w:tabs>
          <w:tab w:val="left" w:pos="709"/>
          <w:tab w:val="clear" w:pos="960"/>
        </w:tabs>
        <w:spacing w:line="440" w:lineRule="exact"/>
        <w:rPr>
          <w:rFonts w:asciiTheme="minorEastAsia" w:hAnsiTheme="minorEastAsia" w:eastAsiaTheme="minorEastAsia"/>
          <w:bCs/>
          <w:color w:val="000000"/>
          <w:szCs w:val="24"/>
          <w:lang w:eastAsia="zh-CN"/>
        </w:rPr>
      </w:pPr>
      <w:r>
        <w:rPr>
          <w:rFonts w:hint="eastAsia" w:asciiTheme="minorEastAsia" w:hAnsiTheme="minorEastAsia" w:eastAsiaTheme="minorEastAsia"/>
          <w:bCs/>
          <w:color w:val="000000"/>
          <w:szCs w:val="24"/>
          <w:lang w:eastAsia="zh-CN"/>
        </w:rPr>
        <w:t>1、咨询经费计算及发票：</w:t>
      </w:r>
      <w:r>
        <w:rPr>
          <w:rFonts w:asciiTheme="minorEastAsia" w:hAnsiTheme="minorEastAsia" w:eastAsiaTheme="minorEastAsia"/>
          <w:bCs/>
          <w:color w:val="000000"/>
          <w:szCs w:val="24"/>
          <w:lang w:eastAsia="zh-CN"/>
        </w:rPr>
        <w:t xml:space="preserve"> </w:t>
      </w:r>
    </w:p>
    <w:p>
      <w:pPr>
        <w:pStyle w:val="253"/>
        <w:tabs>
          <w:tab w:val="left" w:pos="709"/>
          <w:tab w:val="clear" w:pos="960"/>
        </w:tabs>
        <w:spacing w:line="440" w:lineRule="exact"/>
        <w:rPr>
          <w:rFonts w:asciiTheme="minorEastAsia" w:hAnsiTheme="minorEastAsia" w:eastAsiaTheme="minorEastAsia"/>
          <w:bCs/>
          <w:color w:val="000000"/>
          <w:szCs w:val="24"/>
          <w:lang w:eastAsia="zh-CN"/>
        </w:rPr>
      </w:pPr>
      <w:r>
        <w:rPr>
          <w:rFonts w:hint="eastAsia" w:asciiTheme="minorEastAsia" w:hAnsiTheme="minorEastAsia" w:eastAsiaTheme="minorEastAsia"/>
          <w:bCs/>
          <w:color w:val="000000"/>
          <w:szCs w:val="24"/>
          <w:lang w:eastAsia="zh-CN"/>
        </w:rPr>
        <w:t>根据甲乙双方的友好协商，确定咨询报酬总额为：</w:t>
      </w:r>
      <w:r>
        <w:rPr>
          <w:rFonts w:hint="eastAsia" w:asciiTheme="minorEastAsia" w:hAnsiTheme="minorEastAsia" w:eastAsiaTheme="minorEastAsia"/>
          <w:bCs/>
          <w:color w:val="000000"/>
          <w:szCs w:val="24"/>
          <w:u w:val="single"/>
          <w:lang w:eastAsia="zh-CN"/>
        </w:rPr>
        <w:t>人民币</w:t>
      </w:r>
      <w:r>
        <w:rPr>
          <w:rFonts w:hint="eastAsia" w:asciiTheme="minorEastAsia" w:hAnsiTheme="minorEastAsia" w:eastAsiaTheme="minorEastAsia"/>
          <w:bCs/>
          <w:color w:val="000000"/>
          <w:szCs w:val="24"/>
          <w:u w:val="single"/>
          <w:lang w:val="en-US" w:eastAsia="zh-CN"/>
        </w:rPr>
        <w:t xml:space="preserve">       </w:t>
      </w:r>
      <w:r>
        <w:rPr>
          <w:rFonts w:hint="eastAsia" w:asciiTheme="minorEastAsia" w:hAnsiTheme="minorEastAsia" w:eastAsiaTheme="minorEastAsia"/>
          <w:bCs/>
          <w:color w:val="000000"/>
          <w:szCs w:val="24"/>
          <w:u w:val="single"/>
          <w:lang w:eastAsia="zh-CN"/>
        </w:rPr>
        <w:t xml:space="preserve">整   </w:t>
      </w:r>
      <w:r>
        <w:rPr>
          <w:rFonts w:asciiTheme="minorEastAsia" w:hAnsiTheme="minorEastAsia" w:eastAsiaTheme="minorEastAsia"/>
          <w:szCs w:val="24"/>
          <w:u w:val="single"/>
        </w:rPr>
        <w:t>（</w:t>
      </w:r>
      <w:r>
        <w:rPr>
          <w:rFonts w:hint="eastAsia" w:asciiTheme="minorEastAsia" w:hAnsiTheme="minorEastAsia" w:eastAsiaTheme="minorEastAsia"/>
          <w:szCs w:val="24"/>
          <w:u w:val="single"/>
        </w:rPr>
        <w:t>￥</w:t>
      </w:r>
      <w:r>
        <w:rPr>
          <w:rFonts w:hint="eastAsia" w:asciiTheme="minorEastAsia" w:hAnsiTheme="minorEastAsia" w:eastAsiaTheme="minorEastAsia"/>
          <w:szCs w:val="24"/>
          <w:u w:val="single"/>
          <w:lang w:val="en-US" w:eastAsia="zh-CN"/>
        </w:rPr>
        <w:t xml:space="preserve">      </w:t>
      </w:r>
      <w:r>
        <w:rPr>
          <w:rFonts w:asciiTheme="minorEastAsia" w:hAnsiTheme="minorEastAsia" w:eastAsiaTheme="minorEastAsia"/>
          <w:szCs w:val="24"/>
        </w:rPr>
        <w:t>元）</w:t>
      </w:r>
      <w:r>
        <w:rPr>
          <w:rFonts w:hint="eastAsia" w:asciiTheme="minorEastAsia" w:hAnsiTheme="minorEastAsia" w:eastAsiaTheme="minorEastAsia"/>
          <w:szCs w:val="24"/>
          <w:lang w:eastAsia="zh-CN"/>
        </w:rPr>
        <w:t>。</w:t>
      </w:r>
    </w:p>
    <w:p>
      <w:pPr>
        <w:pStyle w:val="253"/>
        <w:spacing w:line="440" w:lineRule="exact"/>
        <w:rPr>
          <w:rFonts w:asciiTheme="minorEastAsia" w:hAnsiTheme="minorEastAsia" w:eastAsiaTheme="minorEastAsia"/>
          <w:szCs w:val="24"/>
        </w:rPr>
      </w:pPr>
      <w:r>
        <w:rPr>
          <w:rFonts w:hint="eastAsia" w:asciiTheme="minorEastAsia" w:hAnsiTheme="minorEastAsia" w:eastAsiaTheme="minorEastAsia"/>
          <w:bCs/>
          <w:color w:val="000000"/>
          <w:szCs w:val="24"/>
          <w:lang w:eastAsia="zh-CN"/>
        </w:rPr>
        <w:t>2、付款方式：按季度付款，每次支付人民币：</w:t>
      </w:r>
      <w:r>
        <w:rPr>
          <w:rFonts w:hint="eastAsia" w:asciiTheme="minorEastAsia" w:hAnsiTheme="minorEastAsia" w:eastAsiaTheme="minorEastAsia"/>
          <w:szCs w:val="24"/>
          <w:u w:val="single"/>
          <w:lang w:eastAsia="zh-CN"/>
        </w:rPr>
        <w:t xml:space="preserve"> </w:t>
      </w:r>
      <w:r>
        <w:rPr>
          <w:rFonts w:hint="eastAsia" w:asciiTheme="minorEastAsia" w:hAnsiTheme="minorEastAsia" w:eastAsiaTheme="minorEastAsia"/>
          <w:szCs w:val="24"/>
          <w:u w:val="single"/>
          <w:lang w:val="en-US" w:eastAsia="zh-CN"/>
        </w:rPr>
        <w:t xml:space="preserve">      </w:t>
      </w:r>
      <w:r>
        <w:rPr>
          <w:rFonts w:hint="eastAsia" w:asciiTheme="minorEastAsia" w:hAnsiTheme="minorEastAsia" w:eastAsiaTheme="minorEastAsia"/>
          <w:szCs w:val="24"/>
          <w:u w:val="single"/>
          <w:lang w:eastAsia="zh-CN"/>
        </w:rPr>
        <w:t xml:space="preserve">元 </w:t>
      </w:r>
      <w:r>
        <w:rPr>
          <w:rFonts w:hint="eastAsia" w:asciiTheme="minorEastAsia" w:hAnsiTheme="minorEastAsia" w:eastAsiaTheme="minorEastAsia"/>
          <w:szCs w:val="24"/>
          <w:lang w:eastAsia="zh-CN"/>
        </w:rPr>
        <w:t>，季度工作款在乙方提交检测报告经甲方验收合格并向甲方提供等额</w:t>
      </w:r>
      <w:r>
        <w:rPr>
          <w:rFonts w:hint="eastAsia" w:asciiTheme="minorEastAsia" w:hAnsiTheme="minorEastAsia" w:eastAsiaTheme="minorEastAsia"/>
          <w:color w:val="0000FF"/>
          <w:szCs w:val="24"/>
          <w:u w:val="single"/>
          <w:lang w:val="en-US" w:eastAsia="zh-CN"/>
        </w:rPr>
        <w:t xml:space="preserve">    </w:t>
      </w:r>
      <w:r>
        <w:rPr>
          <w:rFonts w:hint="eastAsia" w:asciiTheme="minorEastAsia" w:hAnsiTheme="minorEastAsia" w:eastAsiaTheme="minorEastAsia"/>
          <w:bCs/>
          <w:color w:val="0000FF"/>
          <w:szCs w:val="24"/>
          <w:u w:val="single"/>
          <w:lang w:eastAsia="zh-CN"/>
        </w:rPr>
        <w:t>%</w:t>
      </w:r>
      <w:r>
        <w:rPr>
          <w:rFonts w:hint="eastAsia" w:asciiTheme="minorEastAsia" w:hAnsiTheme="minorEastAsia" w:eastAsiaTheme="minorEastAsia"/>
          <w:szCs w:val="24"/>
        </w:rPr>
        <w:t>增值税专用发票后，</w:t>
      </w:r>
      <w:r>
        <w:rPr>
          <w:rFonts w:hint="eastAsia" w:asciiTheme="minorEastAsia" w:hAnsiTheme="minorEastAsia" w:eastAsiaTheme="minorEastAsia"/>
          <w:szCs w:val="24"/>
          <w:lang w:eastAsia="zh-CN"/>
        </w:rPr>
        <w:t>30工作</w:t>
      </w:r>
      <w:r>
        <w:rPr>
          <w:rFonts w:hint="eastAsia" w:asciiTheme="minorEastAsia" w:hAnsiTheme="minorEastAsia" w:eastAsiaTheme="minorEastAsia"/>
          <w:szCs w:val="24"/>
        </w:rPr>
        <w:t>日内支付该次检测费用。若乙方未提供发票，甲方有权顺延付款。</w:t>
      </w:r>
    </w:p>
    <w:p>
      <w:pPr>
        <w:tabs>
          <w:tab w:val="left" w:pos="1260"/>
        </w:tabs>
        <w:adjustRightInd w:val="0"/>
        <w:snapToGrid w:val="0"/>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乙方帐户信息：</w:t>
      </w:r>
    </w:p>
    <w:p>
      <w:pPr>
        <w:adjustRightInd w:val="0"/>
        <w:snapToGrid w:val="0"/>
        <w:spacing w:line="440" w:lineRule="exact"/>
        <w:ind w:firstLine="232" w:firstLineChars="9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公司名称：</w:t>
      </w:r>
    </w:p>
    <w:p>
      <w:pPr>
        <w:adjustRightInd w:val="0"/>
        <w:snapToGrid w:val="0"/>
        <w:spacing w:line="440" w:lineRule="exact"/>
        <w:ind w:firstLine="232" w:firstLineChars="97"/>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开户行：</w:t>
      </w:r>
    </w:p>
    <w:p>
      <w:pPr>
        <w:adjustRightInd w:val="0"/>
        <w:snapToGrid w:val="0"/>
        <w:spacing w:line="440" w:lineRule="exact"/>
        <w:ind w:firstLine="232" w:firstLineChars="97"/>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银行账号：</w:t>
      </w:r>
    </w:p>
    <w:p>
      <w:pPr>
        <w:pStyle w:val="41"/>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0" w:afterAutospacing="0" w:line="360" w:lineRule="auto"/>
        <w:ind w:left="0" w:right="0" w:rightChars="0" w:hanging="241" w:hangingChars="100"/>
        <w:jc w:val="both"/>
        <w:textAlignment w:val="baseline"/>
        <w:rPr>
          <w:rFonts w:hint="eastAsia" w:ascii="Times New Roman" w:hAnsi="Times New Roman" w:eastAsia="宋体" w:cs="Times New Roman"/>
          <w:b/>
          <w:bCs/>
          <w:sz w:val="24"/>
          <w:szCs w:val="24"/>
        </w:rPr>
      </w:pPr>
      <w:r>
        <w:rPr>
          <w:rFonts w:hint="eastAsia" w:ascii="宋体" w:hAnsi="宋体" w:eastAsia="宋体" w:cs="宋体"/>
          <w:b/>
          <w:bCs/>
          <w:kern w:val="0"/>
          <w:sz w:val="24"/>
          <w:szCs w:val="24"/>
          <w:lang w:val="en-US" w:eastAsia="zh-CN" w:bidi="ar"/>
        </w:rPr>
        <w:t>第</w:t>
      </w:r>
      <w:r>
        <w:rPr>
          <w:rFonts w:hint="eastAsia" w:cs="宋体"/>
          <w:b/>
          <w:bCs/>
          <w:kern w:val="0"/>
          <w:sz w:val="24"/>
          <w:szCs w:val="24"/>
          <w:lang w:val="en-US" w:eastAsia="zh-CN" w:bidi="ar"/>
        </w:rPr>
        <w:t>三</w:t>
      </w:r>
      <w:r>
        <w:rPr>
          <w:rFonts w:hint="eastAsia" w:ascii="宋体" w:hAnsi="宋体" w:eastAsia="宋体" w:cs="宋体"/>
          <w:b/>
          <w:bCs/>
          <w:kern w:val="0"/>
          <w:sz w:val="24"/>
          <w:szCs w:val="24"/>
          <w:lang w:val="en-US" w:eastAsia="zh-CN" w:bidi="ar"/>
        </w:rPr>
        <w:t>条 履约保证金</w:t>
      </w:r>
    </w:p>
    <w:p>
      <w:pPr>
        <w:keepNext w:val="0"/>
        <w:keepLines w:val="0"/>
        <w:widowControl w:val="0"/>
        <w:suppressLineNumbers w:val="0"/>
        <w:autoSpaceDE w:val="0"/>
        <w:autoSpaceDN w:val="0"/>
        <w:spacing w:before="0" w:beforeAutospacing="0" w:after="0" w:afterAutospacing="0" w:line="360" w:lineRule="auto"/>
        <w:ind w:left="357" w:leftChars="0" w:right="0" w:hanging="357" w:hangingChars="149"/>
        <w:jc w:val="left"/>
        <w:rPr>
          <w:rFonts w:hint="eastAsia" w:ascii="Times New Roman" w:hAnsi="Times New Roman" w:eastAsia="宋体" w:cs="Times New Roman"/>
          <w:sz w:val="24"/>
          <w:szCs w:val="24"/>
        </w:rPr>
      </w:pPr>
      <w:r>
        <w:rPr>
          <w:rFonts w:hint="eastAsia"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、合同签订后，乙方的参选保证金</w:t>
      </w:r>
      <w:r>
        <w:rPr>
          <w:rFonts w:hint="default" w:ascii="Times New Roman" w:hAnsi="Times New Roman" w:eastAsia="宋体" w:cs="Times New Roman"/>
          <w:kern w:val="0"/>
          <w:sz w:val="24"/>
          <w:szCs w:val="24"/>
          <w:lang w:val="en-US" w:eastAsia="zh-CN" w:bidi="ar"/>
        </w:rPr>
        <w:t>RMB</w:t>
      </w:r>
      <w:r>
        <w:rPr>
          <w:rFonts w:hint="eastAsia" w:ascii="Times New Roman" w:hAnsi="Times New Roman" w:cs="Times New Roman"/>
          <w:kern w:val="0"/>
          <w:sz w:val="24"/>
          <w:szCs w:val="24"/>
          <w:lang w:val="en-US" w:eastAsia="zh-CN" w:bidi="ar"/>
        </w:rPr>
        <w:t>4</w:t>
      </w:r>
      <w:r>
        <w:rPr>
          <w:rFonts w:hint="eastAsia" w:ascii="Times New Roman" w:hAnsi="Times New Roman" w:eastAsia="宋体" w:cs="Times New Roman"/>
          <w:kern w:val="0"/>
          <w:sz w:val="24"/>
          <w:szCs w:val="24"/>
          <w:lang w:val="en-US" w:eastAsia="zh-CN" w:bidi="ar"/>
        </w:rPr>
        <w:t>,</w:t>
      </w:r>
      <w:r>
        <w:rPr>
          <w:rFonts w:hint="eastAsia" w:ascii="Times New Roman" w:hAnsi="Times New Roman" w:cs="Times New Roman"/>
          <w:kern w:val="0"/>
          <w:sz w:val="24"/>
          <w:szCs w:val="24"/>
          <w:lang w:val="en-US" w:eastAsia="zh-CN" w:bidi="ar"/>
        </w:rPr>
        <w:t>362.00</w:t>
      </w:r>
      <w:r>
        <w:rPr>
          <w:rFonts w:hint="eastAsia" w:ascii="宋体" w:hAnsi="宋体" w:eastAsia="宋体" w:cs="宋体"/>
          <w:kern w:val="0"/>
          <w:sz w:val="24"/>
          <w:szCs w:val="24"/>
          <w:lang w:val="en-US" w:eastAsia="zh-CN" w:bidi="ar"/>
        </w:rPr>
        <w:t>元将直接转为本合同的履约保证金，若乙方违约或发生本合同约定的其他事由的，甲方有权从履约保证金中优先扣除乙方违约金及其他应付款项；由此造成履约保证金不足的，乙方应在</w:t>
      </w:r>
      <w:r>
        <w:rPr>
          <w:rFonts w:hint="eastAsia" w:ascii="Times New Roman" w:hAnsi="Times New Roman" w:eastAsia="宋体" w:cs="Times New Roman"/>
          <w:kern w:val="0"/>
          <w:sz w:val="24"/>
          <w:szCs w:val="24"/>
          <w:lang w:val="en-US" w:eastAsia="zh-CN" w:bidi="ar"/>
        </w:rPr>
        <w:t>5</w:t>
      </w:r>
      <w:r>
        <w:rPr>
          <w:rFonts w:hint="eastAsia" w:ascii="宋体" w:hAnsi="宋体" w:eastAsia="宋体" w:cs="宋体"/>
          <w:kern w:val="0"/>
          <w:sz w:val="24"/>
          <w:szCs w:val="24"/>
          <w:lang w:val="en-US" w:eastAsia="zh-CN" w:bidi="ar"/>
        </w:rPr>
        <w:t>日内补足，逾期每日按照应缴金额的千分之一支付违约金。</w:t>
      </w:r>
    </w:p>
    <w:p>
      <w:pPr>
        <w:pStyle w:val="41"/>
        <w:keepNext w:val="0"/>
        <w:keepLines w:val="0"/>
        <w:widowControl w:val="0"/>
        <w:suppressLineNumbers w:val="0"/>
        <w:autoSpaceDE w:val="0"/>
        <w:autoSpaceDN/>
        <w:adjustRightInd w:val="0"/>
        <w:spacing w:before="0" w:beforeAutospacing="0" w:after="157" w:afterLines="50" w:afterAutospacing="0" w:line="312" w:lineRule="atLeast"/>
        <w:ind w:left="357" w:leftChars="0" w:right="0" w:rightChars="0" w:hanging="357" w:hangingChars="149"/>
        <w:jc w:val="both"/>
        <w:textAlignment w:val="baseline"/>
        <w:rPr>
          <w:rFonts w:hint="default" w:ascii="Times New Roman" w:hAnsi="Times New Roman" w:eastAsia="宋体" w:cs="Times New Roman"/>
          <w:sz w:val="24"/>
          <w:szCs w:val="24"/>
          <w:vertAlign w:val="baseline"/>
        </w:rPr>
      </w:pPr>
      <w:r>
        <w:rPr>
          <w:rFonts w:hint="eastAsia" w:ascii="Times New Roman" w:hAnsi="Times New Roman" w:eastAsia="宋体" w:cs="Times New Roman"/>
          <w:kern w:val="0"/>
          <w:sz w:val="24"/>
          <w:szCs w:val="24"/>
          <w:vertAlign w:val="baseline"/>
          <w:lang w:val="en-US" w:eastAsia="zh-CN" w:bidi="ar"/>
        </w:rPr>
        <w:t>2</w:t>
      </w:r>
      <w:r>
        <w:rPr>
          <w:rFonts w:hint="eastAsia" w:ascii="宋体" w:hAnsi="宋体" w:eastAsia="宋体" w:cs="宋体"/>
          <w:kern w:val="0"/>
          <w:sz w:val="24"/>
          <w:szCs w:val="24"/>
          <w:vertAlign w:val="baseline"/>
          <w:lang w:val="en-US" w:eastAsia="zh-CN" w:bidi="ar"/>
        </w:rPr>
        <w:t>、该履约保证金在乙方全面履行完毕本合同义务后</w:t>
      </w:r>
      <w:r>
        <w:rPr>
          <w:rFonts w:hint="eastAsia" w:ascii="Times New Roman" w:hAnsi="Times New Roman" w:eastAsia="宋体" w:cs="Times New Roman"/>
          <w:kern w:val="0"/>
          <w:sz w:val="24"/>
          <w:szCs w:val="24"/>
          <w:vertAlign w:val="baseline"/>
          <w:lang w:val="en-US" w:eastAsia="zh-CN" w:bidi="ar"/>
        </w:rPr>
        <w:t>30</w:t>
      </w:r>
      <w:r>
        <w:rPr>
          <w:rFonts w:hint="eastAsia" w:ascii="宋体" w:hAnsi="宋体" w:eastAsia="宋体" w:cs="宋体"/>
          <w:kern w:val="0"/>
          <w:sz w:val="24"/>
          <w:szCs w:val="24"/>
          <w:vertAlign w:val="baseline"/>
          <w:lang w:val="en-US" w:eastAsia="zh-CN" w:bidi="ar"/>
        </w:rPr>
        <w:t>天内无息退还。但履约保证金退还后发现任何应由乙方承担责任的行为或事件，乙方仍应承担责任。</w:t>
      </w:r>
    </w:p>
    <w:p>
      <w:pPr>
        <w:spacing w:line="440" w:lineRule="exact"/>
        <w:rPr>
          <w:rFonts w:asciiTheme="minorEastAsia" w:hAnsiTheme="minorEastAsia" w:eastAsiaTheme="minorEastAsia"/>
          <w:b/>
          <w:sz w:val="24"/>
          <w:szCs w:val="24"/>
          <w:lang w:eastAsia="zh-CN"/>
        </w:rPr>
      </w:pPr>
      <w:r>
        <w:rPr>
          <w:rFonts w:hint="eastAsia" w:asciiTheme="minorEastAsia" w:hAnsiTheme="minorEastAsia" w:eastAsiaTheme="minorEastAsia"/>
          <w:b/>
          <w:color w:val="000000"/>
          <w:sz w:val="24"/>
          <w:szCs w:val="24"/>
          <w:lang w:eastAsia="zh-CN"/>
        </w:rPr>
        <w:t xml:space="preserve">第四条  </w:t>
      </w:r>
      <w:r>
        <w:rPr>
          <w:rFonts w:hint="eastAsia" w:asciiTheme="minorEastAsia" w:hAnsiTheme="minorEastAsia" w:eastAsiaTheme="minorEastAsia"/>
          <w:b/>
          <w:sz w:val="24"/>
          <w:szCs w:val="24"/>
          <w:lang w:eastAsia="zh-CN"/>
        </w:rPr>
        <w:t>甲方责任</w:t>
      </w:r>
    </w:p>
    <w:p>
      <w:pPr>
        <w:tabs>
          <w:tab w:val="left" w:pos="1260"/>
        </w:tabs>
        <w:adjustRightInd w:val="0"/>
        <w:snapToGrid w:val="0"/>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1、根据需要提供一切监测所必需的资料和技术文件，并保证提供的一切资料应当是真实、完整、合法、有效的，以便乙方有效地提供要求的监测服务。</w:t>
      </w:r>
    </w:p>
    <w:p>
      <w:pPr>
        <w:adjustRightInd w:val="0"/>
        <w:snapToGrid w:val="0"/>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2、按本合同约定及时向乙方支付监测费用。</w:t>
      </w:r>
    </w:p>
    <w:p>
      <w:pPr>
        <w:adjustRightInd w:val="0"/>
        <w:snapToGrid w:val="0"/>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如对监测结果有异议，应于《监测报告》完成之日起十五日内向检测单位书面提出。逾期未提出异议，则视为同意《监测报告》。甲方的验收仅作为付款依据，不代表甲方对乙方工作成果的最终认可。在技术咨询成果运用过程中，如有根据表明乙方存在弄虚作假有等违反合同约定的情形，甲方仍有权要求乙方承担由此告造成的损失和法律后果。</w:t>
      </w:r>
    </w:p>
    <w:p>
      <w:pPr>
        <w:adjustRightInd w:val="0"/>
        <w:snapToGrid w:val="0"/>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4、甲方有权对乙方现场作业监测过程进行监督，乙方需全力配合，不得推诿。</w:t>
      </w:r>
    </w:p>
    <w:p>
      <w:pPr>
        <w:spacing w:line="440" w:lineRule="exact"/>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第五条  乙方责任</w:t>
      </w:r>
    </w:p>
    <w:p>
      <w:pPr>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1、按照合同约定提供检测服务，为甲方出具监测报告。</w:t>
      </w:r>
    </w:p>
    <w:p>
      <w:pPr>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2、采用合适谨慎态度及科学准确的方法，以保证提供优质高效的检测服务。</w:t>
      </w:r>
    </w:p>
    <w:p>
      <w:pPr>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3、保证采用国家或行业标准方法进行检测，使用非标准方法进行监测的项目，应向甲方申明并取得甲方同意。</w:t>
      </w:r>
    </w:p>
    <w:p>
      <w:pPr>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4、就</w:t>
      </w:r>
      <w:r>
        <w:rPr>
          <w:rFonts w:hint="eastAsia" w:asciiTheme="minorEastAsia" w:hAnsiTheme="minorEastAsia" w:eastAsiaTheme="minorEastAsia"/>
          <w:sz w:val="24"/>
          <w:szCs w:val="24"/>
          <w:lang w:eastAsia="zh-CN"/>
        </w:rPr>
        <w:t>监测</w:t>
      </w:r>
      <w:r>
        <w:rPr>
          <w:rFonts w:hint="eastAsia" w:asciiTheme="minorEastAsia" w:hAnsiTheme="minorEastAsia" w:eastAsiaTheme="minorEastAsia"/>
          <w:color w:val="000000"/>
          <w:sz w:val="24"/>
          <w:szCs w:val="24"/>
          <w:lang w:eastAsia="zh-CN"/>
        </w:rPr>
        <w:t>报告的有关内容，接受甲方的咨询。</w:t>
      </w:r>
    </w:p>
    <w:p>
      <w:pPr>
        <w:pStyle w:val="2"/>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snapToGrid w:val="0"/>
          <w:sz w:val="24"/>
          <w:szCs w:val="24"/>
        </w:rPr>
        <w:t xml:space="preserve">监测单位应提供计划采样检测时间表，入场需与业主方联系确认。由业主方根据需求派员参与监护海洋采样过程。  </w:t>
      </w:r>
    </w:p>
    <w:p>
      <w:pPr>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6、乙方采样人员在现场采样过程中应遵守甲方的规章制度，因乙方不遵守甲方规章制度而导致自身、甲方或其他任何第三方人身或财产损失的，由乙方自行承担。</w:t>
      </w:r>
    </w:p>
    <w:p>
      <w:pPr>
        <w:spacing w:line="44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7、承诺现场采样人员在采样过程中严禁以任何形式索取好处费或其他与客户约定之外的行为，保证廉洁检测。</w:t>
      </w:r>
    </w:p>
    <w:p>
      <w:pPr>
        <w:spacing w:line="440" w:lineRule="exact"/>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第六条  合同的生效和效力</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1、本合同经甲乙双方盖章之日起生效，至本合同约定的双方义务履行完毕之日终止。合同生效后不得私自涂改，否则涂改部分无效。</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2、本合同附件为本合同不可分割的组成部分，与本合同具有同等法律效力；</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3、若本合同的某一条款被裁决为无效，不影响本合同其它条款效力的，其他部分仍然有效。</w:t>
      </w:r>
    </w:p>
    <w:p>
      <w:pPr>
        <w:spacing w:line="440" w:lineRule="exact"/>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第七条  合同的变更和终止</w:t>
      </w:r>
    </w:p>
    <w:p>
      <w:pPr>
        <w:pStyle w:val="254"/>
        <w:widowControl w:val="0"/>
        <w:overflowPunct/>
        <w:autoSpaceDE/>
        <w:autoSpaceDN/>
        <w:adjustRightInd/>
        <w:spacing w:line="440" w:lineRule="exact"/>
        <w:textAlignment w:val="auto"/>
        <w:rPr>
          <w:rFonts w:asciiTheme="minorEastAsia" w:hAnsiTheme="minorEastAsia" w:eastAsiaTheme="minorEastAsia"/>
          <w:color w:val="000000"/>
          <w:kern w:val="2"/>
          <w:sz w:val="24"/>
          <w:szCs w:val="24"/>
          <w:lang w:val="en-US" w:eastAsia="zh-CN"/>
        </w:rPr>
      </w:pPr>
      <w:r>
        <w:rPr>
          <w:rFonts w:hint="eastAsia" w:cs="宋体" w:asciiTheme="minorEastAsia" w:hAnsiTheme="minorEastAsia" w:eastAsiaTheme="minorEastAsia"/>
          <w:color w:val="000000"/>
          <w:sz w:val="24"/>
          <w:szCs w:val="24"/>
        </w:rPr>
        <w:t>本合同生效后，</w:t>
      </w:r>
      <w:r>
        <w:rPr>
          <w:rFonts w:hint="eastAsia" w:asciiTheme="minorEastAsia" w:hAnsiTheme="minorEastAsia" w:eastAsiaTheme="minorEastAsia"/>
          <w:color w:val="000000"/>
          <w:sz w:val="24"/>
          <w:szCs w:val="24"/>
        </w:rPr>
        <w:t>对本合同的任何</w:t>
      </w:r>
      <w:r>
        <w:rPr>
          <w:rFonts w:hint="eastAsia" w:cs="宋体" w:asciiTheme="minorEastAsia" w:hAnsiTheme="minorEastAsia" w:eastAsiaTheme="minorEastAsia"/>
          <w:color w:val="000000"/>
          <w:sz w:val="24"/>
          <w:szCs w:val="24"/>
        </w:rPr>
        <w:t>补充、</w:t>
      </w:r>
      <w:r>
        <w:rPr>
          <w:rFonts w:hint="eastAsia" w:asciiTheme="minorEastAsia" w:hAnsiTheme="minorEastAsia" w:eastAsiaTheme="minorEastAsia"/>
          <w:color w:val="000000"/>
          <w:sz w:val="24"/>
          <w:szCs w:val="24"/>
        </w:rPr>
        <w:t>修改和变更，均应经双方协商一致以书面形式作出，</w:t>
      </w:r>
      <w:r>
        <w:rPr>
          <w:rFonts w:hint="eastAsia" w:asciiTheme="minorEastAsia" w:hAnsiTheme="minorEastAsia" w:eastAsiaTheme="minorEastAsia"/>
          <w:color w:val="000000"/>
          <w:sz w:val="24"/>
          <w:szCs w:val="24"/>
          <w:lang w:eastAsia="zh-CN"/>
        </w:rPr>
        <w:t>经</w:t>
      </w:r>
      <w:r>
        <w:rPr>
          <w:rFonts w:hint="eastAsia" w:asciiTheme="minorEastAsia" w:hAnsiTheme="minorEastAsia" w:eastAsiaTheme="minorEastAsia"/>
          <w:color w:val="000000"/>
          <w:sz w:val="24"/>
          <w:szCs w:val="24"/>
        </w:rPr>
        <w:t>双方盖章</w:t>
      </w:r>
      <w:r>
        <w:rPr>
          <w:rFonts w:hint="eastAsia" w:asciiTheme="minorEastAsia" w:hAnsiTheme="minorEastAsia" w:eastAsiaTheme="minorEastAsia"/>
          <w:color w:val="000000"/>
          <w:sz w:val="24"/>
          <w:szCs w:val="24"/>
          <w:lang w:eastAsia="zh-CN"/>
        </w:rPr>
        <w:t>后</w:t>
      </w:r>
      <w:r>
        <w:rPr>
          <w:rFonts w:hint="eastAsia" w:cs="宋体" w:asciiTheme="minorEastAsia" w:hAnsiTheme="minorEastAsia" w:eastAsiaTheme="minorEastAsia"/>
          <w:color w:val="000000"/>
          <w:sz w:val="24"/>
          <w:szCs w:val="24"/>
        </w:rPr>
        <w:t>方为有效</w:t>
      </w:r>
      <w:r>
        <w:rPr>
          <w:rFonts w:hint="eastAsia" w:asciiTheme="minorEastAsia" w:hAnsiTheme="minorEastAsia" w:eastAsiaTheme="minorEastAsia"/>
          <w:color w:val="000000"/>
          <w:sz w:val="24"/>
          <w:szCs w:val="24"/>
        </w:rPr>
        <w:t>。</w:t>
      </w:r>
    </w:p>
    <w:p>
      <w:pPr>
        <w:numPr>
          <w:ilvl w:val="0"/>
          <w:numId w:val="0"/>
        </w:numPr>
        <w:autoSpaceDE/>
        <w:autoSpaceDN/>
        <w:spacing w:line="440" w:lineRule="exact"/>
        <w:ind w:leftChars="0"/>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1、</w:t>
      </w:r>
      <w:r>
        <w:rPr>
          <w:rFonts w:hint="eastAsia" w:asciiTheme="minorEastAsia" w:hAnsiTheme="minorEastAsia" w:eastAsiaTheme="minorEastAsia"/>
          <w:color w:val="000000"/>
          <w:sz w:val="24"/>
          <w:szCs w:val="24"/>
          <w:lang w:eastAsia="zh-CN"/>
        </w:rPr>
        <w:t>甲乙双方经协商一致可签订书面协议终止本合同。</w:t>
      </w:r>
    </w:p>
    <w:p>
      <w:pPr>
        <w:pStyle w:val="254"/>
        <w:widowControl w:val="0"/>
        <w:numPr>
          <w:ilvl w:val="0"/>
          <w:numId w:val="0"/>
        </w:numPr>
        <w:overflowPunct/>
        <w:autoSpaceDE/>
        <w:autoSpaceDN/>
        <w:adjustRightInd/>
        <w:spacing w:line="440" w:lineRule="exact"/>
        <w:ind w:leftChars="0"/>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lang w:val="en-US" w:eastAsia="zh-CN"/>
        </w:rPr>
        <w:t>2、</w:t>
      </w:r>
      <w:r>
        <w:rPr>
          <w:rFonts w:hint="eastAsia" w:cs="宋体" w:asciiTheme="minorEastAsia" w:hAnsiTheme="minorEastAsia" w:eastAsiaTheme="minorEastAsia"/>
          <w:color w:val="000000"/>
          <w:sz w:val="24"/>
          <w:szCs w:val="24"/>
        </w:rPr>
        <w:t>任何一方提出终止合同要求的，必须提前四个星期以书面形式通报，但本合同任何一方依法对违约方行使终止合同权利的，不受此限。</w:t>
      </w:r>
    </w:p>
    <w:p>
      <w:pPr>
        <w:pStyle w:val="21"/>
        <w:spacing w:line="440" w:lineRule="exact"/>
        <w:ind w:left="0" w:leftChars="0"/>
        <w:rPr>
          <w:rFonts w:asciiTheme="minorEastAsia" w:hAnsiTheme="minorEastAsia"/>
          <w:b/>
          <w:i w:val="0"/>
          <w:color w:val="000000"/>
          <w:sz w:val="24"/>
          <w:szCs w:val="24"/>
        </w:rPr>
      </w:pPr>
      <w:r>
        <w:rPr>
          <w:rFonts w:hint="eastAsia" w:asciiTheme="minorEastAsia" w:hAnsiTheme="minorEastAsia"/>
          <w:b/>
          <w:i w:val="0"/>
          <w:color w:val="000000"/>
          <w:sz w:val="24"/>
          <w:szCs w:val="24"/>
        </w:rPr>
        <w:t>第</w:t>
      </w:r>
      <w:r>
        <w:rPr>
          <w:rFonts w:hint="eastAsia" w:asciiTheme="minorEastAsia" w:hAnsiTheme="minorEastAsia"/>
          <w:b/>
          <w:i w:val="0"/>
          <w:color w:val="000000"/>
          <w:sz w:val="24"/>
          <w:szCs w:val="24"/>
          <w:lang w:eastAsia="zh-CN"/>
        </w:rPr>
        <w:t>八</w:t>
      </w:r>
      <w:r>
        <w:rPr>
          <w:rFonts w:hint="eastAsia" w:asciiTheme="minorEastAsia" w:hAnsiTheme="minorEastAsia"/>
          <w:b/>
          <w:i w:val="0"/>
          <w:color w:val="000000"/>
          <w:sz w:val="24"/>
          <w:szCs w:val="24"/>
        </w:rPr>
        <w:t>条   知识产权及保密</w:t>
      </w:r>
    </w:p>
    <w:p>
      <w:pPr>
        <w:autoSpaceDE/>
        <w:autoSpaceDN/>
        <w:spacing w:line="440" w:lineRule="exact"/>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双方同意对于谈判过程中及系统维护过程中接触、知晓的对方的商业秘密承担保密责任，除依法律规定或事先征得对方书面同意或双方另有约定（本合同中“双方另有约定”意指“双方在本合同其他条款作约定或者在本合同之外作约定”）外，不得以任何方式将其泄露给任何第三方。此处所称商业秘密包括但不限于：甲方的业务流程、内部管理结构、员工及财务信息、经销及供货渠道、客户名单、技术资料和档案、以及其它所有相关的甲方商业及技术信息；乙方为签订和履行本合同过程中提供的所有技术或商业信息（无论该种信息是以何种方式加以提供）。</w:t>
      </w:r>
    </w:p>
    <w:p>
      <w:pPr>
        <w:autoSpaceDE/>
        <w:autoSpaceDN/>
        <w:spacing w:line="440" w:lineRule="exact"/>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2、除依法律规定或事先征得对方书面同意外，双方同意不向任何第三方提供本合同内容。</w:t>
      </w:r>
    </w:p>
    <w:p>
      <w:pPr>
        <w:pStyle w:val="21"/>
        <w:widowControl/>
        <w:overflowPunct w:val="0"/>
        <w:autoSpaceDE w:val="0"/>
        <w:autoSpaceDN w:val="0"/>
        <w:adjustRightInd w:val="0"/>
        <w:spacing w:line="440" w:lineRule="exact"/>
        <w:ind w:left="0" w:leftChars="0"/>
        <w:jc w:val="left"/>
        <w:textAlignment w:val="baseline"/>
        <w:rPr>
          <w:rFonts w:asciiTheme="minorEastAsia" w:hAnsiTheme="minorEastAsia"/>
          <w:i w:val="0"/>
          <w:color w:val="000000"/>
          <w:sz w:val="24"/>
          <w:szCs w:val="24"/>
        </w:rPr>
      </w:pPr>
      <w:r>
        <w:rPr>
          <w:rFonts w:hint="eastAsia" w:asciiTheme="minorEastAsia" w:hAnsiTheme="minorEastAsia"/>
          <w:i w:val="0"/>
          <w:color w:val="000000"/>
          <w:sz w:val="24"/>
          <w:szCs w:val="24"/>
        </w:rPr>
        <w:t>3、乙方根据合同约定向甲方提供的方法、工具或其他技术、商业信息，其所包含的知识产权和/或所有权均为提供前原权利人享有，甲方除自身需要加以合理使用外，不得用于任何其他目的。</w:t>
      </w:r>
    </w:p>
    <w:p>
      <w:pPr>
        <w:autoSpaceDE/>
        <w:autoSpaceDN/>
        <w:spacing w:line="440" w:lineRule="exact"/>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4、甲乙任何一方在正常职责范围内接触本合同或参与履行本合同约定的职员应被告知承担保密责任，前述提及的一方职员泄密的，其责任应由违约方承担。</w:t>
      </w:r>
    </w:p>
    <w:p>
      <w:pPr>
        <w:autoSpaceDE/>
        <w:autoSpaceDN/>
        <w:spacing w:line="440" w:lineRule="exact"/>
        <w:rPr>
          <w:rFonts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lang w:eastAsia="zh-CN"/>
        </w:rPr>
        <w:t>5、乙方应保证所提供的服务不会侵犯任何第三方的合法权益，若有，甲方不承担任何责任；</w:t>
      </w:r>
    </w:p>
    <w:p>
      <w:pPr>
        <w:autoSpaceDE/>
        <w:autoSpaceDN/>
        <w:spacing w:line="440" w:lineRule="exact"/>
        <w:rPr>
          <w:rFonts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lang w:eastAsia="zh-CN"/>
        </w:rPr>
        <w:t>6、本条在本合同终止后持续有效。</w:t>
      </w:r>
    </w:p>
    <w:p>
      <w:pPr>
        <w:autoSpaceDE/>
        <w:autoSpaceDN/>
        <w:spacing w:line="440" w:lineRule="exact"/>
        <w:rPr>
          <w:rFonts w:asciiTheme="minorEastAsia" w:hAnsiTheme="minorEastAsia" w:eastAsiaTheme="minorEastAsia"/>
          <w:b/>
          <w:color w:val="0D0D0D"/>
          <w:sz w:val="24"/>
          <w:szCs w:val="24"/>
          <w:lang w:eastAsia="zh-CN"/>
        </w:rPr>
      </w:pPr>
      <w:r>
        <w:rPr>
          <w:rFonts w:hint="eastAsia" w:asciiTheme="minorEastAsia" w:hAnsiTheme="minorEastAsia" w:eastAsiaTheme="minorEastAsia"/>
          <w:b/>
          <w:color w:val="0D0D0D"/>
          <w:sz w:val="24"/>
          <w:szCs w:val="24"/>
          <w:lang w:eastAsia="zh-CN"/>
        </w:rPr>
        <w:t>第九条  违约责任</w:t>
      </w:r>
    </w:p>
    <w:p>
      <w:pPr>
        <w:spacing w:line="440" w:lineRule="exact"/>
        <w:rPr>
          <w:rFonts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lang w:eastAsia="zh-CN"/>
        </w:rPr>
        <w:t>1、乙方逾期提供检测报告的，每日应按合同总金额的0.5%向甲方支付违约金，逾期超过15日，甲方有权解除协议，并要求乙方赔偿因此给甲方造成的损失。</w:t>
      </w:r>
    </w:p>
    <w:p>
      <w:pPr>
        <w:spacing w:line="440" w:lineRule="exact"/>
        <w:rPr>
          <w:rFonts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lang w:eastAsia="zh-CN"/>
        </w:rPr>
        <w:t>2、乙方提供的维护服务不符合甲方要求/乙方怠于行使合同义务的，应在甲方指定期限内修改完善直至符合合同约定为止，由此造成逾期提交的，按照第1款约定执行。</w:t>
      </w:r>
    </w:p>
    <w:p>
      <w:pPr>
        <w:spacing w:line="440" w:lineRule="exact"/>
        <w:rPr>
          <w:rFonts w:asciiTheme="minorEastAsia" w:hAnsiTheme="minorEastAsia" w:eastAsiaTheme="minorEastAsia"/>
          <w:color w:val="0D0D0D"/>
          <w:sz w:val="24"/>
          <w:szCs w:val="24"/>
          <w:lang w:eastAsia="zh-CN"/>
        </w:rPr>
      </w:pPr>
      <w:r>
        <w:rPr>
          <w:rFonts w:hint="eastAsia" w:asciiTheme="minorEastAsia" w:hAnsiTheme="minorEastAsia" w:eastAsiaTheme="minorEastAsia"/>
          <w:color w:val="0D0D0D"/>
          <w:sz w:val="24"/>
          <w:szCs w:val="24"/>
          <w:lang w:eastAsia="zh-CN"/>
        </w:rPr>
        <w:t>3、甲方无故逾期付款的，按照银行同期货款利率标准支付利息。</w:t>
      </w:r>
    </w:p>
    <w:p>
      <w:pPr>
        <w:spacing w:line="440" w:lineRule="exact"/>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第十条  适用法律及争议解决</w:t>
      </w:r>
    </w:p>
    <w:p>
      <w:pPr>
        <w:autoSpaceDE/>
        <w:autoSpaceDN/>
        <w:spacing w:line="440" w:lineRule="exact"/>
        <w:jc w:val="both"/>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1、本合同的订立、效力、解释、履行和争议的解决均适用中华人民共和国的法律；</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2、凡因履行本合同产生的或与本合同有关的一切争议，双方均应通过友好协商解决。如协商无法达成一致的，应将该争议提交甲方住所地有管辖权的人民法院解决。</w:t>
      </w:r>
    </w:p>
    <w:p>
      <w:pPr>
        <w:spacing w:line="440" w:lineRule="exact"/>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第十一条  冲突条款</w:t>
      </w:r>
    </w:p>
    <w:p>
      <w:pPr>
        <w:pStyle w:val="21"/>
        <w:spacing w:line="440" w:lineRule="exact"/>
        <w:ind w:left="0" w:leftChars="0"/>
        <w:rPr>
          <w:rFonts w:asciiTheme="minorEastAsia" w:hAnsiTheme="minorEastAsia"/>
          <w:i w:val="0"/>
          <w:color w:val="000000"/>
          <w:sz w:val="24"/>
          <w:szCs w:val="24"/>
        </w:rPr>
      </w:pPr>
      <w:r>
        <w:rPr>
          <w:rFonts w:hint="eastAsia" w:asciiTheme="minorEastAsia" w:hAnsiTheme="minorEastAsia"/>
          <w:i w:val="0"/>
          <w:color w:val="000000"/>
          <w:sz w:val="24"/>
          <w:szCs w:val="24"/>
        </w:rPr>
        <w:t>如本合同所涉各项文件的条款发生冲突，则合同中后面条款的适用优先于合同前面的条款，附件中条款的适用优先于合同条款。</w:t>
      </w:r>
    </w:p>
    <w:p>
      <w:pPr>
        <w:pStyle w:val="21"/>
        <w:spacing w:line="440" w:lineRule="exact"/>
        <w:ind w:left="0" w:leftChars="0"/>
        <w:rPr>
          <w:rFonts w:asciiTheme="minorEastAsia" w:hAnsiTheme="minorEastAsia"/>
          <w:b/>
          <w:i w:val="0"/>
          <w:color w:val="000000"/>
          <w:sz w:val="24"/>
          <w:szCs w:val="24"/>
        </w:rPr>
      </w:pPr>
      <w:r>
        <w:rPr>
          <w:rFonts w:hint="eastAsia" w:asciiTheme="minorEastAsia" w:hAnsiTheme="minorEastAsia"/>
          <w:b/>
          <w:i w:val="0"/>
          <w:color w:val="000000"/>
          <w:sz w:val="24"/>
          <w:szCs w:val="24"/>
        </w:rPr>
        <w:t>第十</w:t>
      </w:r>
      <w:r>
        <w:rPr>
          <w:rFonts w:hint="eastAsia" w:asciiTheme="minorEastAsia" w:hAnsiTheme="minorEastAsia"/>
          <w:b/>
          <w:i w:val="0"/>
          <w:color w:val="000000"/>
          <w:sz w:val="24"/>
          <w:szCs w:val="24"/>
          <w:lang w:eastAsia="zh-CN"/>
        </w:rPr>
        <w:t>二</w:t>
      </w:r>
      <w:r>
        <w:rPr>
          <w:rFonts w:hint="eastAsia" w:asciiTheme="minorEastAsia" w:hAnsiTheme="minorEastAsia"/>
          <w:b/>
          <w:i w:val="0"/>
          <w:color w:val="000000"/>
          <w:sz w:val="24"/>
          <w:szCs w:val="24"/>
        </w:rPr>
        <w:t>条</w:t>
      </w:r>
      <w:r>
        <w:rPr>
          <w:rFonts w:hint="eastAsia" w:asciiTheme="minorEastAsia" w:hAnsiTheme="minorEastAsia"/>
          <w:b/>
          <w:i w:val="0"/>
          <w:color w:val="000000"/>
          <w:sz w:val="24"/>
          <w:szCs w:val="24"/>
          <w:lang w:val="en-US" w:eastAsia="zh-CN"/>
        </w:rPr>
        <w:t xml:space="preserve">  </w:t>
      </w:r>
      <w:r>
        <w:rPr>
          <w:rFonts w:hint="eastAsia" w:asciiTheme="minorEastAsia" w:hAnsiTheme="minorEastAsia"/>
          <w:b/>
          <w:i w:val="0"/>
          <w:color w:val="000000"/>
          <w:sz w:val="24"/>
          <w:szCs w:val="24"/>
        </w:rPr>
        <w:t>合同附则</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1、因本合同而发生的一切税费，由双方按法律规定各自承担；</w:t>
      </w:r>
    </w:p>
    <w:p>
      <w:pPr>
        <w:autoSpaceDE/>
        <w:autoSpaceDN/>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2、双方按本合同约定向对方发送书面通知，应送往本合同落款处双方所记载的地址，除非在发送书面通知前已收到对方以书面方式提供的新的通讯地址；</w:t>
      </w:r>
    </w:p>
    <w:p>
      <w:pPr>
        <w:pStyle w:val="21"/>
        <w:widowControl/>
        <w:overflowPunct w:val="0"/>
        <w:autoSpaceDE w:val="0"/>
        <w:autoSpaceDN w:val="0"/>
        <w:adjustRightInd w:val="0"/>
        <w:spacing w:line="440" w:lineRule="exact"/>
        <w:ind w:left="0" w:leftChars="0"/>
        <w:jc w:val="left"/>
        <w:textAlignment w:val="baseline"/>
        <w:rPr>
          <w:rFonts w:asciiTheme="minorEastAsia" w:hAnsiTheme="minorEastAsia"/>
          <w:i w:val="0"/>
          <w:color w:val="000000"/>
          <w:sz w:val="24"/>
          <w:szCs w:val="24"/>
        </w:rPr>
      </w:pPr>
      <w:r>
        <w:rPr>
          <w:rFonts w:hint="eastAsia" w:asciiTheme="minorEastAsia" w:hAnsiTheme="minorEastAsia"/>
          <w:i w:val="0"/>
          <w:color w:val="000000"/>
          <w:sz w:val="24"/>
          <w:szCs w:val="24"/>
        </w:rPr>
        <w:t>3、本合同及相关附件任何条款之法律效力于尚未终止前，均及于双方当事人和各自的继承人；</w:t>
      </w:r>
    </w:p>
    <w:p>
      <w:pPr>
        <w:pStyle w:val="253"/>
        <w:spacing w:line="440" w:lineRule="exact"/>
        <w:rPr>
          <w:rFonts w:asciiTheme="minorEastAsia" w:hAnsiTheme="minorEastAsia" w:eastAsiaTheme="minorEastAsia"/>
          <w:color w:val="000000"/>
          <w:szCs w:val="24"/>
          <w:lang w:eastAsia="zh-CN"/>
        </w:rPr>
      </w:pPr>
      <w:r>
        <w:rPr>
          <w:rFonts w:hint="eastAsia" w:asciiTheme="minorEastAsia" w:hAnsiTheme="minorEastAsia" w:eastAsiaTheme="minorEastAsia"/>
          <w:color w:val="000000"/>
          <w:szCs w:val="24"/>
          <w:lang w:eastAsia="zh-CN"/>
        </w:rPr>
        <w:t>4、</w:t>
      </w:r>
      <w:r>
        <w:rPr>
          <w:rFonts w:hint="eastAsia" w:asciiTheme="minorEastAsia" w:hAnsiTheme="minorEastAsia" w:eastAsiaTheme="minorEastAsia"/>
          <w:color w:val="000000"/>
          <w:szCs w:val="24"/>
        </w:rPr>
        <w:t>本合同正本一式</w:t>
      </w:r>
      <w:r>
        <w:rPr>
          <w:rFonts w:hint="eastAsia" w:asciiTheme="minorEastAsia" w:hAnsiTheme="minorEastAsia" w:eastAsiaTheme="minorEastAsia"/>
          <w:color w:val="000000"/>
          <w:szCs w:val="24"/>
          <w:lang w:eastAsia="zh-CN"/>
        </w:rPr>
        <w:t>六</w:t>
      </w:r>
      <w:r>
        <w:rPr>
          <w:rFonts w:hint="eastAsia" w:asciiTheme="minorEastAsia" w:hAnsiTheme="minorEastAsia" w:eastAsiaTheme="minorEastAsia"/>
          <w:color w:val="000000"/>
          <w:szCs w:val="24"/>
        </w:rPr>
        <w:t>份，甲</w:t>
      </w:r>
      <w:r>
        <w:rPr>
          <w:rFonts w:hint="eastAsia" w:asciiTheme="minorEastAsia" w:hAnsiTheme="minorEastAsia" w:eastAsiaTheme="minorEastAsia"/>
          <w:color w:val="000000"/>
          <w:szCs w:val="24"/>
          <w:lang w:eastAsia="zh-CN"/>
        </w:rPr>
        <w:t>执</w:t>
      </w:r>
      <w:r>
        <w:rPr>
          <w:rFonts w:hint="eastAsia" w:asciiTheme="minorEastAsia" w:hAnsiTheme="minorEastAsia" w:eastAsiaTheme="minorEastAsia"/>
          <w:color w:val="000000"/>
          <w:szCs w:val="24"/>
          <w:u w:val="single"/>
          <w:lang w:eastAsia="zh-CN"/>
        </w:rPr>
        <w:t>伍</w:t>
      </w:r>
      <w:r>
        <w:rPr>
          <w:rFonts w:hint="eastAsia" w:asciiTheme="minorEastAsia" w:hAnsiTheme="minorEastAsia" w:eastAsiaTheme="minorEastAsia"/>
          <w:color w:val="000000"/>
          <w:szCs w:val="24"/>
          <w:lang w:eastAsia="zh-CN"/>
        </w:rPr>
        <w:t>份、</w:t>
      </w:r>
      <w:r>
        <w:rPr>
          <w:rFonts w:hint="eastAsia" w:asciiTheme="minorEastAsia" w:hAnsiTheme="minorEastAsia" w:eastAsiaTheme="minorEastAsia"/>
          <w:color w:val="000000"/>
          <w:szCs w:val="24"/>
        </w:rPr>
        <w:t>乙执</w:t>
      </w:r>
      <w:r>
        <w:rPr>
          <w:rFonts w:hint="eastAsia" w:asciiTheme="minorEastAsia" w:hAnsiTheme="minorEastAsia" w:eastAsiaTheme="minorEastAsia"/>
          <w:color w:val="000000"/>
          <w:szCs w:val="24"/>
          <w:u w:val="single"/>
          <w:lang w:eastAsia="zh-CN"/>
        </w:rPr>
        <w:t>壹</w:t>
      </w:r>
      <w:r>
        <w:rPr>
          <w:rFonts w:hint="eastAsia" w:asciiTheme="minorEastAsia" w:hAnsiTheme="minorEastAsia" w:eastAsiaTheme="minorEastAsia"/>
          <w:color w:val="000000"/>
          <w:szCs w:val="24"/>
        </w:rPr>
        <w:t>份。</w:t>
      </w:r>
    </w:p>
    <w:p>
      <w:pPr>
        <w:spacing w:line="440" w:lineRule="exact"/>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（以下无正文）</w:t>
      </w:r>
    </w:p>
    <w:p>
      <w:pPr>
        <w:pStyle w:val="78"/>
        <w:spacing w:line="360" w:lineRule="auto"/>
        <w:rPr>
          <w:rFonts w:hint="eastAsia" w:asciiTheme="minorEastAsia" w:hAnsiTheme="minorEastAsia"/>
        </w:rPr>
      </w:pPr>
    </w:p>
    <w:p>
      <w:pPr>
        <w:pStyle w:val="78"/>
        <w:spacing w:line="360" w:lineRule="auto"/>
        <w:rPr>
          <w:rFonts w:hint="eastAsia" w:hAnsi="宋体"/>
          <w:bCs/>
        </w:rPr>
      </w:pPr>
      <w:r>
        <w:rPr>
          <w:rFonts w:hint="eastAsia" w:asciiTheme="minorEastAsia" w:hAnsiTheme="minorEastAsia"/>
        </w:rPr>
        <w:t>附件一：海水冷却系统</w:t>
      </w:r>
      <w:r>
        <w:rPr>
          <w:rFonts w:hint="eastAsia" w:hAnsi="宋体"/>
          <w:bCs/>
        </w:rPr>
        <w:t>排海口环境监测发包技术协议</w:t>
      </w:r>
    </w:p>
    <w:p>
      <w:pPr>
        <w:widowControl/>
        <w:autoSpaceDE/>
        <w:autoSpaceDN/>
        <w:spacing w:line="360" w:lineRule="auto"/>
        <w:rPr>
          <w:rFonts w:ascii="黑体" w:eastAsia="黑体" w:cs="Courier New"/>
          <w:sz w:val="28"/>
          <w:szCs w:val="28"/>
          <w:lang w:eastAsia="zh-CN"/>
        </w:rPr>
      </w:pPr>
      <w:r>
        <w:rPr>
          <w:rFonts w:hint="eastAsia" w:hAnsi="宋体"/>
          <w:bCs/>
          <w:lang w:eastAsia="zh-CN"/>
        </w:rPr>
        <w:t>附件二：</w:t>
      </w:r>
      <w:r>
        <w:rPr>
          <w:rFonts w:hint="eastAsia" w:eastAsia="宋体" w:cs="宋体" w:asciiTheme="minorEastAsia" w:hAnsiTheme="minorEastAsia"/>
          <w:color w:val="000000"/>
          <w:kern w:val="0"/>
          <w:sz w:val="24"/>
          <w:szCs w:val="24"/>
          <w:lang w:val="en-US" w:eastAsia="zh-CN" w:bidi="ar-SA"/>
        </w:rPr>
        <w:t>安全环保协议书</w:t>
      </w:r>
    </w:p>
    <w:p>
      <w:pPr>
        <w:pStyle w:val="78"/>
        <w:spacing w:line="360" w:lineRule="auto"/>
        <w:rPr>
          <w:rFonts w:hint="eastAsia" w:hAnsi="宋体" w:eastAsia="宋体"/>
          <w:bCs/>
          <w:lang w:eastAsia="zh-CN"/>
        </w:rPr>
      </w:pPr>
    </w:p>
    <w:p>
      <w:pPr>
        <w:pStyle w:val="27"/>
        <w:spacing w:line="440" w:lineRule="exact"/>
        <w:ind w:left="99" w:leftChars="45"/>
        <w:jc w:val="left"/>
        <w:rPr>
          <w:rFonts w:asciiTheme="minorEastAsia" w:hAnsiTheme="minorEastAsia"/>
          <w:color w:val="000000"/>
          <w:sz w:val="24"/>
        </w:rPr>
      </w:pPr>
    </w:p>
    <w:p>
      <w:pPr>
        <w:pStyle w:val="27"/>
        <w:spacing w:line="440" w:lineRule="exact"/>
        <w:ind w:left="0" w:leftChars="0"/>
        <w:jc w:val="left"/>
        <w:rPr>
          <w:rFonts w:asciiTheme="minorEastAsia" w:hAnsiTheme="minorEastAsia"/>
          <w:color w:val="000000"/>
          <w:sz w:val="24"/>
        </w:rPr>
      </w:pPr>
    </w:p>
    <w:p>
      <w:pPr>
        <w:pStyle w:val="27"/>
        <w:spacing w:line="440" w:lineRule="exact"/>
        <w:ind w:left="0" w:leftChars="0"/>
        <w:jc w:val="left"/>
        <w:rPr>
          <w:rFonts w:asciiTheme="minorEastAsia" w:hAnsiTheme="minorEastAsia"/>
          <w:color w:val="000000"/>
          <w:sz w:val="28"/>
          <w:szCs w:val="28"/>
        </w:rPr>
      </w:pPr>
      <w:r>
        <w:rPr>
          <w:rFonts w:hint="eastAsia" w:asciiTheme="minorEastAsia" w:hAnsiTheme="minorEastAsia"/>
          <w:color w:val="000000"/>
          <w:sz w:val="28"/>
          <w:szCs w:val="28"/>
        </w:rPr>
        <w:t>甲方：</w:t>
      </w:r>
      <w:r>
        <w:rPr>
          <w:rFonts w:hint="eastAsia"/>
          <w:color w:val="000000"/>
          <w:sz w:val="28"/>
          <w:szCs w:val="28"/>
        </w:rPr>
        <w:t>翔鹭石化（漳州）有限公司</w:t>
      </w:r>
      <w:r>
        <w:rPr>
          <w:rFonts w:hint="eastAsia" w:asciiTheme="minorEastAsia" w:hAnsiTheme="minorEastAsia"/>
          <w:color w:val="000000"/>
          <w:sz w:val="28"/>
          <w:szCs w:val="28"/>
        </w:rPr>
        <w:t xml:space="preserve">   </w:t>
      </w:r>
      <w:r>
        <w:rPr>
          <w:rFonts w:hint="eastAsia" w:asciiTheme="minorEastAsia" w:hAnsiTheme="minorEastAsia"/>
          <w:color w:val="000000"/>
          <w:sz w:val="28"/>
          <w:szCs w:val="28"/>
          <w:lang w:val="en-US" w:eastAsia="zh-CN"/>
        </w:rPr>
        <w:t xml:space="preserve">   </w:t>
      </w:r>
      <w:r>
        <w:rPr>
          <w:rFonts w:hint="eastAsia" w:asciiTheme="minorEastAsia" w:hAnsiTheme="minorEastAsia"/>
          <w:color w:val="000000"/>
          <w:sz w:val="28"/>
          <w:szCs w:val="28"/>
        </w:rPr>
        <w:t xml:space="preserve">   </w:t>
      </w:r>
      <w:r>
        <w:rPr>
          <w:rFonts w:hint="eastAsia" w:asciiTheme="minorEastAsia" w:hAnsiTheme="minorEastAsia"/>
          <w:color w:val="000000"/>
          <w:sz w:val="28"/>
          <w:szCs w:val="28"/>
          <w:lang w:val="en-US" w:eastAsia="zh-CN"/>
        </w:rPr>
        <w:t xml:space="preserve">    </w:t>
      </w:r>
      <w:r>
        <w:rPr>
          <w:rFonts w:hint="eastAsia" w:asciiTheme="minorEastAsia" w:hAnsiTheme="minorEastAsia"/>
          <w:color w:val="000000"/>
          <w:sz w:val="28"/>
          <w:szCs w:val="28"/>
        </w:rPr>
        <w:t xml:space="preserve"> 乙方：</w:t>
      </w:r>
      <w:r>
        <w:rPr>
          <w:rFonts w:asciiTheme="minorEastAsia" w:hAnsiTheme="minorEastAsia"/>
          <w:color w:val="000000"/>
          <w:sz w:val="28"/>
          <w:szCs w:val="28"/>
        </w:rPr>
        <w:t xml:space="preserve"> </w:t>
      </w:r>
    </w:p>
    <w:p>
      <w:pPr>
        <w:spacing w:line="440" w:lineRule="exact"/>
        <w:rPr>
          <w:rFonts w:asciiTheme="minorEastAsia" w:hAnsiTheme="minorEastAsia" w:eastAsiaTheme="minorEastAsia"/>
          <w:sz w:val="28"/>
          <w:szCs w:val="28"/>
          <w:lang w:val="en-GB" w:eastAsia="zh-CN"/>
        </w:rPr>
      </w:pPr>
      <w:r>
        <w:rPr>
          <w:rFonts w:hint="eastAsia" w:asciiTheme="minorEastAsia" w:hAnsiTheme="minorEastAsia" w:eastAsiaTheme="minorEastAsia"/>
          <w:color w:val="000000"/>
          <w:sz w:val="28"/>
          <w:szCs w:val="28"/>
        </w:rPr>
        <w:t>日期：</w:t>
      </w: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3</w:t>
      </w:r>
      <w:r>
        <w:rPr>
          <w:rFonts w:hint="eastAsia" w:asciiTheme="minorEastAsia" w:hAnsiTheme="minorEastAsia" w:eastAsiaTheme="minorEastAsia"/>
          <w:color w:val="000000"/>
          <w:sz w:val="28"/>
          <w:szCs w:val="28"/>
          <w:lang w:eastAsia="zh-CN"/>
        </w:rPr>
        <w:t>年   月   日</w:t>
      </w: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rPr>
        <w:t>日期：</w:t>
      </w:r>
      <w:r>
        <w:rPr>
          <w:rFonts w:asciiTheme="minorEastAsia" w:hAnsiTheme="minorEastAsia" w:eastAsiaTheme="minorEastAsia"/>
          <w:sz w:val="28"/>
          <w:szCs w:val="28"/>
          <w:lang w:val="en-GB"/>
        </w:rPr>
        <w:t xml:space="preserve"> </w:t>
      </w:r>
      <w:r>
        <w:rPr>
          <w:rFonts w:hint="eastAsia" w:asciiTheme="minorEastAsia" w:hAnsiTheme="minorEastAsia" w:eastAsiaTheme="minorEastAsia"/>
          <w:sz w:val="28"/>
          <w:szCs w:val="28"/>
          <w:lang w:val="en-GB" w:eastAsia="zh-CN"/>
        </w:rPr>
        <w:t>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lang w:val="en-GB" w:eastAsia="zh-CN"/>
        </w:rPr>
        <w:t>年  月  日</w:t>
      </w:r>
    </w:p>
    <w:p>
      <w:pPr>
        <w:rPr>
          <w:lang w:val="en-GB"/>
        </w:rPr>
      </w:pPr>
    </w:p>
    <w:p>
      <w:pPr>
        <w:pStyle w:val="2"/>
        <w:rPr>
          <w:b/>
          <w:bCs/>
          <w:sz w:val="24"/>
          <w:szCs w:val="24"/>
          <w:lang w:val="en-GB"/>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widowControl/>
        <w:autoSpaceDE/>
        <w:autoSpaceDN/>
        <w:spacing w:line="360" w:lineRule="auto"/>
        <w:rPr>
          <w:rFonts w:ascii="黑体" w:eastAsia="黑体" w:cs="Courier New"/>
          <w:sz w:val="28"/>
          <w:szCs w:val="28"/>
          <w:lang w:eastAsia="zh-CN"/>
        </w:rPr>
      </w:pPr>
      <w:r>
        <w:rPr>
          <w:rFonts w:ascii="黑体" w:eastAsia="黑体"/>
          <w:sz w:val="28"/>
          <w:szCs w:val="28"/>
          <w:lang w:eastAsia="zh-CN"/>
        </w:rPr>
        <w:t>附件</w:t>
      </w:r>
      <w:r>
        <w:rPr>
          <w:rFonts w:hint="eastAsia" w:ascii="黑体" w:eastAsia="黑体"/>
          <w:sz w:val="28"/>
          <w:szCs w:val="28"/>
          <w:lang w:eastAsia="zh-CN"/>
        </w:rPr>
        <w:t>二</w:t>
      </w:r>
      <w:r>
        <w:rPr>
          <w:rFonts w:hint="eastAsia" w:ascii="黑体" w:eastAsia="黑体"/>
          <w:sz w:val="28"/>
          <w:szCs w:val="28"/>
          <w:lang w:val="en-US" w:eastAsia="zh-CN"/>
        </w:rPr>
        <w:t xml:space="preserve">                 </w:t>
      </w:r>
      <w:r>
        <w:rPr>
          <w:rFonts w:hint="eastAsia" w:ascii="黑体" w:eastAsia="黑体"/>
          <w:sz w:val="28"/>
          <w:szCs w:val="28"/>
          <w:lang w:eastAsia="zh-CN"/>
        </w:rPr>
        <w:t>安全环保协议书</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甲方（委托方）：</w:t>
      </w:r>
      <w:r>
        <w:rPr>
          <w:rFonts w:hint="eastAsia"/>
          <w:color w:val="000000"/>
          <w:sz w:val="28"/>
          <w:szCs w:val="28"/>
        </w:rPr>
        <w:t>翔鹭石化（漳州）有限公司</w:t>
      </w:r>
      <w:r>
        <w:rPr>
          <w:rFonts w:hint="eastAsia" w:asciiTheme="minorEastAsia" w:hAnsiTheme="minorEastAsia" w:eastAsiaTheme="minorEastAsia"/>
          <w:sz w:val="24"/>
          <w:szCs w:val="24"/>
          <w:lang w:eastAsia="zh-CN"/>
        </w:rPr>
        <w:t xml:space="preserve">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乙方（受托方）</w:t>
      </w:r>
      <w:r>
        <w:rPr>
          <w:rFonts w:asciiTheme="minorEastAsia" w:hAnsiTheme="minorEastAsia" w:eastAsiaTheme="minorEastAsia"/>
          <w:sz w:val="24"/>
          <w:szCs w:val="24"/>
          <w:lang w:eastAsia="zh-CN"/>
        </w:rPr>
        <w:t>：</w:t>
      </w:r>
    </w:p>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p>
      <w:pPr>
        <w:spacing w:line="360" w:lineRule="auto"/>
        <w:ind w:left="-533" w:leftChars="-339" w:hanging="213" w:hangingChars="8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甲乙双方就</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b/>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工程/项目签订了</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636" w:leftChars="-289" w:firstLine="120" w:firstLineChars="5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一、甲方的权利和义务：</w:t>
      </w:r>
    </w:p>
    <w:p>
      <w:pPr>
        <w:pStyle w:val="75"/>
        <w:spacing w:line="360" w:lineRule="auto"/>
        <w:ind w:left="-636" w:leftChars="-289" w:firstLine="120" w:firstLineChars="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甲方有权对乙方的资质进行审查，确认其符合且具备进厂条件，方可进厂施工。</w:t>
      </w:r>
    </w:p>
    <w:p>
      <w:pPr>
        <w:spacing w:line="360" w:lineRule="auto"/>
        <w:ind w:left="-565" w:leftChars="-25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20" w:firstLineChars="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 甲方有权对乙方不服从管理和严重违章者，驱除施工现场。</w:t>
      </w:r>
    </w:p>
    <w:p>
      <w:pPr>
        <w:tabs>
          <w:tab w:val="left" w:pos="360"/>
          <w:tab w:val="left" w:pos="840"/>
        </w:tabs>
        <w:spacing w:line="360" w:lineRule="auto"/>
        <w:ind w:left="-636" w:leftChars="-289" w:firstLine="120" w:firstLineChars="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 甲方负责对乙方进行厂级和部门级安全培训教育和考核，考核合格方可办理入厂手续。</w:t>
      </w:r>
    </w:p>
    <w:p>
      <w:pPr>
        <w:tabs>
          <w:tab w:val="left" w:pos="360"/>
          <w:tab w:val="left" w:pos="840"/>
        </w:tabs>
        <w:spacing w:line="360" w:lineRule="auto"/>
        <w:ind w:left="-636" w:leftChars="-289" w:firstLine="120" w:firstLineChars="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 甲方负责各装置的工艺处理、退料、置换、吹扫及盲板隔离工作，为本项目提供安全的施工条件。</w:t>
      </w:r>
    </w:p>
    <w:p>
      <w:pPr>
        <w:tabs>
          <w:tab w:val="left" w:pos="360"/>
          <w:tab w:val="left" w:pos="840"/>
        </w:tabs>
        <w:spacing w:line="360" w:lineRule="auto"/>
        <w:ind w:left="-636" w:leftChars="-289" w:firstLine="120" w:firstLineChars="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 甲方应乙方要求，向乙方提供与乙方作业相关的甲方有毒有害、易燃易爆物品的数据。</w:t>
      </w:r>
    </w:p>
    <w:p>
      <w:pPr>
        <w:tabs>
          <w:tab w:val="left" w:pos="360"/>
          <w:tab w:val="left" w:pos="840"/>
        </w:tabs>
        <w:spacing w:line="360" w:lineRule="auto"/>
        <w:ind w:left="-636" w:leftChars="-289" w:firstLine="120" w:firstLineChars="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 甲方在开工前必须对乙方进行全面的安全技术及文明施工交底。</w:t>
      </w:r>
    </w:p>
    <w:p>
      <w:pPr>
        <w:spacing w:line="360" w:lineRule="auto"/>
        <w:ind w:left="-636" w:leftChars="-289" w:firstLine="120" w:firstLineChars="5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二、乙方的权利和义务：</w:t>
      </w:r>
    </w:p>
    <w:p>
      <w:pPr>
        <w:spacing w:line="360" w:lineRule="auto"/>
        <w:ind w:left="-526" w:leftChars="-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20" w:firstLineChars="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乙方有权对甲方安全管理工作提出合理化建议或改进措施。</w:t>
      </w:r>
    </w:p>
    <w:p>
      <w:pPr>
        <w:spacing w:line="360" w:lineRule="auto"/>
        <w:ind w:left="-526" w:leftChars="-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乙方对甲方管理人员违章指挥、强令冒险作业、有权拒绝执行。对打击和报复行为有权向上级和有关部门汇报。 </w:t>
      </w:r>
    </w:p>
    <w:p>
      <w:pPr>
        <w:spacing w:line="360" w:lineRule="auto"/>
        <w:ind w:left="-636" w:leftChars="-289" w:firstLine="120" w:firstLineChars="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5、乙方施工过程中在发生严重危及作业人员生命安全的不可抗拒紧急情况时，有权采取必要的避险措施，并立即向管理部门报告。</w:t>
      </w:r>
    </w:p>
    <w:p>
      <w:pPr>
        <w:spacing w:line="360" w:lineRule="auto"/>
        <w:ind w:left="-636" w:leftChars="-289" w:firstLine="120" w:firstLineChars="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6、乙方有权要求甲方提供相关的安全资料。</w:t>
      </w:r>
    </w:p>
    <w:p>
      <w:pPr>
        <w:spacing w:line="360" w:lineRule="auto"/>
        <w:ind w:left="-636" w:leftChars="-289" w:firstLine="120" w:firstLineChars="50"/>
        <w:rPr>
          <w:rFonts w:asciiTheme="minorEastAsia" w:hAnsiTheme="minorEastAsia" w:eastAsiaTheme="minorEastAsia"/>
          <w:b/>
          <w:sz w:val="24"/>
          <w:szCs w:val="24"/>
          <w:lang w:eastAsia="zh-CN"/>
        </w:rPr>
      </w:pPr>
      <w:r>
        <w:rPr>
          <w:rFonts w:hint="eastAsia" w:asciiTheme="minorEastAsia" w:hAnsiTheme="minorEastAsia" w:eastAsiaTheme="minorEastAsia"/>
          <w:sz w:val="24"/>
          <w:szCs w:val="24"/>
          <w:lang w:eastAsia="zh-CN"/>
        </w:rPr>
        <w:t>7、</w:t>
      </w:r>
      <w:r>
        <w:rPr>
          <w:rFonts w:hint="eastAsia" w:cs="Arial" w:asciiTheme="minorEastAsia" w:hAnsiTheme="minorEastAsia" w:eastAsiaTheme="minorEastAsia"/>
          <w:sz w:val="24"/>
          <w:szCs w:val="24"/>
          <w:lang w:eastAsia="zh-CN"/>
        </w:rPr>
        <w:t>乙方必须建立健全HSE管理网络、HSE保证体系和HSE责任制，成立专职HSE管理机构</w:t>
      </w:r>
      <w:r>
        <w:rPr>
          <w:rFonts w:hint="eastAsia" w:asciiTheme="minorEastAsia" w:hAnsiTheme="minorEastAsia" w:eastAsiaTheme="minorEastAsia"/>
          <w:sz w:val="24"/>
          <w:szCs w:val="24"/>
          <w:lang w:eastAsia="zh-CN"/>
        </w:rPr>
        <w:t>，依照《安全生产法》的要求配备专职或兼职安全生产管理人员；施工队伍超过50人的应按比例配足专职安全员，</w:t>
      </w:r>
      <w:r>
        <w:rPr>
          <w:rFonts w:hint="eastAsia" w:cs="Arial" w:asciiTheme="minorEastAsia" w:hAnsiTheme="minorEastAsia" w:eastAsiaTheme="minorEastAsia"/>
          <w:sz w:val="24"/>
          <w:szCs w:val="24"/>
          <w:lang w:eastAsia="zh-CN"/>
        </w:rPr>
        <w:t>并佩戴明显标志；编制和实施各安全环保施工方案和专项应急预案。</w:t>
      </w:r>
    </w:p>
    <w:p>
      <w:pPr>
        <w:spacing w:line="360" w:lineRule="auto"/>
        <w:ind w:left="-516" w:leftChars="-289" w:hanging="120" w:hangingChars="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43" w:leftChars="-289" w:hanging="93" w:hangingChars="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543" w:leftChars="-289" w:hanging="93" w:hangingChars="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43" w:leftChars="-289" w:hanging="93" w:hangingChars="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11、乙方应按《中华人民共和国劳动法》等法律、法规、规定用工，严禁使用未成年工和有职业禁忌的人员进行施工作业。</w:t>
      </w:r>
      <w:r>
        <w:rPr>
          <w:rFonts w:asciiTheme="minorEastAsia" w:hAnsiTheme="minorEastAsia" w:eastAsiaTheme="minorEastAsia"/>
          <w:sz w:val="24"/>
          <w:szCs w:val="24"/>
          <w:lang w:eastAsia="zh-CN"/>
        </w:rPr>
        <w:t xml:space="preserve"> </w:t>
      </w:r>
    </w:p>
    <w:p>
      <w:pPr>
        <w:spacing w:line="360" w:lineRule="auto"/>
        <w:ind w:left="-543" w:leftChars="-289" w:hanging="93" w:hangingChars="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 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543" w:leftChars="-289" w:hanging="93" w:hangingChars="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543" w:leftChars="-289" w:hanging="93" w:hangingChars="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43" w:leftChars="-289" w:hanging="93" w:hangingChars="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543" w:leftChars="-289" w:hanging="93" w:hangingChars="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43" w:leftChars="-289" w:hanging="93" w:hangingChars="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hint="eastAsia" w:asciiTheme="minorEastAsia" w:hAnsiTheme="minorEastAsia" w:eastAsiaTheme="min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43" w:leftChars="-289" w:hanging="93" w:hangingChars="3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 xml:space="preserve">18、 </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inorEastAsia" w:hAnsiTheme="minorEastAsia" w:eastAsiaTheme="minorEastAsia"/>
          <w:sz w:val="24"/>
          <w:szCs w:val="24"/>
          <w:lang w:eastAsia="zh-CN"/>
        </w:rPr>
        <w:t>GB 2894-2008）</w:t>
      </w:r>
      <w:r>
        <w:rPr>
          <w:rFonts w:hint="eastAsia" w:asciiTheme="minorEastAsia" w:hAnsiTheme="minorEastAsia" w:eastAsiaTheme="minorEastAsia"/>
          <w:bCs/>
          <w:sz w:val="24"/>
          <w:szCs w:val="24"/>
          <w:lang w:eastAsia="zh-CN"/>
        </w:rPr>
        <w:t>的规定。</w:t>
      </w:r>
    </w:p>
    <w:p>
      <w:pPr>
        <w:spacing w:line="360" w:lineRule="auto"/>
        <w:ind w:left="-543" w:leftChars="-289" w:hanging="93" w:hangingChars="39"/>
        <w:rPr>
          <w:rFonts w:asciiTheme="minorEastAsia" w:hAnsiTheme="minorEastAsia" w:eastAsiaTheme="minorEastAsia"/>
          <w:sz w:val="24"/>
          <w:szCs w:val="24"/>
          <w:lang w:eastAsia="zh-CN"/>
        </w:rPr>
      </w:pPr>
      <w:r>
        <w:rPr>
          <w:rFonts w:hint="eastAsia" w:asciiTheme="minorEastAsia" w:hAnsiTheme="minorEastAsia" w:eastAsiaTheme="minorEastAsia"/>
          <w:bCs/>
          <w:sz w:val="24"/>
          <w:szCs w:val="24"/>
          <w:lang w:eastAsia="zh-CN"/>
        </w:rPr>
        <w:t>19、</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43" w:leftChars="-289" w:hanging="93" w:hangingChars="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 乙方施工产生的</w:t>
      </w:r>
      <w:r>
        <w:rPr>
          <w:rFonts w:hint="eastAsia" w:asciiTheme="minorEastAsia" w:hAnsiTheme="minorEastAsia" w:eastAsiaTheme="min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ind w:left="-543" w:leftChars="-289" w:hanging="93" w:hangingChars="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43" w:leftChars="-289" w:hanging="93" w:hangingChars="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22、 </w:t>
      </w:r>
      <w:r>
        <w:rPr>
          <w:rFonts w:hint="eastAsia" w:asciiTheme="minorEastAsia" w:hAnsiTheme="minorEastAsia" w:eastAsiaTheme="min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636" w:leftChars="-289" w:firstLine="120" w:firstLineChars="5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三、违约责任及处理</w:t>
      </w:r>
    </w:p>
    <w:p>
      <w:pPr>
        <w:spacing w:line="360" w:lineRule="auto"/>
        <w:ind w:left="-39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1、乙方不得转包、违法分包及挂靠等违法行为；未经福海创许可，不得将工程分包。</w:t>
      </w:r>
    </w:p>
    <w:p>
      <w:pPr>
        <w:spacing w:line="360" w:lineRule="auto"/>
        <w:ind w:left="-39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2、发生安全事故时，甲乙双方均有抢险、救灾的义务，所发生的费用由责任方承担。</w:t>
      </w:r>
    </w:p>
    <w:p>
      <w:pPr>
        <w:spacing w:line="360" w:lineRule="auto"/>
        <w:ind w:left="-39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39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4、甲方违约造成的事故，甲方承担全部责任，并按规定追究有关人员责任及上报。</w:t>
      </w:r>
    </w:p>
    <w:p>
      <w:pPr>
        <w:spacing w:line="360" w:lineRule="auto"/>
        <w:ind w:left="64" w:leftChars="-193" w:hanging="489" w:hangingChars="204"/>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64" w:leftChars="-189" w:hanging="480" w:hanging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64" w:leftChars="-189" w:hanging="480" w:hanging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636" w:leftChars="-289" w:firstLine="361" w:firstLineChars="15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四、 不可抗力：</w:t>
      </w:r>
    </w:p>
    <w:p>
      <w:pPr>
        <w:spacing w:line="360" w:lineRule="auto"/>
        <w:ind w:left="-533" w:leftChars="-339" w:hanging="213" w:hangingChars="8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由于不可抗力造成合同项目施工作业事故及产生的损失，甲乙双方各自承担相应的损失。</w:t>
      </w:r>
    </w:p>
    <w:p>
      <w:pPr>
        <w:spacing w:line="360" w:lineRule="auto"/>
        <w:ind w:left="-636" w:leftChars="-289" w:firstLine="361" w:firstLineChars="15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五、本协议书经双方盖章后生效。</w:t>
      </w:r>
    </w:p>
    <w:p>
      <w:pPr>
        <w:spacing w:line="360" w:lineRule="auto"/>
        <w:ind w:left="-636" w:leftChars="-289" w:firstLine="361" w:firstLineChars="15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六、协议期限：</w:t>
      </w:r>
    </w:p>
    <w:p>
      <w:pPr>
        <w:spacing w:line="360" w:lineRule="auto"/>
        <w:ind w:left="-636" w:leftChars="-289" w:firstLine="120" w:firstLineChars="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本协议期限应与主合同期限一致。如果主合同因故需要变更期限，本合同应与主同变更至相同期限。</w:t>
      </w:r>
    </w:p>
    <w:p>
      <w:pPr>
        <w:spacing w:line="360" w:lineRule="auto"/>
        <w:ind w:left="-636" w:leftChars="-289" w:firstLine="120" w:firstLineChars="50"/>
        <w:rPr>
          <w:rFonts w:asciiTheme="minorEastAsia" w:hAnsiTheme="minorEastAsia" w:eastAsiaTheme="minorEastAsia"/>
          <w:sz w:val="24"/>
          <w:szCs w:val="24"/>
          <w:lang w:eastAsia="zh-CN"/>
        </w:rPr>
      </w:pPr>
      <w:r>
        <w:rPr>
          <w:rFonts w:cs="Arial" w:asciiTheme="minorEastAsia" w:hAnsiTheme="minorEastAsia" w:eastAsiaTheme="minorEastAsia"/>
          <w:b/>
          <w:bCs/>
          <w:color w:val="000000"/>
          <w:sz w:val="24"/>
          <w:szCs w:val="24"/>
          <w:lang w:eastAsia="zh-CN"/>
        </w:rPr>
        <w:t>以下无正文，为合同盖章页。</w:t>
      </w:r>
    </w:p>
    <w:p>
      <w:pPr>
        <w:spacing w:line="360" w:lineRule="auto"/>
        <w:rPr>
          <w:rFonts w:cs="Courier New"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r>
        <w:rPr>
          <w:rFonts w:hint="eastAsia" w:cs="Courier New" w:asciiTheme="minorEastAsia" w:hAnsiTheme="minorEastAsia" w:eastAsiaTheme="minorEastAsia"/>
          <w:sz w:val="24"/>
          <w:szCs w:val="24"/>
          <w:lang w:eastAsia="zh-CN"/>
        </w:rPr>
        <w:t>甲方:                          　  乙方：</w:t>
      </w:r>
    </w:p>
    <w:p>
      <w:pPr>
        <w:widowControl/>
        <w:spacing w:line="480" w:lineRule="auto"/>
        <w:rPr>
          <w:rFonts w:hint="eastAsia" w:cs="Courier New" w:asciiTheme="minorEastAsia" w:hAnsiTheme="minorEastAsia" w:eastAsiaTheme="minorEastAsia"/>
          <w:sz w:val="24"/>
          <w:szCs w:val="24"/>
          <w:lang w:eastAsia="zh-CN"/>
        </w:rPr>
      </w:pPr>
      <w:r>
        <w:rPr>
          <w:rFonts w:cs="Courier New" w:asciiTheme="minorEastAsia" w:hAnsiTheme="minorEastAsia" w:eastAsiaTheme="minorEastAsia"/>
          <w:sz w:val="24"/>
          <w:szCs w:val="24"/>
          <w:lang w:eastAsia="zh-CN"/>
        </w:rPr>
        <w:t>账号：</w:t>
      </w:r>
      <w:r>
        <w:rPr>
          <w:rFonts w:hint="eastAsia" w:cs="Courier New" w:asciiTheme="minorEastAsia" w:hAnsiTheme="minorEastAsia" w:eastAsiaTheme="minorEastAsia"/>
          <w:sz w:val="24"/>
          <w:szCs w:val="24"/>
          <w:lang w:eastAsia="zh-CN"/>
        </w:rPr>
        <w:t xml:space="preserve">                             </w:t>
      </w:r>
      <w:r>
        <w:rPr>
          <w:rFonts w:cs="Courier New" w:asciiTheme="minorEastAsia" w:hAnsiTheme="minorEastAsia" w:eastAsiaTheme="minorEastAsia"/>
          <w:sz w:val="24"/>
          <w:szCs w:val="24"/>
          <w:lang w:eastAsia="zh-CN"/>
        </w:rPr>
        <w:t>账号：</w:t>
      </w:r>
    </w:p>
    <w:p>
      <w:pPr>
        <w:widowControl/>
        <w:spacing w:line="480" w:lineRule="auto"/>
        <w:rPr>
          <w:rFonts w:cs="Courier New" w:asciiTheme="minorEastAsia" w:hAnsiTheme="minorEastAsia" w:eastAsiaTheme="minorEastAsia"/>
          <w:sz w:val="24"/>
          <w:szCs w:val="24"/>
          <w:lang w:eastAsia="zh-CN"/>
        </w:rPr>
      </w:pPr>
      <w:r>
        <w:rPr>
          <w:rFonts w:cs="Courier New" w:asciiTheme="minorEastAsia" w:hAnsiTheme="minorEastAsia" w:eastAsiaTheme="minorEastAsia"/>
          <w:sz w:val="24"/>
          <w:szCs w:val="24"/>
          <w:lang w:eastAsia="zh-CN"/>
        </w:rPr>
        <w:t>开户行：</w:t>
      </w:r>
      <w:r>
        <w:rPr>
          <w:rFonts w:hint="eastAsia" w:cs="Courier New" w:asciiTheme="minorEastAsia" w:hAnsiTheme="minorEastAsia" w:eastAsiaTheme="minorEastAsia"/>
          <w:sz w:val="24"/>
          <w:szCs w:val="24"/>
          <w:lang w:eastAsia="zh-CN"/>
        </w:rPr>
        <w:t xml:space="preserve">                           </w:t>
      </w:r>
      <w:r>
        <w:rPr>
          <w:rFonts w:cs="Courier New" w:asciiTheme="minorEastAsia" w:hAnsiTheme="minorEastAsia" w:eastAsiaTheme="minorEastAsia"/>
          <w:sz w:val="24"/>
          <w:szCs w:val="24"/>
          <w:lang w:eastAsia="zh-CN"/>
        </w:rPr>
        <w:t>开户行：</w:t>
      </w:r>
      <w:r>
        <w:rPr>
          <w:rFonts w:hint="eastAsia" w:cs="Courier New" w:asciiTheme="minorEastAsia" w:hAnsiTheme="minorEastAsia" w:eastAsiaTheme="minorEastAsia"/>
          <w:sz w:val="24"/>
          <w:szCs w:val="24"/>
          <w:lang w:eastAsia="zh-CN"/>
        </w:rPr>
        <w:t xml:space="preserve"> </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pStyle w:val="25"/>
        <w:spacing w:line="615" w:lineRule="exact"/>
        <w:jc w:val="center"/>
        <w:rPr>
          <w:rFonts w:cs="方正小标宋简体" w:asciiTheme="minorEastAsia" w:hAnsiTheme="minorEastAsia" w:eastAsiaTheme="minorEastAsia"/>
          <w:b/>
          <w:sz w:val="32"/>
          <w:szCs w:val="32"/>
          <w:lang w:eastAsia="zh-CN"/>
        </w:rPr>
      </w:pPr>
    </w:p>
    <w:p>
      <w:pPr>
        <w:ind w:left="169"/>
        <w:jc w:val="center"/>
        <w:rPr>
          <w:rFonts w:ascii="微软雅黑" w:eastAsia="微软雅黑"/>
          <w:b/>
          <w:sz w:val="44"/>
          <w:szCs w:val="44"/>
          <w:u w:val="single"/>
          <w:lang w:eastAsia="zh-CN"/>
        </w:rPr>
      </w:pPr>
      <w:r>
        <w:rPr>
          <w:rFonts w:hint="eastAsia" w:ascii="微软雅黑" w:hAnsi="微软雅黑" w:eastAsia="微软雅黑"/>
          <w:b/>
          <w:bCs/>
          <w:sz w:val="44"/>
          <w:szCs w:val="44"/>
          <w:u w:val="single"/>
          <w:lang w:eastAsia="zh-CN"/>
        </w:rPr>
        <w:t>202</w:t>
      </w:r>
      <w:r>
        <w:rPr>
          <w:rFonts w:hint="eastAsia" w:ascii="微软雅黑" w:hAnsi="微软雅黑" w:eastAsia="微软雅黑"/>
          <w:b/>
          <w:bCs/>
          <w:sz w:val="44"/>
          <w:szCs w:val="44"/>
          <w:u w:val="single"/>
          <w:lang w:val="en-US" w:eastAsia="zh-CN"/>
        </w:rPr>
        <w:t>3</w:t>
      </w:r>
      <w:r>
        <w:rPr>
          <w:rFonts w:hint="eastAsia" w:ascii="微软雅黑" w:hAnsi="微软雅黑" w:eastAsia="微软雅黑"/>
          <w:b/>
          <w:bCs/>
          <w:sz w:val="44"/>
          <w:szCs w:val="44"/>
          <w:u w:val="single"/>
          <w:lang w:eastAsia="zh-CN"/>
        </w:rPr>
        <w:t>年海水冷却系统排海口海洋环境</w:t>
      </w:r>
    </w:p>
    <w:p>
      <w:pPr>
        <w:pStyle w:val="20"/>
        <w:jc w:val="center"/>
        <w:rPr>
          <w:rFonts w:ascii="微软雅黑" w:eastAsia="微软雅黑"/>
          <w:b/>
          <w:sz w:val="44"/>
          <w:szCs w:val="44"/>
          <w:u w:val="single"/>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ind w:firstLine="3445" w:firstLineChars="780"/>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3</w:t>
      </w:r>
      <w:r>
        <w:rPr>
          <w:rFonts w:ascii="Times New Roman" w:hAnsi="Times New Roman"/>
          <w:b/>
          <w:bCs/>
          <w:w w:val="95"/>
          <w:sz w:val="32"/>
          <w:lang w:eastAsia="zh-CN"/>
        </w:rPr>
        <w:t>年</w:t>
      </w:r>
      <w:r>
        <w:rPr>
          <w:rFonts w:hint="eastAsia" w:ascii="Times New Roman" w:hAnsi="Times New Roman"/>
          <w:b/>
          <w:bCs/>
          <w:w w:val="95"/>
          <w:sz w:val="32"/>
          <w:lang w:val="en-US" w:eastAsia="zh-CN"/>
        </w:rPr>
        <w:t>01</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rFonts w:hint="eastAsia"/>
          <w:b/>
          <w:sz w:val="44"/>
          <w:szCs w:val="44"/>
          <w:lang w:eastAsia="zh-CN"/>
        </w:rPr>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b/>
                <w:bCs/>
                <w:sz w:val="24"/>
              </w:rPr>
            </w:pPr>
            <w:r>
              <w:rPr>
                <w:rFonts w:hint="eastAsia"/>
                <w:b/>
                <w:bCs/>
                <w:sz w:val="24"/>
              </w:rPr>
              <w:t>序号</w:t>
            </w:r>
          </w:p>
        </w:tc>
        <w:tc>
          <w:tcPr>
            <w:tcW w:w="6023" w:type="dxa"/>
          </w:tcPr>
          <w:p>
            <w:pPr>
              <w:keepNext w:val="0"/>
              <w:keepLines w:val="0"/>
              <w:suppressLineNumbers w:val="0"/>
              <w:spacing w:before="0" w:beforeAutospacing="0" w:after="0" w:afterAutospacing="0" w:line="500" w:lineRule="exact"/>
              <w:ind w:left="0" w:right="0"/>
              <w:jc w:val="center"/>
              <w:rPr>
                <w:rFonts w:hint="default"/>
                <w:b/>
                <w:bCs/>
                <w:sz w:val="24"/>
              </w:rPr>
            </w:pPr>
            <w:r>
              <w:rPr>
                <w:rFonts w:hint="eastAsia"/>
                <w:b/>
                <w:bCs/>
                <w:sz w:val="24"/>
              </w:rPr>
              <w:t>内容</w:t>
            </w:r>
          </w:p>
        </w:tc>
        <w:tc>
          <w:tcPr>
            <w:tcW w:w="1843" w:type="dxa"/>
          </w:tcPr>
          <w:p>
            <w:pPr>
              <w:keepNext w:val="0"/>
              <w:keepLines w:val="0"/>
              <w:suppressLineNumbers w:val="0"/>
              <w:spacing w:before="0" w:beforeAutospacing="0" w:after="0" w:afterAutospacing="0" w:line="500" w:lineRule="exact"/>
              <w:ind w:left="0" w:right="0"/>
              <w:jc w:val="center"/>
              <w:rPr>
                <w:rFonts w:hint="default"/>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1</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rPr>
            </w:pPr>
            <w:r>
              <w:rPr>
                <w:rFonts w:hint="default" w:ascii="Times New Roman" w:hAnsi="Times New Roman" w:eastAsia="宋体" w:cs="Times New Roman"/>
                <w:kern w:val="0"/>
                <w:sz w:val="24"/>
                <w:szCs w:val="24"/>
                <w:lang w:val="en-US" w:eastAsia="zh-CN" w:bidi="ar"/>
              </w:rPr>
              <w:t>参选书</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2</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rPr>
            </w:pPr>
            <w:r>
              <w:rPr>
                <w:rFonts w:hint="default" w:ascii="Times New Roman" w:hAnsi="Times New Roman" w:eastAsia="宋体" w:cs="Times New Roman"/>
                <w:kern w:val="0"/>
                <w:sz w:val="24"/>
                <w:szCs w:val="24"/>
                <w:lang w:val="en-US" w:eastAsia="zh-CN" w:bidi="ar"/>
              </w:rPr>
              <w:t>法定代表人授权书</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3</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lang w:eastAsia="zh-CN"/>
              </w:rPr>
            </w:pPr>
            <w:r>
              <w:rPr>
                <w:rFonts w:hint="default" w:ascii="Times New Roman" w:hAnsi="Times New Roman" w:eastAsia="宋体" w:cs="Times New Roman"/>
                <w:kern w:val="0"/>
                <w:sz w:val="24"/>
                <w:szCs w:val="24"/>
                <w:lang w:val="en-US" w:eastAsia="zh-CN" w:bidi="ar"/>
              </w:rPr>
              <w:t>法定代表人身份证复印件</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4</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lang w:eastAsia="zh-CN"/>
              </w:rPr>
            </w:pPr>
            <w:r>
              <w:rPr>
                <w:rFonts w:hint="default" w:ascii="Times New Roman" w:hAnsi="Times New Roman" w:eastAsia="宋体" w:cs="Times New Roman"/>
                <w:kern w:val="0"/>
                <w:sz w:val="24"/>
                <w:szCs w:val="24"/>
                <w:lang w:val="en-US" w:eastAsia="zh-CN" w:bidi="ar"/>
              </w:rPr>
              <w:t>授权代表身份证复印件</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5</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lang w:eastAsia="zh-CN"/>
              </w:rPr>
            </w:pPr>
            <w:r>
              <w:rPr>
                <w:rFonts w:hint="default" w:ascii="Times New Roman" w:hAnsi="Times New Roman" w:eastAsia="宋体" w:cs="Times New Roman"/>
                <w:kern w:val="0"/>
                <w:sz w:val="24"/>
                <w:szCs w:val="24"/>
                <w:lang w:val="en-US" w:eastAsia="zh-CN" w:bidi="ar"/>
              </w:rPr>
              <w:t>企业概况</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6</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rPr>
            </w:pPr>
            <w:r>
              <w:rPr>
                <w:rFonts w:hint="default" w:ascii="Times New Roman" w:hAnsi="Times New Roman" w:eastAsia="宋体" w:cs="Times New Roman"/>
                <w:kern w:val="0"/>
                <w:sz w:val="24"/>
                <w:szCs w:val="24"/>
                <w:lang w:val="en-US" w:eastAsia="zh-CN" w:bidi="ar"/>
              </w:rPr>
              <w:t>营业执照和开户许可证复印件</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rPr>
            </w:pPr>
            <w:r>
              <w:rPr>
                <w:rFonts w:hint="default" w:ascii="Times New Roman" w:hAnsi="Times New Roman" w:eastAsia="宋体" w:cs="Times New Roman"/>
                <w:kern w:val="0"/>
                <w:sz w:val="24"/>
                <w:szCs w:val="24"/>
                <w:lang w:val="en-US" w:eastAsia="zh-CN" w:bidi="ar"/>
              </w:rPr>
              <w:t>7</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lang w:eastAsia="zh-CN"/>
              </w:rPr>
            </w:pPr>
            <w:r>
              <w:rPr>
                <w:rFonts w:hint="default" w:ascii="Times New Roman" w:hAnsi="Times New Roman" w:eastAsia="宋体" w:cs="Times New Roman"/>
                <w:kern w:val="0"/>
                <w:sz w:val="24"/>
                <w:szCs w:val="24"/>
                <w:lang w:val="en-US" w:eastAsia="zh-CN" w:bidi="ar"/>
              </w:rPr>
              <w:t>相关资质要求证明材料</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lang w:eastAsia="zh-CN"/>
              </w:rPr>
            </w:pPr>
            <w:r>
              <w:rPr>
                <w:rFonts w:hint="default" w:ascii="Times New Roman" w:hAnsi="Times New Roman" w:eastAsia="宋体" w:cs="Times New Roman"/>
                <w:kern w:val="0"/>
                <w:sz w:val="24"/>
                <w:szCs w:val="24"/>
                <w:lang w:val="en-US" w:eastAsia="zh-CN" w:bidi="ar"/>
              </w:rPr>
              <w:t>8</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lang w:eastAsia="zh-CN"/>
              </w:rPr>
            </w:pPr>
            <w:r>
              <w:rPr>
                <w:rFonts w:hint="default" w:ascii="Times New Roman" w:hAnsi="Times New Roman" w:eastAsia="宋体" w:cs="Times New Roman"/>
                <w:kern w:val="0"/>
                <w:sz w:val="24"/>
                <w:szCs w:val="24"/>
                <w:lang w:val="en-US" w:eastAsia="zh-CN" w:bidi="ar"/>
              </w:rPr>
              <w:t>相关业绩证明材料</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center"/>
              <w:rPr>
                <w:rFonts w:hint="default"/>
                <w:sz w:val="24"/>
                <w:lang w:eastAsia="zh-CN"/>
              </w:rPr>
            </w:pPr>
            <w:r>
              <w:rPr>
                <w:rFonts w:hint="default" w:ascii="Times New Roman" w:hAnsi="Times New Roman" w:eastAsia="宋体" w:cs="Times New Roman"/>
                <w:kern w:val="0"/>
                <w:sz w:val="24"/>
                <w:szCs w:val="24"/>
                <w:lang w:val="en-US" w:eastAsia="zh-CN" w:bidi="ar"/>
              </w:rPr>
              <w:t>9</w:t>
            </w:r>
          </w:p>
        </w:tc>
        <w:tc>
          <w:tcPr>
            <w:tcW w:w="6023" w:type="dxa"/>
            <w:vAlign w:val="top"/>
          </w:tcPr>
          <w:p>
            <w:pPr>
              <w:keepNext w:val="0"/>
              <w:keepLines w:val="0"/>
              <w:widowControl w:val="0"/>
              <w:suppressLineNumbers w:val="0"/>
              <w:autoSpaceDE w:val="0"/>
              <w:autoSpaceDN w:val="0"/>
              <w:spacing w:before="0" w:beforeAutospacing="0" w:after="0" w:afterAutospacing="0" w:line="500" w:lineRule="exact"/>
              <w:ind w:left="0" w:leftChars="0" w:right="0" w:rightChars="0"/>
              <w:jc w:val="left"/>
              <w:rPr>
                <w:rFonts w:hint="default"/>
                <w:sz w:val="24"/>
              </w:rPr>
            </w:pPr>
            <w:r>
              <w:rPr>
                <w:rFonts w:hint="default" w:ascii="Times New Roman" w:hAnsi="Times New Roman" w:eastAsia="宋体" w:cs="Times New Roman"/>
                <w:kern w:val="0"/>
                <w:sz w:val="24"/>
                <w:szCs w:val="24"/>
                <w:lang w:val="en-US" w:eastAsia="zh-CN" w:bidi="ar"/>
              </w:rPr>
              <w:t>承诺函</w:t>
            </w: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sz w:val="24"/>
                <w:lang w:eastAsia="zh-CN"/>
              </w:rPr>
            </w:pPr>
            <w:r>
              <w:rPr>
                <w:rFonts w:hint="default"/>
                <w:sz w:val="24"/>
                <w:lang w:eastAsia="zh-CN"/>
              </w:rPr>
              <w:t>10</w:t>
            </w:r>
          </w:p>
        </w:tc>
        <w:tc>
          <w:tcPr>
            <w:tcW w:w="6023" w:type="dxa"/>
          </w:tcPr>
          <w:p>
            <w:pPr>
              <w:keepNext w:val="0"/>
              <w:keepLines w:val="0"/>
              <w:suppressLineNumbers w:val="0"/>
              <w:spacing w:before="0" w:beforeAutospacing="0" w:after="0" w:afterAutospacing="0" w:line="500" w:lineRule="exact"/>
              <w:ind w:left="0" w:right="0"/>
              <w:rPr>
                <w:rFonts w:hint="default"/>
                <w:sz w:val="24"/>
                <w:szCs w:val="28"/>
              </w:rPr>
            </w:pP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sz w:val="24"/>
                <w:lang w:eastAsia="zh-CN"/>
              </w:rPr>
            </w:pPr>
            <w:r>
              <w:rPr>
                <w:rFonts w:hint="eastAsia"/>
                <w:sz w:val="24"/>
                <w:lang w:eastAsia="zh-CN"/>
              </w:rPr>
              <w:t>1</w:t>
            </w:r>
            <w:r>
              <w:rPr>
                <w:rFonts w:hint="default"/>
                <w:sz w:val="24"/>
                <w:lang w:eastAsia="zh-CN"/>
              </w:rPr>
              <w:t>1</w:t>
            </w:r>
          </w:p>
        </w:tc>
        <w:tc>
          <w:tcPr>
            <w:tcW w:w="6023" w:type="dxa"/>
          </w:tcPr>
          <w:p>
            <w:pPr>
              <w:keepNext w:val="0"/>
              <w:keepLines w:val="0"/>
              <w:suppressLineNumbers w:val="0"/>
              <w:spacing w:before="0" w:beforeAutospacing="0" w:after="0" w:afterAutospacing="0" w:line="500" w:lineRule="exact"/>
              <w:ind w:left="0" w:right="0"/>
              <w:rPr>
                <w:rFonts w:hint="default"/>
                <w:sz w:val="24"/>
                <w:szCs w:val="28"/>
                <w:lang w:eastAsia="zh-CN"/>
              </w:rPr>
            </w:pP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sz w:val="24"/>
                <w:lang w:eastAsia="zh-CN"/>
              </w:rPr>
            </w:pPr>
            <w:r>
              <w:rPr>
                <w:rFonts w:hint="eastAsia"/>
                <w:sz w:val="24"/>
                <w:lang w:eastAsia="zh-CN"/>
              </w:rPr>
              <w:t>1</w:t>
            </w:r>
            <w:r>
              <w:rPr>
                <w:rFonts w:hint="default"/>
                <w:sz w:val="24"/>
                <w:lang w:eastAsia="zh-CN"/>
              </w:rPr>
              <w:t>2</w:t>
            </w:r>
          </w:p>
        </w:tc>
        <w:tc>
          <w:tcPr>
            <w:tcW w:w="6023" w:type="dxa"/>
          </w:tcPr>
          <w:p>
            <w:pPr>
              <w:keepNext w:val="0"/>
              <w:keepLines w:val="0"/>
              <w:suppressLineNumbers w:val="0"/>
              <w:spacing w:before="0" w:beforeAutospacing="0" w:after="0" w:afterAutospacing="0" w:line="500" w:lineRule="exact"/>
              <w:ind w:left="0" w:right="0"/>
              <w:rPr>
                <w:rFonts w:hint="default"/>
                <w:lang w:eastAsia="zh-CN"/>
              </w:rPr>
            </w:pP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sz w:val="24"/>
                <w:lang w:eastAsia="zh-CN"/>
              </w:rPr>
            </w:pPr>
            <w:r>
              <w:rPr>
                <w:rFonts w:hint="default"/>
                <w:sz w:val="24"/>
                <w:lang w:eastAsia="zh-CN"/>
              </w:rPr>
              <w:t>13</w:t>
            </w:r>
          </w:p>
        </w:tc>
        <w:tc>
          <w:tcPr>
            <w:tcW w:w="6023" w:type="dxa"/>
          </w:tcPr>
          <w:p>
            <w:pPr>
              <w:keepNext w:val="0"/>
              <w:keepLines w:val="0"/>
              <w:suppressLineNumbers w:val="0"/>
              <w:spacing w:before="0" w:beforeAutospacing="0" w:after="0" w:afterAutospacing="0" w:line="500" w:lineRule="exact"/>
              <w:ind w:left="0" w:right="0"/>
              <w:rPr>
                <w:rFonts w:hint="default"/>
                <w:sz w:val="24"/>
                <w:szCs w:val="28"/>
                <w:lang w:eastAsia="zh-CN"/>
              </w:rPr>
            </w:pPr>
          </w:p>
        </w:tc>
        <w:tc>
          <w:tcPr>
            <w:tcW w:w="1843" w:type="dxa"/>
          </w:tcPr>
          <w:p>
            <w:pPr>
              <w:keepNext w:val="0"/>
              <w:keepLines w:val="0"/>
              <w:suppressLineNumbers w:val="0"/>
              <w:spacing w:before="0" w:beforeAutospacing="0" w:after="0" w:afterAutospacing="0" w:line="500" w:lineRule="exact"/>
              <w:ind w:left="0" w:right="0"/>
              <w:jc w:val="center"/>
              <w:rPr>
                <w:rFonts w:hint="default"/>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suppressLineNumbers w:val="0"/>
              <w:spacing w:before="0" w:beforeAutospacing="0" w:after="0" w:afterAutospacing="0" w:line="500" w:lineRule="exact"/>
              <w:ind w:left="0" w:right="0"/>
              <w:jc w:val="center"/>
              <w:rPr>
                <w:rFonts w:hint="default"/>
                <w:sz w:val="24"/>
                <w:lang w:eastAsia="zh-CN"/>
              </w:rPr>
            </w:pPr>
            <w:r>
              <w:rPr>
                <w:rFonts w:hint="default"/>
                <w:sz w:val="24"/>
                <w:lang w:eastAsia="zh-CN"/>
              </w:rPr>
              <w:t>14</w:t>
            </w:r>
          </w:p>
        </w:tc>
        <w:tc>
          <w:tcPr>
            <w:tcW w:w="6023" w:type="dxa"/>
          </w:tcPr>
          <w:p>
            <w:pPr>
              <w:keepNext w:val="0"/>
              <w:keepLines w:val="0"/>
              <w:suppressLineNumbers w:val="0"/>
              <w:spacing w:before="0" w:beforeAutospacing="0" w:after="0" w:afterAutospacing="0" w:line="500" w:lineRule="exact"/>
              <w:ind w:left="0" w:right="0"/>
              <w:rPr>
                <w:rFonts w:hint="default"/>
                <w:sz w:val="24"/>
              </w:rPr>
            </w:pPr>
          </w:p>
        </w:tc>
        <w:tc>
          <w:tcPr>
            <w:tcW w:w="1843" w:type="dxa"/>
          </w:tcPr>
          <w:p>
            <w:pPr>
              <w:keepNext w:val="0"/>
              <w:keepLines w:val="0"/>
              <w:suppressLineNumbers w:val="0"/>
              <w:spacing w:before="0" w:beforeAutospacing="0" w:after="0" w:afterAutospacing="0" w:line="500" w:lineRule="exact"/>
              <w:ind w:left="0" w:right="0"/>
              <w:jc w:val="center"/>
              <w:rPr>
                <w:rFonts w:hint="default"/>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80" w:lineRule="exact"/>
        <w:ind w:left="169" w:leftChars="77" w:firstLine="480" w:firstLineChars="200"/>
        <w:rPr>
          <w:rFonts w:ascii="微软雅黑" w:hAnsi="微软雅黑" w:eastAsia="微软雅黑"/>
          <w:b/>
          <w:sz w:val="36"/>
          <w:szCs w:val="36"/>
          <w:u w:val="single"/>
          <w:lang w:eastAsia="zh-CN"/>
        </w:rPr>
      </w:pPr>
      <w:r>
        <w:rPr>
          <w:rFonts w:hint="eastAsia"/>
          <w:sz w:val="24"/>
          <w:szCs w:val="24"/>
          <w:lang w:eastAsia="zh-CN"/>
        </w:rPr>
        <w:t>本授权书声明：注册于</w:t>
      </w:r>
      <w:r>
        <w:rPr>
          <w:rFonts w:hint="eastAsia" w:cs="Times New Roman"/>
          <w:color w:val="00B050"/>
          <w:sz w:val="24"/>
          <w:szCs w:val="24"/>
          <w:u w:val="single"/>
          <w:lang w:eastAsia="zh-CN"/>
        </w:rPr>
        <w:t>注册地址</w:t>
      </w:r>
      <w:r>
        <w:rPr>
          <w:rFonts w:hint="eastAsia"/>
          <w:sz w:val="24"/>
          <w:szCs w:val="24"/>
          <w:lang w:eastAsia="zh-CN"/>
        </w:rPr>
        <w:t>的</w:t>
      </w:r>
      <w:r>
        <w:rPr>
          <w:rFonts w:hint="eastAsia" w:cs="Times New Roman"/>
          <w:color w:val="00B050"/>
          <w:sz w:val="24"/>
          <w:szCs w:val="24"/>
          <w:u w:val="single"/>
          <w:lang w:eastAsia="zh-CN"/>
        </w:rPr>
        <w:t>公司名称</w:t>
      </w:r>
      <w:r>
        <w:rPr>
          <w:rFonts w:hint="eastAsia"/>
          <w:sz w:val="24"/>
          <w:szCs w:val="24"/>
          <w:lang w:eastAsia="zh-CN"/>
        </w:rPr>
        <w:t>的在下方签字（或签章）的</w:t>
      </w:r>
      <w:r>
        <w:rPr>
          <w:rFonts w:hint="eastAsia" w:cs="Times New Roman"/>
          <w:color w:val="00B050"/>
          <w:sz w:val="24"/>
          <w:szCs w:val="24"/>
          <w:u w:val="single"/>
          <w:lang w:eastAsia="zh-CN"/>
        </w:rPr>
        <w:t>法人代表姓名</w:t>
      </w:r>
      <w:r>
        <w:rPr>
          <w:rFonts w:hint="eastAsia"/>
          <w:sz w:val="24"/>
          <w:szCs w:val="24"/>
          <w:lang w:eastAsia="zh-CN"/>
        </w:rPr>
        <w:t>代表本公司授权</w:t>
      </w:r>
      <w:r>
        <w:rPr>
          <w:rFonts w:hint="eastAsia" w:cs="Times New Roman"/>
          <w:color w:val="00B050"/>
          <w:sz w:val="24"/>
          <w:szCs w:val="24"/>
          <w:u w:val="single"/>
          <w:lang w:eastAsia="zh-CN"/>
        </w:rPr>
        <w:t>被授权代表人姓名、职务</w:t>
      </w:r>
      <w:r>
        <w:rPr>
          <w:rFonts w:hint="eastAsia"/>
          <w:sz w:val="24"/>
          <w:szCs w:val="24"/>
          <w:lang w:eastAsia="zh-CN"/>
        </w:rPr>
        <w:t>为本公司的合法代理人，就福建福海创石油化工有限公司</w:t>
      </w:r>
      <w:r>
        <w:rPr>
          <w:rFonts w:hint="eastAsia"/>
          <w:sz w:val="24"/>
          <w:szCs w:val="24"/>
          <w:u w:val="single"/>
          <w:lang w:eastAsia="zh-CN"/>
        </w:rPr>
        <w:t>202</w:t>
      </w:r>
      <w:r>
        <w:rPr>
          <w:rFonts w:hint="eastAsia"/>
          <w:sz w:val="24"/>
          <w:szCs w:val="24"/>
          <w:u w:val="single"/>
          <w:lang w:val="en-US" w:eastAsia="zh-CN"/>
        </w:rPr>
        <w:t>3</w:t>
      </w:r>
      <w:r>
        <w:rPr>
          <w:rFonts w:hint="eastAsia"/>
          <w:sz w:val="24"/>
          <w:szCs w:val="24"/>
          <w:u w:val="single"/>
          <w:lang w:eastAsia="zh-CN"/>
        </w:rPr>
        <w:t>年</w:t>
      </w:r>
      <w:r>
        <w:rPr>
          <w:rFonts w:hint="eastAsia" w:asciiTheme="minorEastAsia" w:hAnsiTheme="minorEastAsia" w:eastAsiaTheme="minorEastAsia"/>
          <w:bCs/>
          <w:sz w:val="24"/>
          <w:szCs w:val="24"/>
          <w:u w:val="single"/>
          <w:lang w:eastAsia="zh-CN"/>
        </w:rPr>
        <w:t>海水冷却系统排海口海洋环境</w:t>
      </w:r>
      <w:r>
        <w:rPr>
          <w:rFonts w:hint="eastAsia"/>
          <w:sz w:val="24"/>
          <w:szCs w:val="24"/>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val="en-US" w:eastAsia="zh-CN"/>
        </w:rPr>
        <w:t>3</w:t>
      </w:r>
      <w:r>
        <w:rPr>
          <w:rFonts w:hint="eastAsia" w:cs="Times New Roman"/>
          <w:color w:val="00B050"/>
          <w:sz w:val="24"/>
          <w:szCs w:val="24"/>
          <w:u w:val="single"/>
          <w:lang w:eastAsia="zh-CN"/>
        </w:rPr>
        <w:t>年</w:t>
      </w:r>
      <w:r>
        <w:rPr>
          <w:rFonts w:hint="eastAsia" w:cs="Times New Roman"/>
          <w:color w:val="00B050"/>
          <w:sz w:val="24"/>
          <w:szCs w:val="24"/>
          <w:u w:val="single"/>
          <w:lang w:val="en-US" w:eastAsia="zh-CN"/>
        </w:rPr>
        <w:t xml:space="preserve">   </w:t>
      </w:r>
      <w:r>
        <w:rPr>
          <w:rFonts w:hint="eastAsia" w:cs="Times New Roman"/>
          <w:color w:val="00B050"/>
          <w:sz w:val="24"/>
          <w:szCs w:val="24"/>
          <w:u w:val="single"/>
          <w:lang w:eastAsia="zh-CN"/>
        </w:rPr>
        <w:t>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napToGrid w:val="0"/>
        <w:spacing w:line="540" w:lineRule="exact"/>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致：福建福海创石油化工有限公司</w:t>
      </w:r>
    </w:p>
    <w:p>
      <w:pPr>
        <w:spacing w:line="540" w:lineRule="exact"/>
        <w:ind w:firstLine="212" w:firstLineChars="76"/>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 xml:space="preserve">  在充分研究福建福海创石油化工有限公司</w:t>
      </w:r>
      <w:r>
        <w:rPr>
          <w:rFonts w:hint="eastAsia" w:asciiTheme="minorEastAsia" w:hAnsiTheme="minorEastAsia" w:eastAsiaTheme="minorEastAsia"/>
          <w:bCs/>
          <w:sz w:val="28"/>
          <w:szCs w:val="28"/>
          <w:lang w:eastAsia="zh-CN"/>
        </w:rPr>
        <w:t>202</w:t>
      </w:r>
      <w:r>
        <w:rPr>
          <w:rFonts w:hint="eastAsia" w:asciiTheme="minorEastAsia" w:hAnsiTheme="minorEastAsia" w:eastAsiaTheme="minorEastAsia"/>
          <w:bCs/>
          <w:sz w:val="28"/>
          <w:szCs w:val="28"/>
          <w:lang w:val="en-US" w:eastAsia="zh-CN"/>
        </w:rPr>
        <w:t>3</w:t>
      </w:r>
      <w:r>
        <w:rPr>
          <w:rFonts w:hint="eastAsia" w:asciiTheme="minorEastAsia" w:hAnsiTheme="minorEastAsia" w:eastAsiaTheme="minorEastAsia"/>
          <w:bCs/>
          <w:sz w:val="28"/>
          <w:szCs w:val="28"/>
          <w:lang w:eastAsia="zh-CN"/>
        </w:rPr>
        <w:t>年海水冷却系统排海口海洋环境监测</w:t>
      </w:r>
      <w:r>
        <w:rPr>
          <w:rFonts w:hint="eastAsia" w:asciiTheme="minorEastAsia" w:hAnsiTheme="minorEastAsia" w:eastAsiaTheme="minorEastAsia"/>
          <w:sz w:val="28"/>
          <w:szCs w:val="28"/>
          <w:lang w:eastAsia="zh-CN"/>
        </w:rPr>
        <w:t>比选文件的全部内容后，我方愿以以下报价，严格按照自主比选文件的要求执行。</w:t>
      </w:r>
    </w:p>
    <w:tbl>
      <w:tblPr>
        <w:tblStyle w:val="47"/>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716"/>
        <w:gridCol w:w="2870"/>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1" w:type="dxa"/>
            <w:vAlign w:val="center"/>
          </w:tcPr>
          <w:p>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序号</w:t>
            </w:r>
          </w:p>
        </w:tc>
        <w:tc>
          <w:tcPr>
            <w:tcW w:w="2716"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标的名称</w:t>
            </w:r>
          </w:p>
        </w:tc>
        <w:tc>
          <w:tcPr>
            <w:tcW w:w="2870" w:type="dxa"/>
            <w:vAlign w:val="center"/>
          </w:tcPr>
          <w:p>
            <w:pPr>
              <w:keepNext w:val="0"/>
              <w:keepLines w:val="0"/>
              <w:suppressLineNumbers w:val="0"/>
              <w:spacing w:before="0" w:beforeAutospacing="0" w:after="0" w:afterAutospacing="0" w:line="280" w:lineRule="exact"/>
              <w:ind w:left="90" w:leftChars="41" w:right="0" w:firstLine="141" w:firstLineChars="50"/>
              <w:jc w:val="center"/>
              <w:rPr>
                <w:rFonts w:hint="default"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含税总价（元）</w:t>
            </w:r>
          </w:p>
        </w:tc>
        <w:tc>
          <w:tcPr>
            <w:tcW w:w="3041"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231" w:type="dxa"/>
            <w:vAlign w:val="center"/>
          </w:tcPr>
          <w:p>
            <w:pPr>
              <w:pStyle w:val="2"/>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p>
            <w:pPr>
              <w:pStyle w:val="2"/>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r>
              <w:rPr>
                <w:rFonts w:hint="eastAsia" w:asciiTheme="minorEastAsia" w:hAnsiTheme="minorEastAsia" w:eastAsiaTheme="minorEastAsia"/>
                <w:b/>
                <w:sz w:val="28"/>
                <w:szCs w:val="28"/>
              </w:rPr>
              <w:t>1</w:t>
            </w:r>
          </w:p>
          <w:p>
            <w:pPr>
              <w:pStyle w:val="2"/>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c>
          <w:tcPr>
            <w:tcW w:w="2716"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海水冷却系统排海口海洋环境监测</w:t>
            </w:r>
          </w:p>
        </w:tc>
        <w:tc>
          <w:tcPr>
            <w:tcW w:w="2870"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sz w:val="28"/>
                <w:szCs w:val="28"/>
                <w:lang w:eastAsia="zh-CN"/>
              </w:rPr>
            </w:pPr>
          </w:p>
          <w:p>
            <w:pPr>
              <w:pStyle w:val="2"/>
              <w:keepNext w:val="0"/>
              <w:keepLines w:val="0"/>
              <w:suppressLineNumbers w:val="0"/>
              <w:spacing w:before="0" w:beforeAutospacing="0" w:after="0" w:afterAutospacing="0"/>
              <w:ind w:left="0" w:right="0"/>
              <w:jc w:val="center"/>
              <w:rPr>
                <w:rFonts w:hint="default" w:asciiTheme="minorEastAsia" w:hAnsiTheme="minorEastAsia" w:eastAsiaTheme="minorEastAsia"/>
                <w:sz w:val="28"/>
                <w:szCs w:val="28"/>
              </w:rPr>
            </w:pPr>
          </w:p>
        </w:tc>
        <w:tc>
          <w:tcPr>
            <w:tcW w:w="3041" w:type="dxa"/>
            <w:vAlign w:val="center"/>
          </w:tcPr>
          <w:p>
            <w:pPr>
              <w:keepNext w:val="0"/>
              <w:keepLines w:val="0"/>
              <w:suppressLineNumbers w:val="0"/>
              <w:spacing w:before="0" w:beforeAutospacing="0" w:after="0" w:afterAutospacing="0" w:line="280" w:lineRule="exact"/>
              <w:ind w:left="0" w:right="0"/>
              <w:jc w:val="center"/>
              <w:rPr>
                <w:rFonts w:hint="default" w:asciiTheme="minorEastAsia" w:hAnsiTheme="minorEastAsia"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858" w:type="dxa"/>
            <w:gridSpan w:val="4"/>
          </w:tcPr>
          <w:p>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sz w:val="28"/>
                <w:szCs w:val="28"/>
                <w:lang w:eastAsia="zh-CN"/>
              </w:rPr>
            </w:pPr>
          </w:p>
          <w:p>
            <w:pPr>
              <w:keepNext w:val="0"/>
              <w:keepLines w:val="0"/>
              <w:suppressLineNumbers w:val="0"/>
              <w:spacing w:before="0" w:beforeAutospacing="0" w:after="0" w:afterAutospacing="0" w:line="280" w:lineRule="exact"/>
              <w:ind w:left="0" w:right="0"/>
              <w:rPr>
                <w:rFonts w:hint="default"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发票形式：</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sz w:val="28"/>
                <w:szCs w:val="28"/>
                <w:lang w:eastAsia="zh-CN"/>
              </w:rPr>
              <w:t>增值税专用发票。</w:t>
            </w:r>
          </w:p>
          <w:p>
            <w:pPr>
              <w:pStyle w:val="2"/>
              <w:keepNext w:val="0"/>
              <w:keepLines w:val="0"/>
              <w:suppressLineNumbers w:val="0"/>
              <w:spacing w:before="0" w:beforeAutospacing="0" w:after="0" w:afterAutospacing="0"/>
              <w:ind w:left="0" w:right="0"/>
              <w:jc w:val="left"/>
              <w:rPr>
                <w:rFonts w:hint="default"/>
                <w:sz w:val="28"/>
                <w:szCs w:val="28"/>
              </w:rPr>
            </w:pPr>
          </w:p>
        </w:tc>
      </w:tr>
    </w:tbl>
    <w:p>
      <w:pPr>
        <w:pStyle w:val="2"/>
        <w:spacing w:line="360" w:lineRule="auto"/>
        <w:rPr>
          <w:rFonts w:asciiTheme="minorEastAsia" w:hAnsiTheme="minorEastAsia" w:eastAsiaTheme="minorEastAsia"/>
          <w:b/>
          <w:bCs/>
          <w:color w:val="FF0000"/>
          <w:sz w:val="24"/>
          <w:szCs w:val="24"/>
        </w:rPr>
      </w:pPr>
    </w:p>
    <w:p>
      <w:pPr>
        <w:pStyle w:val="2"/>
        <w:rPr>
          <w:sz w:val="28"/>
          <w:szCs w:val="28"/>
        </w:rPr>
      </w:pPr>
    </w:p>
    <w:p>
      <w:pPr>
        <w:spacing w:line="280" w:lineRule="exact"/>
        <w:ind w:left="0" w:leftChars="0" w:firstLine="2419" w:firstLineChars="864"/>
        <w:rPr>
          <w:sz w:val="28"/>
          <w:szCs w:val="28"/>
          <w:u w:val="single"/>
          <w:lang w:eastAsia="zh-CN"/>
        </w:rPr>
      </w:pPr>
      <w:r>
        <w:rPr>
          <w:rFonts w:hint="eastAsia"/>
          <w:sz w:val="28"/>
          <w:szCs w:val="28"/>
          <w:lang w:eastAsia="zh-CN"/>
        </w:rPr>
        <w:t>参选人：</w:t>
      </w:r>
      <w:r>
        <w:rPr>
          <w:rFonts w:hint="eastAsia"/>
          <w:sz w:val="28"/>
          <w:szCs w:val="28"/>
          <w:u w:val="single"/>
          <w:lang w:eastAsia="zh-CN"/>
        </w:rPr>
        <w:t xml:space="preserve">      </w:t>
      </w:r>
      <w:r>
        <w:rPr>
          <w:rFonts w:hint="eastAsia"/>
          <w:color w:val="00B050"/>
          <w:sz w:val="28"/>
          <w:szCs w:val="28"/>
          <w:lang w:eastAsia="zh-CN"/>
        </w:rPr>
        <w:t>（加盖参选单位章）</w:t>
      </w:r>
    </w:p>
    <w:p>
      <w:pPr>
        <w:spacing w:line="280" w:lineRule="exact"/>
        <w:ind w:left="0" w:leftChars="0" w:firstLine="2419" w:firstLineChars="864"/>
        <w:rPr>
          <w:sz w:val="28"/>
          <w:szCs w:val="28"/>
          <w:u w:val="single"/>
          <w:lang w:eastAsia="zh-CN"/>
        </w:rPr>
      </w:pPr>
    </w:p>
    <w:p>
      <w:pPr>
        <w:spacing w:line="280" w:lineRule="exact"/>
        <w:ind w:left="0" w:leftChars="0" w:firstLine="2419" w:firstLineChars="864"/>
        <w:rPr>
          <w:color w:val="00B050"/>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color w:val="00B050"/>
          <w:sz w:val="28"/>
          <w:szCs w:val="28"/>
          <w:lang w:eastAsia="zh-CN"/>
        </w:rPr>
        <w:t>（签字）</w:t>
      </w:r>
    </w:p>
    <w:p>
      <w:pPr>
        <w:spacing w:line="280" w:lineRule="exact"/>
        <w:ind w:left="0" w:leftChars="0" w:firstLine="2419" w:firstLineChars="864"/>
        <w:rPr>
          <w:color w:val="00B050"/>
          <w:sz w:val="28"/>
          <w:szCs w:val="28"/>
          <w:lang w:eastAsia="zh-CN"/>
        </w:rPr>
      </w:pPr>
    </w:p>
    <w:p>
      <w:pPr>
        <w:spacing w:line="280" w:lineRule="exact"/>
        <w:ind w:left="0" w:leftChars="0" w:firstLine="2419" w:firstLineChars="864"/>
        <w:rPr>
          <w:color w:val="C00000"/>
          <w:sz w:val="28"/>
          <w:szCs w:val="28"/>
          <w:u w:val="single"/>
          <w:lang w:eastAsia="zh-CN"/>
        </w:rPr>
      </w:pPr>
      <w:r>
        <w:rPr>
          <w:rFonts w:hint="eastAsia"/>
          <w:sz w:val="28"/>
          <w:szCs w:val="28"/>
          <w:lang w:eastAsia="zh-CN"/>
        </w:rPr>
        <w:t>或其授权委托代理人：</w:t>
      </w:r>
      <w:r>
        <w:rPr>
          <w:rFonts w:hint="eastAsia"/>
          <w:sz w:val="28"/>
          <w:szCs w:val="28"/>
          <w:u w:val="single"/>
          <w:lang w:eastAsia="zh-CN"/>
        </w:rPr>
        <w:t xml:space="preserve">               </w:t>
      </w:r>
      <w:r>
        <w:rPr>
          <w:sz w:val="28"/>
          <w:szCs w:val="28"/>
          <w:lang w:eastAsia="zh-CN"/>
        </w:rPr>
        <w:t>_</w:t>
      </w:r>
      <w:r>
        <w:rPr>
          <w:rFonts w:hint="eastAsia"/>
          <w:color w:val="00B050"/>
          <w:sz w:val="28"/>
          <w:szCs w:val="28"/>
          <w:lang w:eastAsia="zh-CN"/>
        </w:rPr>
        <w:t>（   签字）</w:t>
      </w:r>
    </w:p>
    <w:p>
      <w:pPr>
        <w:spacing w:line="280" w:lineRule="exact"/>
        <w:ind w:left="0" w:leftChars="0" w:firstLine="2419" w:firstLineChars="864"/>
        <w:rPr>
          <w:color w:val="4E6127"/>
          <w:sz w:val="28"/>
          <w:szCs w:val="28"/>
          <w:u w:val="single"/>
          <w:lang w:eastAsia="zh-CN"/>
        </w:rPr>
      </w:pPr>
    </w:p>
    <w:p>
      <w:pPr>
        <w:spacing w:line="280" w:lineRule="exact"/>
        <w:ind w:left="0" w:leftChars="0" w:firstLine="2419" w:firstLineChars="864"/>
        <w:rPr>
          <w:b/>
          <w:sz w:val="28"/>
          <w:szCs w:val="28"/>
        </w:rPr>
      </w:pPr>
      <w:r>
        <w:rPr>
          <w:rFonts w:hint="eastAsia"/>
          <w:sz w:val="28"/>
          <w:szCs w:val="28"/>
          <w:lang w:eastAsia="zh-CN"/>
        </w:rPr>
        <w:t xml:space="preserve">编制时间： </w:t>
      </w:r>
      <w:r>
        <w:rPr>
          <w:rFonts w:hint="eastAsia"/>
          <w:sz w:val="28"/>
          <w:szCs w:val="28"/>
          <w:u w:val="single"/>
          <w:lang w:eastAsia="zh-CN"/>
        </w:rPr>
        <w:t xml:space="preserve">      年   月   </w:t>
      </w:r>
    </w:p>
    <w:p>
      <w:pPr>
        <w:rPr>
          <w:rFonts w:hint="eastAsia"/>
          <w:b/>
          <w:sz w:val="28"/>
          <w:szCs w:val="28"/>
          <w:lang w:eastAsia="zh-CN"/>
        </w:rPr>
      </w:pPr>
    </w:p>
    <w:p>
      <w:pPr>
        <w:rPr>
          <w:rFonts w:hint="eastAsia"/>
          <w:b/>
          <w:sz w:val="28"/>
          <w:szCs w:val="28"/>
          <w:lang w:eastAsia="zh-CN"/>
        </w:rPr>
      </w:pPr>
    </w:p>
    <w:p>
      <w:pPr>
        <w:rPr>
          <w:rFonts w:hint="eastAsia"/>
          <w:b/>
          <w:sz w:val="28"/>
          <w:szCs w:val="28"/>
          <w:lang w:eastAsia="zh-CN"/>
        </w:rPr>
      </w:pPr>
    </w:p>
    <w:p>
      <w:pPr>
        <w:rPr>
          <w:rFonts w:hint="eastAsia"/>
          <w:b/>
          <w:sz w:val="28"/>
          <w:szCs w:val="28"/>
          <w:lang w:eastAsia="zh-CN"/>
        </w:rPr>
      </w:pPr>
    </w:p>
    <w:p>
      <w:pPr>
        <w:rPr>
          <w:rFonts w:hint="eastAsia"/>
          <w:b/>
          <w:sz w:val="28"/>
          <w:szCs w:val="28"/>
          <w:lang w:eastAsia="zh-CN"/>
        </w:rPr>
      </w:pPr>
    </w:p>
    <w:p>
      <w:pPr>
        <w:rPr>
          <w:rFonts w:hint="eastAsia"/>
          <w:b/>
          <w:sz w:val="28"/>
          <w:szCs w:val="28"/>
          <w:lang w:eastAsia="zh-CN"/>
        </w:rPr>
      </w:pPr>
    </w:p>
    <w:p>
      <w:pPr>
        <w:rPr>
          <w:rFonts w:hAnsi="Calibri"/>
          <w:b/>
          <w:sz w:val="72"/>
          <w:szCs w:val="72"/>
          <w:lang w:eastAsia="zh-CN"/>
        </w:rPr>
      </w:pPr>
      <w:r>
        <w:rPr>
          <w:rFonts w:hint="eastAsia"/>
          <w:b/>
          <w:sz w:val="28"/>
          <w:szCs w:val="28"/>
          <w:lang w:eastAsia="zh-CN"/>
        </w:rPr>
        <w:t>附件四：</w:t>
      </w:r>
      <w:r>
        <w:rPr>
          <w:b/>
          <w:sz w:val="28"/>
          <w:szCs w:val="28"/>
          <w:lang w:eastAsia="zh-CN"/>
        </w:rPr>
        <w:br w:type="textWrapping"/>
      </w:r>
    </w:p>
    <w:p>
      <w:pPr>
        <w:jc w:val="center"/>
        <w:rPr>
          <w:rFonts w:hAnsi="Calibri"/>
          <w:b/>
          <w:sz w:val="72"/>
          <w:szCs w:val="72"/>
          <w:lang w:eastAsia="zh-CN"/>
        </w:rPr>
      </w:pPr>
    </w:p>
    <w:p>
      <w:pPr>
        <w:pStyle w:val="78"/>
        <w:spacing w:line="360" w:lineRule="auto"/>
        <w:jc w:val="both"/>
        <w:rPr>
          <w:rFonts w:hAnsi="宋体"/>
          <w:b/>
          <w:bCs/>
          <w:sz w:val="84"/>
          <w:szCs w:val="84"/>
        </w:rPr>
      </w:pPr>
      <w:r>
        <w:drawing>
          <wp:inline distT="0" distB="0" distL="0" distR="0">
            <wp:extent cx="5038725" cy="866775"/>
            <wp:effectExtent l="19050" t="0" r="9525" b="0"/>
            <wp:docPr id="1" name="图片 1" descr="福海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福海创logo"/>
                    <pic:cNvPicPr>
                      <a:picLocks noChangeAspect="1" noChangeArrowheads="1"/>
                    </pic:cNvPicPr>
                  </pic:nvPicPr>
                  <pic:blipFill>
                    <a:blip r:embed="rId10" cstate="print"/>
                    <a:srcRect/>
                    <a:stretch>
                      <a:fillRect/>
                    </a:stretch>
                  </pic:blipFill>
                  <pic:spPr>
                    <a:xfrm>
                      <a:off x="0" y="0"/>
                      <a:ext cx="5038725" cy="866775"/>
                    </a:xfrm>
                    <a:prstGeom prst="rect">
                      <a:avLst/>
                    </a:prstGeom>
                    <a:noFill/>
                    <a:ln w="9525">
                      <a:noFill/>
                      <a:miter lim="800000"/>
                      <a:headEnd/>
                      <a:tailEnd/>
                    </a:ln>
                  </pic:spPr>
                </pic:pic>
              </a:graphicData>
            </a:graphic>
          </wp:inline>
        </w:drawing>
      </w:r>
    </w:p>
    <w:p>
      <w:pPr>
        <w:pStyle w:val="78"/>
        <w:spacing w:line="360" w:lineRule="auto"/>
        <w:jc w:val="center"/>
        <w:rPr>
          <w:rFonts w:hAnsi="宋体"/>
          <w:b/>
          <w:bCs/>
          <w:sz w:val="30"/>
          <w:szCs w:val="30"/>
        </w:rPr>
      </w:pPr>
    </w:p>
    <w:p>
      <w:pPr>
        <w:pStyle w:val="78"/>
        <w:spacing w:line="360" w:lineRule="auto"/>
        <w:jc w:val="center"/>
        <w:rPr>
          <w:rFonts w:hAnsi="宋体"/>
          <w:b/>
          <w:bCs/>
          <w:sz w:val="30"/>
          <w:szCs w:val="30"/>
        </w:rPr>
      </w:pPr>
    </w:p>
    <w:p>
      <w:pPr>
        <w:pStyle w:val="78"/>
        <w:spacing w:line="360" w:lineRule="auto"/>
        <w:jc w:val="center"/>
        <w:rPr>
          <w:rFonts w:hAnsi="宋体"/>
          <w:b/>
          <w:bCs/>
          <w:sz w:val="52"/>
          <w:szCs w:val="52"/>
        </w:rPr>
      </w:pPr>
    </w:p>
    <w:p>
      <w:pPr>
        <w:pStyle w:val="78"/>
        <w:spacing w:line="360" w:lineRule="auto"/>
        <w:jc w:val="center"/>
        <w:rPr>
          <w:rFonts w:hAnsi="宋体"/>
          <w:snapToGrid w:val="0"/>
          <w:color w:val="auto"/>
          <w:sz w:val="52"/>
          <w:szCs w:val="52"/>
        </w:rPr>
      </w:pPr>
      <w:r>
        <w:rPr>
          <w:rFonts w:hint="eastAsia" w:hAnsi="宋体"/>
          <w:b/>
          <w:bCs/>
          <w:sz w:val="52"/>
          <w:szCs w:val="52"/>
        </w:rPr>
        <w:t>排海口环境监测发包技术协议</w:t>
      </w:r>
    </w:p>
    <w:p>
      <w:pPr>
        <w:pStyle w:val="78"/>
        <w:spacing w:line="360" w:lineRule="auto"/>
        <w:jc w:val="center"/>
        <w:rPr>
          <w:rFonts w:hAnsi="宋体"/>
          <w:b/>
          <w:bCs/>
          <w:sz w:val="52"/>
          <w:szCs w:val="52"/>
        </w:rPr>
      </w:pPr>
    </w:p>
    <w:p>
      <w:pPr>
        <w:spacing w:line="480" w:lineRule="auto"/>
        <w:jc w:val="center"/>
        <w:rPr>
          <w:sz w:val="20"/>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jc w:val="center"/>
        <w:rPr>
          <w:sz w:val="20"/>
          <w:u w:val="single"/>
          <w:lang w:eastAsia="zh-CN"/>
        </w:rPr>
      </w:pPr>
    </w:p>
    <w:p>
      <w:pPr>
        <w:rPr>
          <w:sz w:val="20"/>
          <w:u w:val="single"/>
          <w:lang w:eastAsia="zh-CN"/>
        </w:rPr>
      </w:pPr>
    </w:p>
    <w:p>
      <w:pPr>
        <w:rPr>
          <w:sz w:val="20"/>
          <w:u w:val="single"/>
          <w:lang w:eastAsia="zh-CN"/>
        </w:rPr>
      </w:pPr>
    </w:p>
    <w:p>
      <w:pPr>
        <w:rPr>
          <w:sz w:val="20"/>
          <w:u w:val="single"/>
          <w:lang w:eastAsia="zh-CN"/>
        </w:rPr>
      </w:pPr>
    </w:p>
    <w:p>
      <w:pPr>
        <w:rPr>
          <w:sz w:val="20"/>
          <w:u w:val="single"/>
          <w:lang w:eastAsia="zh-CN"/>
        </w:rPr>
      </w:pPr>
    </w:p>
    <w:p>
      <w:pPr>
        <w:rPr>
          <w:sz w:val="20"/>
          <w:u w:val="single"/>
          <w:lang w:eastAsia="zh-CN"/>
        </w:rPr>
      </w:pPr>
    </w:p>
    <w:p>
      <w:pPr>
        <w:rPr>
          <w:sz w:val="20"/>
          <w:u w:val="single"/>
          <w:lang w:eastAsia="zh-CN"/>
        </w:rPr>
      </w:pPr>
    </w:p>
    <w:p>
      <w:pPr>
        <w:ind w:firstLine="4966" w:firstLineChars="1649"/>
        <w:rPr>
          <w:sz w:val="20"/>
          <w:u w:val="single"/>
          <w:lang w:eastAsia="zh-CN"/>
        </w:rPr>
      </w:pPr>
      <w:r>
        <w:rPr>
          <w:rFonts w:hint="eastAsia"/>
          <w:b/>
          <w:sz w:val="30"/>
          <w:szCs w:val="30"/>
          <w:lang w:eastAsia="zh-CN"/>
        </w:rPr>
        <w:t>福海创石油化工有限公司</w:t>
      </w:r>
    </w:p>
    <w:p>
      <w:pPr>
        <w:rPr>
          <w:b/>
          <w:sz w:val="30"/>
          <w:szCs w:val="30"/>
          <w:lang w:eastAsia="zh-CN"/>
        </w:rPr>
      </w:pPr>
      <w:r>
        <w:rPr>
          <w:rFonts w:hint="eastAsia"/>
          <w:b/>
          <w:sz w:val="30"/>
          <w:szCs w:val="30"/>
          <w:lang w:eastAsia="zh-CN"/>
        </w:rPr>
        <w:t xml:space="preserve">                                            </w:t>
      </w:r>
      <w:r>
        <w:rPr>
          <w:b/>
          <w:sz w:val="30"/>
          <w:szCs w:val="30"/>
          <w:lang w:eastAsia="zh-CN"/>
        </w:rPr>
        <w:t>20</w:t>
      </w:r>
      <w:r>
        <w:rPr>
          <w:rFonts w:hint="eastAsia"/>
          <w:b/>
          <w:sz w:val="30"/>
          <w:szCs w:val="30"/>
          <w:lang w:eastAsia="zh-CN"/>
        </w:rPr>
        <w:t>2</w:t>
      </w:r>
      <w:r>
        <w:rPr>
          <w:rFonts w:hint="eastAsia"/>
          <w:b/>
          <w:sz w:val="30"/>
          <w:szCs w:val="30"/>
          <w:lang w:val="en-US" w:eastAsia="zh-CN"/>
        </w:rPr>
        <w:t>2</w:t>
      </w:r>
      <w:r>
        <w:rPr>
          <w:rFonts w:hint="eastAsia"/>
          <w:b/>
          <w:sz w:val="30"/>
          <w:szCs w:val="30"/>
          <w:lang w:eastAsia="zh-CN"/>
        </w:rPr>
        <w:t>年1</w:t>
      </w:r>
      <w:r>
        <w:rPr>
          <w:rFonts w:hint="eastAsia"/>
          <w:b/>
          <w:sz w:val="30"/>
          <w:szCs w:val="30"/>
          <w:lang w:val="en-US" w:eastAsia="zh-CN"/>
        </w:rPr>
        <w:t>2</w:t>
      </w:r>
      <w:r>
        <w:rPr>
          <w:rFonts w:hint="eastAsia"/>
          <w:b/>
          <w:sz w:val="30"/>
          <w:szCs w:val="30"/>
          <w:lang w:eastAsia="zh-CN"/>
        </w:rPr>
        <w:t>月</w:t>
      </w:r>
    </w:p>
    <w:p>
      <w:pPr>
        <w:pStyle w:val="78"/>
        <w:spacing w:line="360" w:lineRule="auto"/>
        <w:jc w:val="both"/>
        <w:rPr>
          <w:rFonts w:hAnsi="宋体"/>
          <w:b/>
          <w:snapToGrid w:val="0"/>
          <w:color w:val="auto"/>
        </w:rPr>
      </w:pPr>
    </w:p>
    <w:p>
      <w:pPr>
        <w:pStyle w:val="78"/>
        <w:spacing w:line="360" w:lineRule="auto"/>
        <w:jc w:val="both"/>
        <w:rPr>
          <w:rFonts w:hint="eastAsia" w:hAnsi="宋体"/>
          <w:b/>
          <w:snapToGrid w:val="0"/>
          <w:color w:val="auto"/>
        </w:rPr>
      </w:pPr>
    </w:p>
    <w:p>
      <w:pPr>
        <w:pStyle w:val="78"/>
        <w:spacing w:line="360" w:lineRule="auto"/>
        <w:jc w:val="both"/>
        <w:rPr>
          <w:rFonts w:hAnsi="宋体"/>
          <w:b/>
          <w:snapToGrid w:val="0"/>
          <w:color w:val="auto"/>
        </w:rPr>
      </w:pPr>
      <w:r>
        <w:rPr>
          <w:rFonts w:hint="eastAsia" w:hAnsi="宋体"/>
          <w:b/>
          <w:snapToGrid w:val="0"/>
          <w:color w:val="auto"/>
        </w:rPr>
        <w:t>一、发包工程名称：</w:t>
      </w:r>
    </w:p>
    <w:p>
      <w:pPr>
        <w:pStyle w:val="78"/>
        <w:spacing w:line="360" w:lineRule="auto"/>
        <w:ind w:firstLine="480" w:firstLineChars="200"/>
        <w:jc w:val="both"/>
        <w:rPr>
          <w:rFonts w:hAnsi="宋体"/>
          <w:color w:val="auto"/>
        </w:rPr>
      </w:pPr>
      <w:r>
        <w:rPr>
          <w:rFonts w:hint="eastAsia" w:hAnsi="宋体"/>
          <w:color w:val="auto"/>
        </w:rPr>
        <w:t>福海创石油化工有限公司</w:t>
      </w:r>
      <w:r>
        <w:rPr>
          <w:rFonts w:hint="eastAsia" w:hAnsi="宋体"/>
          <w:bCs/>
        </w:rPr>
        <w:t>排海口环境监测。</w:t>
      </w:r>
    </w:p>
    <w:p>
      <w:pPr>
        <w:pStyle w:val="78"/>
        <w:spacing w:line="360" w:lineRule="auto"/>
        <w:jc w:val="both"/>
        <w:rPr>
          <w:rFonts w:hAnsi="宋体"/>
          <w:b/>
          <w:snapToGrid w:val="0"/>
          <w:color w:val="auto"/>
        </w:rPr>
      </w:pPr>
      <w:r>
        <w:rPr>
          <w:rFonts w:hint="eastAsia" w:hAnsi="宋体"/>
          <w:b/>
          <w:snapToGrid w:val="0"/>
          <w:color w:val="auto"/>
        </w:rPr>
        <w:t>二、工程发包目的：</w:t>
      </w:r>
    </w:p>
    <w:p>
      <w:pPr>
        <w:pStyle w:val="78"/>
        <w:spacing w:line="360" w:lineRule="auto"/>
        <w:ind w:firstLine="480" w:firstLineChars="200"/>
        <w:jc w:val="both"/>
        <w:rPr>
          <w:rFonts w:hAnsi="宋体"/>
          <w:color w:val="auto"/>
        </w:rPr>
      </w:pPr>
      <w:r>
        <w:rPr>
          <w:rFonts w:hint="eastAsia" w:hAnsi="宋体"/>
          <w:color w:val="auto"/>
        </w:rPr>
        <w:t>本次海水监测的目的是通过对建设项目的运营期间对海洋环境产生的影响的跟踪监测，了解和掌握建设项目在其施工期和运营期对排放海域的海洋水文动力、海水水质、沉积物和海洋生物生态的作用，评价其影响范围和影响程度，并提出改善建议，以保障海洋环境安全。</w:t>
      </w:r>
    </w:p>
    <w:p>
      <w:pPr>
        <w:pStyle w:val="78"/>
        <w:spacing w:line="360" w:lineRule="auto"/>
        <w:jc w:val="both"/>
        <w:rPr>
          <w:rFonts w:hAnsi="宋体"/>
          <w:b/>
          <w:snapToGrid w:val="0"/>
          <w:color w:val="auto"/>
        </w:rPr>
      </w:pPr>
      <w:r>
        <w:rPr>
          <w:rFonts w:hint="eastAsia" w:hAnsi="宋体"/>
          <w:b/>
          <w:snapToGrid w:val="0"/>
          <w:color w:val="auto"/>
        </w:rPr>
        <w:t>三、发包内容：</w:t>
      </w:r>
    </w:p>
    <w:p>
      <w:pPr>
        <w:adjustRightInd w:val="0"/>
        <w:rPr>
          <w:b/>
          <w:sz w:val="24"/>
          <w:lang w:eastAsia="zh-CN"/>
        </w:rPr>
      </w:pPr>
      <w:r>
        <w:rPr>
          <w:rFonts w:hint="eastAsia"/>
          <w:b/>
          <w:sz w:val="24"/>
          <w:lang w:eastAsia="zh-CN"/>
        </w:rPr>
        <w:t>3.1 工程概况</w:t>
      </w:r>
    </w:p>
    <w:p>
      <w:pPr>
        <w:spacing w:line="360" w:lineRule="auto"/>
        <w:ind w:firstLine="480" w:firstLineChars="200"/>
        <w:rPr>
          <w:sz w:val="24"/>
          <w:lang w:eastAsia="zh-CN"/>
        </w:rPr>
      </w:pPr>
      <w:r>
        <w:rPr>
          <w:rFonts w:hint="eastAsia"/>
          <w:sz w:val="24"/>
          <w:lang w:eastAsia="zh-CN"/>
        </w:rPr>
        <w:t>福海创石油化工有限公司海水冷却系统采用直流海水冷却系统和闭式水循环系统结合的冷却方式，海水取排水总量</w:t>
      </w:r>
      <w:r>
        <w:rPr>
          <w:sz w:val="24"/>
          <w:lang w:eastAsia="zh-CN"/>
        </w:rPr>
        <w:t>198,000m3/h</w:t>
      </w:r>
      <w:r>
        <w:rPr>
          <w:rFonts w:hint="eastAsia"/>
          <w:sz w:val="24"/>
          <w:lang w:eastAsia="zh-CN"/>
        </w:rPr>
        <w:t>。其中空压机的蒸汽透平冷凝器采用海水直流冷却系统，海水取排水量</w:t>
      </w:r>
      <w:r>
        <w:rPr>
          <w:sz w:val="24"/>
          <w:lang w:eastAsia="zh-CN"/>
        </w:rPr>
        <w:t>65900m3/h</w:t>
      </w:r>
      <w:r>
        <w:rPr>
          <w:rFonts w:hint="eastAsia"/>
          <w:sz w:val="24"/>
          <w:lang w:eastAsia="zh-CN"/>
        </w:rPr>
        <w:t>，其余换热设备采用闭式水循环冷却系统，即海水经钛板式换热器与脱盐水</w:t>
      </w:r>
      <w:r>
        <w:rPr>
          <w:sz w:val="24"/>
          <w:lang w:eastAsia="zh-CN"/>
        </w:rPr>
        <w:t>(DW)</w:t>
      </w:r>
      <w:r>
        <w:rPr>
          <w:rFonts w:hint="eastAsia"/>
          <w:sz w:val="24"/>
          <w:lang w:eastAsia="zh-CN"/>
        </w:rPr>
        <w:t>进行热交换，脱盐水循环使用，闭式水循环冷却系统海水取排水量</w:t>
      </w:r>
      <w:r>
        <w:rPr>
          <w:sz w:val="24"/>
          <w:lang w:eastAsia="zh-CN"/>
        </w:rPr>
        <w:t>132100m3/h</w:t>
      </w:r>
      <w:r>
        <w:rPr>
          <w:rFonts w:hint="eastAsia"/>
          <w:sz w:val="24"/>
          <w:lang w:eastAsia="zh-CN"/>
        </w:rPr>
        <w:t>。换热后的海水排入到排洪渠，与雨水及热电厂温排海水汇合后一起排入大海，中间流经厂区排洪渠、厂区外市政排洪渠段，最后按照排海口工可规划的温排入海方案，最终排至近岸海域环境功能区划确定的</w:t>
      </w:r>
      <w:r>
        <w:rPr>
          <w:sz w:val="24"/>
          <w:lang w:eastAsia="zh-CN"/>
        </w:rPr>
        <w:t>PTA</w:t>
      </w:r>
      <w:r>
        <w:rPr>
          <w:rFonts w:hint="eastAsia"/>
          <w:sz w:val="24"/>
          <w:lang w:eastAsia="zh-CN"/>
        </w:rPr>
        <w:t>远期温排位置点，具体温排位置坐标（</w:t>
      </w:r>
      <w:r>
        <w:rPr>
          <w:sz w:val="24"/>
          <w:lang w:eastAsia="zh-CN"/>
        </w:rPr>
        <w:t>2633367.792,5</w:t>
      </w:r>
      <w:r>
        <w:rPr>
          <w:rFonts w:hint="eastAsia"/>
          <w:sz w:val="24"/>
          <w:lang w:eastAsia="zh-CN"/>
        </w:rPr>
        <w:t>6</w:t>
      </w:r>
      <w:r>
        <w:rPr>
          <w:sz w:val="24"/>
          <w:lang w:eastAsia="zh-CN"/>
        </w:rPr>
        <w:t>5566.717</w:t>
      </w:r>
      <w:r>
        <w:rPr>
          <w:rFonts w:hint="eastAsia"/>
          <w:sz w:val="24"/>
          <w:lang w:eastAsia="zh-CN"/>
        </w:rPr>
        <w:t>），该海水温排口最终于油品化工泊位处排放，排放量总量考虑百年一遇洪水量规划为</w:t>
      </w:r>
      <w:r>
        <w:rPr>
          <w:sz w:val="24"/>
          <w:lang w:eastAsia="zh-CN"/>
        </w:rPr>
        <w:t>196 m</w:t>
      </w:r>
      <w:r>
        <w:rPr>
          <w:sz w:val="24"/>
          <w:vertAlign w:val="superscript"/>
          <w:lang w:eastAsia="zh-CN"/>
        </w:rPr>
        <w:t>3</w:t>
      </w:r>
      <w:r>
        <w:rPr>
          <w:sz w:val="24"/>
          <w:lang w:eastAsia="zh-CN"/>
        </w:rPr>
        <w:t>/s</w:t>
      </w:r>
      <w:r>
        <w:rPr>
          <w:rFonts w:hint="eastAsia"/>
          <w:sz w:val="24"/>
          <w:lang w:eastAsia="zh-CN"/>
        </w:rPr>
        <w:t>，</w:t>
      </w:r>
      <w:r>
        <w:rPr>
          <w:sz w:val="24"/>
          <w:lang w:eastAsia="zh-CN"/>
        </w:rPr>
        <w:t>其中温排水量为73.43m3/s。</w:t>
      </w:r>
    </w:p>
    <w:p>
      <w:pPr>
        <w:adjustRightInd w:val="0"/>
        <w:spacing w:line="360" w:lineRule="auto"/>
        <w:rPr>
          <w:sz w:val="24"/>
          <w:lang w:eastAsia="zh-CN"/>
        </w:rPr>
      </w:pPr>
      <w:r>
        <w:rPr>
          <w:rFonts w:hint="eastAsia"/>
          <w:sz w:val="24"/>
          <w:lang w:eastAsia="zh-CN"/>
        </w:rPr>
        <w:t>海水工程主要包括：</w:t>
      </w:r>
    </w:p>
    <w:p>
      <w:pPr>
        <w:adjustRightInd w:val="0"/>
        <w:spacing w:line="360" w:lineRule="auto"/>
        <w:rPr>
          <w:sz w:val="24"/>
          <w:lang w:eastAsia="zh-CN"/>
        </w:rPr>
      </w:pPr>
      <w:r>
        <w:rPr>
          <w:rFonts w:hint="eastAsia"/>
          <w:sz w:val="24"/>
          <w:lang w:eastAsia="zh-CN"/>
        </w:rPr>
        <w:t>（</w:t>
      </w:r>
      <w:r>
        <w:rPr>
          <w:sz w:val="24"/>
          <w:lang w:eastAsia="zh-CN"/>
        </w:rPr>
        <w:t>1</w:t>
      </w:r>
      <w:r>
        <w:rPr>
          <w:rFonts w:hint="eastAsia"/>
          <w:sz w:val="24"/>
          <w:lang w:eastAsia="zh-CN"/>
        </w:rPr>
        <w:t>）海水取水泵站（含取水头、重力进水管、泵房、海水电解机房、</w:t>
      </w:r>
      <w:r>
        <w:rPr>
          <w:sz w:val="24"/>
          <w:lang w:eastAsia="zh-CN"/>
        </w:rPr>
        <w:t>35kV</w:t>
      </w:r>
      <w:r>
        <w:rPr>
          <w:rFonts w:hint="eastAsia"/>
          <w:sz w:val="24"/>
          <w:lang w:eastAsia="zh-CN"/>
        </w:rPr>
        <w:t>总降压站及配电间）</w:t>
      </w:r>
      <w:r>
        <w:rPr>
          <w:sz w:val="24"/>
          <w:lang w:eastAsia="zh-CN"/>
        </w:rPr>
        <w:t xml:space="preserve"> </w:t>
      </w:r>
      <w:r>
        <w:rPr>
          <w:rFonts w:hint="eastAsia"/>
          <w:sz w:val="24"/>
          <w:lang w:eastAsia="zh-CN"/>
        </w:rPr>
        <w:t>；</w:t>
      </w:r>
    </w:p>
    <w:p>
      <w:pPr>
        <w:adjustRightInd w:val="0"/>
        <w:spacing w:line="360" w:lineRule="auto"/>
        <w:rPr>
          <w:sz w:val="24"/>
          <w:lang w:eastAsia="zh-CN"/>
        </w:rPr>
      </w:pPr>
      <w:r>
        <w:rPr>
          <w:rFonts w:hint="eastAsia"/>
          <w:sz w:val="24"/>
          <w:lang w:eastAsia="zh-CN"/>
        </w:rPr>
        <w:t>（</w:t>
      </w:r>
      <w:r>
        <w:rPr>
          <w:sz w:val="24"/>
          <w:lang w:eastAsia="zh-CN"/>
        </w:rPr>
        <w:t>2</w:t>
      </w:r>
      <w:r>
        <w:rPr>
          <w:rFonts w:hint="eastAsia"/>
          <w:sz w:val="24"/>
          <w:lang w:eastAsia="zh-CN"/>
        </w:rPr>
        <w:t>）闭式脱盐水换热系统及空压机直流冷却系统海水供水及设计界限内脱盐水管道；</w:t>
      </w:r>
    </w:p>
    <w:p>
      <w:pPr>
        <w:adjustRightInd w:val="0"/>
        <w:spacing w:line="360" w:lineRule="auto"/>
        <w:rPr>
          <w:sz w:val="24"/>
          <w:lang w:eastAsia="zh-CN"/>
        </w:rPr>
      </w:pPr>
      <w:r>
        <w:rPr>
          <w:rFonts w:hint="eastAsia"/>
          <w:sz w:val="24"/>
          <w:lang w:eastAsia="zh-CN"/>
        </w:rPr>
        <w:t>（</w:t>
      </w:r>
      <w:r>
        <w:rPr>
          <w:sz w:val="24"/>
          <w:lang w:eastAsia="zh-CN"/>
        </w:rPr>
        <w:t>3</w:t>
      </w:r>
      <w:r>
        <w:rPr>
          <w:rFonts w:hint="eastAsia"/>
          <w:sz w:val="24"/>
          <w:lang w:eastAsia="zh-CN"/>
        </w:rPr>
        <w:t>）闭式脱盐水换热系统及空压机直流冷却系统海水回水管道及排水渠道；</w:t>
      </w:r>
    </w:p>
    <w:p>
      <w:pPr>
        <w:adjustRightInd w:val="0"/>
        <w:spacing w:line="360" w:lineRule="auto"/>
        <w:rPr>
          <w:sz w:val="24"/>
          <w:lang w:eastAsia="zh-CN"/>
        </w:rPr>
      </w:pPr>
      <w:r>
        <w:rPr>
          <w:rFonts w:hint="eastAsia"/>
          <w:sz w:val="24"/>
          <w:lang w:eastAsia="zh-CN"/>
        </w:rPr>
        <w:t>（</w:t>
      </w:r>
      <w:r>
        <w:rPr>
          <w:sz w:val="24"/>
          <w:lang w:eastAsia="zh-CN"/>
        </w:rPr>
        <w:t>4</w:t>
      </w:r>
      <w:r>
        <w:rPr>
          <w:rFonts w:hint="eastAsia"/>
          <w:sz w:val="24"/>
          <w:lang w:eastAsia="zh-CN"/>
        </w:rPr>
        <w:t>）海水换热站工程；</w:t>
      </w:r>
    </w:p>
    <w:p>
      <w:pPr>
        <w:adjustRightInd w:val="0"/>
        <w:spacing w:line="360" w:lineRule="auto"/>
        <w:rPr>
          <w:sz w:val="24"/>
          <w:lang w:eastAsia="zh-CN"/>
        </w:rPr>
      </w:pPr>
      <w:r>
        <w:rPr>
          <w:rFonts w:hint="eastAsia"/>
          <w:sz w:val="24"/>
          <w:lang w:eastAsia="zh-CN"/>
        </w:rPr>
        <w:t>（</w:t>
      </w:r>
      <w:r>
        <w:rPr>
          <w:sz w:val="24"/>
          <w:lang w:eastAsia="zh-CN"/>
        </w:rPr>
        <w:t>5</w:t>
      </w:r>
      <w:r>
        <w:rPr>
          <w:rFonts w:hint="eastAsia"/>
          <w:sz w:val="24"/>
          <w:lang w:eastAsia="zh-CN"/>
        </w:rPr>
        <w:t>）排水工程（解决厂区冷却海水和雨水以及山洪的排泄入海）；</w:t>
      </w:r>
    </w:p>
    <w:p>
      <w:pPr>
        <w:adjustRightInd w:val="0"/>
        <w:spacing w:line="360" w:lineRule="auto"/>
        <w:ind w:firstLine="120" w:firstLineChars="50"/>
        <w:rPr>
          <w:sz w:val="24"/>
          <w:lang w:eastAsia="zh-CN"/>
        </w:rPr>
      </w:pPr>
      <w:r>
        <w:rPr>
          <w:rFonts w:hint="eastAsia"/>
          <w:sz w:val="24"/>
          <w:lang w:eastAsia="zh-CN"/>
        </w:rPr>
        <w:t>以上工程中取水工程已经全部建设完成，排海工程则衔接厂区外市政排洪渠；</w:t>
      </w:r>
    </w:p>
    <w:p>
      <w:pPr>
        <w:adjustRightInd w:val="0"/>
        <w:rPr>
          <w:b/>
          <w:sz w:val="24"/>
          <w:lang w:eastAsia="zh-CN"/>
        </w:rPr>
      </w:pPr>
      <w:r>
        <w:rPr>
          <w:rFonts w:hint="eastAsia"/>
          <w:b/>
          <w:sz w:val="24"/>
          <w:lang w:eastAsia="zh-CN"/>
        </w:rPr>
        <w:t>3.2 发包内容</w:t>
      </w:r>
      <w:bookmarkStart w:id="4" w:name="_Toc467859550"/>
    </w:p>
    <w:p>
      <w:pPr>
        <w:pStyle w:val="78"/>
        <w:spacing w:line="360" w:lineRule="auto"/>
        <w:ind w:firstLine="480" w:firstLineChars="200"/>
        <w:jc w:val="both"/>
        <w:rPr>
          <w:rFonts w:hAnsi="宋体"/>
          <w:color w:val="auto"/>
        </w:rPr>
      </w:pPr>
      <w:r>
        <w:rPr>
          <w:rFonts w:hint="eastAsia" w:hAnsi="宋体"/>
          <w:color w:val="auto"/>
        </w:rPr>
        <w:t>本项目重点监测施工活动期间及项目运行期间对海水水质、沉积物、海洋生物生态等方面的影响，监测单位需根据不同监测内容确定相应监测范围、布设监测站位和设计监测频率等，所有工作需满足相关法律法规和相关规范，具体如下：</w:t>
      </w:r>
    </w:p>
    <w:bookmarkEnd w:id="4"/>
    <w:p>
      <w:pPr>
        <w:pStyle w:val="21"/>
        <w:ind w:left="564" w:leftChars="254" w:hanging="5" w:firstLineChars="0"/>
        <w:rPr>
          <w:rFonts w:hAnsi="宋体" w:cs="宋体"/>
          <w:i w:val="0"/>
          <w:iCs w:val="0"/>
          <w:kern w:val="0"/>
          <w:sz w:val="24"/>
        </w:rPr>
      </w:pPr>
      <w:r>
        <w:rPr>
          <w:rFonts w:hAnsi="宋体" w:cs="宋体"/>
          <w:i w:val="0"/>
          <w:iCs w:val="0"/>
          <w:kern w:val="0"/>
          <w:sz w:val="24"/>
        </w:rPr>
        <w:sym w:font="Wingdings" w:char="F031"/>
      </w:r>
      <w:r>
        <w:rPr>
          <w:rFonts w:hint="eastAsia" w:hAnsi="宋体" w:cs="宋体"/>
          <w:i w:val="0"/>
          <w:iCs w:val="0"/>
          <w:kern w:val="0"/>
          <w:sz w:val="24"/>
        </w:rPr>
        <w:t>《中华人民共和国海洋环境保护法》（人大常委会，2000年4月1日）；</w:t>
      </w:r>
    </w:p>
    <w:p>
      <w:pPr>
        <w:pStyle w:val="21"/>
        <w:ind w:left="564" w:leftChars="254" w:hanging="5" w:firstLineChars="0"/>
        <w:rPr>
          <w:rFonts w:hAnsi="宋体" w:cs="宋体"/>
          <w:i w:val="0"/>
          <w:iCs w:val="0"/>
          <w:kern w:val="0"/>
          <w:sz w:val="24"/>
        </w:rPr>
      </w:pPr>
      <w:r>
        <w:rPr>
          <w:rFonts w:hAnsi="宋体" w:cs="宋体"/>
          <w:i w:val="0"/>
          <w:iCs w:val="0"/>
          <w:kern w:val="0"/>
          <w:sz w:val="24"/>
        </w:rPr>
        <w:sym w:font="Wingdings" w:char="F031"/>
      </w:r>
      <w:r>
        <w:rPr>
          <w:rFonts w:hint="eastAsia" w:hAnsi="宋体" w:cs="宋体"/>
          <w:i w:val="0"/>
          <w:iCs w:val="0"/>
          <w:kern w:val="0"/>
          <w:sz w:val="24"/>
        </w:rPr>
        <w:t xml:space="preserve">《中华人民共和国海域使用管理法》（人大常委会，2001年10月27日）； </w:t>
      </w:r>
    </w:p>
    <w:p>
      <w:pPr>
        <w:pStyle w:val="21"/>
        <w:ind w:left="564" w:leftChars="254" w:hanging="5" w:firstLineChars="0"/>
        <w:rPr>
          <w:rFonts w:hAnsi="宋体" w:cs="宋体"/>
          <w:i w:val="0"/>
          <w:iCs w:val="0"/>
          <w:kern w:val="0"/>
          <w:sz w:val="24"/>
        </w:rPr>
      </w:pPr>
      <w:r>
        <w:rPr>
          <w:rFonts w:hAnsi="宋体" w:cs="宋体"/>
          <w:i w:val="0"/>
          <w:iCs w:val="0"/>
          <w:kern w:val="0"/>
          <w:sz w:val="24"/>
        </w:rPr>
        <w:sym w:font="Wingdings" w:char="F031"/>
      </w:r>
      <w:r>
        <w:rPr>
          <w:rFonts w:hint="eastAsia" w:hAnsi="宋体" w:cs="宋体"/>
          <w:i w:val="0"/>
          <w:iCs w:val="0"/>
          <w:kern w:val="0"/>
          <w:sz w:val="24"/>
        </w:rPr>
        <w:t>《渔业水质标准》（GB11607-89）</w:t>
      </w:r>
    </w:p>
    <w:p>
      <w:pPr>
        <w:pStyle w:val="21"/>
        <w:ind w:left="564" w:leftChars="254" w:hanging="5" w:firstLineChars="0"/>
        <w:rPr>
          <w:rFonts w:hAnsi="宋体" w:cs="宋体"/>
          <w:i w:val="0"/>
          <w:iCs w:val="0"/>
          <w:kern w:val="0"/>
          <w:sz w:val="24"/>
        </w:rPr>
      </w:pPr>
      <w:r>
        <w:rPr>
          <w:rFonts w:hAnsi="宋体" w:cs="宋体"/>
          <w:i w:val="0"/>
          <w:iCs w:val="0"/>
          <w:kern w:val="0"/>
          <w:sz w:val="24"/>
        </w:rPr>
        <w:sym w:font="Wingdings" w:char="F031"/>
      </w:r>
      <w:r>
        <w:rPr>
          <w:rFonts w:hint="eastAsia" w:hAnsi="宋体" w:cs="宋体"/>
          <w:i w:val="0"/>
          <w:iCs w:val="0"/>
          <w:kern w:val="0"/>
          <w:sz w:val="24"/>
        </w:rPr>
        <w:t>《海洋调查规范》（GB12763.1~7-2007）</w:t>
      </w:r>
    </w:p>
    <w:p>
      <w:pPr>
        <w:pStyle w:val="21"/>
        <w:ind w:left="564" w:leftChars="254" w:hanging="5" w:firstLineChars="0"/>
        <w:rPr>
          <w:rFonts w:hAnsi="宋体" w:cs="宋体"/>
          <w:i w:val="0"/>
          <w:iCs w:val="0"/>
          <w:kern w:val="0"/>
          <w:sz w:val="24"/>
        </w:rPr>
      </w:pPr>
      <w:r>
        <w:rPr>
          <w:rFonts w:hAnsi="宋体" w:cs="宋体"/>
          <w:i w:val="0"/>
          <w:iCs w:val="0"/>
          <w:kern w:val="0"/>
          <w:sz w:val="24"/>
        </w:rPr>
        <w:sym w:font="Wingdings" w:char="F031"/>
      </w:r>
      <w:r>
        <w:rPr>
          <w:rFonts w:hint="eastAsia" w:hAnsi="宋体" w:cs="宋体"/>
          <w:i w:val="0"/>
          <w:iCs w:val="0"/>
          <w:kern w:val="0"/>
          <w:sz w:val="24"/>
        </w:rPr>
        <w:t>《海洋监测规范》（GB17378.1~7-2007）</w:t>
      </w:r>
    </w:p>
    <w:p>
      <w:pPr>
        <w:pStyle w:val="21"/>
        <w:ind w:left="564" w:leftChars="254" w:hanging="5" w:firstLineChars="0"/>
        <w:rPr>
          <w:rFonts w:hAnsi="宋体" w:cs="宋体"/>
          <w:i w:val="0"/>
          <w:iCs w:val="0"/>
          <w:kern w:val="0"/>
          <w:sz w:val="24"/>
        </w:rPr>
      </w:pPr>
      <w:r>
        <w:rPr>
          <w:rFonts w:hAnsi="宋体" w:cs="宋体"/>
          <w:i w:val="0"/>
          <w:iCs w:val="0"/>
          <w:kern w:val="0"/>
          <w:sz w:val="24"/>
        </w:rPr>
        <w:sym w:font="Wingdings" w:char="F031"/>
      </w:r>
      <w:r>
        <w:rPr>
          <w:rFonts w:hint="eastAsia" w:hAnsi="宋体" w:cs="宋体"/>
          <w:i w:val="0"/>
          <w:iCs w:val="0"/>
          <w:kern w:val="0"/>
          <w:sz w:val="24"/>
        </w:rPr>
        <w:t>《海洋沉积物质量》（GB18668-2002）</w:t>
      </w:r>
    </w:p>
    <w:p>
      <w:pPr>
        <w:pStyle w:val="21"/>
        <w:ind w:left="564" w:leftChars="254" w:hanging="5" w:firstLineChars="0"/>
        <w:rPr>
          <w:rFonts w:hAnsi="宋体" w:cs="宋体"/>
          <w:i w:val="0"/>
          <w:iCs w:val="0"/>
          <w:kern w:val="0"/>
          <w:sz w:val="24"/>
        </w:rPr>
      </w:pPr>
      <w:r>
        <w:rPr>
          <w:rFonts w:hAnsi="宋体" w:cs="宋体"/>
          <w:i w:val="0"/>
          <w:iCs w:val="0"/>
          <w:kern w:val="0"/>
          <w:sz w:val="24"/>
        </w:rPr>
        <w:sym w:font="Wingdings" w:char="F031"/>
      </w:r>
      <w:r>
        <w:rPr>
          <w:rFonts w:hint="eastAsia" w:hAnsi="宋体" w:cs="宋体"/>
          <w:i w:val="0"/>
          <w:iCs w:val="0"/>
          <w:kern w:val="0"/>
          <w:sz w:val="24"/>
        </w:rPr>
        <w:t>《海洋生物质量》（GB18421-2001）</w:t>
      </w:r>
    </w:p>
    <w:p>
      <w:pPr>
        <w:pStyle w:val="21"/>
        <w:ind w:left="564" w:leftChars="254" w:hanging="5" w:firstLineChars="0"/>
        <w:rPr>
          <w:rFonts w:hAnsi="宋体" w:cs="宋体"/>
          <w:i w:val="0"/>
          <w:iCs w:val="0"/>
          <w:kern w:val="0"/>
          <w:sz w:val="24"/>
        </w:rPr>
      </w:pPr>
      <w:r>
        <w:rPr>
          <w:rFonts w:hAnsi="宋体" w:cs="宋体"/>
          <w:i w:val="0"/>
          <w:iCs w:val="0"/>
          <w:kern w:val="0"/>
          <w:sz w:val="24"/>
        </w:rPr>
        <w:sym w:font="Wingdings" w:char="F031"/>
      </w:r>
      <w:r>
        <w:rPr>
          <w:rFonts w:hint="eastAsia" w:hAnsi="宋体" w:cs="宋体"/>
          <w:i w:val="0"/>
          <w:iCs w:val="0"/>
          <w:kern w:val="0"/>
          <w:sz w:val="24"/>
        </w:rPr>
        <w:t>《海洋水质标准》（GB3097-1997）</w:t>
      </w:r>
    </w:p>
    <w:p>
      <w:pPr>
        <w:pStyle w:val="21"/>
        <w:ind w:left="564" w:leftChars="254" w:hanging="5" w:firstLineChars="0"/>
        <w:rPr>
          <w:rFonts w:hAnsi="宋体" w:cs="宋体"/>
          <w:i w:val="0"/>
          <w:iCs w:val="0"/>
          <w:kern w:val="0"/>
          <w:sz w:val="24"/>
        </w:rPr>
      </w:pPr>
      <w:r>
        <w:rPr>
          <w:rFonts w:hAnsi="宋体" w:cs="宋体"/>
          <w:i w:val="0"/>
          <w:iCs w:val="0"/>
          <w:kern w:val="0"/>
          <w:sz w:val="24"/>
        </w:rPr>
        <w:sym w:font="Wingdings" w:char="F031"/>
      </w:r>
      <w:r>
        <w:rPr>
          <w:rFonts w:hint="eastAsia" w:hAnsi="宋体" w:cs="宋体"/>
          <w:i w:val="0"/>
          <w:iCs w:val="0"/>
          <w:kern w:val="0"/>
          <w:sz w:val="24"/>
        </w:rPr>
        <w:t>《污水综合排放标准》（GB8978-2002）</w:t>
      </w:r>
    </w:p>
    <w:p>
      <w:pPr>
        <w:pStyle w:val="21"/>
        <w:ind w:left="564" w:leftChars="254" w:hanging="5" w:firstLineChars="0"/>
        <w:rPr>
          <w:rFonts w:hAnsi="宋体" w:cs="宋体"/>
          <w:i w:val="0"/>
          <w:iCs w:val="0"/>
          <w:kern w:val="0"/>
          <w:sz w:val="24"/>
        </w:rPr>
      </w:pPr>
      <w:r>
        <w:rPr>
          <w:rFonts w:hAnsi="宋体" w:cs="宋体"/>
          <w:i w:val="0"/>
          <w:iCs w:val="0"/>
          <w:kern w:val="0"/>
          <w:sz w:val="24"/>
        </w:rPr>
        <w:sym w:font="Wingdings" w:char="F031"/>
      </w:r>
      <w:r>
        <w:rPr>
          <w:rFonts w:hint="eastAsia" w:hAnsi="宋体" w:cs="宋体"/>
          <w:i w:val="0"/>
          <w:iCs w:val="0"/>
          <w:kern w:val="0"/>
          <w:sz w:val="24"/>
        </w:rPr>
        <w:t>《中华人民共和国防治海岸工程建设项目污染损害与海洋环境管理条例》（2008）</w:t>
      </w:r>
    </w:p>
    <w:p>
      <w:pPr>
        <w:pStyle w:val="21"/>
        <w:ind w:left="564" w:leftChars="254" w:hanging="5" w:firstLineChars="0"/>
        <w:rPr>
          <w:rFonts w:hAnsi="宋体" w:cs="宋体"/>
          <w:i w:val="0"/>
          <w:iCs w:val="0"/>
          <w:kern w:val="0"/>
          <w:sz w:val="24"/>
        </w:rPr>
      </w:pPr>
      <w:r>
        <w:rPr>
          <w:rFonts w:hAnsi="宋体" w:cs="宋体"/>
          <w:i w:val="0"/>
          <w:iCs w:val="0"/>
          <w:kern w:val="0"/>
          <w:sz w:val="24"/>
        </w:rPr>
        <w:sym w:font="Wingdings" w:char="F031"/>
      </w:r>
      <w:r>
        <w:rPr>
          <w:rFonts w:hint="eastAsia" w:hAnsi="宋体" w:cs="宋体"/>
          <w:i w:val="0"/>
          <w:iCs w:val="0"/>
          <w:kern w:val="0"/>
          <w:sz w:val="24"/>
        </w:rPr>
        <w:t>《建设项目海洋环境影响跟踪监测技术规程》（2002）</w:t>
      </w:r>
    </w:p>
    <w:p>
      <w:pPr>
        <w:pStyle w:val="21"/>
        <w:ind w:left="564" w:leftChars="254" w:hanging="5" w:firstLineChars="0"/>
        <w:rPr>
          <w:rFonts w:hAnsi="宋体" w:cs="宋体"/>
          <w:i w:val="0"/>
          <w:iCs w:val="0"/>
          <w:kern w:val="0"/>
          <w:sz w:val="24"/>
        </w:rPr>
      </w:pPr>
      <w:r>
        <w:rPr>
          <w:rFonts w:hAnsi="宋体" w:cs="宋体"/>
          <w:i w:val="0"/>
          <w:iCs w:val="0"/>
          <w:kern w:val="0"/>
          <w:sz w:val="24"/>
        </w:rPr>
        <w:sym w:font="Wingdings" w:char="F031"/>
      </w:r>
      <w:r>
        <w:rPr>
          <w:rFonts w:hint="eastAsia" w:hAnsi="宋体" w:cs="宋体"/>
          <w:i w:val="0"/>
          <w:iCs w:val="0"/>
          <w:kern w:val="0"/>
          <w:sz w:val="24"/>
        </w:rPr>
        <w:t>《海洋工程环境影响评价技术导则》（GB/T 19485-2014）</w:t>
      </w:r>
    </w:p>
    <w:p>
      <w:pPr>
        <w:pStyle w:val="21"/>
        <w:ind w:left="564" w:leftChars="254" w:hanging="5" w:firstLineChars="0"/>
        <w:rPr>
          <w:rFonts w:hAnsi="宋体" w:cs="宋体"/>
          <w:i w:val="0"/>
          <w:iCs w:val="0"/>
          <w:kern w:val="0"/>
          <w:sz w:val="24"/>
        </w:rPr>
      </w:pPr>
      <w:r>
        <w:rPr>
          <w:rFonts w:hAnsi="宋体" w:cs="宋体"/>
          <w:i w:val="0"/>
          <w:iCs w:val="0"/>
          <w:kern w:val="0"/>
          <w:sz w:val="24"/>
        </w:rPr>
        <w:sym w:font="Wingdings" w:char="F031"/>
      </w:r>
      <w:r>
        <w:rPr>
          <w:rFonts w:hint="eastAsia" w:hAnsi="宋体" w:cs="宋体"/>
          <w:i w:val="0"/>
          <w:iCs w:val="0"/>
          <w:kern w:val="0"/>
          <w:sz w:val="24"/>
        </w:rPr>
        <w:t>《近岸海域环境监测规范》（HJ442-2008）</w:t>
      </w:r>
    </w:p>
    <w:p>
      <w:pPr>
        <w:pStyle w:val="21"/>
        <w:ind w:left="564" w:leftChars="254" w:hanging="5" w:firstLineChars="0"/>
        <w:rPr>
          <w:rFonts w:hAnsi="宋体" w:cs="宋体"/>
          <w:i w:val="0"/>
          <w:iCs w:val="0"/>
          <w:kern w:val="0"/>
          <w:sz w:val="24"/>
        </w:rPr>
      </w:pPr>
      <w:r>
        <w:rPr>
          <w:rFonts w:hAnsi="宋体" w:cs="宋体"/>
          <w:i w:val="0"/>
          <w:iCs w:val="0"/>
          <w:kern w:val="0"/>
          <w:sz w:val="24"/>
        </w:rPr>
        <w:sym w:font="Wingdings" w:char="F031"/>
      </w:r>
      <w:r>
        <w:rPr>
          <w:rFonts w:hint="eastAsia" w:hAnsi="宋体" w:cs="宋体"/>
          <w:i w:val="0"/>
          <w:iCs w:val="0"/>
          <w:kern w:val="0"/>
          <w:sz w:val="24"/>
        </w:rPr>
        <w:t>《施工期海域环境监测分析及评价技术任务书》（1508RSK002）</w:t>
      </w:r>
    </w:p>
    <w:p>
      <w:pPr>
        <w:pStyle w:val="78"/>
        <w:spacing w:line="360" w:lineRule="auto"/>
        <w:jc w:val="both"/>
        <w:rPr>
          <w:rFonts w:hAnsi="宋体"/>
          <w:b/>
          <w:snapToGrid w:val="0"/>
          <w:color w:val="auto"/>
        </w:rPr>
      </w:pPr>
      <w:r>
        <w:rPr>
          <w:rFonts w:hint="eastAsia" w:hAnsi="宋体"/>
          <w:b/>
          <w:snapToGrid w:val="0"/>
          <w:color w:val="auto"/>
        </w:rPr>
        <w:t>3.3 监测范围</w:t>
      </w:r>
      <w:bookmarkStart w:id="5" w:name="_Toc481527171"/>
      <w:r>
        <w:rPr>
          <w:rFonts w:hint="eastAsia" w:hAnsi="宋体"/>
          <w:b/>
          <w:snapToGrid w:val="0"/>
          <w:color w:val="auto"/>
        </w:rPr>
        <w:t>及频率</w:t>
      </w:r>
    </w:p>
    <w:p>
      <w:pPr>
        <w:pStyle w:val="78"/>
        <w:spacing w:line="360" w:lineRule="auto"/>
        <w:jc w:val="both"/>
        <w:rPr>
          <w:rFonts w:hAnsi="宋体"/>
          <w:b/>
          <w:snapToGrid w:val="0"/>
          <w:color w:val="auto"/>
        </w:rPr>
      </w:pPr>
      <w:r>
        <w:rPr>
          <w:rFonts w:hint="eastAsia" w:hAnsi="宋体"/>
          <w:b/>
          <w:snapToGrid w:val="0"/>
          <w:color w:val="auto"/>
        </w:rPr>
        <w:t>3.3.1调查范围</w:t>
      </w:r>
      <w:bookmarkEnd w:id="5"/>
    </w:p>
    <w:p>
      <w:pPr>
        <w:pStyle w:val="78"/>
        <w:spacing w:line="360" w:lineRule="auto"/>
        <w:ind w:firstLine="480" w:firstLineChars="200"/>
        <w:jc w:val="both"/>
        <w:rPr>
          <w:rFonts w:hAnsi="宋体"/>
          <w:snapToGrid w:val="0"/>
          <w:color w:val="auto"/>
        </w:rPr>
      </w:pPr>
      <w:r>
        <w:rPr>
          <w:rFonts w:hint="eastAsia" w:hAnsi="宋体"/>
          <w:snapToGrid w:val="0"/>
          <w:color w:val="auto"/>
        </w:rPr>
        <w:t>海洋环境影响跟踪监测范围应根据福海创石油化工有限公司附近海域环境及其地理特点，设置调查范围、调查断面和观测点。</w:t>
      </w:r>
      <w:bookmarkStart w:id="6" w:name="_Toc481527172"/>
    </w:p>
    <w:p>
      <w:pPr>
        <w:pStyle w:val="78"/>
        <w:spacing w:line="360" w:lineRule="auto"/>
        <w:jc w:val="both"/>
        <w:rPr>
          <w:rFonts w:hAnsi="宋体"/>
          <w:b/>
          <w:snapToGrid w:val="0"/>
          <w:color w:val="auto"/>
        </w:rPr>
      </w:pPr>
      <w:r>
        <w:rPr>
          <w:rFonts w:hint="eastAsia" w:hAnsi="宋体"/>
          <w:b/>
          <w:snapToGrid w:val="0"/>
          <w:color w:val="auto"/>
        </w:rPr>
        <w:t>3.3.2调查项目时间及采样频次</w:t>
      </w:r>
      <w:bookmarkEnd w:id="6"/>
    </w:p>
    <w:p>
      <w:pPr>
        <w:pStyle w:val="78"/>
        <w:spacing w:line="360" w:lineRule="auto"/>
        <w:jc w:val="both"/>
        <w:rPr>
          <w:rFonts w:hAnsi="宋体"/>
          <w:snapToGrid w:val="0"/>
          <w:color w:val="auto"/>
        </w:rPr>
      </w:pPr>
      <w:r>
        <w:rPr>
          <w:rFonts w:hint="eastAsia" w:hAnsi="宋体"/>
          <w:snapToGrid w:val="0"/>
          <w:color w:val="auto"/>
        </w:rPr>
        <w:t>1）海水水质监测：每年丰水期（5月）、平水期（8月）、枯水期（11月）各进行1次典型潮期监测，每年共计3个航次。</w:t>
      </w:r>
    </w:p>
    <w:p>
      <w:pPr>
        <w:pStyle w:val="78"/>
        <w:spacing w:line="360" w:lineRule="auto"/>
        <w:jc w:val="both"/>
        <w:rPr>
          <w:rFonts w:hAnsi="宋体"/>
          <w:snapToGrid w:val="0"/>
          <w:color w:val="auto"/>
        </w:rPr>
      </w:pPr>
      <w:r>
        <w:rPr>
          <w:rFonts w:hint="eastAsia" w:hAnsi="宋体"/>
          <w:snapToGrid w:val="0"/>
          <w:color w:val="auto"/>
        </w:rPr>
        <w:t>2)沉积物质量调查：丰水期（5月），每年1个航次。</w:t>
      </w:r>
    </w:p>
    <w:p>
      <w:pPr>
        <w:pStyle w:val="78"/>
        <w:spacing w:line="360" w:lineRule="auto"/>
        <w:jc w:val="both"/>
        <w:rPr>
          <w:rFonts w:hAnsi="宋体"/>
          <w:snapToGrid w:val="0"/>
          <w:color w:val="auto"/>
        </w:rPr>
      </w:pPr>
      <w:r>
        <w:rPr>
          <w:rFonts w:hint="eastAsia" w:hAnsi="宋体"/>
          <w:snapToGrid w:val="0"/>
          <w:color w:val="auto"/>
        </w:rPr>
        <w:t>3)海洋生物调查：每年春季（5）月、秋季（11月）各进行1次监测，每年共计2个航次。</w:t>
      </w:r>
    </w:p>
    <w:p>
      <w:pPr>
        <w:pStyle w:val="78"/>
        <w:spacing w:line="360" w:lineRule="auto"/>
        <w:jc w:val="both"/>
        <w:rPr>
          <w:rFonts w:hAnsi="宋体"/>
          <w:snapToGrid w:val="0"/>
          <w:color w:val="auto"/>
        </w:rPr>
      </w:pPr>
      <w:r>
        <w:rPr>
          <w:rFonts w:hint="eastAsia" w:hAnsi="宋体"/>
          <w:snapToGrid w:val="0"/>
          <w:color w:val="auto"/>
        </w:rPr>
        <w:t>4）海水温升和余氯监测：</w:t>
      </w:r>
      <w:r>
        <w:rPr>
          <w:rFonts w:hAnsi="宋体"/>
          <w:snapToGrid w:val="0"/>
          <w:color w:val="auto"/>
        </w:rPr>
        <w:t>春、夏、秋、冬季的大、小潮高低平潮</w:t>
      </w:r>
      <w:r>
        <w:rPr>
          <w:rFonts w:hint="eastAsia" w:hAnsi="宋体"/>
          <w:snapToGrid w:val="0"/>
          <w:color w:val="auto"/>
        </w:rPr>
        <w:t>，每年8个航次。</w:t>
      </w:r>
    </w:p>
    <w:p>
      <w:pPr>
        <w:pStyle w:val="78"/>
        <w:spacing w:line="360" w:lineRule="auto"/>
        <w:jc w:val="both"/>
        <w:rPr>
          <w:rFonts w:hAnsi="宋体"/>
          <w:b/>
          <w:snapToGrid w:val="0"/>
          <w:color w:val="auto"/>
        </w:rPr>
      </w:pPr>
      <w:r>
        <w:rPr>
          <w:rFonts w:hint="eastAsia" w:hAnsi="宋体"/>
          <w:b/>
          <w:snapToGrid w:val="0"/>
          <w:color w:val="auto"/>
        </w:rPr>
        <w:t>3.4监测内容</w:t>
      </w:r>
      <w:bookmarkStart w:id="7" w:name="_Toc467859554"/>
    </w:p>
    <w:p>
      <w:pPr>
        <w:pStyle w:val="78"/>
        <w:spacing w:line="360" w:lineRule="auto"/>
        <w:jc w:val="both"/>
        <w:rPr>
          <w:rFonts w:hAnsi="宋体"/>
          <w:b/>
          <w:snapToGrid w:val="0"/>
          <w:color w:val="auto"/>
        </w:rPr>
      </w:pPr>
      <w:r>
        <w:rPr>
          <w:rFonts w:hint="eastAsia" w:hAnsi="宋体"/>
          <w:b/>
          <w:snapToGrid w:val="0"/>
          <w:color w:val="auto"/>
        </w:rPr>
        <w:t>3.4.1海水水质监测</w:t>
      </w:r>
      <w:bookmarkEnd w:id="7"/>
    </w:p>
    <w:p>
      <w:pPr>
        <w:pStyle w:val="78"/>
        <w:spacing w:line="360" w:lineRule="auto"/>
        <w:jc w:val="both"/>
        <w:rPr>
          <w:rFonts w:hAnsi="宋体"/>
          <w:snapToGrid w:val="0"/>
          <w:color w:val="auto"/>
        </w:rPr>
      </w:pPr>
      <w:r>
        <w:rPr>
          <w:rFonts w:hint="eastAsia" w:hAnsi="宋体"/>
          <w:snapToGrid w:val="0"/>
          <w:color w:val="auto"/>
        </w:rPr>
        <w:t>1）监测项目</w:t>
      </w:r>
    </w:p>
    <w:p>
      <w:pPr>
        <w:pStyle w:val="78"/>
        <w:spacing w:line="360" w:lineRule="auto"/>
        <w:jc w:val="both"/>
        <w:rPr>
          <w:rFonts w:hAnsi="宋体"/>
          <w:snapToGrid w:val="0"/>
          <w:color w:val="auto"/>
        </w:rPr>
      </w:pPr>
      <w:r>
        <w:rPr>
          <w:rFonts w:hint="eastAsia" w:hAnsi="宋体"/>
          <w:snapToGrid w:val="0"/>
          <w:color w:val="auto"/>
        </w:rPr>
        <w:t>海洋水文气象：水色、透明度、水温、</w:t>
      </w:r>
      <w:r>
        <w:rPr>
          <w:rFonts w:hAnsi="宋体"/>
          <w:snapToGrid w:val="0"/>
          <w:color w:val="auto"/>
        </w:rPr>
        <w:t>悬浮物</w:t>
      </w:r>
      <w:r>
        <w:rPr>
          <w:rFonts w:hint="eastAsia" w:hAnsi="宋体"/>
          <w:snapToGrid w:val="0"/>
          <w:color w:val="auto"/>
        </w:rPr>
        <w:t>，共计4个要素；</w:t>
      </w:r>
    </w:p>
    <w:p>
      <w:pPr>
        <w:pStyle w:val="78"/>
        <w:spacing w:line="360" w:lineRule="auto"/>
        <w:jc w:val="both"/>
        <w:rPr>
          <w:rFonts w:hAnsi="宋体"/>
          <w:snapToGrid w:val="0"/>
          <w:color w:val="auto"/>
        </w:rPr>
      </w:pPr>
      <w:r>
        <w:rPr>
          <w:rFonts w:hint="eastAsia" w:hAnsi="宋体"/>
          <w:snapToGrid w:val="0"/>
          <w:color w:val="auto"/>
        </w:rPr>
        <w:t>海洋水质： p</w:t>
      </w:r>
      <w:r>
        <w:rPr>
          <w:rFonts w:hAnsi="宋体"/>
          <w:snapToGrid w:val="0"/>
          <w:color w:val="auto"/>
        </w:rPr>
        <w:t>H、盐度、溶解氧、</w:t>
      </w:r>
      <w:r>
        <w:rPr>
          <w:rFonts w:hint="eastAsia" w:hAnsi="宋体"/>
          <w:snapToGrid w:val="0"/>
          <w:color w:val="auto"/>
        </w:rPr>
        <w:t>化学需氧量、活性</w:t>
      </w:r>
      <w:r>
        <w:rPr>
          <w:rFonts w:hAnsi="宋体"/>
          <w:snapToGrid w:val="0"/>
          <w:color w:val="auto"/>
        </w:rPr>
        <w:t>磷酸盐、亚硝酸盐—氮、硝酸盐—氮、氨—氮</w:t>
      </w:r>
      <w:r>
        <w:rPr>
          <w:rFonts w:hint="eastAsia" w:hAnsi="宋体"/>
          <w:snapToGrid w:val="0"/>
          <w:color w:val="auto"/>
        </w:rPr>
        <w:t>、铜、铅、锌、镉、总铬、汞、砷、油类、苯、甲苯、二甲苯，共19个要素进行监测。</w:t>
      </w:r>
      <w:bookmarkStart w:id="8" w:name="_Toc467859556"/>
    </w:p>
    <w:p>
      <w:pPr>
        <w:pStyle w:val="78"/>
        <w:spacing w:line="360" w:lineRule="auto"/>
        <w:jc w:val="both"/>
        <w:rPr>
          <w:rFonts w:hAnsi="宋体"/>
          <w:snapToGrid w:val="0"/>
          <w:color w:val="auto"/>
        </w:rPr>
      </w:pPr>
      <w:r>
        <w:rPr>
          <w:rFonts w:hint="eastAsia" w:hAnsi="宋体"/>
          <w:snapToGrid w:val="0"/>
          <w:color w:val="auto"/>
        </w:rPr>
        <w:t>2）采样层次</w:t>
      </w:r>
    </w:p>
    <w:p>
      <w:pPr>
        <w:pStyle w:val="78"/>
        <w:spacing w:line="360" w:lineRule="auto"/>
        <w:ind w:firstLine="480" w:firstLineChars="200"/>
        <w:jc w:val="both"/>
        <w:rPr>
          <w:rFonts w:hAnsi="宋体"/>
          <w:snapToGrid w:val="0"/>
          <w:color w:val="auto"/>
        </w:rPr>
      </w:pPr>
      <w:r>
        <w:rPr>
          <w:rFonts w:hint="eastAsia" w:hAnsi="宋体"/>
          <w:snapToGrid w:val="0"/>
          <w:color w:val="auto"/>
        </w:rPr>
        <w:t>样品采集严格按《海洋调查规范》</w:t>
      </w:r>
      <w:r>
        <w:rPr>
          <w:rFonts w:hAnsi="宋体"/>
          <w:snapToGrid w:val="0"/>
          <w:color w:val="auto"/>
        </w:rPr>
        <w:t>GB/T 12763.4-2007</w:t>
      </w:r>
      <w:r>
        <w:rPr>
          <w:rFonts w:hint="eastAsia" w:hAnsi="宋体"/>
          <w:snapToGrid w:val="0"/>
          <w:color w:val="auto"/>
        </w:rPr>
        <w:t>，第</w:t>
      </w:r>
      <w:r>
        <w:rPr>
          <w:rFonts w:hAnsi="宋体"/>
          <w:snapToGrid w:val="0"/>
          <w:color w:val="auto"/>
        </w:rPr>
        <w:t>4.4</w:t>
      </w:r>
      <w:r>
        <w:rPr>
          <w:rFonts w:hint="eastAsia" w:hAnsi="宋体"/>
          <w:snapToGrid w:val="0"/>
          <w:color w:val="auto"/>
        </w:rPr>
        <w:t>节样品采集与贮存以及《海洋监测规范》（</w:t>
      </w:r>
      <w:r>
        <w:rPr>
          <w:rFonts w:hAnsi="宋体"/>
          <w:snapToGrid w:val="0"/>
          <w:color w:val="auto"/>
        </w:rPr>
        <w:t>GB 17378.3-2007</w:t>
      </w:r>
      <w:r>
        <w:rPr>
          <w:rFonts w:hint="eastAsia" w:hAnsi="宋体"/>
          <w:snapToGrid w:val="0"/>
          <w:color w:val="auto"/>
        </w:rPr>
        <w:t>）中第一部分样品采集、贮存与运输规定执行。用有机玻璃采水器，采样层次要求如下：</w:t>
      </w:r>
    </w:p>
    <w:p>
      <w:pPr>
        <w:pStyle w:val="78"/>
        <w:spacing w:line="360" w:lineRule="auto"/>
        <w:ind w:firstLine="480" w:firstLineChars="200"/>
        <w:jc w:val="both"/>
        <w:rPr>
          <w:rFonts w:hAnsi="宋体"/>
          <w:snapToGrid w:val="0"/>
          <w:color w:val="auto"/>
        </w:rPr>
      </w:pPr>
      <w:r>
        <w:rPr>
          <w:rFonts w:hint="eastAsia" w:hAnsi="宋体"/>
          <w:snapToGrid w:val="0"/>
          <w:color w:val="auto"/>
        </w:rPr>
        <w:t>各项目样品采集、保存和分析方法分别按《海洋调查规范》（</w:t>
      </w:r>
      <w:r>
        <w:rPr>
          <w:rFonts w:hAnsi="宋体"/>
          <w:snapToGrid w:val="0"/>
          <w:color w:val="auto"/>
        </w:rPr>
        <w:t>GB/T 12763-2007</w:t>
      </w:r>
      <w:r>
        <w:rPr>
          <w:rFonts w:hint="eastAsia" w:hAnsi="宋体"/>
          <w:snapToGrid w:val="0"/>
          <w:color w:val="auto"/>
        </w:rPr>
        <w:t>）和《海洋监测规范》（</w:t>
      </w:r>
      <w:r>
        <w:rPr>
          <w:rFonts w:hAnsi="宋体"/>
          <w:snapToGrid w:val="0"/>
          <w:color w:val="auto"/>
        </w:rPr>
        <w:t>GB17378-2007</w:t>
      </w:r>
      <w:r>
        <w:rPr>
          <w:rFonts w:hint="eastAsia" w:hAnsi="宋体"/>
          <w:snapToGrid w:val="0"/>
          <w:color w:val="auto"/>
        </w:rPr>
        <w:t>）中规定的有关方法进行。石油类、苯、甲苯、二甲苯只采集表层，其余各项目，＜10</w:t>
      </w:r>
      <w:r>
        <w:rPr>
          <w:rFonts w:hAnsi="宋体"/>
          <w:snapToGrid w:val="0"/>
          <w:color w:val="auto"/>
        </w:rPr>
        <w:t>m</w:t>
      </w:r>
      <w:r>
        <w:rPr>
          <w:rFonts w:hint="eastAsia" w:hAnsi="宋体"/>
          <w:snapToGrid w:val="0"/>
          <w:color w:val="auto"/>
        </w:rPr>
        <w:t>，采集表层；</w:t>
      </w:r>
      <w:r>
        <w:rPr>
          <w:rFonts w:hAnsi="宋体"/>
          <w:snapToGrid w:val="0"/>
          <w:color w:val="auto"/>
        </w:rPr>
        <w:t>≥</w:t>
      </w:r>
      <w:r>
        <w:rPr>
          <w:rFonts w:hint="eastAsia" w:hAnsi="宋体"/>
          <w:snapToGrid w:val="0"/>
          <w:color w:val="auto"/>
        </w:rPr>
        <w:t>10</w:t>
      </w:r>
      <w:r>
        <w:rPr>
          <w:rFonts w:hAnsi="宋体"/>
          <w:snapToGrid w:val="0"/>
          <w:color w:val="auto"/>
        </w:rPr>
        <w:t>m</w:t>
      </w:r>
      <w:r>
        <w:rPr>
          <w:rFonts w:hint="eastAsia" w:hAnsi="宋体"/>
          <w:snapToGrid w:val="0"/>
          <w:color w:val="auto"/>
        </w:rPr>
        <w:t>，＜</w:t>
      </w:r>
      <w:r>
        <w:rPr>
          <w:rFonts w:hAnsi="宋体"/>
          <w:snapToGrid w:val="0"/>
          <w:color w:val="auto"/>
        </w:rPr>
        <w:t>1</w:t>
      </w:r>
      <w:r>
        <w:rPr>
          <w:rFonts w:hint="eastAsia" w:hAnsi="宋体"/>
          <w:snapToGrid w:val="0"/>
          <w:color w:val="auto"/>
        </w:rPr>
        <w:t>5</w:t>
      </w:r>
      <w:r>
        <w:rPr>
          <w:rFonts w:hAnsi="宋体"/>
          <w:snapToGrid w:val="0"/>
          <w:color w:val="auto"/>
        </w:rPr>
        <w:t>m</w:t>
      </w:r>
      <w:r>
        <w:rPr>
          <w:rFonts w:hint="eastAsia" w:hAnsi="宋体"/>
          <w:snapToGrid w:val="0"/>
          <w:color w:val="auto"/>
        </w:rPr>
        <w:t>，采集表、底层；</w:t>
      </w:r>
      <w:r>
        <w:rPr>
          <w:rFonts w:hAnsi="宋体"/>
          <w:snapToGrid w:val="0"/>
          <w:color w:val="auto"/>
        </w:rPr>
        <w:t>≥</w:t>
      </w:r>
      <w:r>
        <w:rPr>
          <w:rFonts w:hint="eastAsia" w:hAnsi="宋体"/>
          <w:snapToGrid w:val="0"/>
          <w:color w:val="auto"/>
        </w:rPr>
        <w:t>15</w:t>
      </w:r>
      <w:r>
        <w:rPr>
          <w:rFonts w:hAnsi="宋体"/>
          <w:snapToGrid w:val="0"/>
          <w:color w:val="auto"/>
        </w:rPr>
        <w:t>m</w:t>
      </w:r>
      <w:r>
        <w:rPr>
          <w:rFonts w:hint="eastAsia" w:hAnsi="宋体"/>
          <w:snapToGrid w:val="0"/>
          <w:color w:val="auto"/>
        </w:rPr>
        <w:t>，采集表、10m、底层。</w:t>
      </w:r>
    </w:p>
    <w:p>
      <w:pPr>
        <w:pStyle w:val="78"/>
        <w:spacing w:line="360" w:lineRule="auto"/>
        <w:jc w:val="both"/>
        <w:rPr>
          <w:rFonts w:hAnsi="宋体"/>
          <w:snapToGrid w:val="0"/>
          <w:color w:val="auto"/>
        </w:rPr>
      </w:pPr>
      <w:r>
        <w:rPr>
          <w:rFonts w:hint="eastAsia" w:hAnsi="宋体"/>
          <w:snapToGrid w:val="0"/>
          <w:color w:val="auto"/>
        </w:rPr>
        <w:t>3）站位布设</w:t>
      </w:r>
    </w:p>
    <w:p>
      <w:pPr>
        <w:pStyle w:val="78"/>
        <w:spacing w:line="360" w:lineRule="auto"/>
        <w:jc w:val="both"/>
        <w:rPr>
          <w:rFonts w:hAnsi="宋体"/>
          <w:snapToGrid w:val="0"/>
          <w:color w:val="auto"/>
        </w:rPr>
      </w:pPr>
      <w:r>
        <w:rPr>
          <w:rFonts w:hint="eastAsia" w:hAnsi="宋体"/>
          <w:snapToGrid w:val="0"/>
          <w:color w:val="auto"/>
        </w:rPr>
        <w:t>共设9个监测站位。</w:t>
      </w:r>
    </w:p>
    <w:p>
      <w:pPr>
        <w:pStyle w:val="78"/>
        <w:spacing w:line="360" w:lineRule="auto"/>
        <w:jc w:val="both"/>
        <w:rPr>
          <w:rFonts w:hAnsi="宋体"/>
          <w:b/>
          <w:snapToGrid w:val="0"/>
          <w:color w:val="auto"/>
        </w:rPr>
      </w:pPr>
      <w:r>
        <w:rPr>
          <w:rFonts w:hint="eastAsia" w:hAnsi="宋体"/>
          <w:b/>
          <w:snapToGrid w:val="0"/>
          <w:color w:val="auto"/>
        </w:rPr>
        <w:t>3.4.2海洋</w:t>
      </w:r>
      <w:r>
        <w:rPr>
          <w:rFonts w:hAnsi="宋体"/>
          <w:b/>
          <w:snapToGrid w:val="0"/>
          <w:color w:val="auto"/>
        </w:rPr>
        <w:t>沉积物质量监测</w:t>
      </w:r>
      <w:bookmarkEnd w:id="8"/>
    </w:p>
    <w:p>
      <w:pPr>
        <w:pStyle w:val="78"/>
        <w:spacing w:line="360" w:lineRule="auto"/>
        <w:jc w:val="both"/>
        <w:rPr>
          <w:rFonts w:hAnsi="宋体"/>
          <w:snapToGrid w:val="0"/>
          <w:color w:val="auto"/>
        </w:rPr>
      </w:pPr>
      <w:r>
        <w:rPr>
          <w:rFonts w:hint="eastAsia" w:hAnsi="宋体"/>
          <w:snapToGrid w:val="0"/>
          <w:color w:val="auto"/>
        </w:rPr>
        <w:t>1）监测项目</w:t>
      </w:r>
    </w:p>
    <w:p>
      <w:pPr>
        <w:pStyle w:val="78"/>
        <w:spacing w:line="360" w:lineRule="auto"/>
        <w:jc w:val="both"/>
        <w:rPr>
          <w:rFonts w:hAnsi="宋体"/>
          <w:snapToGrid w:val="0"/>
          <w:color w:val="auto"/>
        </w:rPr>
      </w:pPr>
      <w:r>
        <w:rPr>
          <w:rFonts w:hint="eastAsia" w:hAnsi="宋体"/>
          <w:snapToGrid w:val="0"/>
          <w:color w:val="auto"/>
        </w:rPr>
        <w:t>铜、铅、锌、镉、铬、汞、砷、石油类、有机碳、硫化物、沉积物类型共计11个要素</w:t>
      </w:r>
      <w:r>
        <w:rPr>
          <w:rFonts w:hAnsi="宋体"/>
          <w:snapToGrid w:val="0"/>
          <w:color w:val="auto"/>
        </w:rPr>
        <w:t>。</w:t>
      </w:r>
    </w:p>
    <w:p>
      <w:pPr>
        <w:pStyle w:val="78"/>
        <w:spacing w:line="360" w:lineRule="auto"/>
        <w:jc w:val="both"/>
        <w:rPr>
          <w:rFonts w:hAnsi="宋体"/>
          <w:snapToGrid w:val="0"/>
          <w:color w:val="auto"/>
        </w:rPr>
      </w:pPr>
      <w:r>
        <w:rPr>
          <w:rFonts w:hint="eastAsia" w:hAnsi="宋体"/>
          <w:snapToGrid w:val="0"/>
          <w:color w:val="auto"/>
        </w:rPr>
        <w:t>2）</w:t>
      </w:r>
      <w:r>
        <w:rPr>
          <w:rFonts w:hAnsi="宋体"/>
          <w:snapToGrid w:val="0"/>
          <w:color w:val="auto"/>
        </w:rPr>
        <w:t>采样层次</w:t>
      </w:r>
    </w:p>
    <w:p>
      <w:pPr>
        <w:pStyle w:val="78"/>
        <w:spacing w:line="360" w:lineRule="auto"/>
        <w:jc w:val="both"/>
        <w:rPr>
          <w:rFonts w:hAnsi="宋体"/>
          <w:snapToGrid w:val="0"/>
          <w:color w:val="auto"/>
        </w:rPr>
      </w:pPr>
      <w:r>
        <w:rPr>
          <w:rFonts w:hAnsi="宋体"/>
          <w:snapToGrid w:val="0"/>
          <w:color w:val="auto"/>
        </w:rPr>
        <w:t>采集表层沉积物样品。</w:t>
      </w:r>
    </w:p>
    <w:p>
      <w:pPr>
        <w:pStyle w:val="78"/>
        <w:spacing w:line="360" w:lineRule="auto"/>
        <w:jc w:val="both"/>
        <w:rPr>
          <w:rFonts w:hAnsi="宋体"/>
          <w:snapToGrid w:val="0"/>
          <w:color w:val="auto"/>
        </w:rPr>
      </w:pPr>
      <w:r>
        <w:rPr>
          <w:rFonts w:hint="eastAsia" w:hAnsi="宋体"/>
          <w:snapToGrid w:val="0"/>
          <w:color w:val="auto"/>
        </w:rPr>
        <w:t>3）</w:t>
      </w:r>
      <w:r>
        <w:rPr>
          <w:rFonts w:hAnsi="宋体"/>
          <w:snapToGrid w:val="0"/>
          <w:color w:val="auto"/>
        </w:rPr>
        <w:t>站位布设</w:t>
      </w:r>
    </w:p>
    <w:p>
      <w:pPr>
        <w:pStyle w:val="78"/>
        <w:spacing w:line="360" w:lineRule="auto"/>
        <w:jc w:val="both"/>
        <w:rPr>
          <w:rFonts w:hAnsi="宋体"/>
          <w:snapToGrid w:val="0"/>
          <w:color w:val="auto"/>
        </w:rPr>
      </w:pPr>
      <w:r>
        <w:rPr>
          <w:rFonts w:hAnsi="宋体"/>
          <w:snapToGrid w:val="0"/>
          <w:color w:val="auto"/>
        </w:rPr>
        <w:t>布设</w:t>
      </w:r>
      <w:r>
        <w:rPr>
          <w:rFonts w:hint="eastAsia" w:hAnsi="宋体"/>
          <w:snapToGrid w:val="0"/>
          <w:color w:val="auto"/>
        </w:rPr>
        <w:t>6</w:t>
      </w:r>
      <w:r>
        <w:rPr>
          <w:rFonts w:hAnsi="宋体"/>
          <w:snapToGrid w:val="0"/>
          <w:color w:val="auto"/>
        </w:rPr>
        <w:t>个沉积物监测站位。</w:t>
      </w:r>
    </w:p>
    <w:p>
      <w:pPr>
        <w:pStyle w:val="78"/>
        <w:spacing w:line="360" w:lineRule="auto"/>
        <w:jc w:val="both"/>
        <w:rPr>
          <w:rFonts w:hAnsi="宋体"/>
          <w:b/>
          <w:snapToGrid w:val="0"/>
          <w:color w:val="auto"/>
        </w:rPr>
      </w:pPr>
      <w:r>
        <w:rPr>
          <w:rFonts w:hint="eastAsia" w:hAnsi="宋体"/>
          <w:b/>
          <w:snapToGrid w:val="0"/>
          <w:color w:val="auto"/>
        </w:rPr>
        <w:t>3.4.3海洋生态监测</w:t>
      </w:r>
    </w:p>
    <w:p>
      <w:pPr>
        <w:pStyle w:val="78"/>
        <w:spacing w:line="360" w:lineRule="auto"/>
        <w:ind w:firstLine="480" w:firstLineChars="200"/>
        <w:jc w:val="both"/>
        <w:rPr>
          <w:rFonts w:hAnsi="宋体"/>
          <w:snapToGrid w:val="0"/>
          <w:color w:val="auto"/>
        </w:rPr>
      </w:pPr>
      <w:r>
        <w:rPr>
          <w:rFonts w:hint="eastAsia" w:hAnsi="宋体"/>
          <w:snapToGrid w:val="0"/>
          <w:color w:val="auto"/>
        </w:rPr>
        <w:t>包括叶绿素a、水采浮游植物、浮游动物、潮下带底栖生物6个调查站位，采样方法和样品测试方法均按《海洋调查规范》和《海洋监测规范》相关规定执行。</w:t>
      </w:r>
    </w:p>
    <w:p>
      <w:pPr>
        <w:pStyle w:val="78"/>
        <w:spacing w:line="360" w:lineRule="auto"/>
        <w:jc w:val="both"/>
        <w:rPr>
          <w:rFonts w:hAnsi="宋体"/>
          <w:b/>
          <w:snapToGrid w:val="0"/>
          <w:color w:val="auto"/>
        </w:rPr>
      </w:pPr>
      <w:r>
        <w:rPr>
          <w:rFonts w:hint="eastAsia" w:hAnsi="宋体"/>
          <w:b/>
          <w:snapToGrid w:val="0"/>
          <w:color w:val="auto"/>
        </w:rPr>
        <w:t>3.4.4海水温度和余氯监测</w:t>
      </w:r>
    </w:p>
    <w:p>
      <w:pPr>
        <w:pStyle w:val="78"/>
        <w:spacing w:line="360" w:lineRule="auto"/>
        <w:jc w:val="both"/>
        <w:rPr>
          <w:rFonts w:hAnsi="宋体"/>
          <w:snapToGrid w:val="0"/>
          <w:color w:val="auto"/>
        </w:rPr>
      </w:pPr>
      <w:r>
        <w:rPr>
          <w:rFonts w:hint="eastAsia" w:hAnsi="宋体"/>
          <w:snapToGrid w:val="0"/>
          <w:color w:val="auto"/>
        </w:rPr>
        <w:t>1）监测项目</w:t>
      </w:r>
    </w:p>
    <w:p>
      <w:pPr>
        <w:pStyle w:val="78"/>
        <w:spacing w:line="360" w:lineRule="auto"/>
        <w:jc w:val="both"/>
        <w:rPr>
          <w:rFonts w:hAnsi="宋体"/>
          <w:snapToGrid w:val="0"/>
          <w:color w:val="auto"/>
        </w:rPr>
      </w:pPr>
      <w:r>
        <w:rPr>
          <w:rFonts w:hAnsi="宋体"/>
          <w:snapToGrid w:val="0"/>
          <w:color w:val="auto"/>
        </w:rPr>
        <w:t>排</w:t>
      </w:r>
      <w:r>
        <w:rPr>
          <w:rFonts w:hint="eastAsia" w:hAnsi="宋体"/>
          <w:snapToGrid w:val="0"/>
          <w:color w:val="auto"/>
        </w:rPr>
        <w:t>放</w:t>
      </w:r>
      <w:r>
        <w:rPr>
          <w:rFonts w:hAnsi="宋体"/>
          <w:snapToGrid w:val="0"/>
          <w:color w:val="auto"/>
        </w:rPr>
        <w:t>口</w:t>
      </w:r>
      <w:r>
        <w:rPr>
          <w:rFonts w:hint="eastAsia" w:hAnsi="宋体"/>
          <w:snapToGrid w:val="0"/>
          <w:color w:val="auto"/>
        </w:rPr>
        <w:t>海水温升4℃、2℃、1℃包络范围和</w:t>
      </w:r>
      <w:r>
        <w:rPr>
          <w:rFonts w:hAnsi="宋体"/>
          <w:snapToGrid w:val="0"/>
          <w:color w:val="auto"/>
        </w:rPr>
        <w:t>余氯增量0.02mg/L</w:t>
      </w:r>
      <w:r>
        <w:rPr>
          <w:rFonts w:hint="eastAsia" w:hAnsi="宋体"/>
          <w:snapToGrid w:val="0"/>
          <w:color w:val="auto"/>
        </w:rPr>
        <w:t>包络</w:t>
      </w:r>
      <w:r>
        <w:rPr>
          <w:rFonts w:hAnsi="宋体"/>
          <w:snapToGrid w:val="0"/>
          <w:color w:val="auto"/>
        </w:rPr>
        <w:t>范围</w:t>
      </w:r>
      <w:r>
        <w:rPr>
          <w:rFonts w:hint="eastAsia" w:hAnsi="宋体"/>
          <w:snapToGrid w:val="0"/>
          <w:color w:val="auto"/>
        </w:rPr>
        <w:t>。</w:t>
      </w:r>
    </w:p>
    <w:p>
      <w:pPr>
        <w:pStyle w:val="78"/>
        <w:spacing w:line="360" w:lineRule="auto"/>
        <w:jc w:val="both"/>
        <w:rPr>
          <w:rFonts w:hAnsi="宋体"/>
          <w:snapToGrid w:val="0"/>
          <w:color w:val="auto"/>
        </w:rPr>
      </w:pPr>
      <w:r>
        <w:rPr>
          <w:rFonts w:hint="eastAsia" w:hAnsi="宋体"/>
          <w:snapToGrid w:val="0"/>
          <w:color w:val="auto"/>
        </w:rPr>
        <w:t>2）</w:t>
      </w:r>
      <w:r>
        <w:rPr>
          <w:rFonts w:hAnsi="宋体"/>
          <w:snapToGrid w:val="0"/>
          <w:color w:val="auto"/>
        </w:rPr>
        <w:t>站位布设</w:t>
      </w:r>
      <w:r>
        <w:rPr>
          <w:rFonts w:hint="eastAsia" w:hAnsi="宋体"/>
          <w:snapToGrid w:val="0"/>
          <w:color w:val="auto"/>
        </w:rPr>
        <w:t>及监测频次</w:t>
      </w:r>
    </w:p>
    <w:p>
      <w:pPr>
        <w:pStyle w:val="78"/>
        <w:spacing w:line="360" w:lineRule="auto"/>
        <w:ind w:firstLine="480" w:firstLineChars="200"/>
        <w:jc w:val="both"/>
        <w:rPr>
          <w:rFonts w:hAnsi="宋体"/>
          <w:snapToGrid w:val="0"/>
          <w:color w:val="auto"/>
        </w:rPr>
      </w:pPr>
      <w:r>
        <w:rPr>
          <w:rFonts w:hAnsi="宋体"/>
          <w:snapToGrid w:val="0"/>
          <w:color w:val="auto"/>
        </w:rPr>
        <w:t>营运期春、夏、秋、冬季的大、小潮高低平潮</w:t>
      </w:r>
      <w:r>
        <w:rPr>
          <w:rFonts w:hint="eastAsia" w:hAnsi="宋体"/>
          <w:snapToGrid w:val="0"/>
          <w:color w:val="auto"/>
        </w:rPr>
        <w:t>，</w:t>
      </w:r>
      <w:r>
        <w:rPr>
          <w:rFonts w:hAnsi="宋体"/>
          <w:snapToGrid w:val="0"/>
          <w:color w:val="auto"/>
        </w:rPr>
        <w:t>明确</w:t>
      </w:r>
      <w:r>
        <w:rPr>
          <w:rFonts w:hint="eastAsia" w:hAnsi="宋体"/>
          <w:snapToGrid w:val="0"/>
          <w:color w:val="auto"/>
        </w:rPr>
        <w:t>海水温升4℃、2℃、1℃包络范围和</w:t>
      </w:r>
      <w:r>
        <w:rPr>
          <w:rFonts w:hAnsi="宋体"/>
          <w:snapToGrid w:val="0"/>
          <w:color w:val="auto"/>
        </w:rPr>
        <w:t>余氯浓度</w:t>
      </w:r>
      <w:r>
        <w:rPr>
          <w:rFonts w:hint="eastAsia" w:hAnsi="宋体"/>
          <w:snapToGrid w:val="0"/>
          <w:color w:val="auto"/>
        </w:rPr>
        <w:t>增量</w:t>
      </w:r>
      <w:r>
        <w:rPr>
          <w:rFonts w:hAnsi="宋体"/>
          <w:snapToGrid w:val="0"/>
          <w:color w:val="auto"/>
        </w:rPr>
        <w:t>0.02mg/L范围。</w:t>
      </w:r>
      <w:r>
        <w:rPr>
          <w:rFonts w:hint="eastAsia" w:hAnsi="宋体"/>
          <w:snapToGrid w:val="0"/>
          <w:color w:val="auto"/>
        </w:rPr>
        <w:t>以排放口为中心，放射状设</w:t>
      </w:r>
      <w:r>
        <w:rPr>
          <w:rFonts w:hAnsi="宋体"/>
          <w:snapToGrid w:val="0"/>
          <w:color w:val="auto"/>
        </w:rPr>
        <w:t>3条断面，</w:t>
      </w:r>
      <w:r>
        <w:rPr>
          <w:rFonts w:hint="eastAsia" w:hAnsi="宋体"/>
          <w:snapToGrid w:val="0"/>
          <w:color w:val="auto"/>
        </w:rPr>
        <w:t>计</w:t>
      </w:r>
      <w:r>
        <w:rPr>
          <w:rFonts w:hAnsi="宋体"/>
          <w:snapToGrid w:val="0"/>
          <w:color w:val="auto"/>
        </w:rPr>
        <w:t>15个</w:t>
      </w:r>
      <w:r>
        <w:rPr>
          <w:rFonts w:hint="eastAsia" w:hAnsi="宋体"/>
          <w:snapToGrid w:val="0"/>
          <w:color w:val="auto"/>
        </w:rPr>
        <w:t>取样</w:t>
      </w:r>
      <w:r>
        <w:rPr>
          <w:rFonts w:hAnsi="宋体"/>
          <w:snapToGrid w:val="0"/>
          <w:color w:val="auto"/>
        </w:rPr>
        <w:t>站位。</w:t>
      </w:r>
    </w:p>
    <w:p>
      <w:pPr>
        <w:pStyle w:val="78"/>
        <w:spacing w:line="360" w:lineRule="auto"/>
        <w:jc w:val="both"/>
        <w:rPr>
          <w:rFonts w:hAnsi="宋体"/>
          <w:b/>
          <w:snapToGrid w:val="0"/>
          <w:color w:val="auto"/>
        </w:rPr>
      </w:pPr>
      <w:r>
        <w:rPr>
          <w:rFonts w:hint="eastAsia" w:hAnsi="宋体"/>
          <w:b/>
          <w:snapToGrid w:val="0"/>
          <w:color w:val="auto"/>
        </w:rPr>
        <w:t>四、发包要求：</w:t>
      </w:r>
    </w:p>
    <w:p>
      <w:pPr>
        <w:pStyle w:val="78"/>
        <w:spacing w:line="360" w:lineRule="auto"/>
        <w:jc w:val="both"/>
        <w:rPr>
          <w:rFonts w:hAnsi="宋体"/>
          <w:snapToGrid w:val="0"/>
          <w:color w:val="auto"/>
        </w:rPr>
      </w:pPr>
      <w:r>
        <w:rPr>
          <w:rFonts w:hint="eastAsia" w:hAnsi="宋体"/>
          <w:snapToGrid w:val="0"/>
          <w:color w:val="auto"/>
        </w:rPr>
        <w:t>1）监测单位资质要求：持有效的省级（含）以上质量技术监督部门颁发的计量认证证书和取得CMA计量认证资质，并提供包括所有海洋检测项目方法证明文件的CMA证书附表。</w:t>
      </w:r>
    </w:p>
    <w:p>
      <w:pPr>
        <w:pStyle w:val="78"/>
        <w:spacing w:line="360" w:lineRule="auto"/>
        <w:jc w:val="both"/>
        <w:rPr>
          <w:rFonts w:hAnsi="宋体"/>
          <w:snapToGrid w:val="0"/>
          <w:color w:val="auto"/>
        </w:rPr>
      </w:pPr>
      <w:r>
        <w:rPr>
          <w:rFonts w:hint="eastAsia" w:hAnsi="宋体"/>
          <w:snapToGrid w:val="0"/>
          <w:color w:val="auto"/>
        </w:rPr>
        <w:t>2）监测单位使用的计量检测器、设备及计量器等监测仪器需进行检定、校准或核查，并在有效期内使用。</w:t>
      </w:r>
    </w:p>
    <w:p>
      <w:pPr>
        <w:pStyle w:val="78"/>
        <w:spacing w:line="360" w:lineRule="auto"/>
        <w:jc w:val="both"/>
        <w:rPr>
          <w:rFonts w:hAnsi="宋体"/>
          <w:snapToGrid w:val="0"/>
          <w:color w:val="auto"/>
        </w:rPr>
      </w:pPr>
      <w:r>
        <w:rPr>
          <w:rFonts w:hint="eastAsia" w:hAnsi="宋体"/>
          <w:snapToGrid w:val="0"/>
          <w:color w:val="auto"/>
        </w:rPr>
        <w:t>3）监测单位可根据实际需要调整监测内容，但必须符合相关法律、法规以及相关规范要求。</w:t>
      </w:r>
    </w:p>
    <w:p>
      <w:pPr>
        <w:pStyle w:val="78"/>
        <w:spacing w:line="360" w:lineRule="auto"/>
        <w:jc w:val="both"/>
        <w:rPr>
          <w:rFonts w:hAnsi="宋体"/>
          <w:snapToGrid w:val="0"/>
          <w:color w:val="auto"/>
        </w:rPr>
      </w:pPr>
      <w:r>
        <w:rPr>
          <w:rFonts w:hint="eastAsia" w:hAnsi="宋体"/>
          <w:snapToGrid w:val="0"/>
          <w:color w:val="auto"/>
        </w:rPr>
        <w:t>4）站位布设位置由监测单位决定，但必须满足相关规范要求。根据第一次监测结果，业主在符合规范等相关要求下有权调整第二次监测方案。</w:t>
      </w:r>
    </w:p>
    <w:p>
      <w:pPr>
        <w:pStyle w:val="78"/>
        <w:spacing w:line="360" w:lineRule="auto"/>
        <w:jc w:val="both"/>
        <w:rPr>
          <w:rFonts w:hAnsi="宋体"/>
          <w:snapToGrid w:val="0"/>
          <w:color w:val="auto"/>
        </w:rPr>
      </w:pPr>
      <w:r>
        <w:rPr>
          <w:rFonts w:hint="eastAsia" w:hAnsi="宋体"/>
          <w:snapToGrid w:val="0"/>
          <w:color w:val="auto"/>
        </w:rPr>
        <w:t xml:space="preserve">5）监测单位应提供计划采样检测时间表，入场需与业主方联系确认。由业主方根据需求派员参与监护海洋采样过程。                   </w:t>
      </w:r>
    </w:p>
    <w:p>
      <w:pPr>
        <w:pStyle w:val="78"/>
        <w:spacing w:line="360" w:lineRule="auto"/>
        <w:jc w:val="both"/>
        <w:rPr>
          <w:rFonts w:hAnsi="宋体"/>
          <w:snapToGrid w:val="0"/>
          <w:color w:val="auto"/>
        </w:rPr>
      </w:pPr>
      <w:r>
        <w:rPr>
          <w:rFonts w:hint="eastAsia" w:hAnsi="宋体"/>
          <w:snapToGrid w:val="0"/>
          <w:color w:val="auto"/>
        </w:rPr>
        <w:t>6）按照监测项目内容要求，分期及时提交检测结果报告。报告内容应包括但不限于：采样点位置的海图坐标、项目标准和规范的引用说明、各检测项目的化验分析数据列表、温升及余氯的包络绘制、监测结果分析评价报告与环境改善建议等。监测报告应在每次取样后的45天内完成并提交，纸质3本，电子档一份。</w:t>
      </w:r>
    </w:p>
    <w:p>
      <w:pPr>
        <w:pStyle w:val="78"/>
        <w:spacing w:line="360" w:lineRule="auto"/>
        <w:jc w:val="both"/>
        <w:rPr>
          <w:rFonts w:hAnsi="宋体"/>
          <w:b/>
          <w:snapToGrid w:val="0"/>
          <w:color w:val="auto"/>
        </w:rPr>
      </w:pPr>
      <w:r>
        <w:rPr>
          <w:rFonts w:hint="eastAsia" w:hAnsi="宋体"/>
          <w:b/>
          <w:snapToGrid w:val="0"/>
          <w:color w:val="auto"/>
        </w:rPr>
        <w:t>五、其他事项：</w:t>
      </w:r>
    </w:p>
    <w:p>
      <w:pPr>
        <w:pStyle w:val="85"/>
        <w:spacing w:line="360" w:lineRule="auto"/>
        <w:rPr>
          <w:sz w:val="24"/>
          <w:highlight w:val="yellow"/>
        </w:rPr>
      </w:pPr>
      <w:r>
        <w:rPr>
          <w:rFonts w:hint="eastAsia"/>
          <w:sz w:val="24"/>
          <w:highlight w:val="yellow"/>
        </w:rPr>
        <w:t>1) 乙方每次海水取样需另取3瓶平行水样交与甲方项目部门，做检测结果比对之用。甲方自行对平行水样进行分析检测，范围不超出合同技术协议中所含检测项目，具体随机确定或依公司环安或技术部门要求指定，对部分无法自行检测的项目甲方将委托有相关资质的另外第三方机构。</w:t>
      </w:r>
    </w:p>
    <w:p>
      <w:pPr>
        <w:pStyle w:val="85"/>
        <w:spacing w:line="360" w:lineRule="auto"/>
      </w:pPr>
      <w:r>
        <w:rPr>
          <w:rFonts w:hint="eastAsia"/>
          <w:sz w:val="24"/>
          <w:highlight w:val="yellow"/>
        </w:rPr>
        <w:t>2) 如甲乙双方对当次水样分析检测结果中，有两项指标的偏差大于等于15%，双方应共同检讨差异原因并再进行一次取样分析，如仍超差，则甲方有权对该次的海水监测过程和结果提出异议，并不予支付乙方当次的监测费用。</w:t>
      </w:r>
    </w:p>
    <w:p>
      <w:pPr>
        <w:spacing w:line="360" w:lineRule="auto"/>
        <w:rPr>
          <w:sz w:val="24"/>
          <w:lang w:eastAsia="zh-CN"/>
        </w:rPr>
      </w:pPr>
      <w:r>
        <w:rPr>
          <w:rFonts w:hint="eastAsia"/>
          <w:sz w:val="24"/>
          <w:lang w:eastAsia="zh-CN"/>
        </w:rPr>
        <w:t>3) 发包工作内容与对监测单位资质要求等如合约期内因必要原因而发生改变，或其它未尽事宜需补充，监测单位应予充分理解和积极配合。</w:t>
      </w:r>
    </w:p>
    <w:p>
      <w:pPr>
        <w:spacing w:line="360" w:lineRule="auto"/>
        <w:rPr>
          <w:sz w:val="24"/>
          <w:lang w:eastAsia="zh-CN"/>
        </w:rPr>
      </w:pPr>
      <w:r>
        <w:rPr>
          <w:rFonts w:hint="eastAsia"/>
          <w:sz w:val="24"/>
          <w:lang w:eastAsia="zh-CN"/>
        </w:rPr>
        <w:t>4）技术联络澄清人：郑伟  15345929588</w:t>
      </w:r>
    </w:p>
    <w:p>
      <w:pPr>
        <w:pStyle w:val="2"/>
        <w:spacing w:line="680" w:lineRule="exact"/>
        <w:rPr>
          <w:b/>
          <w:sz w:val="28"/>
          <w:szCs w:val="28"/>
        </w:rPr>
      </w:pPr>
    </w:p>
    <w:sectPr>
      <w:footerReference r:id="rId8" w:type="default"/>
      <w:pgSz w:w="11910" w:h="16840"/>
      <w:pgMar w:top="1418" w:right="1418" w:bottom="1134" w:left="1418" w:header="0" w:footer="5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93" w:csb1="00000000"/>
  </w:font>
  <w:font w:name="DFKai-SB">
    <w:altName w:val="Microsoft JhengHei Light"/>
    <w:panose1 w:val="03000509000000000000"/>
    <w:charset w:val="88"/>
    <w:family w:val="script"/>
    <w:pitch w:val="default"/>
    <w:sig w:usb0="00000000" w:usb1="00000000" w:usb2="00000016" w:usb3="00000000" w:csb0="00100001" w:csb1="00000000"/>
  </w:font>
  <w:font w:name="BSO Univers Light">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9106" w:type="dxa"/>
      <w:tblInd w:w="0" w:type="dxa"/>
      <w:tblLayout w:type="fixed"/>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4097" w:type="dxa"/>
          <w:tcBorders>
            <w:bottom w:val="single" w:color="4F81BD" w:themeColor="accent1" w:sz="4" w:space="0"/>
          </w:tcBorders>
        </w:tcPr>
        <w:p>
          <w:pPr>
            <w:pStyle w:val="31"/>
            <w:keepNext w:val="0"/>
            <w:keepLines w:val="0"/>
            <w:suppressLineNumbers w:val="0"/>
            <w:spacing w:before="0" w:beforeAutospacing="0" w:after="0" w:afterAutospacing="0"/>
            <w:ind w:left="0" w:right="0"/>
            <w:rPr>
              <w:rFonts w:hint="default" w:asciiTheme="majorHAnsi" w:hAnsiTheme="majorHAnsi" w:eastAsiaTheme="majorEastAsia" w:cstheme="majorBidi"/>
              <w:b/>
              <w:bCs/>
            </w:rPr>
          </w:pPr>
        </w:p>
      </w:tc>
      <w:tc>
        <w:tcPr>
          <w:tcW w:w="911" w:type="dxa"/>
          <w:vMerge w:val="restart"/>
          <w:vAlign w:val="center"/>
        </w:tcPr>
        <w:p>
          <w:pPr>
            <w:pStyle w:val="85"/>
            <w:keepNext w:val="0"/>
            <w:keepLines w:val="0"/>
            <w:widowControl/>
            <w:suppressLineNumbers w:val="0"/>
            <w:spacing w:before="0" w:beforeAutospacing="0" w:after="0" w:afterAutospacing="0"/>
            <w:ind w:left="0" w:right="0"/>
            <w:jc w:val="center"/>
            <w:rPr>
              <w:rFonts w:hint="default" w:asciiTheme="majorHAnsi" w:hAnsiTheme="majorHAnsi"/>
            </w:rPr>
          </w:pPr>
          <w:r>
            <w:rPr>
              <w:rFonts w:hint="default"/>
            </w:rPr>
            <w:fldChar w:fldCharType="begin"/>
          </w:r>
          <w:r>
            <w:rPr>
              <w:rFonts w:hint="default"/>
            </w:rPr>
            <w:instrText xml:space="preserve"> PAGE  \* MERGEFORMAT </w:instrText>
          </w:r>
          <w:r>
            <w:rPr>
              <w:rFonts w:hint="default"/>
            </w:rPr>
            <w:fldChar w:fldCharType="separate"/>
          </w:r>
          <w:r>
            <w:rPr>
              <w:rFonts w:hint="default" w:asciiTheme="majorHAnsi" w:hAnsiTheme="majorHAnsi"/>
              <w:b/>
              <w:lang w:val="zh-CN"/>
            </w:rPr>
            <w:t>7</w:t>
          </w:r>
          <w:r>
            <w:rPr>
              <w:rFonts w:hint="default" w:asciiTheme="majorHAnsi" w:hAnsiTheme="majorHAnsi"/>
              <w:b/>
              <w:lang w:val="zh-CN"/>
            </w:rPr>
            <w:fldChar w:fldCharType="end"/>
          </w:r>
        </w:p>
      </w:tc>
      <w:tc>
        <w:tcPr>
          <w:tcW w:w="4098" w:type="dxa"/>
          <w:tcBorders>
            <w:bottom w:val="single" w:color="4F81BD" w:themeColor="accent1" w:sz="4" w:space="0"/>
          </w:tcBorders>
        </w:tcPr>
        <w:p>
          <w:pPr>
            <w:pStyle w:val="31"/>
            <w:keepNext w:val="0"/>
            <w:keepLines w:val="0"/>
            <w:suppressLineNumbers w:val="0"/>
            <w:spacing w:before="0" w:beforeAutospacing="0" w:after="0" w:afterAutospacing="0"/>
            <w:ind w:left="0" w:right="0"/>
            <w:rPr>
              <w:rFonts w:hint="default"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4097" w:type="dxa"/>
          <w:tcBorders>
            <w:top w:val="single" w:color="4F81BD" w:themeColor="accent1" w:sz="4" w:space="0"/>
          </w:tcBorders>
        </w:tcPr>
        <w:p>
          <w:pPr>
            <w:pStyle w:val="31"/>
            <w:keepNext w:val="0"/>
            <w:keepLines w:val="0"/>
            <w:suppressLineNumbers w:val="0"/>
            <w:spacing w:before="0" w:beforeAutospacing="0" w:after="0" w:afterAutospacing="0"/>
            <w:ind w:left="0" w:right="0"/>
            <w:rPr>
              <w:rFonts w:hint="default" w:asciiTheme="majorHAnsi" w:hAnsiTheme="majorHAnsi" w:eastAsiaTheme="majorEastAsia" w:cstheme="majorBidi"/>
              <w:b/>
              <w:bCs/>
            </w:rPr>
          </w:pPr>
        </w:p>
      </w:tc>
      <w:tc>
        <w:tcPr>
          <w:tcW w:w="911" w:type="dxa"/>
          <w:vMerge w:val="continue"/>
        </w:tcPr>
        <w:p>
          <w:pPr>
            <w:pStyle w:val="31"/>
            <w:keepNext w:val="0"/>
            <w:keepLines w:val="0"/>
            <w:suppressLineNumbers w:val="0"/>
            <w:spacing w:before="0" w:beforeAutospacing="0" w:after="0" w:afterAutospacing="0"/>
            <w:ind w:left="0" w:right="0"/>
            <w:jc w:val="center"/>
            <w:rPr>
              <w:rFonts w:hint="default" w:asciiTheme="majorHAnsi" w:hAnsiTheme="majorHAnsi" w:eastAsiaTheme="majorEastAsia" w:cstheme="majorBidi"/>
              <w:b/>
              <w:bCs/>
            </w:rPr>
          </w:pPr>
        </w:p>
      </w:tc>
      <w:tc>
        <w:tcPr>
          <w:tcW w:w="4098" w:type="dxa"/>
          <w:tcBorders>
            <w:top w:val="single" w:color="4F81BD" w:themeColor="accent1" w:sz="4" w:space="0"/>
          </w:tcBorders>
        </w:tcPr>
        <w:p>
          <w:pPr>
            <w:pStyle w:val="31"/>
            <w:keepNext w:val="0"/>
            <w:keepLines w:val="0"/>
            <w:suppressLineNumbers w:val="0"/>
            <w:spacing w:before="0" w:beforeAutospacing="0" w:after="0" w:afterAutospacing="0"/>
            <w:ind w:left="0" w:right="0"/>
            <w:rPr>
              <w:rFonts w:hint="default"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B9EA6"/>
    <w:multiLevelType w:val="multilevel"/>
    <w:tmpl w:val="A6FB9EA6"/>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5715BA"/>
    <w:multiLevelType w:val="multilevel"/>
    <w:tmpl w:val="175715BA"/>
    <w:lvl w:ilvl="0" w:tentative="0">
      <w:start w:val="1"/>
      <w:numFmt w:val="japaneseCounting"/>
      <w:lvlText w:val="第%1条"/>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974FA6"/>
    <w:multiLevelType w:val="multilevel"/>
    <w:tmpl w:val="22974FA6"/>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6">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7">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9">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9"/>
  </w:num>
  <w:num w:numId="2">
    <w:abstractNumId w:val="1"/>
  </w:num>
  <w:num w:numId="3">
    <w:abstractNumId w:val="5"/>
  </w:num>
  <w:num w:numId="4">
    <w:abstractNumId w:val="6"/>
  </w:num>
  <w:num w:numId="5">
    <w:abstractNumId w:val="7"/>
  </w:num>
  <w:num w:numId="6">
    <w:abstractNumId w:val="8"/>
  </w:num>
  <w:num w:numId="7">
    <w:abstractNumId w:val="2"/>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gxMzQ5M2YxZTM3OTU5M2FhNGZmOTlhYjMzM2VkOWQifQ=="/>
  </w:docVars>
  <w:rsids>
    <w:rsidRoot w:val="00600AC5"/>
    <w:rsid w:val="0001154F"/>
    <w:rsid w:val="000149F2"/>
    <w:rsid w:val="00017DDF"/>
    <w:rsid w:val="00033EE7"/>
    <w:rsid w:val="000351DC"/>
    <w:rsid w:val="00036348"/>
    <w:rsid w:val="00052762"/>
    <w:rsid w:val="00060C5D"/>
    <w:rsid w:val="0007081E"/>
    <w:rsid w:val="00075C97"/>
    <w:rsid w:val="00096E50"/>
    <w:rsid w:val="000B775A"/>
    <w:rsid w:val="000C5931"/>
    <w:rsid w:val="000C679F"/>
    <w:rsid w:val="000E4F79"/>
    <w:rsid w:val="000E77D1"/>
    <w:rsid w:val="00120FB9"/>
    <w:rsid w:val="00130E2D"/>
    <w:rsid w:val="00136F18"/>
    <w:rsid w:val="00152857"/>
    <w:rsid w:val="00160347"/>
    <w:rsid w:val="00162383"/>
    <w:rsid w:val="00165466"/>
    <w:rsid w:val="00181E06"/>
    <w:rsid w:val="00191C80"/>
    <w:rsid w:val="001971F6"/>
    <w:rsid w:val="001B3736"/>
    <w:rsid w:val="001E0F15"/>
    <w:rsid w:val="001E399B"/>
    <w:rsid w:val="001E744D"/>
    <w:rsid w:val="001F02C8"/>
    <w:rsid w:val="002211A4"/>
    <w:rsid w:val="00256A26"/>
    <w:rsid w:val="00263742"/>
    <w:rsid w:val="00265F35"/>
    <w:rsid w:val="0026617E"/>
    <w:rsid w:val="002730B5"/>
    <w:rsid w:val="0028630A"/>
    <w:rsid w:val="00297C91"/>
    <w:rsid w:val="002A1498"/>
    <w:rsid w:val="002A3E6B"/>
    <w:rsid w:val="002B7612"/>
    <w:rsid w:val="002C156E"/>
    <w:rsid w:val="002C37C0"/>
    <w:rsid w:val="002C6CEB"/>
    <w:rsid w:val="002D0778"/>
    <w:rsid w:val="002E42D0"/>
    <w:rsid w:val="002E71F2"/>
    <w:rsid w:val="002F2079"/>
    <w:rsid w:val="00332ACA"/>
    <w:rsid w:val="00333373"/>
    <w:rsid w:val="00333AED"/>
    <w:rsid w:val="00337788"/>
    <w:rsid w:val="00352A61"/>
    <w:rsid w:val="003571A2"/>
    <w:rsid w:val="0036007C"/>
    <w:rsid w:val="0037114D"/>
    <w:rsid w:val="003752F8"/>
    <w:rsid w:val="003801C6"/>
    <w:rsid w:val="0038255D"/>
    <w:rsid w:val="00383EE9"/>
    <w:rsid w:val="00386D8C"/>
    <w:rsid w:val="0038724E"/>
    <w:rsid w:val="003C066B"/>
    <w:rsid w:val="003C3395"/>
    <w:rsid w:val="003D4693"/>
    <w:rsid w:val="003D66BD"/>
    <w:rsid w:val="003E150A"/>
    <w:rsid w:val="003F0699"/>
    <w:rsid w:val="003F14D8"/>
    <w:rsid w:val="003F5E41"/>
    <w:rsid w:val="00400D5D"/>
    <w:rsid w:val="004077C9"/>
    <w:rsid w:val="00422F47"/>
    <w:rsid w:val="0043361F"/>
    <w:rsid w:val="00441B5B"/>
    <w:rsid w:val="00444ACD"/>
    <w:rsid w:val="004538B9"/>
    <w:rsid w:val="00462F2E"/>
    <w:rsid w:val="00463A1A"/>
    <w:rsid w:val="00465D93"/>
    <w:rsid w:val="004839ED"/>
    <w:rsid w:val="004B1FEA"/>
    <w:rsid w:val="004B5D8D"/>
    <w:rsid w:val="004B6028"/>
    <w:rsid w:val="004C075B"/>
    <w:rsid w:val="004C7F3C"/>
    <w:rsid w:val="004D6E66"/>
    <w:rsid w:val="004E084D"/>
    <w:rsid w:val="0051152A"/>
    <w:rsid w:val="0052247A"/>
    <w:rsid w:val="00522ABC"/>
    <w:rsid w:val="00542E50"/>
    <w:rsid w:val="00552EBB"/>
    <w:rsid w:val="00563251"/>
    <w:rsid w:val="005663E1"/>
    <w:rsid w:val="00577807"/>
    <w:rsid w:val="00581FC9"/>
    <w:rsid w:val="005A056F"/>
    <w:rsid w:val="005B51BC"/>
    <w:rsid w:val="005B6E9D"/>
    <w:rsid w:val="005C1ACD"/>
    <w:rsid w:val="005C428D"/>
    <w:rsid w:val="005D2E5D"/>
    <w:rsid w:val="005E70CA"/>
    <w:rsid w:val="005F2D91"/>
    <w:rsid w:val="00600AC5"/>
    <w:rsid w:val="006077B9"/>
    <w:rsid w:val="00623FFA"/>
    <w:rsid w:val="006250A9"/>
    <w:rsid w:val="00625796"/>
    <w:rsid w:val="00626324"/>
    <w:rsid w:val="006352CC"/>
    <w:rsid w:val="0065711C"/>
    <w:rsid w:val="00661D36"/>
    <w:rsid w:val="00662407"/>
    <w:rsid w:val="00667B80"/>
    <w:rsid w:val="00671490"/>
    <w:rsid w:val="006718DF"/>
    <w:rsid w:val="00680792"/>
    <w:rsid w:val="006850A9"/>
    <w:rsid w:val="006A2DB1"/>
    <w:rsid w:val="006B2183"/>
    <w:rsid w:val="006E7D0D"/>
    <w:rsid w:val="00703A6D"/>
    <w:rsid w:val="00710ADE"/>
    <w:rsid w:val="00713FE3"/>
    <w:rsid w:val="007206E5"/>
    <w:rsid w:val="00743EB3"/>
    <w:rsid w:val="007469C4"/>
    <w:rsid w:val="00761C3C"/>
    <w:rsid w:val="0076409E"/>
    <w:rsid w:val="00765B7E"/>
    <w:rsid w:val="00774EF9"/>
    <w:rsid w:val="00780262"/>
    <w:rsid w:val="00793AF0"/>
    <w:rsid w:val="007A284E"/>
    <w:rsid w:val="007A41C0"/>
    <w:rsid w:val="007B0A6C"/>
    <w:rsid w:val="007B4738"/>
    <w:rsid w:val="007B4C2B"/>
    <w:rsid w:val="007C346C"/>
    <w:rsid w:val="007C6567"/>
    <w:rsid w:val="007F018C"/>
    <w:rsid w:val="00827DC7"/>
    <w:rsid w:val="00854DB9"/>
    <w:rsid w:val="00857042"/>
    <w:rsid w:val="00874521"/>
    <w:rsid w:val="008C6997"/>
    <w:rsid w:val="008C6FF2"/>
    <w:rsid w:val="008D60F5"/>
    <w:rsid w:val="008E2D82"/>
    <w:rsid w:val="009121E1"/>
    <w:rsid w:val="00913B0D"/>
    <w:rsid w:val="00925F26"/>
    <w:rsid w:val="00927563"/>
    <w:rsid w:val="00942612"/>
    <w:rsid w:val="0094538D"/>
    <w:rsid w:val="0096246C"/>
    <w:rsid w:val="00981185"/>
    <w:rsid w:val="009D6D25"/>
    <w:rsid w:val="009F6C1C"/>
    <w:rsid w:val="00A035E7"/>
    <w:rsid w:val="00A038E2"/>
    <w:rsid w:val="00A370A6"/>
    <w:rsid w:val="00A376EB"/>
    <w:rsid w:val="00A40057"/>
    <w:rsid w:val="00A43074"/>
    <w:rsid w:val="00A73F69"/>
    <w:rsid w:val="00A93E67"/>
    <w:rsid w:val="00AA326B"/>
    <w:rsid w:val="00AB0718"/>
    <w:rsid w:val="00AB258C"/>
    <w:rsid w:val="00AB3176"/>
    <w:rsid w:val="00AB6997"/>
    <w:rsid w:val="00AB71C3"/>
    <w:rsid w:val="00AB75CE"/>
    <w:rsid w:val="00AF1963"/>
    <w:rsid w:val="00AF38BD"/>
    <w:rsid w:val="00B320E8"/>
    <w:rsid w:val="00B52AA9"/>
    <w:rsid w:val="00B53341"/>
    <w:rsid w:val="00B6784E"/>
    <w:rsid w:val="00BA272E"/>
    <w:rsid w:val="00BB01E2"/>
    <w:rsid w:val="00BD01CD"/>
    <w:rsid w:val="00BD2067"/>
    <w:rsid w:val="00BE7AAB"/>
    <w:rsid w:val="00C031D7"/>
    <w:rsid w:val="00C03F0A"/>
    <w:rsid w:val="00C10829"/>
    <w:rsid w:val="00C13729"/>
    <w:rsid w:val="00C26AA4"/>
    <w:rsid w:val="00C27961"/>
    <w:rsid w:val="00C72BF0"/>
    <w:rsid w:val="00C72C14"/>
    <w:rsid w:val="00C953A2"/>
    <w:rsid w:val="00CA23AF"/>
    <w:rsid w:val="00CB76E3"/>
    <w:rsid w:val="00CD2D61"/>
    <w:rsid w:val="00CF0167"/>
    <w:rsid w:val="00CF7BC5"/>
    <w:rsid w:val="00D07E4E"/>
    <w:rsid w:val="00D13F7D"/>
    <w:rsid w:val="00D16B2B"/>
    <w:rsid w:val="00D24180"/>
    <w:rsid w:val="00D31D88"/>
    <w:rsid w:val="00D327AC"/>
    <w:rsid w:val="00D37491"/>
    <w:rsid w:val="00D4168D"/>
    <w:rsid w:val="00D41832"/>
    <w:rsid w:val="00D63FA6"/>
    <w:rsid w:val="00D66411"/>
    <w:rsid w:val="00D747E8"/>
    <w:rsid w:val="00D76233"/>
    <w:rsid w:val="00D822BD"/>
    <w:rsid w:val="00D905DF"/>
    <w:rsid w:val="00D933B9"/>
    <w:rsid w:val="00D93CD6"/>
    <w:rsid w:val="00D94754"/>
    <w:rsid w:val="00DA1D9D"/>
    <w:rsid w:val="00DB1AD8"/>
    <w:rsid w:val="00DB5404"/>
    <w:rsid w:val="00DC01A6"/>
    <w:rsid w:val="00DC4410"/>
    <w:rsid w:val="00DE5E6D"/>
    <w:rsid w:val="00DF2A2B"/>
    <w:rsid w:val="00E022E6"/>
    <w:rsid w:val="00E20C3E"/>
    <w:rsid w:val="00E25646"/>
    <w:rsid w:val="00E6433D"/>
    <w:rsid w:val="00EA4A61"/>
    <w:rsid w:val="00EA4DDA"/>
    <w:rsid w:val="00EB3C38"/>
    <w:rsid w:val="00EB3EE2"/>
    <w:rsid w:val="00EB5CE5"/>
    <w:rsid w:val="00EE751C"/>
    <w:rsid w:val="00F13115"/>
    <w:rsid w:val="00F13458"/>
    <w:rsid w:val="00F15766"/>
    <w:rsid w:val="00F2129E"/>
    <w:rsid w:val="00F25B6D"/>
    <w:rsid w:val="00F272AB"/>
    <w:rsid w:val="00F36BC0"/>
    <w:rsid w:val="00F454D4"/>
    <w:rsid w:val="00F470FF"/>
    <w:rsid w:val="00F56CCE"/>
    <w:rsid w:val="00F75E33"/>
    <w:rsid w:val="00F90EA7"/>
    <w:rsid w:val="00FA46D4"/>
    <w:rsid w:val="00FA7D0B"/>
    <w:rsid w:val="00FB3AC8"/>
    <w:rsid w:val="00FB5FE7"/>
    <w:rsid w:val="00FC29B7"/>
    <w:rsid w:val="00FC3E88"/>
    <w:rsid w:val="00FD2209"/>
    <w:rsid w:val="00FD3029"/>
    <w:rsid w:val="00FE3809"/>
    <w:rsid w:val="00FF0DD7"/>
    <w:rsid w:val="00FF66F3"/>
    <w:rsid w:val="01782E9E"/>
    <w:rsid w:val="0CC607CA"/>
    <w:rsid w:val="122C7605"/>
    <w:rsid w:val="156C3AE2"/>
    <w:rsid w:val="1593283C"/>
    <w:rsid w:val="24674789"/>
    <w:rsid w:val="2EAC40D8"/>
    <w:rsid w:val="332E0632"/>
    <w:rsid w:val="3545591A"/>
    <w:rsid w:val="446C734C"/>
    <w:rsid w:val="46441417"/>
    <w:rsid w:val="4CC7549F"/>
    <w:rsid w:val="54217C67"/>
    <w:rsid w:val="55502D4A"/>
    <w:rsid w:val="589F50BA"/>
    <w:rsid w:val="58DE2BD5"/>
    <w:rsid w:val="59AA5E7A"/>
    <w:rsid w:val="76516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unhideWhenUsed/>
    <w:qFormat/>
    <w:uiPriority w:val="1"/>
  </w:style>
  <w:style w:type="table" w:default="1" w:styleId="4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7"/>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7"/>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1"/>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9"/>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9"/>
    <w:qFormat/>
    <w:uiPriority w:val="0"/>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3"/>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9"/>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1"/>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7"/>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5"/>
    <w:qFormat/>
    <w:uiPriority w:val="0"/>
    <w:pPr>
      <w:widowControl/>
    </w:pPr>
    <w:rPr>
      <w:b/>
      <w:bCs/>
      <w:sz w:val="24"/>
      <w:szCs w:val="24"/>
    </w:rPr>
  </w:style>
  <w:style w:type="paragraph" w:styleId="45">
    <w:name w:val="Body Text First Indent"/>
    <w:basedOn w:val="20"/>
    <w:link w:val="113"/>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0"/>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qFormat/>
    <w:uiPriority w:val="0"/>
    <w:rPr>
      <w:rFonts w:ascii="宋体" w:hAnsi="宋体" w:eastAsia="宋体" w:cs="宋体"/>
      <w:b/>
      <w:bCs/>
      <w:kern w:val="0"/>
      <w:sz w:val="24"/>
      <w:szCs w:val="24"/>
      <w:lang w:eastAsia="en-US"/>
    </w:rPr>
  </w:style>
  <w:style w:type="character" w:customStyle="1" w:styleId="61">
    <w:name w:val="标题 3 Char"/>
    <w:basedOn w:val="48"/>
    <w:link w:val="5"/>
    <w:qFormat/>
    <w:uiPriority w:val="0"/>
    <w:rPr>
      <w:rFonts w:ascii="Times New Roman" w:hAnsi="Times New Roman" w:eastAsia="宋体" w:cs="Times New Roman"/>
      <w:b/>
      <w:bCs/>
      <w:sz w:val="32"/>
      <w:szCs w:val="32"/>
    </w:rPr>
  </w:style>
  <w:style w:type="character" w:customStyle="1" w:styleId="62">
    <w:name w:val="标题 4 Char"/>
    <w:basedOn w:val="48"/>
    <w:link w:val="6"/>
    <w:qFormat/>
    <w:uiPriority w:val="0"/>
    <w:rPr>
      <w:rFonts w:ascii="Times New Roman" w:hAnsi="Times New Roman" w:eastAsia="宋体" w:cs="Times New Roman"/>
      <w:b/>
      <w:sz w:val="24"/>
      <w:szCs w:val="24"/>
    </w:rPr>
  </w:style>
  <w:style w:type="character" w:customStyle="1" w:styleId="63">
    <w:name w:val="标题 5 Char"/>
    <w:basedOn w:val="48"/>
    <w:link w:val="7"/>
    <w:qFormat/>
    <w:uiPriority w:val="0"/>
    <w:rPr>
      <w:rFonts w:ascii="Times New Roman" w:hAnsi="Times New Roman" w:eastAsia="宋体" w:cs="Times New Roman"/>
      <w:b/>
      <w:bCs/>
      <w:sz w:val="28"/>
      <w:szCs w:val="28"/>
    </w:rPr>
  </w:style>
  <w:style w:type="character" w:customStyle="1" w:styleId="64">
    <w:name w:val="标题 6 Char"/>
    <w:basedOn w:val="48"/>
    <w:link w:val="8"/>
    <w:qFormat/>
    <w:uiPriority w:val="0"/>
    <w:rPr>
      <w:rFonts w:ascii="Times New Roman" w:hAnsi="Times New Roman" w:eastAsia="宋体" w:cs="Times New Roman"/>
      <w:b/>
      <w:kern w:val="0"/>
      <w:sz w:val="24"/>
      <w:szCs w:val="20"/>
    </w:rPr>
  </w:style>
  <w:style w:type="character" w:customStyle="1" w:styleId="65">
    <w:name w:val="标题 7 Char"/>
    <w:basedOn w:val="48"/>
    <w:link w:val="9"/>
    <w:uiPriority w:val="0"/>
    <w:rPr>
      <w:rFonts w:ascii="Times New Roman" w:hAnsi="Times New Roman" w:eastAsia="宋体" w:cs="Times New Roman"/>
      <w:b/>
      <w:sz w:val="24"/>
      <w:szCs w:val="20"/>
    </w:rPr>
  </w:style>
  <w:style w:type="character" w:customStyle="1" w:styleId="66">
    <w:name w:val="标题 8 Char"/>
    <w:basedOn w:val="48"/>
    <w:link w:val="11"/>
    <w:qFormat/>
    <w:uiPriority w:val="0"/>
    <w:rPr>
      <w:rFonts w:ascii="Arial" w:hAnsi="Arial" w:eastAsia="黑体" w:cs="Times New Roman"/>
      <w:sz w:val="24"/>
      <w:szCs w:val="20"/>
    </w:rPr>
  </w:style>
  <w:style w:type="character" w:customStyle="1" w:styleId="67">
    <w:name w:val="标题 9 Char"/>
    <w:basedOn w:val="48"/>
    <w:link w:val="12"/>
    <w:qFormat/>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link w:val="20"/>
    <w:qFormat/>
    <w:uiPriority w:val="0"/>
    <w:rPr>
      <w:rFonts w:ascii="宋体" w:hAnsi="宋体" w:eastAsia="宋体" w:cs="宋体"/>
      <w:kern w:val="0"/>
      <w:sz w:val="22"/>
      <w:lang w:eastAsia="en-US"/>
    </w:rPr>
  </w:style>
  <w:style w:type="character" w:customStyle="1" w:styleId="70">
    <w:name w:val="正文文本 Char1"/>
    <w:basedOn w:val="48"/>
    <w:link w:val="20"/>
    <w:qFormat/>
    <w:uiPriority w:val="0"/>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75">
    <w:name w:val="List Paragraph"/>
    <w:basedOn w:val="1"/>
    <w:link w:val="252"/>
    <w:qFormat/>
    <w:uiPriority w:val="0"/>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99"/>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uiPriority w:val="0"/>
    <w:rPr>
      <w:rFonts w:ascii="Times New Roman" w:hAnsi="Times New Roman" w:eastAsia="宋体" w:cs="Times New Roman"/>
      <w:b/>
      <w:szCs w:val="20"/>
    </w:rPr>
  </w:style>
  <w:style w:type="character" w:customStyle="1" w:styleId="81">
    <w:name w:val="普通(网站) Char"/>
    <w:basedOn w:val="48"/>
    <w:link w:val="41"/>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qFormat/>
    <w:uiPriority w:val="1"/>
    <w:rPr>
      <w:rFonts w:ascii="Calibri" w:hAnsi="Calibri"/>
      <w:sz w:val="22"/>
    </w:rPr>
  </w:style>
  <w:style w:type="paragraph" w:customStyle="1"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qFormat/>
    <w:uiPriority w:val="0"/>
  </w:style>
  <w:style w:type="character" w:customStyle="1" w:styleId="87">
    <w:name w:val="批注文字 Char1"/>
    <w:basedOn w:val="48"/>
    <w:link w:val="17"/>
    <w:qFormat/>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link w:val="29"/>
    <w:qFormat/>
    <w:uiPriority w:val="0"/>
    <w:rPr>
      <w:rFonts w:ascii="宋体" w:hAnsi="宋体" w:eastAsia="宋体" w:cs="宋体"/>
      <w:kern w:val="0"/>
      <w:sz w:val="18"/>
      <w:szCs w:val="18"/>
      <w:lang w:eastAsia="en-US"/>
    </w:rPr>
  </w:style>
  <w:style w:type="character" w:customStyle="1" w:styleId="90">
    <w:name w:val="正文文本缩进 3 Char"/>
    <w:basedOn w:val="48"/>
    <w:link w:val="35"/>
    <w:uiPriority w:val="0"/>
    <w:rPr>
      <w:sz w:val="28"/>
    </w:rPr>
  </w:style>
  <w:style w:type="character" w:customStyle="1" w:styleId="91">
    <w:name w:val="正文文本缩进 3 Char1"/>
    <w:basedOn w:val="48"/>
    <w:link w:val="35"/>
    <w:qFormat/>
    <w:uiPriority w:val="0"/>
    <w:rPr>
      <w:rFonts w:ascii="宋体" w:hAnsi="宋体" w:eastAsia="宋体" w:cs="宋体"/>
      <w:kern w:val="0"/>
      <w:sz w:val="16"/>
      <w:szCs w:val="16"/>
      <w:lang w:eastAsia="en-US"/>
    </w:rPr>
  </w:style>
  <w:style w:type="character" w:customStyle="1" w:styleId="92">
    <w:name w:val="正文文本缩进 2 Char"/>
    <w:basedOn w:val="48"/>
    <w:link w:val="28"/>
    <w:uiPriority w:val="0"/>
    <w:rPr>
      <w:rFonts w:ascii="宋体" w:hAnsi="宋体"/>
      <w:iCs/>
      <w:sz w:val="24"/>
      <w:szCs w:val="24"/>
    </w:rPr>
  </w:style>
  <w:style w:type="character" w:customStyle="1" w:styleId="93">
    <w:name w:val="正文文本缩进 2 Char1"/>
    <w:basedOn w:val="48"/>
    <w:link w:val="28"/>
    <w:qFormat/>
    <w:uiPriority w:val="0"/>
    <w:rPr>
      <w:rFonts w:ascii="宋体" w:hAnsi="宋体" w:eastAsia="宋体" w:cs="宋体"/>
      <w:kern w:val="0"/>
      <w:sz w:val="22"/>
      <w:lang w:eastAsia="en-US"/>
    </w:rPr>
  </w:style>
  <w:style w:type="character" w:customStyle="1" w:styleId="94">
    <w:name w:val="en1"/>
    <w:basedOn w:val="48"/>
    <w:uiPriority w:val="0"/>
    <w:rPr>
      <w:b/>
      <w:bCs/>
      <w:color w:val="154C7F"/>
      <w:sz w:val="24"/>
      <w:szCs w:val="24"/>
    </w:rPr>
  </w:style>
  <w:style w:type="character" w:customStyle="1" w:styleId="95">
    <w:name w:val="font01"/>
    <w:basedOn w:val="48"/>
    <w:qFormat/>
    <w:uiPriority w:val="0"/>
    <w:rPr>
      <w:rFonts w:hint="eastAsia" w:ascii="宋体" w:hAnsi="宋体" w:eastAsia="宋体" w:cs="宋体"/>
      <w:color w:val="000000"/>
      <w:sz w:val="20"/>
      <w:szCs w:val="20"/>
      <w:u w:val="none"/>
    </w:rPr>
  </w:style>
  <w:style w:type="character" w:customStyle="1" w:styleId="96">
    <w:name w:val="标题 Char"/>
    <w:basedOn w:val="48"/>
    <w:link w:val="43"/>
    <w:uiPriority w:val="0"/>
    <w:rPr>
      <w:rFonts w:ascii="Arial" w:hAnsi="Arial" w:cs="Arial"/>
      <w:b/>
      <w:bCs/>
      <w:sz w:val="44"/>
      <w:szCs w:val="32"/>
    </w:rPr>
  </w:style>
  <w:style w:type="character" w:customStyle="1" w:styleId="97">
    <w:name w:val="标题 Char1"/>
    <w:basedOn w:val="48"/>
    <w:link w:val="43"/>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uiPriority w:val="0"/>
    <w:rPr>
      <w:i/>
      <w:iCs/>
    </w:rPr>
  </w:style>
  <w:style w:type="character" w:customStyle="1" w:styleId="99">
    <w:name w:val="正文文本缩进 Char1"/>
    <w:basedOn w:val="48"/>
    <w:link w:val="21"/>
    <w:uiPriority w:val="0"/>
    <w:rPr>
      <w:rFonts w:ascii="宋体" w:hAnsi="宋体" w:eastAsia="宋体" w:cs="宋体"/>
      <w:kern w:val="0"/>
      <w:sz w:val="22"/>
      <w:lang w:eastAsia="en-US"/>
    </w:rPr>
  </w:style>
  <w:style w:type="character" w:customStyle="1" w:styleId="100">
    <w:name w:val="正文文本 3 Char"/>
    <w:basedOn w:val="48"/>
    <w:link w:val="18"/>
    <w:qFormat/>
    <w:uiPriority w:val="0"/>
    <w:rPr>
      <w:color w:val="0000FF"/>
      <w:sz w:val="24"/>
      <w:szCs w:val="24"/>
    </w:rPr>
  </w:style>
  <w:style w:type="character" w:customStyle="1" w:styleId="101">
    <w:name w:val="正文文本 3 Char1"/>
    <w:basedOn w:val="48"/>
    <w:link w:val="18"/>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uiPriority w:val="0"/>
    <w:rPr>
      <w:u w:val="none"/>
    </w:rPr>
  </w:style>
  <w:style w:type="character" w:customStyle="1" w:styleId="104">
    <w:name w:val="HTML 预设格式 Char"/>
    <w:basedOn w:val="48"/>
    <w:link w:val="40"/>
    <w:uiPriority w:val="0"/>
    <w:rPr>
      <w:rFonts w:ascii="Arial Unicode MS" w:hAnsi="Arial Unicode MS" w:eastAsia="Courier New" w:cs="Courier New"/>
    </w:rPr>
  </w:style>
  <w:style w:type="character" w:customStyle="1" w:styleId="105">
    <w:name w:val="HTML 预设格式 Char1"/>
    <w:basedOn w:val="48"/>
    <w:link w:val="40"/>
    <w:uiPriority w:val="0"/>
    <w:rPr>
      <w:rFonts w:ascii="Courier New" w:hAnsi="Courier New" w:eastAsia="宋体" w:cs="Courier New"/>
      <w:kern w:val="0"/>
      <w:sz w:val="20"/>
      <w:szCs w:val="20"/>
      <w:lang w:eastAsia="en-US"/>
    </w:rPr>
  </w:style>
  <w:style w:type="character" w:customStyle="1" w:styleId="106">
    <w:name w:val="文档结构图 Char"/>
    <w:basedOn w:val="48"/>
    <w:link w:val="16"/>
    <w:uiPriority w:val="0"/>
    <w:rPr>
      <w:rFonts w:ascii="宋体"/>
      <w:sz w:val="28"/>
      <w:shd w:val="clear" w:color="auto" w:fill="000080"/>
    </w:rPr>
  </w:style>
  <w:style w:type="character" w:customStyle="1" w:styleId="107">
    <w:name w:val="文档结构图 Char1"/>
    <w:basedOn w:val="48"/>
    <w:link w:val="16"/>
    <w:uiPriority w:val="0"/>
    <w:rPr>
      <w:rFonts w:ascii="宋体" w:hAnsi="宋体" w:eastAsia="宋体" w:cs="宋体"/>
      <w:kern w:val="0"/>
      <w:sz w:val="18"/>
      <w:szCs w:val="18"/>
      <w:lang w:eastAsia="en-US"/>
    </w:rPr>
  </w:style>
  <w:style w:type="character" w:customStyle="1" w:styleId="108">
    <w:name w:val="日期 Char"/>
    <w:basedOn w:val="48"/>
    <w:link w:val="27"/>
    <w:uiPriority w:val="0"/>
    <w:rPr>
      <w:szCs w:val="24"/>
    </w:rPr>
  </w:style>
  <w:style w:type="character" w:customStyle="1" w:styleId="109">
    <w:name w:val="日期 Char1"/>
    <w:basedOn w:val="48"/>
    <w:link w:val="27"/>
    <w:uiPriority w:val="0"/>
    <w:rPr>
      <w:rFonts w:ascii="宋体" w:hAnsi="宋体" w:eastAsia="宋体" w:cs="宋体"/>
      <w:kern w:val="0"/>
      <w:sz w:val="22"/>
      <w:lang w:eastAsia="en-US"/>
    </w:rPr>
  </w:style>
  <w:style w:type="character" w:customStyle="1" w:styleId="110">
    <w:name w:val="正文文本 2 Char"/>
    <w:basedOn w:val="48"/>
    <w:link w:val="38"/>
    <w:uiPriority w:val="0"/>
    <w:rPr>
      <w:szCs w:val="24"/>
    </w:rPr>
  </w:style>
  <w:style w:type="character" w:customStyle="1" w:styleId="111">
    <w:name w:val="正文文本 2 Char1"/>
    <w:basedOn w:val="48"/>
    <w:link w:val="38"/>
    <w:uiPriority w:val="0"/>
    <w:rPr>
      <w:rFonts w:ascii="宋体" w:hAnsi="宋体" w:eastAsia="宋体" w:cs="宋体"/>
      <w:kern w:val="0"/>
      <w:sz w:val="22"/>
      <w:lang w:eastAsia="en-US"/>
    </w:rPr>
  </w:style>
  <w:style w:type="character" w:customStyle="1" w:styleId="112">
    <w:name w:val="正文首行缩进 Char"/>
    <w:basedOn w:val="69"/>
    <w:link w:val="45"/>
    <w:qFormat/>
    <w:uiPriority w:val="0"/>
    <w:rPr>
      <w:szCs w:val="21"/>
    </w:rPr>
  </w:style>
  <w:style w:type="character" w:customStyle="1" w:styleId="113">
    <w:name w:val="正文首行缩进 Char1"/>
    <w:basedOn w:val="69"/>
    <w:link w:val="45"/>
    <w:uiPriority w:val="0"/>
  </w:style>
  <w:style w:type="character" w:customStyle="1" w:styleId="114">
    <w:name w:val="批注主题 Char"/>
    <w:basedOn w:val="86"/>
    <w:link w:val="44"/>
    <w:uiPriority w:val="0"/>
    <w:rPr>
      <w:b/>
      <w:bCs/>
      <w:sz w:val="24"/>
      <w:szCs w:val="24"/>
    </w:rPr>
  </w:style>
  <w:style w:type="character" w:customStyle="1" w:styleId="115">
    <w:name w:val="批注主题 Char1"/>
    <w:basedOn w:val="87"/>
    <w:link w:val="44"/>
    <w:uiPriority w:val="0"/>
    <w:rPr>
      <w:b/>
      <w:bCs/>
    </w:rPr>
  </w:style>
  <w:style w:type="paragraph" w:customStyle="1" w:styleId="116">
    <w:name w:val="标题3(小3号)"/>
    <w:basedOn w:val="5"/>
    <w:next w:val="117"/>
    <w:uiPriority w:val="0"/>
    <w:pPr>
      <w:widowControl/>
      <w:spacing w:before="0" w:after="0" w:line="420" w:lineRule="exact"/>
    </w:pPr>
    <w:rPr>
      <w:b w:val="0"/>
      <w:bCs w:val="0"/>
      <w:color w:val="000000"/>
      <w:kern w:val="0"/>
      <w:sz w:val="30"/>
      <w:szCs w:val="21"/>
    </w:rPr>
  </w:style>
  <w:style w:type="paragraph" w:customStyle="1" w:styleId="117">
    <w:name w:val="正文小3号"/>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uiPriority w:val="0"/>
    <w:rPr>
      <w:rFonts w:ascii="Arial" w:hAnsi="Arial" w:eastAsia="宋体" w:cs="Arial"/>
      <w:sz w:val="24"/>
      <w:szCs w:val="24"/>
      <w:shd w:val="pct20" w:color="auto" w:fill="auto"/>
    </w:rPr>
  </w:style>
  <w:style w:type="paragraph" w:customStyle="1" w:styleId="119">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uiPriority w:val="0"/>
    <w:pPr>
      <w:widowControl/>
      <w:spacing w:before="0" w:after="0" w:line="420" w:lineRule="exact"/>
    </w:pPr>
    <w:rPr>
      <w:b w:val="0"/>
      <w:bCs w:val="0"/>
      <w:color w:val="000000"/>
      <w:kern w:val="0"/>
      <w:szCs w:val="21"/>
    </w:rPr>
  </w:style>
  <w:style w:type="paragraph" w:customStyle="1" w:styleId="125">
    <w:name w:val="正文3号字"/>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17"/>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qFormat/>
    <w:uiPriority w:val="0"/>
    <w:rPr>
      <w:rFonts w:ascii="Times New Roman" w:hAnsi="Times New Roman" w:eastAsia="宋体" w:cs="Times New Roman"/>
      <w:sz w:val="24"/>
      <w:szCs w:val="20"/>
      <w:lang w:eastAsia="en-US"/>
    </w:rPr>
  </w:style>
  <w:style w:type="paragraph" w:customStyle="1" w:styleId="249">
    <w:name w:val="Revision"/>
    <w:hidden/>
    <w:unhideWhenUsed/>
    <w:qFormat/>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qFormat/>
    <w:uiPriority w:val="0"/>
    <w:rPr>
      <w:rFonts w:hint="default" w:ascii="Arial" w:hAnsi="Arial" w:cs="Arial"/>
      <w:color w:val="000000"/>
      <w:sz w:val="21"/>
      <w:szCs w:val="21"/>
    </w:rPr>
  </w:style>
  <w:style w:type="character" w:customStyle="1" w:styleId="252">
    <w:name w:val="列出段落 Char"/>
    <w:link w:val="75"/>
    <w:qFormat/>
    <w:uiPriority w:val="0"/>
    <w:rPr>
      <w:rFonts w:ascii="宋体" w:hAnsi="宋体" w:eastAsia="宋体" w:cs="宋体"/>
      <w:kern w:val="0"/>
      <w:sz w:val="22"/>
      <w:lang w:eastAsia="en-US"/>
    </w:rPr>
  </w:style>
  <w:style w:type="paragraph" w:customStyle="1" w:styleId="253">
    <w:name w:val="第一條"/>
    <w:basedOn w:val="1"/>
    <w:uiPriority w:val="0"/>
    <w:pPr>
      <w:tabs>
        <w:tab w:val="left" w:pos="960"/>
        <w:tab w:val="left" w:pos="4560"/>
        <w:tab w:val="left" w:pos="9480"/>
      </w:tabs>
      <w:autoSpaceDE/>
      <w:autoSpaceDN/>
      <w:adjustRightInd w:val="0"/>
      <w:spacing w:line="360" w:lineRule="atLeast"/>
      <w:textAlignment w:val="baseline"/>
    </w:pPr>
    <w:rPr>
      <w:rFonts w:ascii="Times New Roman" w:hAnsi="Times New Roman" w:eastAsia="DFKai-SB" w:cs="Times New Roman"/>
      <w:spacing w:val="2"/>
      <w:sz w:val="24"/>
      <w:szCs w:val="20"/>
      <w:lang w:eastAsia="zh-TW"/>
    </w:rPr>
  </w:style>
  <w:style w:type="paragraph" w:customStyle="1" w:styleId="254">
    <w:name w:val="Fixed text"/>
    <w:basedOn w:val="1"/>
    <w:qFormat/>
    <w:uiPriority w:val="0"/>
    <w:pPr>
      <w:widowControl/>
      <w:overflowPunct w:val="0"/>
      <w:adjustRightInd w:val="0"/>
      <w:textAlignment w:val="baseline"/>
    </w:pPr>
    <w:rPr>
      <w:rFonts w:ascii="BSO Univers Light" w:hAnsi="BSO Univers Light" w:eastAsia="PMingLiU" w:cs="Times New Roman"/>
      <w:sz w:val="21"/>
      <w:szCs w:val="20"/>
      <w:lang w:val="en-GB" w:eastAsia="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7C2B6-E025-450A-93C5-83A18504BC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17933</Words>
  <Characters>18848</Characters>
  <Lines>1</Lines>
  <Paragraphs>1</Paragraphs>
  <TotalTime>3</TotalTime>
  <ScaleCrop>false</ScaleCrop>
  <LinksUpToDate>false</LinksUpToDate>
  <CharactersWithSpaces>20246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2021-10-19T02:20:00Z</dcterms:created>
  <dc:creator>陈玉冰</dc:creator>
  <cp:lastModifiedBy>杰</cp:lastModifiedBy>
  <dcterms:modified xsi:type="dcterms:W3CDTF">2023-01-12T06:48:36Z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FF81BA6B972947228CDED44642777D89</vt:lpwstr>
  </property>
</Properties>
</file>