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2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pStyle w:val="20"/>
        <w:jc w:val="both"/>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rFonts w:ascii="微软雅黑"/>
          <w:b/>
          <w:sz w:val="28"/>
          <w:szCs w:val="28"/>
        </w:rPr>
      </w:pPr>
      <w:r>
        <w:rPr>
          <w:rFonts w:hint="eastAsia"/>
          <w:sz w:val="28"/>
          <w:szCs w:val="28"/>
        </w:rPr>
        <w:t>（文件编号：</w:t>
      </w:r>
      <w:r>
        <w:rPr>
          <w:rFonts w:hint="eastAsia"/>
          <w:sz w:val="28"/>
          <w:szCs w:val="28"/>
          <w:u w:val="single"/>
          <w:lang w:eastAsia="zh-CN"/>
        </w:rPr>
        <w:t>FHC-PTCG20220826001</w:t>
      </w:r>
      <w:r>
        <w:rPr>
          <w:rFonts w:hint="eastAsia"/>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77"/>
        <w:spacing w:line="360" w:lineRule="auto"/>
        <w:ind w:firstLine="480" w:firstLineChars="200"/>
        <w:rPr>
          <w:rFonts w:hAnsi="宋体"/>
          <w:bCs/>
        </w:rPr>
      </w:pPr>
      <w:r>
        <w:rPr>
          <w:rFonts w:hint="eastAsia"/>
        </w:rPr>
        <w:t>附件四：</w:t>
      </w:r>
      <w:r>
        <w:rPr>
          <w:rFonts w:hint="eastAsia" w:hAnsi="宋体"/>
          <w:bCs/>
        </w:rPr>
        <w:t>PTA装置废热锅炉水处理药剂供应及服务技术协议</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6"/>
        </w:numPr>
        <w:tabs>
          <w:tab w:val="left" w:pos="1272"/>
        </w:tabs>
        <w:kinsoku/>
        <w:wordWrap/>
        <w:overflowPunct/>
        <w:topLinePunct w:val="0"/>
        <w:bidi w:val="0"/>
        <w:snapToGrid/>
        <w:spacing w:line="360" w:lineRule="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asciiTheme="minorEastAsia" w:hAnsiTheme="minorEastAsia" w:eastAsiaTheme="minorEastAsia"/>
          <w:lang w:eastAsia="zh-CN"/>
        </w:rPr>
        <w:t>进行公开比选。为了“公开、公平、公正、透明”，引导参选人进行正确参选，特制定本规定文件。</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承诺本次自主比选不存在任何障碍，保证本公告的内容不存在任何重大遗漏、虚假陈述或严重误导，并对其内容的真实性、完整性和有效性负责。</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一、项目概况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1.项目名称：福海创PTA装置废热锅炉水处理药剂供应及服务发包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2.比选控制价：</w:t>
      </w:r>
      <w:r>
        <w:rPr>
          <w:rFonts w:hint="eastAsia"/>
          <w:sz w:val="24"/>
          <w:szCs w:val="24"/>
          <w:lang w:val="en-US" w:eastAsia="zh-CN"/>
        </w:rPr>
        <w:t>70</w:t>
      </w:r>
      <w:r>
        <w:rPr>
          <w:rFonts w:hint="eastAsia"/>
          <w:sz w:val="24"/>
          <w:szCs w:val="24"/>
          <w:lang w:eastAsia="zh-CN"/>
        </w:rPr>
        <w:t>万元（</w:t>
      </w:r>
      <w:r>
        <w:rPr>
          <w:rFonts w:hint="eastAsia"/>
          <w:sz w:val="24"/>
          <w:szCs w:val="24"/>
          <w:lang w:val="en-US" w:eastAsia="zh-CN"/>
        </w:rPr>
        <w:t>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4.</w:t>
      </w:r>
      <w:r>
        <w:rPr>
          <w:rFonts w:hint="eastAsia"/>
          <w:sz w:val="24"/>
          <w:szCs w:val="24"/>
          <w:lang w:val="en-US" w:eastAsia="zh-CN"/>
        </w:rPr>
        <w:t>合同期限</w:t>
      </w:r>
      <w:r>
        <w:rPr>
          <w:rFonts w:hint="eastAsia"/>
          <w:sz w:val="24"/>
          <w:szCs w:val="24"/>
          <w:lang w:eastAsia="zh-CN"/>
        </w:rPr>
        <w:t>：</w:t>
      </w:r>
      <w:r>
        <w:rPr>
          <w:rFonts w:hint="eastAsia"/>
          <w:sz w:val="24"/>
          <w:szCs w:val="24"/>
          <w:lang w:val="en-US" w:eastAsia="zh-CN"/>
        </w:rPr>
        <w:t>2022年11月18日至2024年11月17日。</w:t>
      </w:r>
    </w:p>
    <w:p>
      <w:pPr>
        <w:pStyle w:val="20"/>
        <w:keepNext w:val="0"/>
        <w:keepLines w:val="0"/>
        <w:pageBreakBefore w:val="0"/>
        <w:widowControl w:val="0"/>
        <w:kinsoku/>
        <w:wordWrap/>
        <w:overflowPunct/>
        <w:topLinePunct w:val="0"/>
        <w:bidi w:val="0"/>
        <w:snapToGrid/>
        <w:spacing w:line="360" w:lineRule="auto"/>
        <w:ind w:right="0" w:firstLine="482" w:firstLineChars="200"/>
        <w:jc w:val="both"/>
        <w:rPr>
          <w:rFonts w:asciiTheme="minorEastAsia" w:hAnsiTheme="minorEastAsia" w:eastAsiaTheme="minorEastAsia"/>
          <w:b/>
          <w:bCs/>
          <w:lang w:eastAsia="zh-CN"/>
        </w:rPr>
      </w:pPr>
      <w:r>
        <w:rPr>
          <w:rFonts w:hint="eastAsia" w:asciiTheme="minorEastAsia" w:hAnsiTheme="minorEastAsia" w:eastAsiaTheme="minorEastAsia"/>
          <w:b/>
          <w:bCs/>
          <w:lang w:eastAsia="zh-CN"/>
        </w:rPr>
        <w:t>二、参选人资格要求</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单独处理完成的业绩，不接受“联合体”投标参选。没有失信黑名单记录（以最高院失信被执行人系统发布信息为准）。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1.报名时间：20</w:t>
      </w: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共10天</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2.报名方式：参选人在报名时间内将报名文件发送至</w:t>
      </w:r>
      <w:r>
        <w:rPr>
          <w:rFonts w:hint="eastAsia"/>
          <w:color w:val="000000" w:themeColor="text1"/>
          <w:sz w:val="24"/>
          <w:szCs w:val="24"/>
          <w:lang w:val="en-US" w:eastAsia="zh-CN"/>
          <w14:textFill>
            <w14:solidFill>
              <w14:schemeClr w14:val="tx1"/>
            </w14:solidFill>
          </w14:textFill>
        </w:rPr>
        <w:t>邮箱xydai</w:t>
      </w:r>
      <w:r>
        <w:rPr>
          <w:rFonts w:hint="eastAsia"/>
          <w:color w:val="000000" w:themeColor="text1"/>
          <w:sz w:val="24"/>
          <w:szCs w:val="24"/>
          <w:lang w:eastAsia="zh-CN"/>
          <w14:textFill>
            <w14:solidFill>
              <w14:schemeClr w14:val="tx1"/>
            </w14:solidFill>
          </w14:textFill>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w:t>
      </w:r>
      <w:r>
        <w:rPr>
          <w:rFonts w:hint="eastAsia"/>
          <w:color w:val="000000" w:themeColor="text1"/>
          <w:sz w:val="24"/>
          <w:szCs w:val="24"/>
          <w:lang w:val="en-US" w:eastAsia="zh-CN"/>
          <w14:textFill>
            <w14:solidFill>
              <w14:schemeClr w14:val="tx1"/>
            </w14:solidFill>
          </w14:textFill>
        </w:rPr>
        <w:t>身份证复印件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正反面并加盖单位公章</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w:t>
      </w:r>
      <w:r>
        <w:rPr>
          <w:rFonts w:hint="eastAsia"/>
          <w:color w:val="000000" w:themeColor="text1"/>
          <w:sz w:val="24"/>
          <w:szCs w:val="24"/>
          <w:lang w:val="en-US" w:eastAsia="zh-CN"/>
          <w14:textFill>
            <w14:solidFill>
              <w14:schemeClr w14:val="tx1"/>
            </w14:solidFill>
          </w14:textFill>
        </w:rPr>
        <w:t>及相关业绩</w:t>
      </w:r>
      <w:r>
        <w:rPr>
          <w:rFonts w:hint="eastAsia"/>
          <w:color w:val="000000" w:themeColor="text1"/>
          <w:sz w:val="24"/>
          <w:szCs w:val="24"/>
          <w:lang w:eastAsia="zh-CN"/>
          <w14:textFill>
            <w14:solidFill>
              <w14:schemeClr w14:val="tx1"/>
            </w14:solidFill>
          </w14:textFill>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参选文件递交截止时间（以送达时间为准）：</w:t>
      </w:r>
      <w:r>
        <w:rPr>
          <w:rFonts w:hint="eastAsia"/>
          <w:color w:val="000000" w:themeColor="text1"/>
          <w:sz w:val="24"/>
          <w:szCs w:val="24"/>
          <w:lang w:val="en-US" w:eastAsia="zh-CN"/>
          <w14:textFill>
            <w14:solidFill>
              <w14:schemeClr w14:val="tx1"/>
            </w14:solidFill>
          </w14:textFill>
        </w:rPr>
        <w:t>2022年10月8日12时止。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w:t>
      </w:r>
      <w:r>
        <w:rPr>
          <w:rFonts w:hint="eastAsia"/>
          <w:b/>
          <w:snapToGrid w:val="0"/>
          <w:color w:val="000000" w:themeColor="text1"/>
          <w:spacing w:val="8"/>
          <w:sz w:val="24"/>
          <w:szCs w:val="24"/>
          <w:lang w:val="en-US" w:eastAsia="zh-CN"/>
          <w14:textFill>
            <w14:solidFill>
              <w14:schemeClr w14:val="tx1"/>
            </w14:solidFill>
          </w14:textFill>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14000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注明用途：福海创聚酯链团队加工贸易专项业务评估报告编制发包参选</w:t>
      </w:r>
      <w:r>
        <w:rPr>
          <w:color w:val="000000" w:themeColor="text1"/>
          <w:lang w:eastAsia="zh-CN"/>
          <w14:textFill>
            <w14:solidFill>
              <w14:schemeClr w14:val="tx1"/>
            </w14:solidFill>
          </w14:textFill>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w:t>
      </w:r>
      <w:r>
        <w:rPr>
          <w:rFonts w:hint="eastAsia"/>
          <w:lang w:val="en-US" w:eastAsia="zh-CN"/>
        </w:rPr>
        <w:t>未中参</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5.</w:t>
      </w:r>
      <w:r>
        <w:rPr>
          <w:rFonts w:hint="eastAsia" w:ascii="宋体" w:hAnsi="宋体" w:eastAsia="宋体" w:cs="宋体"/>
          <w:sz w:val="24"/>
          <w:szCs w:val="24"/>
          <w:lang w:val="en-US" w:eastAsia="zh-CN" w:bidi="ar-SA"/>
        </w:rPr>
        <w:t>履约保证金</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hint="default"/>
          <w:lang w:val="en-US" w:eastAsia="zh-CN"/>
        </w:rPr>
      </w:pPr>
      <w:r>
        <w:rPr>
          <w:rFonts w:hint="eastAsia" w:asciiTheme="majorEastAsia" w:hAnsiTheme="majorEastAsia" w:eastAsiaTheme="majorEastAsia"/>
          <w:bCs/>
          <w:sz w:val="24"/>
          <w:szCs w:val="24"/>
        </w:rPr>
        <w:t>中选人的参选保证金将自动转为合同履约保证金。</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戴小玉</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15259629857</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fldChar w:fldCharType="begin"/>
      </w:r>
      <w:r>
        <w:rPr>
          <w:rFonts w:hint="eastAsia"/>
          <w:color w:val="000000" w:themeColor="text1"/>
          <w:sz w:val="24"/>
          <w:szCs w:val="24"/>
          <w:lang w:val="en-US" w:eastAsia="zh-CN"/>
          <w14:textFill>
            <w14:solidFill>
              <w14:schemeClr w14:val="tx1"/>
            </w14:solidFill>
          </w14:textFill>
        </w:rPr>
        <w:instrText xml:space="preserve"> HYPERLINK "mailto:xydai@fhcpec.com.cn" </w:instrText>
      </w:r>
      <w:r>
        <w:rPr>
          <w:rFonts w:hint="eastAsia"/>
          <w:color w:val="000000" w:themeColor="text1"/>
          <w:sz w:val="24"/>
          <w:szCs w:val="24"/>
          <w:lang w:val="en-US" w:eastAsia="zh-CN"/>
          <w14:textFill>
            <w14:solidFill>
              <w14:schemeClr w14:val="tx1"/>
            </w14:solidFill>
          </w14:textFill>
        </w:rPr>
        <w:fldChar w:fldCharType="separate"/>
      </w:r>
      <w:r>
        <w:rPr>
          <w:rStyle w:val="55"/>
          <w:rFonts w:hint="eastAsia"/>
          <w:color w:val="000000" w:themeColor="text1"/>
          <w:sz w:val="24"/>
          <w:szCs w:val="24"/>
          <w:lang w:val="en-US" w:eastAsia="zh-CN"/>
          <w14:textFill>
            <w14:solidFill>
              <w14:schemeClr w14:val="tx1"/>
            </w14:solidFill>
          </w14:textFill>
        </w:rPr>
        <w:t>xydai</w:t>
      </w:r>
      <w:r>
        <w:rPr>
          <w:rStyle w:val="55"/>
          <w:rFonts w:hint="eastAsia"/>
          <w:color w:val="000000" w:themeColor="text1"/>
          <w:sz w:val="24"/>
          <w:szCs w:val="24"/>
          <w:lang w:eastAsia="zh-CN"/>
          <w14:textFill>
            <w14:solidFill>
              <w14:schemeClr w14:val="tx1"/>
            </w14:solidFill>
          </w14:textFill>
        </w:rPr>
        <w:t>@fhcpec.com.cn</w:t>
      </w:r>
      <w:r>
        <w:rPr>
          <w:rFonts w:hint="eastAsia"/>
          <w:color w:val="000000" w:themeColor="text1"/>
          <w:sz w:val="24"/>
          <w:szCs w:val="24"/>
          <w:lang w:val="en-US" w:eastAsia="zh-CN"/>
          <w14:textFill>
            <w14:solidFill>
              <w14:schemeClr w14:val="tx1"/>
            </w14:solidFill>
          </w14:textFill>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技术联系人：</w:t>
      </w:r>
      <w:r>
        <w:rPr>
          <w:rFonts w:hint="eastAsia"/>
          <w:lang w:val="en-US" w:eastAsia="zh-CN"/>
        </w:rPr>
        <w:t>彭超群 电话：</w:t>
      </w:r>
      <w:r>
        <w:rPr>
          <w:rFonts w:hint="eastAsia" w:ascii="宋体" w:hAnsi="宋体" w:eastAsia="宋体" w:cs="宋体"/>
          <w:sz w:val="24"/>
          <w:szCs w:val="24"/>
        </w:rPr>
        <w:t>13666017752</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ind w:right="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bCs/>
          <w:lang w:eastAsia="zh-CN"/>
        </w:rPr>
      </w:pPr>
      <w:r>
        <w:rPr>
          <w:rFonts w:hint="eastAsia"/>
          <w:lang w:eastAsia="zh-CN"/>
        </w:rPr>
        <w:t>1.项目</w:t>
      </w:r>
      <w:r>
        <w:rPr>
          <w:lang w:eastAsia="zh-CN"/>
        </w:rPr>
        <w:t>名称：</w:t>
      </w:r>
      <w:r>
        <w:rPr>
          <w:rFonts w:hint="eastAsia"/>
          <w:lang w:eastAsia="zh-CN"/>
        </w:rPr>
        <w:t>PTA装置</w:t>
      </w:r>
      <w:r>
        <w:rPr>
          <w:rFonts w:hint="eastAsia"/>
          <w:bCs/>
          <w:lang w:eastAsia="zh-CN"/>
        </w:rPr>
        <w:t>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sz w:val="22"/>
          <w:szCs w:val="22"/>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pPr>
      <w:r>
        <w:rPr>
          <w:rFonts w:hint="eastAsia"/>
        </w:rPr>
        <w:t>4.项目工作范围及技术要求：详见附件四：</w:t>
      </w:r>
      <w:r>
        <w:rPr>
          <w:rFonts w:hint="eastAsia" w:hAnsi="宋体"/>
          <w:bCs/>
        </w:rPr>
        <w:t>PTA装置废热锅炉水处理药剂供应及服务技术协议</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商务联系人：戴小玉 电话：15259629857 邮箱：xydai@fhcpec.com.cn</w:t>
      </w:r>
    </w:p>
    <w:p>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技术联系人：彭超群 电话：13666017752</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right="0"/>
        <w:jc w:val="both"/>
        <w:rPr>
          <w:b/>
          <w:w w:val="95"/>
          <w:lang w:eastAsia="zh-CN"/>
        </w:rPr>
      </w:pPr>
      <w:r>
        <w:rPr>
          <w:b/>
          <w:w w:val="95"/>
          <w:lang w:eastAsia="zh-CN"/>
        </w:rPr>
        <w:t>六、参选人资格</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单独处理完成的业绩，不接受“联合体”投标参选。没有失信黑名单记录（以最高院失信被执行人系统发布信息为准）。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kinsoku/>
        <w:wordWrap/>
        <w:overflowPunct/>
        <w:topLinePunct w:val="0"/>
        <w:bidi w:val="0"/>
        <w:snapToGrid/>
        <w:spacing w:line="360" w:lineRule="auto"/>
        <w:ind w:right="0"/>
        <w:rPr>
          <w:b/>
          <w:w w:val="95"/>
          <w:sz w:val="24"/>
          <w:szCs w:val="24"/>
          <w:lang w:eastAsia="zh-CN"/>
        </w:rPr>
      </w:pPr>
      <w:r>
        <w:rPr>
          <w:b/>
          <w:w w:val="95"/>
          <w:sz w:val="24"/>
          <w:szCs w:val="24"/>
          <w:lang w:eastAsia="zh-CN"/>
        </w:rPr>
        <w:t>七、参选保证金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1.参选单位应缴纳参选保证金，</w:t>
      </w:r>
      <w:r>
        <w:rPr>
          <w:rFonts w:hint="eastAsia"/>
          <w:b/>
          <w:lang w:eastAsia="zh-CN"/>
        </w:rPr>
        <w:t>保证金金额</w:t>
      </w:r>
      <w:r>
        <w:rPr>
          <w:rFonts w:hint="eastAsia"/>
          <w:b/>
          <w:lang w:val="en-US" w:eastAsia="zh-CN"/>
        </w:rPr>
        <w:t>14000</w:t>
      </w:r>
      <w:r>
        <w:rPr>
          <w:rFonts w:hint="eastAsia"/>
          <w:b/>
          <w:lang w:eastAsia="zh-CN"/>
        </w:rPr>
        <w:t>元整，</w:t>
      </w:r>
      <w:r>
        <w:rPr>
          <w:rFonts w:hint="eastAsia"/>
          <w:lang w:eastAsia="zh-CN"/>
        </w:rPr>
        <w:t>参选单位应按照要求从参选单位基本账户转入比选单位的账户，比选单位账户信息如下：</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开户名称：福建福海创石油化工有限公司</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开户银行：中国银行漳州古雷支行</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帐  号：</w:t>
      </w:r>
      <w:r>
        <w:rPr>
          <w:lang w:eastAsia="zh-CN"/>
        </w:rPr>
        <w:t>406574816628</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注明用途：</w:t>
      </w:r>
      <w:r>
        <w:rPr>
          <w:rFonts w:hint="eastAsia"/>
          <w:bCs/>
          <w:lang w:eastAsia="zh-CN"/>
        </w:rPr>
        <w:t>PTA装置废热锅炉水处理药剂供应及服务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1.比选结束退还未中选者的比选保证金（无息），最迟不超过规定的比选有效期满后的90天；</w:t>
      </w:r>
    </w:p>
    <w:p>
      <w:pPr>
        <w:keepNext w:val="0"/>
        <w:keepLines w:val="0"/>
        <w:pageBreakBefore w:val="0"/>
        <w:widowControl w:val="0"/>
        <w:kinsoku/>
        <w:wordWrap/>
        <w:overflowPunct/>
        <w:topLinePunct w:val="0"/>
        <w:bidi w:val="0"/>
        <w:snapToGrid/>
        <w:spacing w:line="360" w:lineRule="auto"/>
        <w:ind w:left="0" w:leftChars="0" w:right="0" w:firstLine="440" w:firstLineChars="200"/>
        <w:rPr>
          <w:sz w:val="24"/>
          <w:szCs w:val="28"/>
          <w:lang w:eastAsia="zh-CN"/>
        </w:rPr>
      </w:pPr>
      <w:r>
        <w:rPr>
          <w:rFonts w:hint="eastAsia"/>
          <w:lang w:eastAsia="zh-CN"/>
        </w:rPr>
        <w:t>2.</w:t>
      </w:r>
      <w:r>
        <w:rPr>
          <w:rFonts w:hint="eastAsia"/>
          <w:sz w:val="24"/>
          <w:szCs w:val="28"/>
          <w:lang w:eastAsia="zh-CN"/>
        </w:rPr>
        <w:t xml:space="preserve"> 中选单位的参选保证金将自动转为合同履约保证金。履约保证金将在本项目合同期满后30日内无息予以退还。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val="en-US" w:eastAsia="zh-CN"/>
        </w:rPr>
        <w:t>3</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1.参选文件递交的截止时间：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8</w:t>
      </w:r>
      <w:bookmarkStart w:id="1" w:name="_GoBack"/>
      <w:bookmarkEnd w:id="1"/>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时</w:t>
      </w:r>
      <w:r>
        <w:rPr>
          <w:rFonts w:hint="eastAsia"/>
          <w:color w:val="000000" w:themeColor="text1"/>
          <w:lang w:val="en-US" w:eastAsia="zh-CN"/>
          <w14:textFill>
            <w14:solidFill>
              <w14:schemeClr w14:val="tx1"/>
            </w14:solidFill>
          </w14:textFill>
        </w:rPr>
        <w:t>0</w:t>
      </w:r>
      <w:r>
        <w:rPr>
          <w:rFonts w:hint="eastAsia"/>
          <w:color w:val="000000" w:themeColor="text1"/>
          <w:lang w:eastAsia="zh-CN"/>
          <w14:textFill>
            <w14:solidFill>
              <w14:schemeClr w14:val="tx1"/>
            </w14:solidFill>
          </w14:textFill>
        </w:rPr>
        <w:t>分</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1.技术参选文件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年业绩）、营业执照、资质证书等。</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2.商务参选文件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二、参选书格式内容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三、参选报价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四、特别说明</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一、规则</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2.参选人串选、相互勾结故意压低标价以排挤竞争对手的公平竞争的，其参选无效。</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二、资格审查</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kinsoku/>
        <w:wordWrap/>
        <w:overflowPunct/>
        <w:topLinePunct w:val="0"/>
        <w:bidi w:val="0"/>
        <w:snapToGrid/>
        <w:spacing w:line="360" w:lineRule="auto"/>
        <w:ind w:left="0" w:leftChars="0" w:right="0" w:firstLine="482" w:firstLineChars="200"/>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keepNext w:val="0"/>
        <w:keepLines w:val="0"/>
        <w:pageBreakBefore w:val="0"/>
        <w:kinsoku/>
        <w:wordWrap/>
        <w:overflowPunct/>
        <w:topLinePunct w:val="0"/>
        <w:bidi w:val="0"/>
        <w:snapToGrid/>
        <w:spacing w:line="360" w:lineRule="auto"/>
        <w:ind w:left="0" w:leftChars="0" w:right="0" w:firstLine="482" w:firstLineChars="200"/>
        <w:jc w:val="both"/>
        <w:rPr>
          <w:color w:val="auto"/>
          <w:u w:val="none"/>
          <w:lang w:eastAsia="zh-CN"/>
        </w:rPr>
      </w:pPr>
      <w:r>
        <w:rPr>
          <w:rFonts w:hint="eastAsia"/>
          <w:b/>
          <w:bCs/>
          <w:highlight w:val="none"/>
          <w:lang w:eastAsia="zh-CN"/>
        </w:rPr>
        <w:t>本项目设置最高控制价</w:t>
      </w:r>
      <w:r>
        <w:rPr>
          <w:rFonts w:hint="eastAsia" w:ascii="inherit" w:hAnsi="inherit"/>
          <w:b/>
          <w:bCs/>
          <w:sz w:val="22"/>
          <w:szCs w:val="22"/>
          <w:highlight w:val="none"/>
          <w:lang w:eastAsia="zh-CN"/>
        </w:rPr>
        <w:t>70万元（</w:t>
      </w:r>
      <w:r>
        <w:rPr>
          <w:rFonts w:hint="eastAsia" w:ascii="inherit" w:hAnsi="inherit"/>
          <w:b/>
          <w:bCs/>
          <w:sz w:val="22"/>
          <w:szCs w:val="22"/>
          <w:highlight w:val="none"/>
          <w:lang w:val="en-US" w:eastAsia="zh-CN"/>
        </w:rPr>
        <w:t>含税</w:t>
      </w:r>
      <w:r>
        <w:rPr>
          <w:rFonts w:hint="eastAsia" w:ascii="inherit" w:hAnsi="inherit"/>
          <w:b/>
          <w:bCs/>
          <w:sz w:val="22"/>
          <w:szCs w:val="22"/>
          <w:highlight w:val="none"/>
          <w:lang w:eastAsia="zh-CN"/>
        </w:rPr>
        <w:t>）</w:t>
      </w:r>
      <w:r>
        <w:rPr>
          <w:rFonts w:hint="eastAsia"/>
          <w:b/>
          <w:bCs/>
          <w:highlight w:val="none"/>
          <w:lang w:eastAsia="zh-CN"/>
        </w:rPr>
        <w:t>。</w:t>
      </w:r>
      <w:r>
        <w:rPr>
          <w:rFonts w:hint="eastAsia"/>
          <w:lang w:eastAsia="zh-CN"/>
        </w:rPr>
        <w:t>参选人所填报的报价高于本项目最高限价的，其参选将被比选小组予以否决。</w:t>
      </w:r>
      <w:r>
        <w:rPr>
          <w:color w:val="auto"/>
          <w:u w:val="none"/>
        </w:rPr>
        <w:fldChar w:fldCharType="begin"/>
      </w:r>
      <w:r>
        <w:rPr>
          <w:color w:val="auto"/>
          <w:u w:val="none"/>
        </w:rPr>
        <w:instrText xml:space="preserve"> HYPERLINK "mailto:如参选人对控制价存疑请于报价截止前发邮件至ybchen@fhcpec.com.cn" </w:instrText>
      </w:r>
      <w:r>
        <w:rPr>
          <w:color w:val="auto"/>
          <w:u w:val="none"/>
        </w:rPr>
        <w:fldChar w:fldCharType="separate"/>
      </w:r>
      <w:r>
        <w:rPr>
          <w:rStyle w:val="55"/>
          <w:rFonts w:hint="eastAsia"/>
          <w:color w:val="auto"/>
          <w:u w:val="none"/>
          <w:lang w:eastAsia="zh-CN"/>
        </w:rPr>
        <w:t>如参选人对控制价存疑请于报价截止前发邮件至</w:t>
      </w:r>
      <w:r>
        <w:rPr>
          <w:rStyle w:val="55"/>
          <w:rFonts w:hint="eastAsia"/>
          <w:color w:val="auto"/>
          <w:u w:val="none"/>
          <w:lang w:val="en-US" w:eastAsia="zh-CN"/>
        </w:rPr>
        <w:t>xydai</w:t>
      </w:r>
      <w:r>
        <w:rPr>
          <w:rStyle w:val="55"/>
          <w:rFonts w:hint="eastAsia"/>
          <w:color w:val="auto"/>
          <w:u w:val="none"/>
          <w:lang w:eastAsia="zh-CN"/>
        </w:rPr>
        <w:t>@fhcpec.com.cn</w:t>
      </w:r>
      <w:r>
        <w:rPr>
          <w:rStyle w:val="55"/>
          <w:rFonts w:hint="eastAsia"/>
          <w:color w:val="auto"/>
          <w:u w:val="none"/>
          <w:lang w:eastAsia="zh-CN"/>
        </w:rPr>
        <w:fldChar w:fldCharType="end"/>
      </w:r>
      <w:r>
        <w:rPr>
          <w:rFonts w:hint="eastAsia"/>
          <w:color w:val="auto"/>
          <w:u w:val="none"/>
          <w:lang w:eastAsia="zh-CN"/>
        </w:rPr>
        <w:t>。</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snapToGrid w:val="0"/>
          <w:lang w:eastAsia="zh-CN"/>
        </w:rPr>
        <w:t>3.1</w:t>
      </w:r>
      <w:r>
        <w:rPr>
          <w:rFonts w:hint="eastAsia"/>
          <w:snapToGrid w:val="0"/>
          <w:lang w:val="en-US" w:eastAsia="zh-CN"/>
        </w:rPr>
        <w:t xml:space="preserve"> </w:t>
      </w:r>
      <w:r>
        <w:rPr>
          <w:rFonts w:hint="eastAsia"/>
          <w:b/>
          <w:bCs/>
          <w:snapToGrid w:val="0"/>
          <w:lang w:eastAsia="zh-CN"/>
        </w:rPr>
        <w:t>本案采用综合评标法，技术标和商务标占比4：6，评选委员会将对通过资格及实质响应性审查的各合格参选人，经技术评选和商务评选后选择综合总分最高者作为中选单位。</w:t>
      </w:r>
    </w:p>
    <w:p>
      <w:pPr>
        <w:keepNext w:val="0"/>
        <w:keepLines w:val="0"/>
        <w:pageBreakBefore w:val="0"/>
        <w:kinsoku/>
        <w:wordWrap/>
        <w:overflowPunct/>
        <w:topLinePunct w:val="0"/>
        <w:bidi w:val="0"/>
        <w:snapToGrid/>
        <w:spacing w:line="360" w:lineRule="auto"/>
        <w:ind w:left="0" w:leftChars="0" w:right="0" w:firstLine="480" w:firstLineChars="200"/>
        <w:rPr>
          <w:color w:val="000000"/>
          <w:sz w:val="24"/>
          <w:lang w:eastAsia="zh-CN"/>
        </w:rPr>
      </w:pPr>
      <w:r>
        <w:rPr>
          <w:rFonts w:hint="eastAsia"/>
          <w:color w:val="000000"/>
          <w:sz w:val="24"/>
          <w:lang w:eastAsia="zh-CN"/>
        </w:rPr>
        <w:t>3.2</w:t>
      </w:r>
      <w:r>
        <w:rPr>
          <w:rFonts w:hint="eastAsia"/>
          <w:color w:val="000000"/>
          <w:sz w:val="24"/>
          <w:lang w:val="en-US" w:eastAsia="zh-CN"/>
        </w:rPr>
        <w:t xml:space="preserve"> </w:t>
      </w:r>
      <w:r>
        <w:rPr>
          <w:color w:val="000000"/>
          <w:sz w:val="24"/>
          <w:lang w:eastAsia="zh-CN"/>
        </w:rPr>
        <w:t>技术评分细则如下：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861"/>
        <w:gridCol w:w="1015"/>
        <w:gridCol w:w="419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841" w:type="dxa"/>
            <w:vAlign w:val="center"/>
          </w:tcPr>
          <w:p>
            <w:pPr>
              <w:pStyle w:val="250"/>
              <w:keepNext w:val="0"/>
              <w:keepLines w:val="0"/>
              <w:pageBreakBefore w:val="0"/>
              <w:kinsoku/>
              <w:wordWrap/>
              <w:overflowPunct/>
              <w:topLinePunct w:val="0"/>
              <w:bidi w:val="0"/>
              <w:snapToGrid/>
              <w:spacing w:line="360" w:lineRule="auto"/>
              <w:ind w:right="0"/>
              <w:jc w:val="center"/>
              <w:rPr>
                <w:rFonts w:ascii="宋体" w:hAnsi="宋体" w:cs="宋体"/>
                <w:szCs w:val="21"/>
              </w:rPr>
            </w:pPr>
            <w:r>
              <w:rPr>
                <w:szCs w:val="21"/>
              </w:rPr>
              <w:t>序号</w:t>
            </w:r>
          </w:p>
        </w:tc>
        <w:tc>
          <w:tcPr>
            <w:tcW w:w="1861"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评审因素</w:t>
            </w:r>
          </w:p>
        </w:tc>
        <w:tc>
          <w:tcPr>
            <w:tcW w:w="1015" w:type="dxa"/>
            <w:vAlign w:val="center"/>
          </w:tcPr>
          <w:p>
            <w:pPr>
              <w:pStyle w:val="250"/>
              <w:keepNext w:val="0"/>
              <w:keepLines w:val="0"/>
              <w:pageBreakBefore w:val="0"/>
              <w:kinsoku/>
              <w:wordWrap/>
              <w:overflowPunct/>
              <w:topLinePunct w:val="0"/>
              <w:bidi w:val="0"/>
              <w:snapToGrid/>
              <w:spacing w:line="360" w:lineRule="auto"/>
              <w:ind w:right="0"/>
              <w:jc w:val="center"/>
              <w:rPr>
                <w:rFonts w:ascii="宋体" w:hAnsi="宋体" w:cs="宋体"/>
                <w:szCs w:val="21"/>
              </w:rPr>
            </w:pPr>
            <w:r>
              <w:rPr>
                <w:szCs w:val="21"/>
              </w:rPr>
              <w:t>分值</w:t>
            </w:r>
          </w:p>
        </w:tc>
        <w:tc>
          <w:tcPr>
            <w:tcW w:w="4190"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评分办法</w:t>
            </w:r>
          </w:p>
        </w:tc>
        <w:tc>
          <w:tcPr>
            <w:tcW w:w="1349"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jc w:val="center"/>
              <w:rPr>
                <w:rFonts w:ascii="宋体" w:hAnsi="宋体" w:cs="宋体"/>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rFonts w:hint="eastAsia"/>
                <w:szCs w:val="21"/>
              </w:rPr>
              <w:t>1</w:t>
            </w:r>
          </w:p>
        </w:tc>
        <w:tc>
          <w:tcPr>
            <w:tcW w:w="1861" w:type="dxa"/>
            <w:tcBorders>
              <w:top w:val="single" w:color="auto" w:sz="4" w:space="0"/>
            </w:tcBorders>
            <w:vAlign w:val="center"/>
          </w:tcPr>
          <w:p>
            <w:pPr>
              <w:pStyle w:val="250"/>
              <w:jc w:val="left"/>
              <w:rPr>
                <w:szCs w:val="21"/>
              </w:rPr>
            </w:pPr>
            <w:r>
              <w:rPr>
                <w:rFonts w:hint="eastAsia"/>
                <w:szCs w:val="21"/>
              </w:rPr>
              <w:t>对PTA行业废热锅炉系统的处理经验</w:t>
            </w:r>
          </w:p>
        </w:tc>
        <w:tc>
          <w:tcPr>
            <w:tcW w:w="1015" w:type="dxa"/>
            <w:vAlign w:val="center"/>
          </w:tcPr>
          <w:p>
            <w:pPr>
              <w:pStyle w:val="250"/>
              <w:rPr>
                <w:szCs w:val="21"/>
              </w:rPr>
            </w:pPr>
            <w:r>
              <w:rPr>
                <w:szCs w:val="21"/>
              </w:rPr>
              <w:t>10</w:t>
            </w:r>
          </w:p>
        </w:tc>
        <w:tc>
          <w:tcPr>
            <w:tcW w:w="4190" w:type="dxa"/>
            <w:vAlign w:val="center"/>
          </w:tcPr>
          <w:p>
            <w:pPr>
              <w:pStyle w:val="250"/>
              <w:jc w:val="left"/>
              <w:rPr>
                <w:szCs w:val="21"/>
              </w:rPr>
            </w:pPr>
            <w:r>
              <w:rPr>
                <w:rFonts w:hint="eastAsia"/>
                <w:szCs w:val="21"/>
              </w:rPr>
              <w:t>1、在国内处理的PTA厂废热锅炉水单系统蒸汽量≥500</w:t>
            </w:r>
            <w:r>
              <w:rPr>
                <w:szCs w:val="21"/>
              </w:rPr>
              <w:t>t/h</w:t>
            </w:r>
            <w:r>
              <w:rPr>
                <w:rFonts w:hint="eastAsia"/>
                <w:szCs w:val="21"/>
              </w:rPr>
              <w:t>的业绩一项得2分；</w:t>
            </w:r>
          </w:p>
          <w:p>
            <w:pPr>
              <w:pStyle w:val="250"/>
              <w:jc w:val="left"/>
              <w:rPr>
                <w:szCs w:val="21"/>
              </w:rPr>
            </w:pPr>
            <w:r>
              <w:rPr>
                <w:szCs w:val="21"/>
              </w:rPr>
              <w:t>2</w:t>
            </w:r>
            <w:r>
              <w:rPr>
                <w:rFonts w:hint="eastAsia"/>
                <w:szCs w:val="21"/>
              </w:rPr>
              <w:t>、在国内处理的PTA厂废热锅炉水单系统蒸汽量为100-500</w:t>
            </w:r>
            <w:r>
              <w:rPr>
                <w:szCs w:val="21"/>
              </w:rPr>
              <w:t>t/h</w:t>
            </w:r>
            <w:r>
              <w:rPr>
                <w:rFonts w:hint="eastAsia"/>
                <w:szCs w:val="21"/>
              </w:rPr>
              <w:t>的业绩一项得</w:t>
            </w:r>
            <w:r>
              <w:rPr>
                <w:szCs w:val="21"/>
              </w:rPr>
              <w:t>1</w:t>
            </w:r>
            <w:r>
              <w:rPr>
                <w:rFonts w:hint="eastAsia"/>
                <w:szCs w:val="21"/>
              </w:rPr>
              <w:t>分；</w:t>
            </w:r>
          </w:p>
        </w:tc>
        <w:tc>
          <w:tcPr>
            <w:tcW w:w="1349" w:type="dxa"/>
            <w:vAlign w:val="center"/>
          </w:tcPr>
          <w:p>
            <w:pPr>
              <w:pStyle w:val="250"/>
              <w:rPr>
                <w:rFonts w:ascii="宋体" w:hAnsi="宋体" w:cs="宋体"/>
                <w:szCs w:val="21"/>
              </w:rPr>
            </w:pPr>
            <w:r>
              <w:rPr>
                <w:rFonts w:hint="eastAsia" w:ascii="宋体" w:hAnsi="宋体" w:cs="宋体"/>
                <w:szCs w:val="21"/>
              </w:rPr>
              <w:t>提供相关业绩证明材料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rFonts w:hint="eastAsia"/>
                <w:szCs w:val="21"/>
              </w:rPr>
              <w:t>2</w:t>
            </w:r>
          </w:p>
        </w:tc>
        <w:tc>
          <w:tcPr>
            <w:tcW w:w="1861" w:type="dxa"/>
            <w:tcBorders>
              <w:top w:val="single" w:color="auto" w:sz="4" w:space="0"/>
            </w:tcBorders>
            <w:vAlign w:val="center"/>
          </w:tcPr>
          <w:p>
            <w:pPr>
              <w:pStyle w:val="250"/>
              <w:jc w:val="left"/>
              <w:rPr>
                <w:szCs w:val="21"/>
              </w:rPr>
            </w:pPr>
            <w:r>
              <w:rPr>
                <w:rFonts w:hint="eastAsia"/>
                <w:szCs w:val="21"/>
              </w:rPr>
              <w:t>对PTA废热锅炉水处理技术方案可实施性</w:t>
            </w:r>
          </w:p>
        </w:tc>
        <w:tc>
          <w:tcPr>
            <w:tcW w:w="1015" w:type="dxa"/>
            <w:vAlign w:val="center"/>
          </w:tcPr>
          <w:p>
            <w:pPr>
              <w:pStyle w:val="250"/>
              <w:rPr>
                <w:szCs w:val="21"/>
              </w:rPr>
            </w:pPr>
            <w:r>
              <w:rPr>
                <w:szCs w:val="21"/>
              </w:rPr>
              <w:t>10</w:t>
            </w:r>
          </w:p>
        </w:tc>
        <w:tc>
          <w:tcPr>
            <w:tcW w:w="4190" w:type="dxa"/>
            <w:vAlign w:val="center"/>
          </w:tcPr>
          <w:p>
            <w:pPr>
              <w:pStyle w:val="250"/>
              <w:jc w:val="left"/>
              <w:rPr>
                <w:rFonts w:ascii="宋体" w:hAnsi="宋体" w:cs="宋体"/>
                <w:szCs w:val="21"/>
              </w:rPr>
            </w:pPr>
            <w:r>
              <w:rPr>
                <w:rFonts w:hint="eastAsia" w:ascii="宋体" w:hAnsi="宋体" w:cs="宋体"/>
                <w:szCs w:val="21"/>
              </w:rPr>
              <w:t>根据参选人提供的技术处理方案以及交流澄清的技术水平，判定方案的可行性：</w:t>
            </w:r>
          </w:p>
          <w:p>
            <w:pPr>
              <w:pStyle w:val="250"/>
              <w:jc w:val="left"/>
              <w:rPr>
                <w:rFonts w:ascii="宋体" w:hAnsi="宋体" w:cs="宋体"/>
                <w:szCs w:val="21"/>
              </w:rPr>
            </w:pPr>
            <w:r>
              <w:rPr>
                <w:rFonts w:hint="eastAsia" w:ascii="宋体" w:hAnsi="宋体" w:cs="宋体"/>
                <w:szCs w:val="21"/>
              </w:rPr>
              <w:t>1、PTA</w:t>
            </w:r>
            <w:r>
              <w:rPr>
                <w:rFonts w:hint="eastAsia"/>
                <w:szCs w:val="21"/>
              </w:rPr>
              <w:t>废热锅炉水处理技术方案可行性、</w:t>
            </w:r>
            <w:r>
              <w:rPr>
                <w:rFonts w:hint="eastAsia" w:ascii="宋体" w:hAnsi="宋体" w:cs="宋体"/>
                <w:szCs w:val="21"/>
              </w:rPr>
              <w:t>有效性强：</w:t>
            </w:r>
            <w:r>
              <w:rPr>
                <w:rFonts w:ascii="宋体" w:hAnsi="宋体" w:cs="宋体"/>
                <w:szCs w:val="21"/>
              </w:rPr>
              <w:t>1</w:t>
            </w:r>
            <w:r>
              <w:rPr>
                <w:rFonts w:hint="eastAsia" w:ascii="宋体" w:hAnsi="宋体" w:cs="宋体"/>
                <w:szCs w:val="21"/>
              </w:rPr>
              <w:t>0分；</w:t>
            </w:r>
          </w:p>
          <w:p>
            <w:pPr>
              <w:pStyle w:val="250"/>
              <w:jc w:val="left"/>
              <w:rPr>
                <w:rFonts w:ascii="宋体" w:hAnsi="宋体" w:cs="宋体"/>
                <w:szCs w:val="21"/>
              </w:rPr>
            </w:pPr>
            <w:r>
              <w:rPr>
                <w:rFonts w:hint="eastAsia" w:ascii="宋体" w:hAnsi="宋体" w:cs="宋体"/>
                <w:szCs w:val="21"/>
              </w:rPr>
              <w:t>2、PTA</w:t>
            </w:r>
            <w:r>
              <w:rPr>
                <w:rFonts w:hint="eastAsia"/>
                <w:szCs w:val="21"/>
              </w:rPr>
              <w:t>废热锅炉水处理技术方案可行性、</w:t>
            </w:r>
            <w:r>
              <w:rPr>
                <w:rFonts w:hint="eastAsia" w:ascii="宋体" w:hAnsi="宋体" w:cs="宋体"/>
                <w:szCs w:val="21"/>
              </w:rPr>
              <w:t>有效性较好：</w:t>
            </w:r>
            <w:r>
              <w:rPr>
                <w:rFonts w:ascii="宋体" w:hAnsi="宋体" w:cs="宋体"/>
                <w:szCs w:val="21"/>
              </w:rPr>
              <w:t>8</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3、PTA</w:t>
            </w:r>
            <w:r>
              <w:rPr>
                <w:rFonts w:hint="eastAsia"/>
                <w:szCs w:val="21"/>
              </w:rPr>
              <w:t>废热锅炉水处理技术方案可行性、</w:t>
            </w:r>
            <w:r>
              <w:rPr>
                <w:rFonts w:hint="eastAsia" w:ascii="宋体" w:hAnsi="宋体" w:cs="宋体"/>
                <w:szCs w:val="21"/>
              </w:rPr>
              <w:t>有效性略差：</w:t>
            </w:r>
            <w:r>
              <w:rPr>
                <w:rFonts w:ascii="宋体" w:hAnsi="宋体" w:cs="宋体"/>
                <w:szCs w:val="21"/>
              </w:rPr>
              <w:t>5</w:t>
            </w:r>
            <w:r>
              <w:rPr>
                <w:rFonts w:hint="eastAsia" w:ascii="宋体" w:hAnsi="宋体" w:cs="宋体"/>
                <w:szCs w:val="21"/>
              </w:rPr>
              <w:t>分；</w:t>
            </w:r>
          </w:p>
          <w:p>
            <w:pPr>
              <w:pStyle w:val="250"/>
              <w:jc w:val="left"/>
              <w:rPr>
                <w:szCs w:val="21"/>
              </w:rPr>
            </w:pPr>
            <w:r>
              <w:rPr>
                <w:rFonts w:hint="eastAsia" w:ascii="宋体" w:hAnsi="宋体" w:cs="宋体"/>
                <w:szCs w:val="21"/>
              </w:rPr>
              <w:t>4、PTA</w:t>
            </w:r>
            <w:r>
              <w:rPr>
                <w:rFonts w:hint="eastAsia"/>
                <w:szCs w:val="21"/>
              </w:rPr>
              <w:t>废热锅炉水处理技术方案可行性、</w:t>
            </w:r>
            <w:r>
              <w:rPr>
                <w:rFonts w:hint="eastAsia" w:ascii="宋体" w:hAnsi="宋体" w:cs="宋体"/>
                <w:szCs w:val="21"/>
              </w:rPr>
              <w:t>有效性较差：</w:t>
            </w:r>
            <w:r>
              <w:rPr>
                <w:rFonts w:ascii="宋体" w:hAnsi="宋体" w:cs="宋体"/>
                <w:szCs w:val="21"/>
              </w:rPr>
              <w:t>3</w:t>
            </w:r>
            <w:r>
              <w:rPr>
                <w:rFonts w:hint="eastAsia" w:ascii="宋体" w:hAnsi="宋体" w:cs="宋体"/>
                <w:szCs w:val="21"/>
              </w:rPr>
              <w:t>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szCs w:val="21"/>
              </w:rPr>
              <w:t>3</w:t>
            </w:r>
          </w:p>
        </w:tc>
        <w:tc>
          <w:tcPr>
            <w:tcW w:w="1861" w:type="dxa"/>
            <w:tcBorders>
              <w:top w:val="single" w:color="auto" w:sz="4" w:space="0"/>
            </w:tcBorders>
            <w:vAlign w:val="center"/>
          </w:tcPr>
          <w:p>
            <w:pPr>
              <w:pStyle w:val="250"/>
              <w:jc w:val="left"/>
              <w:rPr>
                <w:szCs w:val="21"/>
              </w:rPr>
            </w:pPr>
            <w:r>
              <w:rPr>
                <w:rFonts w:hint="eastAsia"/>
                <w:szCs w:val="21"/>
              </w:rPr>
              <w:t>对PTA废热锅炉水处理异常事故的应急处理能力</w:t>
            </w:r>
          </w:p>
        </w:tc>
        <w:tc>
          <w:tcPr>
            <w:tcW w:w="1015" w:type="dxa"/>
            <w:vAlign w:val="center"/>
          </w:tcPr>
          <w:p>
            <w:pPr>
              <w:pStyle w:val="250"/>
              <w:rPr>
                <w:szCs w:val="21"/>
              </w:rPr>
            </w:pPr>
            <w:r>
              <w:rPr>
                <w:szCs w:val="21"/>
              </w:rPr>
              <w:t>10</w:t>
            </w:r>
          </w:p>
        </w:tc>
        <w:tc>
          <w:tcPr>
            <w:tcW w:w="4190" w:type="dxa"/>
            <w:vAlign w:val="center"/>
          </w:tcPr>
          <w:p>
            <w:pPr>
              <w:pStyle w:val="250"/>
              <w:jc w:val="left"/>
              <w:rPr>
                <w:rFonts w:ascii="宋体" w:hAnsi="宋体" w:cs="宋体"/>
                <w:szCs w:val="21"/>
              </w:rPr>
            </w:pPr>
            <w:r>
              <w:rPr>
                <w:rFonts w:hint="eastAsia" w:ascii="宋体" w:hAnsi="宋体" w:cs="宋体"/>
                <w:szCs w:val="21"/>
              </w:rPr>
              <w:t>根据参选人提供的</w:t>
            </w:r>
            <w:r>
              <w:rPr>
                <w:rFonts w:hint="eastAsia"/>
                <w:szCs w:val="21"/>
              </w:rPr>
              <w:t>PTA废热锅炉水处理异常事故的处置方案</w:t>
            </w:r>
            <w:r>
              <w:rPr>
                <w:rFonts w:hint="eastAsia" w:ascii="宋体" w:hAnsi="宋体" w:cs="宋体"/>
                <w:szCs w:val="21"/>
              </w:rPr>
              <w:t>，判定方案的可行性：</w:t>
            </w:r>
          </w:p>
          <w:p>
            <w:pPr>
              <w:pStyle w:val="250"/>
              <w:jc w:val="left"/>
              <w:rPr>
                <w:rFonts w:ascii="宋体" w:hAnsi="宋体" w:cs="宋体"/>
                <w:szCs w:val="21"/>
              </w:rPr>
            </w:pPr>
            <w:r>
              <w:rPr>
                <w:rFonts w:hint="eastAsia" w:ascii="宋体" w:hAnsi="宋体" w:cs="宋体"/>
                <w:szCs w:val="21"/>
              </w:rPr>
              <w:t>1、PTA</w:t>
            </w:r>
            <w:r>
              <w:rPr>
                <w:rFonts w:hint="eastAsia"/>
                <w:szCs w:val="21"/>
              </w:rPr>
              <w:t>废热锅炉水处理异常事故应急处置方案可行性、</w:t>
            </w:r>
            <w:r>
              <w:rPr>
                <w:rFonts w:hint="eastAsia" w:ascii="宋体" w:hAnsi="宋体" w:cs="宋体"/>
                <w:szCs w:val="21"/>
              </w:rPr>
              <w:t>有效性强：</w:t>
            </w:r>
            <w:r>
              <w:rPr>
                <w:rFonts w:ascii="宋体" w:hAnsi="宋体" w:cs="宋体"/>
                <w:szCs w:val="21"/>
              </w:rPr>
              <w:t>1</w:t>
            </w:r>
            <w:r>
              <w:rPr>
                <w:rFonts w:hint="eastAsia" w:ascii="宋体" w:hAnsi="宋体" w:cs="宋体"/>
                <w:szCs w:val="21"/>
              </w:rPr>
              <w:t>0分；</w:t>
            </w:r>
          </w:p>
          <w:p>
            <w:pPr>
              <w:pStyle w:val="250"/>
              <w:jc w:val="left"/>
              <w:rPr>
                <w:rFonts w:ascii="宋体" w:hAnsi="宋体" w:cs="宋体"/>
                <w:szCs w:val="21"/>
              </w:rPr>
            </w:pPr>
            <w:r>
              <w:rPr>
                <w:rFonts w:hint="eastAsia" w:ascii="宋体" w:hAnsi="宋体" w:cs="宋体"/>
                <w:szCs w:val="21"/>
              </w:rPr>
              <w:t>2、PTA</w:t>
            </w:r>
            <w:r>
              <w:rPr>
                <w:rFonts w:hint="eastAsia"/>
                <w:szCs w:val="21"/>
              </w:rPr>
              <w:t>废热锅炉水处理异常事故应急处置方案可行性、</w:t>
            </w:r>
            <w:r>
              <w:rPr>
                <w:rFonts w:hint="eastAsia" w:ascii="宋体" w:hAnsi="宋体" w:cs="宋体"/>
                <w:szCs w:val="21"/>
              </w:rPr>
              <w:t>有效性较好：</w:t>
            </w:r>
            <w:r>
              <w:rPr>
                <w:rFonts w:ascii="宋体" w:hAnsi="宋体" w:cs="宋体"/>
                <w:szCs w:val="21"/>
              </w:rPr>
              <w:t>8</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3、PTA</w:t>
            </w:r>
            <w:r>
              <w:rPr>
                <w:rFonts w:hint="eastAsia"/>
                <w:szCs w:val="21"/>
              </w:rPr>
              <w:t>废热锅炉水处理异常事故应急处置方案可行性、</w:t>
            </w:r>
            <w:r>
              <w:rPr>
                <w:rFonts w:hint="eastAsia" w:ascii="宋体" w:hAnsi="宋体" w:cs="宋体"/>
                <w:szCs w:val="21"/>
              </w:rPr>
              <w:t>有效性略差：</w:t>
            </w:r>
            <w:r>
              <w:rPr>
                <w:rFonts w:ascii="宋体" w:hAnsi="宋体" w:cs="宋体"/>
                <w:szCs w:val="21"/>
              </w:rPr>
              <w:t>5</w:t>
            </w:r>
            <w:r>
              <w:rPr>
                <w:rFonts w:hint="eastAsia" w:ascii="宋体" w:hAnsi="宋体" w:cs="宋体"/>
                <w:szCs w:val="21"/>
              </w:rPr>
              <w:t>分；</w:t>
            </w:r>
          </w:p>
          <w:p>
            <w:pPr>
              <w:pStyle w:val="250"/>
              <w:jc w:val="left"/>
              <w:rPr>
                <w:szCs w:val="21"/>
              </w:rPr>
            </w:pPr>
            <w:r>
              <w:rPr>
                <w:rFonts w:hint="eastAsia" w:ascii="宋体" w:hAnsi="宋体" w:cs="宋体"/>
                <w:szCs w:val="21"/>
              </w:rPr>
              <w:t>4、PTA</w:t>
            </w:r>
            <w:r>
              <w:rPr>
                <w:rFonts w:hint="eastAsia"/>
                <w:szCs w:val="21"/>
              </w:rPr>
              <w:t>废热锅炉水处理异常事故应急处置方案可行性、</w:t>
            </w:r>
            <w:r>
              <w:rPr>
                <w:rFonts w:hint="eastAsia" w:ascii="宋体" w:hAnsi="宋体" w:cs="宋体"/>
                <w:szCs w:val="21"/>
              </w:rPr>
              <w:t>有效性较差：</w:t>
            </w:r>
            <w:r>
              <w:rPr>
                <w:rFonts w:ascii="宋体" w:hAnsi="宋体" w:cs="宋体"/>
                <w:szCs w:val="21"/>
              </w:rPr>
              <w:t>3</w:t>
            </w:r>
            <w:r>
              <w:rPr>
                <w:rFonts w:hint="eastAsia" w:ascii="宋体" w:hAnsi="宋体" w:cs="宋体"/>
                <w:szCs w:val="21"/>
              </w:rPr>
              <w:t>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szCs w:val="21"/>
              </w:rPr>
            </w:pPr>
            <w:r>
              <w:rPr>
                <w:szCs w:val="21"/>
              </w:rPr>
              <w:t>4</w:t>
            </w:r>
          </w:p>
        </w:tc>
        <w:tc>
          <w:tcPr>
            <w:tcW w:w="1861" w:type="dxa"/>
            <w:tcBorders>
              <w:top w:val="single" w:color="auto" w:sz="4" w:space="0"/>
            </w:tcBorders>
            <w:vAlign w:val="center"/>
          </w:tcPr>
          <w:p>
            <w:pPr>
              <w:pStyle w:val="250"/>
              <w:jc w:val="left"/>
              <w:rPr>
                <w:szCs w:val="21"/>
              </w:rPr>
            </w:pPr>
            <w:r>
              <w:rPr>
                <w:rFonts w:hint="eastAsia" w:ascii="宋体" w:hAnsi="宋体" w:cs="宋体"/>
                <w:szCs w:val="21"/>
              </w:rPr>
              <w:t>技术服务人员能力评定</w:t>
            </w:r>
          </w:p>
        </w:tc>
        <w:tc>
          <w:tcPr>
            <w:tcW w:w="1015" w:type="dxa"/>
            <w:vAlign w:val="center"/>
          </w:tcPr>
          <w:p>
            <w:pPr>
              <w:pStyle w:val="250"/>
              <w:rPr>
                <w:szCs w:val="21"/>
              </w:rPr>
            </w:pPr>
            <w:r>
              <w:rPr>
                <w:szCs w:val="21"/>
              </w:rPr>
              <w:t>5</w:t>
            </w:r>
          </w:p>
        </w:tc>
        <w:tc>
          <w:tcPr>
            <w:tcW w:w="4190" w:type="dxa"/>
            <w:vAlign w:val="center"/>
          </w:tcPr>
          <w:p>
            <w:pPr>
              <w:pStyle w:val="250"/>
              <w:jc w:val="left"/>
              <w:rPr>
                <w:rFonts w:ascii="宋体" w:hAnsi="宋体" w:cs="宋体"/>
                <w:szCs w:val="21"/>
              </w:rPr>
            </w:pPr>
            <w:r>
              <w:rPr>
                <w:rFonts w:hint="eastAsia" w:ascii="宋体" w:hAnsi="宋体" w:cs="宋体"/>
                <w:szCs w:val="21"/>
              </w:rPr>
              <w:t>1、古雷地区常驻有技术服务人员，且承诺常驻我司现场的服务人员具有3年以上的P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5</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2、古雷地区无常驻技术服务人员，但2小时内能达到我司，且承诺常驻我司现场的服务人员具有3年以上的P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4</w:t>
            </w:r>
            <w:r>
              <w:rPr>
                <w:rFonts w:hint="eastAsia" w:ascii="宋体" w:hAnsi="宋体" w:cs="宋体"/>
                <w:szCs w:val="21"/>
              </w:rPr>
              <w:t>分；</w:t>
            </w:r>
          </w:p>
          <w:p>
            <w:pPr>
              <w:pStyle w:val="250"/>
              <w:jc w:val="left"/>
              <w:rPr>
                <w:rFonts w:ascii="宋体" w:hAnsi="宋体" w:cs="宋体"/>
                <w:szCs w:val="21"/>
              </w:rPr>
            </w:pPr>
            <w:r>
              <w:rPr>
                <w:rFonts w:hint="eastAsia" w:ascii="宋体" w:hAnsi="宋体" w:cs="宋体"/>
                <w:szCs w:val="21"/>
              </w:rPr>
              <w:t>3、古雷及周边地区无常驻技术服务人员，承诺常驻我司现场的服务人员具有3年以上的P</w:t>
            </w:r>
            <w:r>
              <w:rPr>
                <w:rFonts w:ascii="宋体" w:hAnsi="宋体" w:cs="宋体"/>
                <w:szCs w:val="21"/>
              </w:rPr>
              <w:t>TA装置锅炉水处理</w:t>
            </w:r>
            <w:r>
              <w:rPr>
                <w:rFonts w:hint="eastAsia" w:ascii="宋体" w:hAnsi="宋体" w:cs="宋体"/>
                <w:szCs w:val="21"/>
              </w:rPr>
              <w:t>经验的：</w:t>
            </w:r>
            <w:r>
              <w:rPr>
                <w:rFonts w:ascii="宋体" w:hAnsi="宋体" w:cs="宋体"/>
                <w:szCs w:val="21"/>
              </w:rPr>
              <w:t>2</w:t>
            </w:r>
            <w:r>
              <w:rPr>
                <w:rFonts w:hint="eastAsia" w:ascii="宋体" w:hAnsi="宋体" w:cs="宋体"/>
                <w:szCs w:val="21"/>
              </w:rPr>
              <w:t>分；</w:t>
            </w:r>
          </w:p>
          <w:p>
            <w:pPr>
              <w:pStyle w:val="250"/>
              <w:jc w:val="left"/>
              <w:rPr>
                <w:rFonts w:ascii="宋体" w:hAnsi="宋体" w:cs="宋体"/>
                <w:szCs w:val="21"/>
              </w:rPr>
            </w:pPr>
            <w:r>
              <w:rPr>
                <w:rFonts w:ascii="宋体" w:hAnsi="宋体" w:cs="宋体"/>
                <w:szCs w:val="21"/>
              </w:rPr>
              <w:t>4</w:t>
            </w:r>
            <w:r>
              <w:rPr>
                <w:rFonts w:hint="eastAsia" w:ascii="宋体" w:hAnsi="宋体" w:cs="宋体"/>
                <w:szCs w:val="21"/>
              </w:rPr>
              <w:t>、古雷及周边地区无常驻有技术服务人员，且无法承诺日后常驻我司现场的服务人员具有已有3年以上的P</w:t>
            </w:r>
            <w:r>
              <w:rPr>
                <w:rFonts w:ascii="宋体" w:hAnsi="宋体" w:cs="宋体"/>
                <w:szCs w:val="21"/>
              </w:rPr>
              <w:t>TA装置锅炉水处理</w:t>
            </w:r>
            <w:r>
              <w:rPr>
                <w:rFonts w:hint="eastAsia" w:ascii="宋体" w:hAnsi="宋体" w:cs="宋体"/>
                <w:szCs w:val="21"/>
              </w:rPr>
              <w:t>经验的：0分；</w:t>
            </w:r>
          </w:p>
        </w:tc>
        <w:tc>
          <w:tcPr>
            <w:tcW w:w="1349" w:type="dxa"/>
            <w:vAlign w:val="center"/>
          </w:tcPr>
          <w:p>
            <w:pPr>
              <w:pStyle w:val="2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41" w:type="dxa"/>
            <w:vAlign w:val="center"/>
          </w:tcPr>
          <w:p>
            <w:pPr>
              <w:pStyle w:val="250"/>
              <w:rPr>
                <w:rFonts w:hint="eastAsia" w:eastAsia="宋体"/>
                <w:szCs w:val="21"/>
                <w:lang w:eastAsia="zh-CN"/>
              </w:rPr>
            </w:pPr>
            <w:r>
              <w:rPr>
                <w:rFonts w:hint="eastAsia"/>
                <w:szCs w:val="21"/>
                <w:lang w:val="en-US" w:eastAsia="zh-CN"/>
              </w:rPr>
              <w:t>5</w:t>
            </w:r>
          </w:p>
        </w:tc>
        <w:tc>
          <w:tcPr>
            <w:tcW w:w="1861" w:type="dxa"/>
            <w:tcBorders>
              <w:top w:val="single" w:color="auto" w:sz="4" w:space="0"/>
            </w:tcBorders>
            <w:vAlign w:val="center"/>
          </w:tcPr>
          <w:p>
            <w:pPr>
              <w:pStyle w:val="250"/>
              <w:jc w:val="left"/>
              <w:rPr>
                <w:szCs w:val="21"/>
              </w:rPr>
            </w:pPr>
            <w:r>
              <w:rPr>
                <w:rFonts w:hint="eastAsia" w:ascii="宋体" w:hAnsi="宋体" w:cs="宋体"/>
                <w:szCs w:val="21"/>
              </w:rPr>
              <w:t>行业中获得的奖项或专利技术</w:t>
            </w:r>
          </w:p>
        </w:tc>
        <w:tc>
          <w:tcPr>
            <w:tcW w:w="1015" w:type="dxa"/>
            <w:vAlign w:val="center"/>
          </w:tcPr>
          <w:p>
            <w:pPr>
              <w:pStyle w:val="250"/>
              <w:rPr>
                <w:szCs w:val="21"/>
              </w:rPr>
            </w:pPr>
            <w:r>
              <w:rPr>
                <w:szCs w:val="21"/>
              </w:rPr>
              <w:t>5</w:t>
            </w:r>
          </w:p>
        </w:tc>
        <w:tc>
          <w:tcPr>
            <w:tcW w:w="4190" w:type="dxa"/>
            <w:vAlign w:val="center"/>
          </w:tcPr>
          <w:p>
            <w:pPr>
              <w:pStyle w:val="250"/>
              <w:jc w:val="left"/>
              <w:rPr>
                <w:szCs w:val="21"/>
              </w:rPr>
            </w:pPr>
            <w:r>
              <w:rPr>
                <w:rFonts w:hint="eastAsia"/>
                <w:szCs w:val="21"/>
              </w:rPr>
              <w:t>在锅炉水处理行业</w:t>
            </w:r>
            <w:r>
              <w:rPr>
                <w:rFonts w:hint="eastAsia"/>
                <w:szCs w:val="21"/>
                <w:lang w:val="en-US" w:eastAsia="zh-CN"/>
              </w:rPr>
              <w:t>近5年内</w:t>
            </w:r>
            <w:r>
              <w:rPr>
                <w:rFonts w:hint="eastAsia"/>
                <w:szCs w:val="21"/>
              </w:rPr>
              <w:t>，每提供一项荣誉、奖项或技术专利证明得1分。</w:t>
            </w:r>
          </w:p>
        </w:tc>
        <w:tc>
          <w:tcPr>
            <w:tcW w:w="1349" w:type="dxa"/>
            <w:vAlign w:val="center"/>
          </w:tcPr>
          <w:p>
            <w:pPr>
              <w:pStyle w:val="250"/>
              <w:rPr>
                <w:rFonts w:ascii="宋体" w:hAnsi="宋体" w:cs="宋体"/>
                <w:szCs w:val="21"/>
              </w:rPr>
            </w:pPr>
            <w:r>
              <w:rPr>
                <w:rFonts w:ascii="宋体" w:hAnsi="宋体" w:cs="宋体"/>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02" w:type="dxa"/>
            <w:gridSpan w:val="2"/>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r>
              <w:rPr>
                <w:szCs w:val="21"/>
              </w:rPr>
              <w:t>合计</w:t>
            </w:r>
          </w:p>
        </w:tc>
        <w:tc>
          <w:tcPr>
            <w:tcW w:w="5205" w:type="dxa"/>
            <w:gridSpan w:val="2"/>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r>
              <w:rPr>
                <w:szCs w:val="21"/>
              </w:rPr>
              <w:t>40分</w:t>
            </w:r>
          </w:p>
        </w:tc>
        <w:tc>
          <w:tcPr>
            <w:tcW w:w="1349" w:type="dxa"/>
            <w:vAlign w:val="center"/>
          </w:tcPr>
          <w:p>
            <w:pPr>
              <w:pStyle w:val="250"/>
              <w:keepNext w:val="0"/>
              <w:keepLines w:val="0"/>
              <w:pageBreakBefore w:val="0"/>
              <w:kinsoku/>
              <w:wordWrap/>
              <w:overflowPunct/>
              <w:topLinePunct w:val="0"/>
              <w:bidi w:val="0"/>
              <w:snapToGrid/>
              <w:spacing w:line="360" w:lineRule="auto"/>
              <w:ind w:left="0" w:leftChars="0" w:right="0" w:firstLine="420" w:firstLineChars="200"/>
              <w:rPr>
                <w:rFonts w:ascii="宋体" w:hAnsi="宋体" w:cs="宋体"/>
                <w:szCs w:val="21"/>
              </w:rPr>
            </w:pPr>
          </w:p>
        </w:tc>
      </w:tr>
    </w:tbl>
    <w:p>
      <w:pPr>
        <w:pStyle w:val="2"/>
        <w:keepNext w:val="0"/>
        <w:keepLines w:val="0"/>
        <w:pageBreakBefore w:val="0"/>
        <w:kinsoku/>
        <w:wordWrap/>
        <w:overflowPunct/>
        <w:topLinePunct w:val="0"/>
        <w:bidi w:val="0"/>
        <w:snapToGrid/>
        <w:spacing w:line="360" w:lineRule="auto"/>
        <w:ind w:left="0" w:leftChars="0" w:right="0" w:firstLine="680" w:firstLineChars="200"/>
      </w:pP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3.3</w:t>
      </w:r>
      <w:r>
        <w:rPr>
          <w:rFonts w:hint="eastAsia"/>
          <w:snapToGrid w:val="0"/>
          <w:sz w:val="24"/>
          <w:szCs w:val="24"/>
          <w:lang w:val="en-US" w:eastAsia="zh-CN"/>
        </w:rPr>
        <w:t xml:space="preserve"> </w:t>
      </w:r>
      <w:r>
        <w:rPr>
          <w:rFonts w:hint="eastAsia"/>
          <w:snapToGrid w:val="0"/>
          <w:sz w:val="24"/>
          <w:szCs w:val="24"/>
          <w:lang w:eastAsia="zh-CN"/>
        </w:rPr>
        <w:t>而各参选人商务标得分按照以下公式计算得分，计算分数时均四舍五入取小数点后</w:t>
      </w:r>
      <w:r>
        <w:rPr>
          <w:snapToGrid w:val="0"/>
          <w:sz w:val="24"/>
          <w:szCs w:val="24"/>
          <w:lang w:eastAsia="zh-CN"/>
        </w:rPr>
        <w:t>2位数。</w:t>
      </w:r>
      <w:r>
        <w:rPr>
          <w:rFonts w:hint="eastAsia"/>
          <w:snapToGrid w:val="0"/>
          <w:sz w:val="24"/>
          <w:szCs w:val="24"/>
          <w:lang w:eastAsia="zh-CN"/>
        </w:rPr>
        <w:t>评标委员会将按下列方法计算合格参选人的商务标得分：</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PF=( F低/ Fn)×60</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式中：①PF为投标价格得分。</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②F低为评标基准价=进入报价部分评分的各合格参选人中最低的报价评标价。</w:t>
      </w:r>
    </w:p>
    <w:p>
      <w:pPr>
        <w:keepNext w:val="0"/>
        <w:keepLines w:val="0"/>
        <w:pageBreakBefore w:val="0"/>
        <w:kinsoku/>
        <w:wordWrap/>
        <w:overflowPunct/>
        <w:topLinePunct w:val="0"/>
        <w:bidi w:val="0"/>
        <w:snapToGrid/>
        <w:spacing w:line="360" w:lineRule="auto"/>
        <w:ind w:left="0" w:leftChars="0" w:right="0" w:firstLine="480" w:firstLineChars="200"/>
        <w:rPr>
          <w:snapToGrid w:val="0"/>
          <w:sz w:val="24"/>
          <w:szCs w:val="24"/>
          <w:lang w:eastAsia="zh-CN"/>
        </w:rPr>
      </w:pPr>
      <w:r>
        <w:rPr>
          <w:rFonts w:hint="eastAsia"/>
          <w:snapToGrid w:val="0"/>
          <w:sz w:val="24"/>
          <w:szCs w:val="24"/>
          <w:lang w:eastAsia="zh-CN"/>
        </w:rPr>
        <w:t>③Fn为进入报价部分评分的各合格参选人的报价评标价。</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四、以下情况作废选处理</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2.参选文件存在重大偏差的。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五、评选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3.比选人将做开选记录。</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1.比选人将把合同授予中选人；在授予前，仍需进行资格审查。</w:t>
      </w:r>
    </w:p>
    <w:p>
      <w:pPr>
        <w:pStyle w:val="20"/>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autoSpaceDE w:val="0"/>
        <w:autoSpaceDN w:val="0"/>
        <w:bidi w:val="0"/>
        <w:adjustRightInd/>
        <w:snapToGrid/>
        <w:spacing w:before="106"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106"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1.参选人的参选文件无论其是否中选，均不退回。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2.比选人郑重承诺：参选人所提交的参选文件及相关资料不向第三方泄露。</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ind w:firstLine="1515" w:firstLineChars="539"/>
        <w:rPr>
          <w:rFonts w:cs="Arial" w:asciiTheme="minorEastAsia" w:hAnsiTheme="minorEastAsia" w:eastAsiaTheme="minorEastAsia"/>
          <w:b/>
          <w:bCs/>
          <w:sz w:val="28"/>
          <w:szCs w:val="28"/>
          <w:lang w:eastAsia="zh-CN"/>
        </w:rPr>
      </w:pPr>
      <w:r>
        <w:rPr>
          <w:rFonts w:hint="eastAsia" w:cs="Arial" w:asciiTheme="minorEastAsia" w:hAnsiTheme="minorEastAsia" w:eastAsiaTheme="minorEastAsia"/>
          <w:b/>
          <w:bCs/>
          <w:sz w:val="28"/>
          <w:szCs w:val="28"/>
          <w:lang w:val="en-US" w:eastAsia="zh-CN"/>
        </w:rPr>
        <w:t>福海创</w:t>
      </w:r>
      <w:r>
        <w:rPr>
          <w:rFonts w:hint="eastAsia" w:cs="Arial" w:asciiTheme="minorEastAsia" w:hAnsiTheme="minorEastAsia" w:eastAsiaTheme="minorEastAsia"/>
          <w:b/>
          <w:bCs/>
          <w:sz w:val="28"/>
          <w:szCs w:val="28"/>
          <w:lang w:eastAsia="zh-CN"/>
        </w:rPr>
        <w:t>PTA装置废热锅炉水质处理药剂供应及服务</w:t>
      </w:r>
      <w:r>
        <w:rPr>
          <w:rFonts w:cs="Arial" w:asciiTheme="minorEastAsia" w:hAnsiTheme="minorEastAsia" w:eastAsiaTheme="minorEastAsia"/>
          <w:b/>
          <w:bCs/>
          <w:sz w:val="28"/>
          <w:szCs w:val="28"/>
          <w:lang w:eastAsia="zh-CN"/>
        </w:rPr>
        <w:t>合同</w:t>
      </w:r>
    </w:p>
    <w:p>
      <w:pPr>
        <w:widowControl/>
        <w:spacing w:before="156" w:after="156" w:line="360" w:lineRule="auto"/>
        <w:ind w:firstLine="561"/>
        <w:jc w:val="center"/>
        <w:textAlignment w:val="bottom"/>
        <w:rPr>
          <w:rFonts w:cs="Arial" w:asciiTheme="minorEastAsia" w:hAnsiTheme="minorEastAsia" w:eastAsiaTheme="minorEastAsia"/>
          <w:b/>
          <w:bCs/>
          <w:sz w:val="24"/>
          <w:szCs w:val="24"/>
          <w:lang w:eastAsia="zh-CN"/>
        </w:rPr>
      </w:pPr>
    </w:p>
    <w:p>
      <w:pPr>
        <w:spacing w:line="480" w:lineRule="auto"/>
        <w:ind w:firstLine="562"/>
        <w:textAlignment w:val="bottom"/>
        <w:rPr>
          <w:rFonts w:cs="Arial" w:asciiTheme="minorEastAsia" w:hAnsiTheme="minorEastAsia" w:eastAsiaTheme="minorEastAsia"/>
          <w:b/>
          <w:sz w:val="24"/>
          <w:szCs w:val="24"/>
          <w:lang w:eastAsia="zh-CN"/>
        </w:rPr>
      </w:pPr>
    </w:p>
    <w:p>
      <w:pPr>
        <w:spacing w:line="1000" w:lineRule="exact"/>
        <w:ind w:firstLine="562"/>
        <w:textAlignment w:val="bottom"/>
        <w:rPr>
          <w:rFonts w:cs="Arial" w:asciiTheme="minorEastAsia" w:hAnsiTheme="minorEastAsia" w:eastAsiaTheme="minorEastAsia"/>
          <w:b/>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r>
        <w:rPr>
          <w:rFonts w:cs="Arial" w:asciiTheme="minorEastAsia" w:hAnsiTheme="minorEastAsia" w:eastAsiaTheme="minorEastAsia"/>
          <w:b/>
          <w:bCs/>
          <w:sz w:val="24"/>
          <w:szCs w:val="24"/>
          <w:lang w:eastAsia="zh-CN"/>
        </w:rPr>
        <w:t>甲方：翔鹭石化（漳州）有限公司</w:t>
      </w: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sz w:val="24"/>
          <w:szCs w:val="24"/>
          <w:lang w:eastAsia="zh-CN"/>
        </w:rPr>
      </w:pPr>
      <w:r>
        <w:rPr>
          <w:rFonts w:cs="Arial" w:asciiTheme="minorEastAsia" w:hAnsiTheme="minorEastAsia" w:eastAsiaTheme="minorEastAsia"/>
          <w:b/>
          <w:bCs/>
          <w:sz w:val="24"/>
          <w:szCs w:val="24"/>
          <w:lang w:eastAsia="zh-CN"/>
        </w:rPr>
        <w:t>乙方：</w:t>
      </w:r>
      <w:r>
        <w:rPr>
          <w:rFonts w:cs="Arial" w:asciiTheme="minorEastAsia" w:hAnsiTheme="minorEastAsia" w:eastAsiaTheme="minorEastAsia"/>
          <w:b/>
          <w:sz w:val="24"/>
          <w:szCs w:val="24"/>
          <w:lang w:eastAsia="zh-CN"/>
        </w:rPr>
        <w:t xml:space="preserve"> </w:t>
      </w:r>
    </w:p>
    <w:p>
      <w:pPr>
        <w:spacing w:line="1000" w:lineRule="exact"/>
        <w:ind w:firstLine="630"/>
        <w:rPr>
          <w:rFonts w:cs="Arial" w:asciiTheme="minorEastAsia" w:hAnsiTheme="minorEastAsia" w:eastAsiaTheme="minorEastAsia"/>
          <w:b/>
          <w:sz w:val="24"/>
          <w:szCs w:val="24"/>
          <w:lang w:eastAsia="zh-CN"/>
        </w:rPr>
      </w:pPr>
    </w:p>
    <w:p>
      <w:pPr>
        <w:spacing w:line="1000" w:lineRule="exact"/>
        <w:ind w:left="281" w:firstLine="281"/>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签约地点：</w:t>
      </w:r>
      <w:r>
        <w:rPr>
          <w:rFonts w:hint="eastAsia" w:cs="Arial" w:asciiTheme="minorEastAsia" w:hAnsiTheme="minorEastAsia" w:eastAsiaTheme="minorEastAsia"/>
          <w:b/>
          <w:sz w:val="24"/>
          <w:szCs w:val="24"/>
          <w:lang w:val="en-US" w:eastAsia="zh-CN"/>
        </w:rPr>
        <w:t>福建漳州</w:t>
      </w:r>
    </w:p>
    <w:p>
      <w:pPr>
        <w:spacing w:line="1000" w:lineRule="exact"/>
        <w:ind w:firstLine="562"/>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签约时间：</w:t>
      </w:r>
      <w:r>
        <w:rPr>
          <w:rFonts w:hint="eastAsia" w:cs="Arial" w:asciiTheme="minorEastAsia" w:hAnsiTheme="minorEastAsia" w:eastAsiaTheme="minorEastAsia"/>
          <w:b/>
          <w:sz w:val="24"/>
          <w:szCs w:val="24"/>
          <w:lang w:val="en-US" w:eastAsia="zh-CN"/>
        </w:rPr>
        <w:t>2022年   月   日</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r>
        <w:rPr>
          <w:rStyle w:val="251"/>
          <w:rFonts w:hint="eastAsia" w:asciiTheme="minorEastAsia" w:hAnsiTheme="minorEastAsia" w:eastAsiaTheme="minorEastAsia"/>
          <w:sz w:val="24"/>
          <w:szCs w:val="24"/>
          <w:lang w:eastAsia="zh-CN"/>
        </w:rPr>
        <w:t>甲乙</w:t>
      </w:r>
      <w:r>
        <w:rPr>
          <w:rStyle w:val="251"/>
          <w:rFonts w:asciiTheme="minorEastAsia" w:hAnsiTheme="minorEastAsia" w:eastAsiaTheme="minorEastAsia"/>
          <w:sz w:val="24"/>
          <w:szCs w:val="24"/>
          <w:lang w:eastAsia="zh-CN"/>
        </w:rPr>
        <w:t>双方经充分协商，本着自愿及平等互利的原则，</w:t>
      </w:r>
      <w:r>
        <w:rPr>
          <w:rStyle w:val="251"/>
          <w:rFonts w:hint="eastAsia" w:asciiTheme="minorEastAsia" w:hAnsiTheme="minorEastAsia" w:eastAsiaTheme="minorEastAsia"/>
          <w:sz w:val="24"/>
          <w:szCs w:val="24"/>
          <w:lang w:eastAsia="zh-CN"/>
        </w:rPr>
        <w:t>就乙方向甲方提供废热锅炉水质处理药剂及提供水处理服务</w:t>
      </w:r>
      <w:r>
        <w:rPr>
          <w:rStyle w:val="251"/>
          <w:rFonts w:asciiTheme="minorEastAsia" w:hAnsiTheme="minorEastAsia" w:eastAsiaTheme="minorEastAsia"/>
          <w:sz w:val="24"/>
          <w:szCs w:val="24"/>
          <w:lang w:eastAsia="zh-CN"/>
        </w:rPr>
        <w:t>订立本合同。</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第一条产品名称、规格、价格等：</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第二条合同期限：</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本合同执行期限为：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2022年11月18日至2024年11月17日。</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第三条产品说明及质量标准：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乙方提供的物品必须严格遵守国家颁布相关的安全、健康、环保方面的法律、法规及相关行业标准。乙方需按照双方认可的技术方案和加药方案执行，保证甲方认可的加药效果，效果达到要求，则按本合同规定履约；</w:t>
      </w:r>
      <w:r>
        <w:rPr>
          <w:rFonts w:cs="Arial" w:asciiTheme="minorEastAsia" w:hAnsiTheme="minorEastAsia" w:eastAsiaTheme="minorEastAsia"/>
          <w:sz w:val="24"/>
          <w:szCs w:val="24"/>
          <w:lang w:eastAsia="zh-CN"/>
        </w:rPr>
        <w:t>若效果达不到要求，则甲方有权解除合同，乙方承担违约责任</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第四条包装方式和包装品的处理：</w:t>
      </w:r>
    </w:p>
    <w:p>
      <w:pPr>
        <w:pStyle w:val="41"/>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cs="Arial" w:asciiTheme="minorEastAsia" w:hAnsiTheme="minorEastAsia" w:eastAsiaTheme="minorEastAsia"/>
        </w:rPr>
      </w:pPr>
      <w:r>
        <w:rPr>
          <w:rStyle w:val="251"/>
          <w:rFonts w:hint="eastAsia" w:asciiTheme="minorEastAsia" w:hAnsiTheme="minorEastAsia" w:eastAsiaTheme="minorEastAsia"/>
          <w:sz w:val="24"/>
          <w:szCs w:val="24"/>
        </w:rPr>
        <w:t>根据双方签订的技术协议执行，货物包装由乙方负责，包装标准应能符合长途运输及多次搬运、装卸的要求。乙方承担由于包装不妥或不合理而引起货物损坏和丢失的责任。包装物由乙方提供，空桶由乙方负责回收，包装所发生的一切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第五条交货方式：</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5.1、</w:t>
      </w:r>
      <w:r>
        <w:rPr>
          <w:rStyle w:val="251"/>
          <w:rFonts w:asciiTheme="minorEastAsia" w:hAnsiTheme="minorEastAsia" w:eastAsiaTheme="minorEastAsia"/>
          <w:sz w:val="24"/>
          <w:szCs w:val="24"/>
          <w:lang w:eastAsia="zh-CN"/>
        </w:rPr>
        <w:t>交货时间：</w:t>
      </w:r>
      <w:r>
        <w:rPr>
          <w:rStyle w:val="251"/>
          <w:rFonts w:hint="eastAsia" w:asciiTheme="minorEastAsia" w:hAnsiTheme="minorEastAsia" w:eastAsiaTheme="minorEastAsia"/>
          <w:sz w:val="24"/>
          <w:szCs w:val="24"/>
          <w:lang w:eastAsia="zh-CN"/>
        </w:rPr>
        <w:t>第一次交货需要甲方提前15个工作日书面通知，之后乙方需要根据现场药剂使用情况自行安排交货，以确保现场药剂有足够的存量</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cs="Times New Roman"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交货地点、方式和费用：</w:t>
      </w:r>
      <w:r>
        <w:rPr>
          <w:rFonts w:cs="Arial" w:asciiTheme="minorEastAsia" w:hAnsiTheme="minorEastAsia" w:eastAsiaTheme="minorEastAsia"/>
          <w:sz w:val="24"/>
          <w:szCs w:val="24"/>
          <w:lang w:eastAsia="zh-CN"/>
        </w:rPr>
        <w:t>乙方将货物送至甲方指定场所，并负责卸货及二次搬运至指定地点</w:t>
      </w:r>
      <w:r>
        <w:rPr>
          <w:rFonts w:hint="eastAsia" w:cs="Arial" w:asciiTheme="minorEastAsia" w:hAnsiTheme="minorEastAsia" w:eastAsiaTheme="minorEastAsia"/>
          <w:sz w:val="24"/>
          <w:szCs w:val="24"/>
          <w:lang w:eastAsia="zh-CN"/>
        </w:rPr>
        <w:t>及投药。</w:t>
      </w:r>
      <w:r>
        <w:rPr>
          <w:rFonts w:hint="eastAsia" w:asciiTheme="minorEastAsia" w:hAnsiTheme="minorEastAsia" w:eastAsiaTheme="minorEastAsia"/>
          <w:sz w:val="24"/>
          <w:szCs w:val="24"/>
          <w:lang w:eastAsia="zh-CN"/>
        </w:rPr>
        <w:t>在产品交付给甲方之前，相关的毁损、灭失等风险均由乙方自行承担。</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乙方交付货物时，应同时告知甲方相应的保管、使用注意事项及方法，如因乙方未能尽此告知义务，而造成保管、使用不当，致产品质量下降的，由乙方承担相应责任。</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5.4、</w:t>
      </w:r>
      <w:r>
        <w:rPr>
          <w:rStyle w:val="251"/>
          <w:rFonts w:asciiTheme="minorEastAsia" w:hAnsiTheme="minorEastAsia" w:eastAsiaTheme="minorEastAsia"/>
          <w:sz w:val="24"/>
          <w:szCs w:val="24"/>
          <w:lang w:eastAsia="zh-CN"/>
        </w:rPr>
        <w:t>乙方送货时应提供送货单、合格证书、材质安全报告（MSDS）及检测报告等相关材料。</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第六条验收：</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验收时间：货到后10个工作日内</w:t>
      </w:r>
      <w:r>
        <w:rPr>
          <w:rStyle w:val="251"/>
          <w:rFonts w:hint="eastAsia" w:asciiTheme="minorEastAsia" w:hAnsiTheme="minorEastAsia" w:eastAsiaTheme="minorEastAsia"/>
          <w:sz w:val="24"/>
          <w:szCs w:val="24"/>
          <w:lang w:eastAsia="zh-CN"/>
        </w:rPr>
        <w:t>初步验收</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验收方式：甲方依据</w:t>
      </w:r>
      <w:r>
        <w:rPr>
          <w:rStyle w:val="251"/>
          <w:rFonts w:hint="eastAsia" w:asciiTheme="minorEastAsia" w:hAnsiTheme="minorEastAsia" w:eastAsiaTheme="minorEastAsia"/>
          <w:sz w:val="24"/>
          <w:szCs w:val="24"/>
          <w:lang w:eastAsia="zh-CN"/>
        </w:rPr>
        <w:t>合同规定、技术协议规定</w:t>
      </w:r>
      <w:r>
        <w:rPr>
          <w:rStyle w:val="251"/>
          <w:rFonts w:asciiTheme="minorEastAsia" w:hAnsiTheme="minorEastAsia" w:eastAsiaTheme="minorEastAsia"/>
          <w:sz w:val="24"/>
          <w:szCs w:val="24"/>
          <w:lang w:eastAsia="zh-CN"/>
        </w:rPr>
        <w:t>、产品检测报告单以及送货单验收，以包装及封印完整无破损向承运单位接受货物，双方在现场清点货物，若发现与合同标的、质量等及</w:t>
      </w:r>
      <w:r>
        <w:rPr>
          <w:rStyle w:val="251"/>
          <w:rFonts w:hint="eastAsia" w:asciiTheme="minorEastAsia" w:hAnsiTheme="minorEastAsia" w:eastAsiaTheme="minorEastAsia"/>
          <w:sz w:val="24"/>
          <w:szCs w:val="24"/>
          <w:lang w:eastAsia="zh-CN"/>
        </w:rPr>
        <w:t>合同</w:t>
      </w:r>
      <w:r>
        <w:rPr>
          <w:rStyle w:val="251"/>
          <w:rFonts w:asciiTheme="minorEastAsia" w:hAnsiTheme="minorEastAsia" w:eastAsiaTheme="minorEastAsia"/>
          <w:sz w:val="24"/>
          <w:szCs w:val="24"/>
          <w:lang w:eastAsia="zh-CN"/>
        </w:rPr>
        <w:t>规定不符的情况，应立即</w:t>
      </w:r>
      <w:r>
        <w:rPr>
          <w:rStyle w:val="251"/>
          <w:rFonts w:hint="eastAsia" w:asciiTheme="minorEastAsia" w:hAnsiTheme="minorEastAsia" w:eastAsiaTheme="minorEastAsia"/>
          <w:sz w:val="24"/>
          <w:szCs w:val="24"/>
          <w:lang w:eastAsia="zh-CN"/>
        </w:rPr>
        <w:t>书面</w:t>
      </w:r>
      <w:r>
        <w:rPr>
          <w:rStyle w:val="251"/>
          <w:rFonts w:asciiTheme="minorEastAsia" w:hAnsiTheme="minorEastAsia" w:eastAsiaTheme="minorEastAsia"/>
          <w:sz w:val="24"/>
          <w:szCs w:val="24"/>
          <w:lang w:eastAsia="zh-CN"/>
        </w:rPr>
        <w:t>通知乙方，乙方应在得到通知后10天内答复处理，否则被视为未交货或交货不全。</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甲方验收后并不免除乙方的质量保证责任。</w:t>
      </w:r>
      <w:r>
        <w:rPr>
          <w:rStyle w:val="251"/>
          <w:rFonts w:hint="eastAsia" w:asciiTheme="minorEastAsia" w:hAnsiTheme="minorEastAsia" w:eastAsiaTheme="minorEastAsia"/>
          <w:sz w:val="24"/>
          <w:szCs w:val="24"/>
          <w:lang w:eastAsia="zh-CN"/>
        </w:rPr>
        <w:t>乙方仍有义务承担质保责任并提供及时的售后服务。</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第七条货款支付：</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1、结算方式：合约中预估药剂添加量只作为合约报价的依据，不作为最后费用结算依据。在甲方正常操作、稳定及补充水质、AC-（≤15 mg/L）等指标控制范围内，乙方每月请款费用依据为：合同总价÷24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24个月×当月考核系数) ÷自然月天数×服务天数。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cs="Arial" w:asciiTheme="minorEastAsia" w:hAnsiTheme="minorEastAsia" w:eastAsiaTheme="minorEastAsia"/>
          <w:color w:val="000000"/>
          <w:sz w:val="24"/>
          <w:szCs w:val="24"/>
          <w:lang w:eastAsia="zh-CN"/>
        </w:rPr>
      </w:pPr>
      <w:r>
        <w:rPr>
          <w:rFonts w:hint="eastAsia" w:cs="Arial" w:asciiTheme="minorEastAsia" w:hAnsiTheme="minorEastAsia" w:eastAsiaTheme="minorEastAsia"/>
          <w:color w:val="000000"/>
          <w:sz w:val="24"/>
          <w:szCs w:val="24"/>
          <w:lang w:eastAsia="zh-CN"/>
        </w:rPr>
        <w:t>且收到应付费用的全额</w:t>
      </w:r>
      <w:r>
        <w:rPr>
          <w:rFonts w:hint="eastAsia" w:cs="Arial" w:asciiTheme="minorEastAsia" w:hAnsiTheme="minorEastAsia" w:eastAsiaTheme="minorEastAsia"/>
          <w:color w:val="000000"/>
          <w:sz w:val="24"/>
          <w:szCs w:val="24"/>
          <w:u w:val="single"/>
          <w:lang w:eastAsia="zh-CN"/>
        </w:rPr>
        <w:t xml:space="preserve">    </w:t>
      </w:r>
      <w:r>
        <w:rPr>
          <w:rFonts w:hint="eastAsia" w:cs="Arial" w:asciiTheme="minorEastAsia" w:hAnsiTheme="minorEastAsia" w:eastAsiaTheme="minorEastAsia"/>
          <w:color w:val="000000"/>
          <w:sz w:val="24"/>
          <w:szCs w:val="24"/>
          <w:lang w:eastAsia="zh-CN"/>
        </w:rPr>
        <w:t>%增值税专用发票后30个工作日内，甲方通过银行转帐方式支付给乙方:</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收款人：</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lang w:eastAsia="zh-CN"/>
        </w:rPr>
        <w:t xml:space="preserve"> </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color w:val="000000"/>
          <w:sz w:val="24"/>
          <w:szCs w:val="24"/>
          <w:lang w:eastAsia="zh-CN"/>
        </w:rPr>
      </w:pPr>
      <w:r>
        <w:rPr>
          <w:rStyle w:val="251"/>
          <w:rFonts w:hint="eastAsia" w:asciiTheme="minorEastAsia" w:hAnsiTheme="minorEastAsia" w:eastAsiaTheme="minorEastAsia"/>
          <w:sz w:val="24"/>
          <w:szCs w:val="24"/>
          <w:lang w:eastAsia="zh-CN"/>
        </w:rPr>
        <w:t>账号：</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2、当月考核系数计算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当月考核系数由售后服务考核和技术服务考核两部份组成，其中售后服务考核权重占比20%，技术服务考核权重占比80%。</w:t>
      </w:r>
    </w:p>
    <w:p>
      <w:pPr>
        <w:keepNext w:val="0"/>
        <w:keepLines w:val="0"/>
        <w:pageBreakBefore w:val="0"/>
        <w:kinsoku/>
        <w:wordWrap/>
        <w:overflowPunct/>
        <w:topLinePunct w:val="0"/>
        <w:bidi w:val="0"/>
        <w:adjustRightInd/>
        <w:snapToGrid/>
        <w:spacing w:line="360" w:lineRule="auto"/>
        <w:ind w:firstLine="480" w:firstLineChars="200"/>
        <w:textAlignment w:val="auto"/>
        <w:rPr>
          <w:color w:val="000000"/>
          <w:sz w:val="24"/>
          <w:szCs w:val="24"/>
          <w:lang w:eastAsia="zh-CN"/>
        </w:rPr>
      </w:pPr>
      <w:r>
        <w:rPr>
          <w:rFonts w:hint="eastAsia"/>
          <w:color w:val="000000"/>
          <w:sz w:val="24"/>
          <w:szCs w:val="24"/>
          <w:lang w:eastAsia="zh-CN"/>
        </w:rPr>
        <w:t>当月考核系数=售后服务考核系数×20%+技术服务考核系数×80%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3、</w:t>
      </w:r>
      <w:r>
        <w:rPr>
          <w:b w:val="0"/>
          <w:lang w:eastAsia="zh-CN"/>
        </w:rPr>
        <w:t xml:space="preserve"> </w:t>
      </w:r>
      <w:r>
        <w:rPr>
          <w:rFonts w:hint="eastAsia"/>
          <w:b w:val="0"/>
          <w:lang w:eastAsia="zh-CN"/>
        </w:rPr>
        <w:t>售后服务考核：甲方根据合约售后服务内容对乙方执行情况进行服务评分，考评结果由甲乙双方共同签字确认，作为售后服务考核的依据。</w:t>
      </w:r>
      <w:r>
        <w:rPr>
          <w:rFonts w:hint="eastAsia"/>
          <w:b w:val="0"/>
          <w:lang w:val="en-US" w:eastAsia="zh-CN"/>
        </w:rPr>
        <w:t>乙方</w:t>
      </w:r>
      <w:r>
        <w:rPr>
          <w:rFonts w:hint="eastAsia"/>
          <w:b w:val="0"/>
          <w:lang w:eastAsia="zh-CN"/>
        </w:rPr>
        <w:t>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4、</w:t>
      </w:r>
      <w:r>
        <w:rPr>
          <w:b w:val="0"/>
          <w:lang w:eastAsia="zh-CN"/>
        </w:rPr>
        <w:t xml:space="preserve"> </w:t>
      </w:r>
      <w:r>
        <w:rPr>
          <w:rFonts w:hint="eastAsia"/>
          <w:b w:val="0"/>
          <w:lang w:eastAsia="zh-CN"/>
        </w:rPr>
        <w:t>技术服务考核：按P</w:t>
      </w:r>
      <w:r>
        <w:rPr>
          <w:b w:val="0"/>
          <w:lang w:eastAsia="zh-CN"/>
        </w:rPr>
        <w:t>TA团队</w:t>
      </w:r>
      <w:r>
        <w:rPr>
          <w:rFonts w:hint="eastAsia"/>
          <w:b w:val="0"/>
          <w:lang w:eastAsia="zh-CN"/>
        </w:rPr>
        <w:t>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5、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4"/>
        <w:keepNext w:val="0"/>
        <w:keepLines w:val="0"/>
        <w:pageBreakBefore w:val="0"/>
        <w:kinsoku/>
        <w:wordWrap/>
        <w:overflowPunct/>
        <w:topLinePunct w:val="0"/>
        <w:bidi w:val="0"/>
        <w:adjustRightInd/>
        <w:snapToGrid/>
        <w:spacing w:line="360" w:lineRule="auto"/>
        <w:ind w:firstLine="482" w:firstLineChars="200"/>
        <w:jc w:val="center"/>
        <w:textAlignment w:val="auto"/>
      </w:pPr>
      <w:r>
        <w:rPr>
          <w:rFonts w:hint="eastAsia"/>
          <w:lang w:eastAsia="zh-CN"/>
        </w:rPr>
        <w:drawing>
          <wp:inline distT="0" distB="0" distL="0" distR="0">
            <wp:extent cx="2790825" cy="438150"/>
            <wp:effectExtent l="19050" t="0" r="9525" b="0"/>
            <wp:docPr id="1"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D:\USERS\zjchen\桌面\无标题.png"/>
                    <pic:cNvPicPr>
                      <a:picLocks noChangeAspect="1" noChangeArrowheads="1"/>
                    </pic:cNvPicPr>
                  </pic:nvPicPr>
                  <pic:blipFill>
                    <a:blip r:embed="rId10" cstate="print"/>
                    <a:srcRect/>
                    <a:stretch>
                      <a:fillRect/>
                    </a:stretch>
                  </pic:blipFill>
                  <pic:spPr>
                    <a:xfrm>
                      <a:off x="0" y="0"/>
                      <a:ext cx="2790825" cy="438150"/>
                    </a:xfrm>
                    <a:prstGeom prst="rect">
                      <a:avLst/>
                    </a:prstGeom>
                    <a:noFill/>
                    <a:ln w="9525">
                      <a:noFill/>
                      <a:miter lim="800000"/>
                      <a:headEnd/>
                      <a:tailEnd/>
                    </a:ln>
                  </pic:spPr>
                </pic:pic>
              </a:graphicData>
            </a:graphic>
          </wp:inline>
        </w:drawing>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w:t>
      </w:r>
      <w:r>
        <w:rPr>
          <w:b w:val="0"/>
          <w:lang w:eastAsia="zh-CN"/>
        </w:rPr>
        <w:t>锅炉水质分析频率为：</w:t>
      </w:r>
      <w:r>
        <w:rPr>
          <w:rFonts w:hint="eastAsia"/>
          <w:b w:val="0"/>
          <w:lang w:eastAsia="zh-CN"/>
        </w:rPr>
        <w:t>p</w:t>
      </w:r>
      <w:r>
        <w:rPr>
          <w:b w:val="0"/>
          <w:lang w:eastAsia="zh-CN"/>
        </w:rPr>
        <w:t>H每天一次，</w:t>
      </w:r>
      <w:r>
        <w:rPr>
          <w:rFonts w:hint="eastAsia"/>
          <w:b w:val="0"/>
          <w:lang w:eastAsia="zh-CN"/>
        </w:rPr>
        <w:t>Fe每周三次，</w:t>
      </w:r>
      <w:r>
        <w:rPr>
          <w:b w:val="0"/>
          <w:lang w:eastAsia="zh-CN"/>
        </w:rPr>
        <w:t>SiO</w:t>
      </w:r>
      <w:r>
        <w:rPr>
          <w:b w:val="0"/>
          <w:vertAlign w:val="subscript"/>
          <w:lang w:eastAsia="zh-CN"/>
        </w:rPr>
        <w:t>2</w:t>
      </w:r>
      <w:r>
        <w:rPr>
          <w:rFonts w:hint="eastAsia"/>
          <w:b w:val="0"/>
          <w:lang w:eastAsia="zh-CN"/>
        </w:rPr>
        <w:t>每周三次，Cond. 每周三次， (PO</w:t>
      </w:r>
      <w:r>
        <w:rPr>
          <w:rFonts w:hint="eastAsia"/>
          <w:b w:val="0"/>
          <w:vertAlign w:val="subscript"/>
          <w:lang w:eastAsia="zh-CN"/>
        </w:rPr>
        <w:t>4</w:t>
      </w:r>
      <w:r>
        <w:rPr>
          <w:rFonts w:hint="eastAsia"/>
          <w:b w:val="0"/>
          <w:lang w:eastAsia="zh-CN"/>
        </w:rPr>
        <w:t>)</w:t>
      </w:r>
      <w:r>
        <w:rPr>
          <w:rFonts w:hint="eastAsia"/>
          <w:b w:val="0"/>
          <w:vertAlign w:val="superscript"/>
          <w:lang w:eastAsia="zh-CN"/>
        </w:rPr>
        <w:t>3-</w:t>
      </w:r>
      <w:r>
        <w:rPr>
          <w:rFonts w:hint="eastAsia"/>
          <w:b w:val="0"/>
          <w:lang w:eastAsia="zh-CN"/>
        </w:rPr>
        <w:t>每周三次。</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6、赔偿：未得到甲方认可前乙方不得单方面不执行合约，乙方单方面不执行合约应按合约总额赔偿甲方，如造成甲方生产事故或设备受损，甲方有权追加相应赔偿。</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7、</w:t>
      </w:r>
      <w:r>
        <w:rPr>
          <w:b w:val="0"/>
          <w:lang w:eastAsia="zh-CN"/>
        </w:rPr>
        <w:t xml:space="preserve"> </w:t>
      </w:r>
      <w:r>
        <w:rPr>
          <w:rFonts w:hint="eastAsia"/>
          <w:b w:val="0"/>
          <w:lang w:eastAsia="zh-CN"/>
        </w:rPr>
        <w:t>若样品连续一周合格率无法达到90%以上要求，甲方有权利要求试用其他厂家助剂，乙方不得有异议。</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8、合约到期或终止后，合约外多余的药剂及药剂空桶由乙方负责清理处置，产生的相关费用由乙方承担。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第八条产品质量异议及承诺：</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firstLine="480" w:firstLineChars="200"/>
        <w:jc w:val="both"/>
        <w:textAlignment w:val="auto"/>
        <w:rPr>
          <w:rStyle w:val="251"/>
          <w:rFonts w:asciiTheme="minorEastAsia" w:hAnsiTheme="minorEastAsia" w:eastAsiaTheme="minorEastAsia"/>
          <w:sz w:val="24"/>
          <w:szCs w:val="24"/>
          <w:lang w:val="en-US" w:eastAsia="zh-CN" w:bidi="ar-SA"/>
        </w:rPr>
      </w:pPr>
      <w:r>
        <w:rPr>
          <w:rStyle w:val="251"/>
          <w:rFonts w:hint="eastAsia" w:asciiTheme="minorEastAsia" w:hAnsiTheme="minorEastAsia" w:eastAsiaTheme="minorEastAsia"/>
          <w:sz w:val="24"/>
          <w:szCs w:val="24"/>
          <w:lang w:val="en-US" w:eastAsia="zh-CN" w:bidi="ar-SA"/>
        </w:rPr>
        <w:t>1、</w:t>
      </w:r>
      <w:r>
        <w:rPr>
          <w:rStyle w:val="251"/>
          <w:rFonts w:asciiTheme="minorEastAsia" w:hAnsiTheme="minorEastAsia" w:eastAsiaTheme="minorEastAsia"/>
          <w:sz w:val="24"/>
          <w:szCs w:val="24"/>
          <w:lang w:val="en-US" w:eastAsia="zh-CN" w:bidi="ar-SA"/>
        </w:rPr>
        <w:t>乙方承诺：由于乙方提供的产品的特殊性，若货物的质量不符合合同及附件要求或使用效果不能满足合约附件</w:t>
      </w:r>
      <w:r>
        <w:rPr>
          <w:rStyle w:val="251"/>
          <w:rFonts w:hint="eastAsia" w:asciiTheme="minorEastAsia" w:hAnsiTheme="minorEastAsia" w:eastAsiaTheme="minorEastAsia"/>
          <w:sz w:val="24"/>
          <w:szCs w:val="24"/>
          <w:lang w:val="en-US" w:eastAsia="zh-CN" w:bidi="ar-SA"/>
        </w:rPr>
        <w:t>技术文件中</w:t>
      </w:r>
      <w:r>
        <w:rPr>
          <w:rStyle w:val="251"/>
          <w:rFonts w:asciiTheme="minorEastAsia" w:hAnsiTheme="minorEastAsia" w:eastAsiaTheme="minorEastAsia"/>
          <w:sz w:val="24"/>
          <w:szCs w:val="24"/>
          <w:lang w:val="en-US" w:eastAsia="zh-CN" w:bidi="ar-SA"/>
        </w:rPr>
        <w:t>水质保养指标及考核要求</w:t>
      </w:r>
      <w:r>
        <w:rPr>
          <w:rStyle w:val="251"/>
          <w:rFonts w:hint="eastAsia" w:asciiTheme="minorEastAsia" w:hAnsiTheme="minorEastAsia" w:eastAsiaTheme="minorEastAsia"/>
          <w:sz w:val="24"/>
          <w:szCs w:val="24"/>
          <w:lang w:val="en-US" w:eastAsia="zh-CN" w:bidi="ar-SA"/>
        </w:rPr>
        <w:t>及乙方技术方案保证</w:t>
      </w:r>
      <w:r>
        <w:rPr>
          <w:rStyle w:val="251"/>
          <w:rFonts w:asciiTheme="minorEastAsia" w:hAnsiTheme="minorEastAsia" w:eastAsiaTheme="minorEastAsia"/>
          <w:sz w:val="24"/>
          <w:szCs w:val="24"/>
          <w:lang w:val="en-US" w:eastAsia="zh-CN" w:bidi="ar-SA"/>
        </w:rPr>
        <w:t>，</w:t>
      </w:r>
      <w:r>
        <w:rPr>
          <w:rStyle w:val="251"/>
          <w:rFonts w:hint="eastAsia" w:asciiTheme="minorEastAsia" w:hAnsiTheme="minorEastAsia" w:eastAsiaTheme="minorEastAsia"/>
          <w:sz w:val="24"/>
          <w:szCs w:val="24"/>
          <w:lang w:val="en-US" w:eastAsia="zh-CN" w:bidi="ar-SA"/>
        </w:rPr>
        <w:t>乙方应负责免费调换药剂，直至达到符合使用要求。</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2、</w:t>
      </w:r>
      <w:r>
        <w:rPr>
          <w:rStyle w:val="251"/>
          <w:rFonts w:asciiTheme="minorEastAsia" w:hAnsiTheme="minorEastAsia" w:eastAsiaTheme="minorEastAsia"/>
          <w:sz w:val="24"/>
          <w:szCs w:val="24"/>
          <w:lang w:eastAsia="zh-CN"/>
        </w:rPr>
        <w:t>甲方可以根据</w:t>
      </w:r>
      <w:r>
        <w:rPr>
          <w:rStyle w:val="251"/>
          <w:rFonts w:hint="eastAsia" w:asciiTheme="minorEastAsia" w:hAnsiTheme="minorEastAsia" w:eastAsiaTheme="minorEastAsia"/>
          <w:sz w:val="24"/>
          <w:szCs w:val="24"/>
          <w:lang w:eastAsia="zh-CN"/>
        </w:rPr>
        <w:t>本合同及招标技术文件</w:t>
      </w:r>
      <w:r>
        <w:rPr>
          <w:rStyle w:val="251"/>
          <w:rFonts w:asciiTheme="minorEastAsia" w:hAnsiTheme="minorEastAsia" w:eastAsiaTheme="minorEastAsia"/>
          <w:sz w:val="24"/>
          <w:szCs w:val="24"/>
          <w:lang w:eastAsia="zh-CN"/>
        </w:rPr>
        <w:t>中水质保养指标及考核</w:t>
      </w:r>
      <w:r>
        <w:rPr>
          <w:rStyle w:val="251"/>
          <w:rFonts w:hint="eastAsia" w:asciiTheme="minorEastAsia" w:hAnsiTheme="minorEastAsia" w:eastAsiaTheme="minorEastAsia"/>
          <w:sz w:val="24"/>
          <w:szCs w:val="24"/>
          <w:lang w:eastAsia="zh-CN"/>
        </w:rPr>
        <w:t>及乙方技术方案</w:t>
      </w:r>
      <w:r>
        <w:rPr>
          <w:rStyle w:val="251"/>
          <w:rFonts w:asciiTheme="minorEastAsia" w:hAnsiTheme="minorEastAsia" w:eastAsiaTheme="minorEastAsia"/>
          <w:sz w:val="24"/>
          <w:szCs w:val="24"/>
          <w:lang w:eastAsia="zh-CN"/>
        </w:rPr>
        <w:t>的约定进行罚款、拒绝付款直至解除合同；对有明确证据说明确实由于使用该货物而对甲方/第三方的人员/财产/设备或周边环境造成的破坏和损失由乙方承担。</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乙方在接到甲方书面异议后，应在3日内负责处理并通知甲方处理情况，否则，即视为默认甲方提出的异议和索赔。</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4、</w:t>
      </w:r>
      <w:r>
        <w:rPr>
          <w:rStyle w:val="251"/>
          <w:rFonts w:asciiTheme="minorEastAsia" w:hAnsiTheme="minorEastAsia" w:eastAsiaTheme="minorEastAsia"/>
          <w:sz w:val="24"/>
          <w:szCs w:val="24"/>
          <w:lang w:eastAsia="zh-CN"/>
        </w:rPr>
        <w:t>产品的质量承诺包括但不限于乙方承诺提供技术服务及售后服务的质量</w:t>
      </w:r>
      <w:r>
        <w:rPr>
          <w:rStyle w:val="251"/>
          <w:rFonts w:hint="eastAsia"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长驻现场服务人员，乙方应保证按提出的技术方案做好相关服务等。</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第九条</w:t>
      </w:r>
      <w:r>
        <w:rPr>
          <w:rStyle w:val="251"/>
          <w:rFonts w:hint="eastAsia" w:asciiTheme="minorEastAsia" w:hAnsiTheme="minorEastAsia" w:eastAsiaTheme="minorEastAsia"/>
          <w:b/>
          <w:sz w:val="24"/>
          <w:szCs w:val="24"/>
          <w:lang w:eastAsia="zh-CN"/>
        </w:rPr>
        <w:t xml:space="preserve"> </w:t>
      </w:r>
      <w:r>
        <w:rPr>
          <w:rStyle w:val="251"/>
          <w:rFonts w:asciiTheme="minorEastAsia" w:hAnsiTheme="minorEastAsia" w:eastAsiaTheme="minorEastAsia"/>
          <w:b/>
          <w:sz w:val="24"/>
          <w:szCs w:val="24"/>
          <w:lang w:eastAsia="zh-CN"/>
        </w:rPr>
        <w:t>甲方违约责任：</w:t>
      </w:r>
    </w:p>
    <w:p>
      <w:pPr>
        <w:keepNext w:val="0"/>
        <w:keepLines w:val="0"/>
        <w:pageBreakBefore w:val="0"/>
        <w:widowControl/>
        <w:kinsoku/>
        <w:wordWrap/>
        <w:overflowPunct/>
        <w:topLinePunct w:val="0"/>
        <w:bidi w:val="0"/>
        <w:adjustRightInd/>
        <w:snapToGrid/>
        <w:spacing w:line="360" w:lineRule="auto"/>
        <w:textAlignment w:val="auto"/>
        <w:rPr>
          <w:rStyle w:val="251"/>
          <w:rFonts w:hint="eastAsia"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甲方逾期付款的，应按全国银行间同业拆借中心公布的1年期贷款市场报价利率向乙方支付逾期付款的违约金。</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第十条乙方的违约责任：</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1、</w:t>
      </w:r>
      <w:r>
        <w:rPr>
          <w:rStyle w:val="251"/>
          <w:rFonts w:asciiTheme="minorEastAsia" w:hAnsiTheme="minorEastAsia" w:eastAsiaTheme="minorEastAsia"/>
          <w:sz w:val="24"/>
          <w:szCs w:val="24"/>
          <w:lang w:eastAsia="zh-CN"/>
        </w:rPr>
        <w:t>乙方预期不能履约的、或乙方明确将拒绝履约的，甲方有权解除合同，乙方承担合同</w:t>
      </w:r>
      <w:r>
        <w:rPr>
          <w:rStyle w:val="251"/>
          <w:rFonts w:hint="eastAsia" w:asciiTheme="minorEastAsia" w:hAnsiTheme="minorEastAsia" w:eastAsiaTheme="minorEastAsia"/>
          <w:sz w:val="24"/>
          <w:szCs w:val="24"/>
          <w:lang w:eastAsia="zh-CN"/>
        </w:rPr>
        <w:t>预计</w:t>
      </w:r>
      <w:r>
        <w:rPr>
          <w:rStyle w:val="251"/>
          <w:rFonts w:asciiTheme="minorEastAsia" w:hAnsiTheme="minorEastAsia" w:eastAsiaTheme="minorEastAsia"/>
          <w:sz w:val="24"/>
          <w:szCs w:val="24"/>
          <w:lang w:eastAsia="zh-CN"/>
        </w:rPr>
        <w:t>总价20%的违约金。</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2、</w:t>
      </w:r>
      <w:r>
        <w:rPr>
          <w:rFonts w:cs="Arial" w:asciiTheme="minorEastAsia" w:hAnsiTheme="minorEastAsia" w:eastAsiaTheme="minorEastAsia"/>
          <w:sz w:val="24"/>
          <w:szCs w:val="24"/>
          <w:lang w:eastAsia="zh-CN"/>
        </w:rPr>
        <w:t>乙方所交货物品种、型号、规格、质量不符合合同约定的</w:t>
      </w:r>
      <w:r>
        <w:rPr>
          <w:rFonts w:hint="eastAsia" w:cs="Arial" w:asciiTheme="minorEastAsia" w:hAnsiTheme="minorEastAsia" w:eastAsiaTheme="minorEastAsia"/>
          <w:sz w:val="24"/>
          <w:szCs w:val="24"/>
          <w:lang w:eastAsia="zh-CN"/>
        </w:rPr>
        <w:t>，</w:t>
      </w:r>
      <w:r>
        <w:rPr>
          <w:rFonts w:cs="Arial" w:asciiTheme="minorEastAsia" w:hAnsiTheme="minorEastAsia" w:eastAsiaTheme="minorEastAsia"/>
          <w:sz w:val="24"/>
          <w:szCs w:val="24"/>
          <w:lang w:eastAsia="zh-CN"/>
        </w:rPr>
        <w:t>甲方可根据具体情况，要求乙方负责在甲方指定期限内换货、直至退货，</w:t>
      </w:r>
      <w:r>
        <w:rPr>
          <w:rFonts w:hint="eastAsia" w:cs="Arial" w:asciiTheme="minorEastAsia" w:hAnsiTheme="minorEastAsia" w:eastAsiaTheme="minorEastAsia"/>
          <w:sz w:val="24"/>
          <w:szCs w:val="24"/>
          <w:lang w:eastAsia="zh-CN"/>
        </w:rPr>
        <w:t>及承担调换或退货而支付的实际费用，并且乙方承担给甲方造成的所有损失。</w:t>
      </w:r>
      <w:r>
        <w:rPr>
          <w:rFonts w:cs="Arial" w:asciiTheme="minorEastAsia" w:hAnsiTheme="minorEastAsia" w:eastAsiaTheme="minorEastAsia"/>
          <w:sz w:val="24"/>
          <w:szCs w:val="24"/>
          <w:lang w:eastAsia="zh-CN"/>
        </w:rPr>
        <w:t xml:space="preserve"> </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由于乙方原因，未能按约定时间交付货物，</w:t>
      </w:r>
      <w:r>
        <w:rPr>
          <w:rStyle w:val="251"/>
          <w:rFonts w:hint="eastAsia" w:asciiTheme="minorEastAsia" w:hAnsiTheme="minorEastAsia" w:eastAsiaTheme="minorEastAsia"/>
          <w:sz w:val="24"/>
          <w:szCs w:val="24"/>
          <w:lang w:eastAsia="zh-CN"/>
        </w:rPr>
        <w:t>乙方应向甲方支付延期交货违约金。每延期一天，违约金为延迟交货货物价格的0.1%。如因延期交货给甲方造成损失的，乙方还应当予以赔偿。</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4、</w:t>
      </w:r>
      <w:r>
        <w:rPr>
          <w:rFonts w:hint="eastAsia" w:cs="Arial" w:asciiTheme="minorEastAsia" w:hAnsiTheme="minorEastAsia" w:eastAsiaTheme="minorEastAsia"/>
          <w:sz w:val="24"/>
          <w:szCs w:val="24"/>
          <w:lang w:eastAsia="zh-CN"/>
        </w:rPr>
        <w:t>乙方连续二次或二次以上交付货物未能达到合同约定的质量标准，或者乙方连续二次或二次以上未能按时交货的，甲方有权解除合同，乙方除了按第十条第1款承担违约金外，还应承担由此给甲方造成的所有损失。</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Fonts w:hint="eastAsia" w:cs="Arial" w:asciiTheme="minorEastAsia" w:hAnsiTheme="minorEastAsia" w:eastAsiaTheme="minorEastAsia"/>
          <w:sz w:val="24"/>
          <w:szCs w:val="24"/>
          <w:lang w:val="en-US" w:eastAsia="zh-CN"/>
        </w:rPr>
        <w:t>5、</w:t>
      </w:r>
      <w:r>
        <w:rPr>
          <w:rFonts w:cs="Arial" w:asciiTheme="minorEastAsia" w:hAnsiTheme="minorEastAsia" w:eastAsiaTheme="minorEastAsia"/>
          <w:sz w:val="24"/>
          <w:szCs w:val="24"/>
          <w:lang w:eastAsia="zh-CN"/>
        </w:rPr>
        <w:t>有下列情形之一者，甲方有权要求解除合同，</w:t>
      </w:r>
      <w:r>
        <w:rPr>
          <w:rFonts w:hint="eastAsia" w:cs="Arial" w:asciiTheme="minorEastAsia" w:hAnsiTheme="minorEastAsia" w:eastAsiaTheme="minorEastAsia"/>
          <w:sz w:val="24"/>
          <w:szCs w:val="24"/>
          <w:lang w:eastAsia="zh-CN"/>
        </w:rPr>
        <w:t>乙方承担由此给甲方造成的损失，并支付合同预计总价的20%作为违约金：</w:t>
      </w:r>
    </w:p>
    <w:p>
      <w:pPr>
        <w:keepNext w:val="0"/>
        <w:keepLines w:val="0"/>
        <w:pageBreakBefore w:val="0"/>
        <w:kinsoku/>
        <w:wordWrap/>
        <w:overflowPunct/>
        <w:topLinePunct w:val="0"/>
        <w:bidi w:val="0"/>
        <w:adjustRightInd/>
        <w:snapToGrid/>
        <w:spacing w:line="360" w:lineRule="auto"/>
        <w:ind w:firstLine="960" w:firstLineChars="4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1）乙方逾期交货达10日以上。</w:t>
      </w:r>
    </w:p>
    <w:p>
      <w:pPr>
        <w:keepNext w:val="0"/>
        <w:keepLines w:val="0"/>
        <w:pageBreakBefore w:val="0"/>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2）乙方所交货物与合同规定不符，并于接到甲方不合格通知之日起逾15天仍未能更换合格货物，或经乙方更换一次后的货物仍不能符合合同约定或满足甲方使用要求的。</w:t>
      </w:r>
    </w:p>
    <w:p>
      <w:pPr>
        <w:keepNext w:val="0"/>
        <w:keepLines w:val="0"/>
        <w:pageBreakBefore w:val="0"/>
        <w:tabs>
          <w:tab w:val="left" w:pos="900"/>
        </w:tabs>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3）乙方虚报品质或数量。</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6、</w:t>
      </w:r>
      <w:r>
        <w:rPr>
          <w:rStyle w:val="251"/>
          <w:rFonts w:asciiTheme="minorEastAsia" w:hAnsiTheme="minorEastAsia" w:eastAsiaTheme="minorEastAsia"/>
          <w:sz w:val="24"/>
          <w:szCs w:val="24"/>
          <w:lang w:eastAsia="zh-CN"/>
        </w:rPr>
        <w:t>甲方选择解除合同，或乙方要求解除合同的，乙方必须在甲方找到新的供应商之后才能终止本合同的履行，以保证甲方不因出现供货断档而经营困难。乙方应承担由此给甲方造成的经营损失，且甲方有权扣留未结算货款直至甲方找到新的供应商、买卖双方清算完毕为止。</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7、因乙方违约导致甲方选择解除合同或乙方无正当理由要求解除合同的，乙方应对甲方损失承担赔偿责任。</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8、</w:t>
      </w:r>
      <w:r>
        <w:rPr>
          <w:rStyle w:val="251"/>
          <w:rFonts w:asciiTheme="minorEastAsia" w:hAnsiTheme="minorEastAsia" w:eastAsiaTheme="minorEastAsia"/>
          <w:sz w:val="24"/>
          <w:szCs w:val="24"/>
          <w:lang w:eastAsia="zh-CN"/>
        </w:rPr>
        <w:t>乙方派遣至甲方现场服务的人员，需严格遵守甲方的各项进厂规定、环安规定等，否则甲方可依据</w:t>
      </w:r>
      <w:r>
        <w:rPr>
          <w:rStyle w:val="251"/>
          <w:rFonts w:hint="eastAsia" w:asciiTheme="minorEastAsia" w:hAnsiTheme="minorEastAsia" w:eastAsiaTheme="minorEastAsia"/>
          <w:sz w:val="24"/>
          <w:szCs w:val="24"/>
          <w:lang w:eastAsia="zh-CN"/>
        </w:rPr>
        <w:t>甲方工厂</w:t>
      </w:r>
      <w:r>
        <w:rPr>
          <w:rStyle w:val="251"/>
          <w:rFonts w:asciiTheme="minorEastAsia" w:hAnsiTheme="minorEastAsia" w:eastAsiaTheme="minorEastAsia"/>
          <w:sz w:val="24"/>
          <w:szCs w:val="24"/>
          <w:lang w:eastAsia="zh-CN"/>
        </w:rPr>
        <w:t>规定对乙方进行处罚。</w:t>
      </w:r>
      <w:r>
        <w:rPr>
          <w:rStyle w:val="251"/>
          <w:rFonts w:hint="eastAsia" w:asciiTheme="minorEastAsia" w:hAnsiTheme="minorEastAsia" w:eastAsiaTheme="minorEastAsia"/>
          <w:sz w:val="24"/>
          <w:szCs w:val="24"/>
          <w:lang w:eastAsia="zh-CN"/>
        </w:rPr>
        <w:t>乙方人员在服务期间发生的任何事故、人身损害或财产损失等，其相关责任及费用均由乙方自行承担（经确认归责于甲方的责任除外）。</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第十一条不可抗力：</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当以下任何一种状况对其履行义务达到妨碍或不合理的艰难的程度时，遭受不可抗力的一方有权终止履行本合同下的义务：工业争端和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交货。遭受不可抗力的一方应立即将上述不可抗力状况的发生通知对方，并于其发生后的14 天内将当地政府主管机关或当地商会出具的证明书空邮对方为证。在这种状况下，遭受不可抗力的一方仍负有采取所有必要措施以继续履行合同的义务。若不可抗力状况持续超过 3 个月，或有充分的理由预期不可抗力状况将持续超过3个月，双方都有权以书面通知对方解除本合同。</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第十二条廉洁条款：</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u w:val="single"/>
          <w:lang w:eastAsia="zh-CN"/>
        </w:rPr>
      </w:pPr>
      <w:r>
        <w:rPr>
          <w:rFonts w:cs="Arial"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第十三条争议解决：</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凡因本合同引起的或与本合同有关的任何争议，如双方不能通过友好协商解决，双方均应</w:t>
      </w:r>
      <w:r>
        <w:rPr>
          <w:rFonts w:cs="Arial" w:asciiTheme="minorEastAsia" w:hAnsiTheme="minorEastAsia" w:eastAsiaTheme="minorEastAsia"/>
          <w:sz w:val="24"/>
          <w:szCs w:val="24"/>
          <w:lang w:eastAsia="zh-CN"/>
        </w:rPr>
        <w:t>向甲方所在地人民法院提起诉讼</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第十四条其它事项：</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按本合同规定应付的违约金、赔偿金、保管费和各种经济损失，应当在明确责任后10日内付清，</w:t>
      </w:r>
      <w:r>
        <w:rPr>
          <w:rStyle w:val="251"/>
          <w:rFonts w:hint="eastAsia" w:asciiTheme="minorEastAsia" w:hAnsiTheme="minorEastAsia" w:eastAsiaTheme="minorEastAsia"/>
          <w:sz w:val="24"/>
          <w:szCs w:val="24"/>
          <w:lang w:eastAsia="zh-CN"/>
        </w:rPr>
        <w:t>否则按逾期付款处理上述款项，甲方可直接从应付而未付给乙方给乙方的任何款项中扣除。</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本合同自双方盖章之日起生效，合同履约期内，无法定或约定理由，除非经过对方书面同意，任何一方不得变更或解除合同。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合同如有未尽事宜，须经双方共同协商，作出补充约定，补充约定与本合同具有同等效力。</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4、</w:t>
      </w:r>
      <w:r>
        <w:rPr>
          <w:rStyle w:val="251"/>
          <w:rFonts w:asciiTheme="minorEastAsia" w:hAnsiTheme="minorEastAsia" w:eastAsiaTheme="minorEastAsia"/>
          <w:sz w:val="24"/>
          <w:szCs w:val="24"/>
          <w:lang w:eastAsia="zh-CN"/>
        </w:rPr>
        <w:t>本合同包括附件：</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eastAsia="zh-CN"/>
        </w:rPr>
        <w:t>附件一、PTA装置废热锅炉水处理药剂供应及服务</w:t>
      </w:r>
      <w:r>
        <w:rPr>
          <w:rStyle w:val="251"/>
          <w:rFonts w:asciiTheme="minorEastAsia" w:hAnsiTheme="minorEastAsia" w:eastAsiaTheme="minorEastAsia"/>
          <w:sz w:val="24"/>
          <w:szCs w:val="24"/>
          <w:lang w:eastAsia="zh-CN"/>
        </w:rPr>
        <w:t>技术协议</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附件二、乙方提交的技术方案</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乙方签字确认的技术协议和技术方案为本合同的技术附件，与合同正文有同等效力；协议和方案的所使用的标准之间有歧义，或如遇与乙方执行的标准发生矛盾时，按对乙方较严格的标准执行。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本合同一式</w:t>
      </w:r>
      <w:r>
        <w:rPr>
          <w:rStyle w:val="251"/>
          <w:rFonts w:hint="eastAsia" w:asciiTheme="minorEastAsia" w:hAnsiTheme="minorEastAsia" w:eastAsiaTheme="minorEastAsia"/>
          <w:sz w:val="24"/>
          <w:szCs w:val="24"/>
          <w:lang w:val="en-US" w:eastAsia="zh-CN"/>
        </w:rPr>
        <w:t>伍</w:t>
      </w:r>
      <w:r>
        <w:rPr>
          <w:rStyle w:val="251"/>
          <w:rFonts w:asciiTheme="minorEastAsia" w:hAnsiTheme="minorEastAsia" w:eastAsiaTheme="minorEastAsia"/>
          <w:sz w:val="24"/>
          <w:szCs w:val="24"/>
          <w:lang w:eastAsia="zh-CN"/>
        </w:rPr>
        <w:t>份，甲方执</w:t>
      </w:r>
      <w:r>
        <w:rPr>
          <w:rStyle w:val="251"/>
          <w:rFonts w:hint="eastAsia" w:asciiTheme="minorEastAsia" w:hAnsiTheme="minorEastAsia" w:eastAsiaTheme="minorEastAsia"/>
          <w:sz w:val="24"/>
          <w:szCs w:val="24"/>
          <w:lang w:val="en-US" w:eastAsia="zh-CN"/>
        </w:rPr>
        <w:t>肆</w:t>
      </w:r>
      <w:r>
        <w:rPr>
          <w:rStyle w:val="251"/>
          <w:rFonts w:asciiTheme="minorEastAsia" w:hAnsiTheme="minorEastAsia" w:eastAsiaTheme="minorEastAsia"/>
          <w:sz w:val="24"/>
          <w:szCs w:val="24"/>
          <w:lang w:eastAsia="zh-CN"/>
        </w:rPr>
        <w:t>份，乙方执</w:t>
      </w:r>
      <w:r>
        <w:rPr>
          <w:rStyle w:val="251"/>
          <w:rFonts w:hint="eastAsia" w:asciiTheme="minorEastAsia" w:hAnsiTheme="minorEastAsia" w:eastAsiaTheme="minorEastAsia"/>
          <w:sz w:val="24"/>
          <w:szCs w:val="24"/>
          <w:lang w:val="en-US" w:eastAsia="zh-CN"/>
        </w:rPr>
        <w:t>壹</w:t>
      </w:r>
      <w:r>
        <w:rPr>
          <w:rStyle w:val="251"/>
          <w:rFonts w:asciiTheme="minorEastAsia" w:hAnsiTheme="minorEastAsia" w:eastAsiaTheme="minorEastAsia"/>
          <w:sz w:val="24"/>
          <w:szCs w:val="24"/>
          <w:lang w:eastAsia="zh-CN"/>
        </w:rPr>
        <w:t>份，具</w:t>
      </w:r>
      <w:r>
        <w:rPr>
          <w:rStyle w:val="251"/>
          <w:rFonts w:hint="eastAsia" w:asciiTheme="minorEastAsia" w:hAnsiTheme="minorEastAsia" w:eastAsiaTheme="minorEastAsia"/>
          <w:sz w:val="24"/>
          <w:szCs w:val="24"/>
          <w:lang w:eastAsia="zh-CN"/>
        </w:rPr>
        <w:t>有</w:t>
      </w:r>
      <w:r>
        <w:rPr>
          <w:rStyle w:val="251"/>
          <w:rFonts w:asciiTheme="minorEastAsia" w:hAnsiTheme="minorEastAsia" w:eastAsiaTheme="minorEastAsia"/>
          <w:sz w:val="24"/>
          <w:szCs w:val="24"/>
          <w:lang w:eastAsia="zh-CN"/>
        </w:rPr>
        <w:t>同等法律效力。乙方联系人：</w:t>
      </w:r>
      <w:r>
        <w:rPr>
          <w:rStyle w:val="251"/>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，联系方式：</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，指定传真：</w:t>
      </w:r>
      <w:r>
        <w:rPr>
          <w:rStyle w:val="251"/>
          <w:rFonts w:hint="eastAsia"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收件邮箱：</w:t>
      </w:r>
      <w:r>
        <w:rPr>
          <w:rFonts w:hint="eastAsia" w:cs="Arial"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送达地址：</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spacing w:beforeLines="50" w:afterLines="50" w:line="360" w:lineRule="auto"/>
        <w:ind w:firstLine="480" w:firstLineChars="200"/>
        <w:rPr>
          <w:rStyle w:val="251"/>
          <w:rFonts w:hint="eastAsia" w:asciiTheme="minorEastAsia" w:hAnsiTheme="minorEastAsia" w:eastAsiaTheme="minorEastAsia"/>
          <w:sz w:val="24"/>
          <w:szCs w:val="24"/>
          <w:lang w:val="en-US" w:eastAsia="zh-CN"/>
        </w:rPr>
      </w:pPr>
      <w:r>
        <w:rPr>
          <w:rStyle w:val="251"/>
          <w:rFonts w:hint="eastAsia" w:asciiTheme="minorEastAsia" w:hAnsiTheme="minorEastAsia" w:eastAsiaTheme="minorEastAsia"/>
          <w:sz w:val="24"/>
          <w:szCs w:val="24"/>
          <w:lang w:val="en-US" w:eastAsia="zh-CN"/>
        </w:rPr>
        <w:t>附件1《发包要求》</w:t>
      </w:r>
    </w:p>
    <w:p>
      <w:pPr>
        <w:pStyle w:val="2"/>
        <w:rPr>
          <w:rFonts w:hint="default"/>
          <w:lang w:val="en-US" w:eastAsia="zh-CN"/>
        </w:rPr>
      </w:pPr>
      <w:r>
        <w:rPr>
          <w:rStyle w:val="251"/>
          <w:rFonts w:hint="eastAsia" w:asciiTheme="minorEastAsia" w:hAnsiTheme="minorEastAsia" w:eastAsiaTheme="minorEastAsia"/>
          <w:sz w:val="24"/>
          <w:szCs w:val="24"/>
          <w:lang w:val="en-US" w:eastAsia="zh-CN"/>
        </w:rPr>
        <w:t xml:space="preserve">    附件2《安全环保协议》</w:t>
      </w:r>
    </w:p>
    <w:p>
      <w:pPr>
        <w:spacing w:beforeLines="50" w:afterLines="50" w:line="360" w:lineRule="auto"/>
        <w:ind w:left="5520" w:hanging="5520" w:hangingChars="2300"/>
        <w:rPr>
          <w:rStyle w:val="251"/>
          <w:rFonts w:asciiTheme="minorEastAsia" w:hAnsiTheme="minorEastAsia" w:eastAsiaTheme="minorEastAsia"/>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甲方: 翔鹭石化（漳州）有限公司</w:t>
      </w:r>
    </w:p>
    <w:p>
      <w:pPr>
        <w:spacing w:beforeLines="50" w:afterLines="50" w:line="360" w:lineRule="auto"/>
        <w:rPr>
          <w:rStyle w:val="251"/>
          <w:rFonts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rPr>
          <w:rFonts w:cs="Arial" w:asciiTheme="minorEastAsia" w:hAnsiTheme="minorEastAsia" w:eastAsiaTheme="minorEastAsia"/>
          <w:b/>
          <w:bCs/>
          <w:sz w:val="24"/>
          <w:szCs w:val="24"/>
          <w:lang w:eastAsia="zh-CN"/>
        </w:rPr>
      </w:pPr>
    </w:p>
    <w:p>
      <w:pPr>
        <w:rPr>
          <w:rFonts w:cs="Arial" w:asciiTheme="minorEastAsia" w:hAnsiTheme="minorEastAsia" w:eastAsiaTheme="minorEastAsia"/>
          <w:b/>
          <w:bCs/>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spacing w:beforeLines="50" w:afterLines="50" w:line="360" w:lineRule="auto"/>
        <w:ind w:left="5520" w:hanging="5520" w:hangingChars="2300"/>
        <w:rPr>
          <w:rStyle w:val="251"/>
          <w:rFonts w:cs="Times New Roman"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bCs/>
          <w:sz w:val="24"/>
          <w:szCs w:val="24"/>
          <w:lang w:val="en-US" w:eastAsia="zh-CN"/>
        </w:rPr>
      </w:pPr>
      <w:r>
        <w:rPr>
          <w:rFonts w:hint="eastAsia"/>
          <w:b/>
          <w:bCs/>
          <w:sz w:val="24"/>
          <w:szCs w:val="24"/>
          <w:lang w:val="en-US" w:eastAsia="zh-CN"/>
        </w:rPr>
        <w:t>附件1、发包要求</w:t>
      </w:r>
    </w:p>
    <w:p>
      <w:pPr>
        <w:pStyle w:val="2"/>
        <w:keepNext w:val="0"/>
        <w:keepLines w:val="0"/>
        <w:pageBreakBefore w:val="0"/>
        <w:kinsoku/>
        <w:wordWrap/>
        <w:overflowPunct/>
        <w:topLinePunct w:val="0"/>
        <w:bidi w:val="0"/>
        <w:spacing w:line="360" w:lineRule="auto"/>
        <w:ind w:firstLine="482" w:firstLineChars="200"/>
        <w:rPr>
          <w:rFonts w:hint="default"/>
          <w:b/>
          <w:bCs/>
          <w:sz w:val="24"/>
          <w:szCs w:val="24"/>
          <w:lang w:val="en-US" w:eastAsia="zh-CN"/>
        </w:rPr>
      </w:pP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一、</w:t>
      </w:r>
      <w:r>
        <w:rPr>
          <w:rFonts w:hint="eastAsia" w:ascii="宋体" w:hAnsi="宋体" w:eastAsia="宋体" w:cs="宋体"/>
          <w:b/>
          <w:bCs w:val="0"/>
          <w:kern w:val="2"/>
          <w:sz w:val="32"/>
          <w:szCs w:val="32"/>
        </w:rPr>
        <w:t>总则</w:t>
      </w:r>
    </w:p>
    <w:p>
      <w:pPr>
        <w:pStyle w:val="4"/>
        <w:keepNext w:val="0"/>
        <w:keepLines w:val="0"/>
        <w:pageBreakBefore w:val="0"/>
        <w:widowControl/>
        <w:kinsoku/>
        <w:wordWrap/>
        <w:overflowPunct/>
        <w:topLinePunct w:val="0"/>
        <w:bidi w:val="0"/>
        <w:spacing w:line="360" w:lineRule="auto"/>
        <w:ind w:left="0" w:leftChars="0" w:firstLine="480" w:firstLineChars="200"/>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通过投加锅炉水处理药剂，抑制系统设备的腐蚀、结垢等问题，保证系统稳定运行。采用总包形式，合同期为合同期限：2022年11月18日至202</w:t>
      </w:r>
      <w:r>
        <w:rPr>
          <w:rFonts w:hint="eastAsia" w:cs="宋体"/>
          <w:b w:val="0"/>
          <w:bCs w:val="0"/>
          <w:color w:val="auto"/>
          <w:kern w:val="2"/>
          <w:sz w:val="24"/>
          <w:szCs w:val="24"/>
          <w:lang w:val="en-US" w:eastAsia="zh-CN" w:bidi="ar"/>
        </w:rPr>
        <w:t>4</w:t>
      </w:r>
      <w:r>
        <w:rPr>
          <w:rFonts w:hint="eastAsia" w:ascii="宋体" w:hAnsi="宋体" w:eastAsia="宋体" w:cs="宋体"/>
          <w:b w:val="0"/>
          <w:bCs w:val="0"/>
          <w:color w:val="auto"/>
          <w:kern w:val="2"/>
          <w:sz w:val="24"/>
          <w:szCs w:val="24"/>
          <w:lang w:val="en-US" w:eastAsia="zh-CN" w:bidi="ar"/>
        </w:rPr>
        <w:t>年11月17日。</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投标厂商需要提供相应水处理药剂、稳定水质方案和系统运营服务，具体说明见本技术要求细则。</w:t>
      </w: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二、</w:t>
      </w:r>
      <w:r>
        <w:rPr>
          <w:rFonts w:hint="eastAsia" w:ascii="宋体" w:hAnsi="宋体" w:eastAsia="宋体" w:cs="宋体"/>
          <w:b/>
          <w:bCs w:val="0"/>
          <w:kern w:val="2"/>
          <w:sz w:val="32"/>
          <w:szCs w:val="32"/>
        </w:rPr>
        <w:t>供货方资质及业绩要求</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 通过质量管理体系ISO9001、环境管理体系ISO14001、职业健康安全管理体系的公司或企业。</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 厂商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 因行业工艺和设备特点，锅炉水系统存在偶发醋酸、TA等事故隐患，厂商需对此类异常事故有必要的了解与协助应急处置能力，并配备有此经验的现场常驻技术人员。</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 厂商无自身原因造成的不良服务记录和客户投诉。</w:t>
      </w:r>
    </w:p>
    <w:p>
      <w:pPr>
        <w:pStyle w:val="252"/>
        <w:keepNext w:val="0"/>
        <w:keepLines w:val="0"/>
        <w:pageBreakBefore w:val="0"/>
        <w:widowControl/>
        <w:numPr>
          <w:ilvl w:val="0"/>
          <w:numId w:val="0"/>
        </w:numPr>
        <w:kinsoku/>
        <w:wordWrap/>
        <w:overflowPunct/>
        <w:topLinePunct w:val="0"/>
        <w:bidi w:val="0"/>
        <w:spacing w:line="360" w:lineRule="auto"/>
        <w:ind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三、</w:t>
      </w:r>
      <w:r>
        <w:rPr>
          <w:rFonts w:hint="eastAsia" w:ascii="宋体" w:hAnsi="宋体" w:eastAsia="宋体" w:cs="宋体"/>
          <w:b/>
          <w:bCs w:val="0"/>
          <w:kern w:val="2"/>
          <w:sz w:val="32"/>
          <w:szCs w:val="32"/>
        </w:rPr>
        <w:t>技术简介、原料及技术参数说明</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福建福海创石油化工有限公司PTA装置废热锅炉系统为氧化装置余热回收，设计参数依450 万吨/年产能PTA计，共13 台余热锅炉，含三个压力级别的蒸汽：0.45MPa、0.2MPa</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、0.05MPa，合计补水量：1966.1t/h，产汽量：1897.2t/h，补充水以制程回收的蒸汽凝液为主，不足的部份以除盐水补入，系统设有加药系统V-781/782：V-781的容积10m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,配备搅拌机一台，供中和胺、清锅剂的配料加入，配备5台加药泵，可互供。V-782的容积6m</w:t>
      </w:r>
      <w:r>
        <w:rPr>
          <w:rFonts w:hint="eastAsia" w:ascii="宋体" w:hAnsi="宋体" w:eastAsia="宋体" w:cs="宋体"/>
          <w:kern w:val="2"/>
          <w:sz w:val="24"/>
          <w:szCs w:val="24"/>
          <w:vertAlign w:val="superscript"/>
          <w:lang w:val="en-US" w:eastAsia="zh-CN" w:bidi="ar"/>
        </w:rPr>
        <w:t>3</w:t>
      </w:r>
      <w:r>
        <w:rPr>
          <w:rFonts w:hint="eastAsia" w:ascii="宋体" w:hAnsi="宋体" w:eastAsia="宋体" w:cs="宋体"/>
          <w:kern w:val="2"/>
          <w:sz w:val="24"/>
          <w:szCs w:val="24"/>
          <w:lang w:val="en-US" w:eastAsia="zh-CN" w:bidi="ar"/>
        </w:rPr>
        <w:t xml:space="preserve"> ,配备搅拌机一台，供脱氧剂的配料加入，配备3台加药泵。</w:t>
      </w: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表一 废热锅炉设计参数（450万吨/年产能）</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0"/>
        <w:gridCol w:w="1254"/>
        <w:gridCol w:w="6"/>
        <w:gridCol w:w="1253"/>
        <w:gridCol w:w="7"/>
        <w:gridCol w:w="1255"/>
        <w:gridCol w:w="123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设备位号</w:t>
            </w:r>
          </w:p>
        </w:tc>
        <w:tc>
          <w:tcPr>
            <w:tcW w:w="6610"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设计值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补水量t/h</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排放量</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t/h</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蒸汽产量t/h</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浓缩倍数</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产汽压力</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E-201B-1</w:t>
            </w:r>
          </w:p>
        </w:tc>
        <w:tc>
          <w:tcPr>
            <w:tcW w:w="125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E-201B-3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227.3</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15.5</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211.8</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14.7</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E-202-3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123.4</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117.5</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20.6</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E-203A-1</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E-203A-2</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E-203A-3</w:t>
            </w:r>
          </w:p>
        </w:tc>
        <w:tc>
          <w:tcPr>
            <w:tcW w:w="1254"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57.1</w:t>
            </w:r>
          </w:p>
        </w:tc>
        <w:tc>
          <w:tcPr>
            <w:tcW w:w="1259"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262" w:type="dxa"/>
            <w:gridSpan w:val="2"/>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53.1</w:t>
            </w:r>
          </w:p>
        </w:tc>
        <w:tc>
          <w:tcPr>
            <w:tcW w:w="1230"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14.3</w:t>
            </w:r>
          </w:p>
        </w:tc>
        <w:tc>
          <w:tcPr>
            <w:tcW w:w="1605" w:type="dxa"/>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E-205</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60.8</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0.2</w:t>
            </w:r>
          </w:p>
        </w:tc>
      </w:tr>
    </w:tbl>
    <w:p>
      <w:pPr>
        <w:pStyle w:val="252"/>
        <w:widowControl/>
        <w:ind w:left="0" w:firstLine="0" w:firstLineChars="0"/>
        <w:rPr>
          <w:rFonts w:hint="eastAsia" w:ascii="Times New Roman" w:hAnsi="Times New Roman" w:eastAsia="宋体" w:cs="Times New Roman"/>
          <w:b/>
          <w:bCs w:val="0"/>
          <w:kern w:val="2"/>
          <w:sz w:val="32"/>
          <w:szCs w:val="32"/>
        </w:rPr>
      </w:pPr>
      <w:r>
        <w:rPr>
          <w:rFonts w:hint="eastAsia" w:ascii="Times New Roman" w:hAnsi="Times New Roman" w:eastAsia="宋体" w:cs="Times New Roman"/>
          <w:b/>
          <w:bCs w:val="0"/>
          <w:kern w:val="2"/>
          <w:sz w:val="32"/>
          <w:szCs w:val="32"/>
        </w:rPr>
        <w:t xml:space="preserve"> </w:t>
      </w:r>
    </w:p>
    <w:p>
      <w:pPr>
        <w:pStyle w:val="252"/>
        <w:widowControl/>
        <w:numPr>
          <w:ilvl w:val="0"/>
          <w:numId w:val="0"/>
        </w:numPr>
        <w:ind w:leftChars="0" w:right="0" w:rightChars="0"/>
        <w:rPr>
          <w:rFonts w:hint="default"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四、</w:t>
      </w:r>
      <w:r>
        <w:rPr>
          <w:rFonts w:hint="eastAsia" w:ascii="宋体" w:hAnsi="宋体" w:eastAsia="宋体" w:cs="宋体"/>
          <w:b/>
          <w:bCs w:val="0"/>
          <w:kern w:val="2"/>
          <w:sz w:val="32"/>
          <w:szCs w:val="32"/>
        </w:rPr>
        <w:t>产品质量指标</w:t>
      </w:r>
    </w:p>
    <w:p>
      <w:pPr>
        <w:pStyle w:val="252"/>
        <w:widowControl/>
        <w:ind w:left="720" w:firstLine="0" w:firstLineChars="0"/>
        <w:jc w:val="center"/>
        <w:rPr>
          <w:rFonts w:hint="eastAsia" w:ascii="Times New Roman" w:hAnsi="Times New Roman" w:eastAsia="宋体" w:cs="Times New Roman"/>
          <w:b/>
          <w:bCs w:val="0"/>
          <w:kern w:val="2"/>
          <w:sz w:val="32"/>
          <w:szCs w:val="32"/>
        </w:rPr>
      </w:pPr>
      <w:r>
        <w:rPr>
          <w:rFonts w:hint="eastAsia" w:ascii="宋体" w:hAnsi="宋体" w:eastAsia="宋体" w:cs="宋体"/>
          <w:kern w:val="2"/>
          <w:sz w:val="24"/>
          <w:szCs w:val="24"/>
        </w:rPr>
        <w:t>表二</w:t>
      </w:r>
      <w:r>
        <w:rPr>
          <w:rFonts w:hint="eastAsia" w:ascii="宋体" w:hAnsi="宋体" w:eastAsia="宋体" w:cs="Times New Roman"/>
          <w:kern w:val="2"/>
          <w:sz w:val="24"/>
          <w:szCs w:val="24"/>
        </w:rPr>
        <w:t xml:space="preserve"> </w:t>
      </w:r>
      <w:r>
        <w:rPr>
          <w:rFonts w:hint="eastAsia" w:ascii="宋体" w:hAnsi="宋体" w:eastAsia="宋体" w:cs="宋体"/>
          <w:kern w:val="2"/>
          <w:sz w:val="24"/>
          <w:szCs w:val="24"/>
        </w:rPr>
        <w:t>废热锅炉水质指标要求</w:t>
      </w:r>
    </w:p>
    <w:tbl>
      <w:tblPr>
        <w:tblStyle w:val="4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2325"/>
        <w:gridCol w:w="2302"/>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内容</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控制项目</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单位</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控制范围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μs/cm</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w:t>
            </w:r>
            <w:r>
              <w:rPr>
                <w:rFonts w:hint="eastAsia" w:ascii="宋体" w:hAnsi="宋体" w:eastAsia="宋体" w:cs="宋体"/>
                <w:kern w:val="0"/>
                <w:sz w:val="24"/>
                <w:szCs w:val="24"/>
                <w:vertAlign w:val="subscript"/>
                <w:lang w:val="en-US" w:eastAsia="zh-CN" w:bidi="ar"/>
              </w:rPr>
              <w:t>2</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μ</w:t>
            </w:r>
            <w:r>
              <w:rPr>
                <w:rFonts w:hint="default" w:ascii="Arial" w:hAnsi="Arial" w:eastAsia="宋体" w:cs="Arial"/>
                <w:color w:val="333333"/>
                <w:kern w:val="2"/>
                <w:sz w:val="20"/>
                <w:szCs w:val="20"/>
                <w:lang w:val="en-US" w:eastAsia="zh-CN" w:bidi="ar"/>
              </w:rPr>
              <w:t>g</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&lt;150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Fe</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(PO</w:t>
            </w:r>
            <w:r>
              <w:rPr>
                <w:rFonts w:hint="eastAsia" w:ascii="宋体" w:hAnsi="宋体" w:eastAsia="宋体" w:cs="宋体"/>
                <w:kern w:val="0"/>
                <w:sz w:val="24"/>
                <w:szCs w:val="24"/>
                <w:vertAlign w:val="subscript"/>
                <w:lang w:val="en-US" w:eastAsia="zh-CN" w:bidi="ar"/>
              </w:rPr>
              <w:t>4</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vertAlign w:val="superscript"/>
                <w:lang w:val="en-US" w:eastAsia="zh-CN" w:bidi="ar"/>
              </w:rPr>
              <w:t>3-</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w:t>
            </w:r>
          </w:p>
        </w:tc>
        <w:tc>
          <w:tcPr>
            <w:tcW w:w="132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T-H</w:t>
            </w:r>
          </w:p>
        </w:tc>
        <w:tc>
          <w:tcPr>
            <w:tcW w:w="131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mgCaCO</w:t>
            </w:r>
            <w:r>
              <w:rPr>
                <w:rFonts w:hint="eastAsia" w:ascii="宋体" w:hAnsi="宋体" w:eastAsia="宋体" w:cs="宋体"/>
                <w:kern w:val="0"/>
                <w:sz w:val="24"/>
                <w:szCs w:val="24"/>
                <w:vertAlign w:val="subscript"/>
                <w:lang w:val="en-US" w:eastAsia="zh-CN" w:bidi="ar"/>
              </w:rPr>
              <w:t>3</w:t>
            </w:r>
            <w:r>
              <w:rPr>
                <w:rFonts w:hint="eastAsia" w:ascii="宋体" w:hAnsi="宋体" w:eastAsia="宋体" w:cs="宋体"/>
                <w:kern w:val="0"/>
                <w:sz w:val="24"/>
                <w:szCs w:val="24"/>
                <w:lang w:val="en-US" w:eastAsia="zh-CN" w:bidi="ar"/>
              </w:rPr>
              <w:t>/L</w:t>
            </w:r>
          </w:p>
        </w:tc>
        <w:tc>
          <w:tcPr>
            <w:tcW w:w="177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w:t>
            </w:r>
          </w:p>
        </w:tc>
        <w:tc>
          <w:tcPr>
            <w:tcW w:w="13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p>
        </w:tc>
        <w:tc>
          <w:tcPr>
            <w:tcW w:w="13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c>
          <w:tcPr>
            <w:tcW w:w="1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≤15</w:t>
            </w: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表三 V-950回收凝结水指标要求</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3"/>
        <w:gridCol w:w="1808"/>
        <w:gridCol w:w="1808"/>
        <w:gridCol w:w="180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pH</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Cond.</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SiO2</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钠</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w:t>
            </w:r>
            <w:r>
              <w:rPr>
                <w:rFonts w:hint="eastAsia" w:ascii="宋体" w:hAnsi="宋体" w:eastAsia="宋体" w:cs="宋体"/>
                <w:kern w:val="0"/>
                <w:sz w:val="24"/>
                <w:szCs w:val="24"/>
                <w:lang w:val="en-US" w:eastAsia="zh-CN" w:bidi="ar"/>
              </w:rPr>
              <w:t>s/cm</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default" w:ascii="Arial" w:hAnsi="Arial" w:eastAsia="宋体" w:cs="Arial"/>
                <w:color w:val="333333"/>
                <w:kern w:val="2"/>
                <w:sz w:val="20"/>
                <w:szCs w:val="20"/>
                <w:lang w:val="en-US" w:eastAsia="zh-CN" w:bidi="ar"/>
              </w:rPr>
              <w:t>ug</w:t>
            </w:r>
            <w:r>
              <w:rPr>
                <w:rFonts w:hint="eastAsia" w:ascii="宋体" w:hAnsi="宋体" w:eastAsia="宋体" w:cs="宋体"/>
                <w:kern w:val="0"/>
                <w:sz w:val="24"/>
                <w:szCs w:val="24"/>
                <w:lang w:val="en-US" w:eastAsia="zh-CN" w:bidi="ar"/>
              </w:rPr>
              <w:t>/L</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8.8-9.3</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c>
          <w:tcPr>
            <w:tcW w:w="10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w:t>
            </w:r>
          </w:p>
        </w:tc>
        <w:tc>
          <w:tcPr>
            <w:tcW w:w="10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w:t>
            </w:r>
          </w:p>
        </w:tc>
      </w:tr>
    </w:tbl>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1.以上的水质指标和处理成效必须达成，且列入对乙方的重点考核。</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2.表二中</w:t>
      </w:r>
      <w:r>
        <w:rPr>
          <w:rFonts w:hint="eastAsia" w:ascii="宋体" w:hAnsi="宋体" w:eastAsia="宋体" w:cs="宋体"/>
          <w:kern w:val="0"/>
          <w:sz w:val="24"/>
          <w:szCs w:val="24"/>
          <w:lang w:val="en-US" w:eastAsia="zh-CN" w:bidi="ar"/>
        </w:rPr>
        <w:t>AC</w:t>
      </w:r>
      <w:r>
        <w:rPr>
          <w:rFonts w:hint="eastAsia" w:ascii="宋体" w:hAnsi="宋体" w:eastAsia="宋体" w:cs="宋体"/>
          <w:kern w:val="0"/>
          <w:sz w:val="24"/>
          <w:szCs w:val="24"/>
          <w:vertAlign w:val="superscript"/>
          <w:lang w:val="en-US" w:eastAsia="zh-CN" w:bidi="ar"/>
        </w:rPr>
        <w:t>-</w:t>
      </w:r>
      <w:r>
        <w:rPr>
          <w:rFonts w:hint="eastAsia" w:ascii="宋体" w:hAnsi="宋体" w:eastAsia="宋体" w:cs="宋体"/>
          <w:kern w:val="0"/>
          <w:sz w:val="24"/>
          <w:szCs w:val="24"/>
          <w:lang w:val="en-US" w:eastAsia="zh-CN" w:bidi="ar"/>
        </w:rPr>
        <w:t>的指标控制作为我司PTA装置锅炉水水质控制指标，不作为乙方考核项目。</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五、</w:t>
      </w:r>
      <w:r>
        <w:rPr>
          <w:rFonts w:hint="eastAsia" w:ascii="宋体" w:hAnsi="宋体" w:eastAsia="宋体" w:cs="宋体"/>
          <w:b/>
          <w:bCs w:val="0"/>
          <w:kern w:val="2"/>
          <w:sz w:val="32"/>
          <w:szCs w:val="32"/>
        </w:rPr>
        <w:t>验收结算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5.1 结算方式：合约中预估药剂添加量只作为合约报价的依据，不作为最后费用结算依据。在甲方正常操作、稳定及补充水质、AC-（≤15 mg/L）等指标控制范围内，乙方每月请款费用依据为：合同总价÷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w:t>
      </w:r>
      <w:r>
        <w:rPr>
          <w:rFonts w:hint="eastAsia" w:cs="宋体"/>
          <w:b w:val="0"/>
          <w:bCs w:val="0"/>
          <w:color w:val="auto"/>
          <w:kern w:val="0"/>
          <w:sz w:val="24"/>
          <w:szCs w:val="24"/>
          <w:lang w:val="en-US" w:eastAsia="zh-CN" w:bidi="ar"/>
        </w:rPr>
        <w:t>24</w:t>
      </w:r>
      <w:r>
        <w:rPr>
          <w:rFonts w:hint="eastAsia" w:ascii="宋体" w:hAnsi="宋体" w:eastAsia="宋体" w:cs="宋体"/>
          <w:b w:val="0"/>
          <w:bCs w:val="0"/>
          <w:color w:val="auto"/>
          <w:kern w:val="0"/>
          <w:sz w:val="24"/>
          <w:szCs w:val="24"/>
          <w:lang w:val="en-US" w:eastAsia="zh-CN" w:bidi="ar"/>
        </w:rPr>
        <w:t>个月×当月考核系数) ÷自然月天数×服务天数。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 当月考核系数计算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当月考核系数由售后服务考核和技术服务考核两部份组成，其中售后服务考核权重占比20%，技术服务考核权重占比80%。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当月考核系数=售后服务考核系数×20%+技术服务考核系数×80%</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5.2.1 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5.2.2 技术服务考核：按PTA团队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5.2.3 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4"/>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drawing>
          <wp:inline distT="0" distB="0" distL="114300" distR="114300">
            <wp:extent cx="2800350" cy="4476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2800350" cy="447675"/>
                    </a:xfrm>
                    <a:prstGeom prst="rect">
                      <a:avLst/>
                    </a:prstGeom>
                    <a:noFill/>
                    <a:ln w="9525">
                      <a:noFill/>
                    </a:ln>
                  </pic:spPr>
                </pic:pic>
              </a:graphicData>
            </a:graphic>
          </wp:inline>
        </w:drawing>
      </w:r>
      <w:r>
        <w:rPr>
          <w:rFonts w:hint="eastAsia" w:ascii="宋体" w:hAnsi="宋体" w:eastAsia="宋体" w:cs="宋体"/>
          <w:b w:val="0"/>
          <w:bCs w:val="0"/>
          <w:color w:val="auto"/>
          <w:kern w:val="0"/>
          <w:sz w:val="24"/>
          <w:szCs w:val="24"/>
          <w:lang w:val="en-US" w:eastAsia="zh-CN" w:bidi="ar"/>
        </w:rPr>
        <w:t xml:space="preserve"> </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*锅炉水质分析频率为：pH每天一次，Fe每周三次，SiO2每周三次，Cond. 每周三次， (PO4)</w:t>
      </w:r>
      <w:r>
        <w:rPr>
          <w:rFonts w:hint="eastAsia" w:ascii="宋体" w:hAnsi="宋体" w:eastAsia="宋体" w:cs="宋体"/>
          <w:b w:val="0"/>
          <w:bCs w:val="0"/>
          <w:color w:val="auto"/>
          <w:kern w:val="0"/>
          <w:sz w:val="24"/>
          <w:szCs w:val="24"/>
          <w:vertAlign w:val="superscript"/>
          <w:lang w:val="en-US" w:eastAsia="zh-CN" w:bidi="ar"/>
        </w:rPr>
        <w:t>3-</w:t>
      </w:r>
      <w:r>
        <w:rPr>
          <w:rFonts w:hint="eastAsia" w:ascii="宋体" w:hAnsi="宋体" w:eastAsia="宋体" w:cs="宋体"/>
          <w:b w:val="0"/>
          <w:bCs w:val="0"/>
          <w:color w:val="auto"/>
          <w:kern w:val="0"/>
          <w:sz w:val="24"/>
          <w:szCs w:val="24"/>
          <w:lang w:val="en-US" w:eastAsia="zh-CN" w:bidi="ar"/>
        </w:rPr>
        <w:t>每周三次。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5.3 赔偿：未得到甲方认可前乙方不得单方面不执行合约，乙方单方面不执行合约应按合约总额赔偿甲方，如造成甲方生产事故或设备受损，甲方有权追加相应赔偿。</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5.4 若样品连续一周合格率无法达到90%以上要求，甲方有权利要求试用其他厂家助剂，乙方不得有异议。</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kern w:val="2"/>
          <w:sz w:val="21"/>
          <w:szCs w:val="21"/>
        </w:rPr>
      </w:pPr>
      <w:r>
        <w:rPr>
          <w:rFonts w:hint="eastAsia" w:ascii="宋体" w:hAnsi="宋体" w:eastAsia="宋体" w:cs="宋体"/>
          <w:b w:val="0"/>
          <w:bCs w:val="0"/>
          <w:color w:val="auto"/>
          <w:kern w:val="0"/>
          <w:sz w:val="24"/>
          <w:szCs w:val="24"/>
          <w:lang w:val="en-US" w:eastAsia="zh-CN" w:bidi="ar"/>
        </w:rPr>
        <w:t>5.5 合约到期或终止后，合约外多余的药剂及药剂空桶由乙方负责清理处置，产生的相关费用由乙方承担。</w:t>
      </w:r>
      <w:r>
        <w:rPr>
          <w:rFonts w:hint="eastAsia" w:ascii="宋体" w:hAnsi="宋体" w:eastAsia="宋体" w:cs="宋体"/>
          <w:kern w:val="2"/>
          <w:sz w:val="21"/>
          <w:szCs w:val="21"/>
          <w:lang w:val="en-US" w:eastAsia="zh-CN" w:bidi="ar"/>
        </w:rPr>
        <w:t xml:space="preserve">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六、</w:t>
      </w:r>
      <w:r>
        <w:rPr>
          <w:rFonts w:hint="eastAsia" w:ascii="宋体" w:hAnsi="宋体" w:eastAsia="宋体" w:cs="宋体"/>
          <w:b/>
          <w:bCs w:val="0"/>
          <w:kern w:val="2"/>
          <w:sz w:val="32"/>
          <w:szCs w:val="32"/>
        </w:rPr>
        <w:t>包装及运输</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6.1 乙方负责提供产品的运输至甲方指定仓库，甲方负责现场卸货。</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6.2 包装需满足长途陆路运输的要求，避免产品运输过程中日晒、雨淋及其它可能对产品造成损害的情况出现。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6.3 产品的包装和运输应满足交通运输部门及行业协会所规定要求。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6.4 计量称重：甲方在厂区复核药剂的重量，药剂的计量以甲方计量数据为结算依据。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七、</w:t>
      </w:r>
      <w:r>
        <w:rPr>
          <w:rFonts w:hint="eastAsia" w:ascii="宋体" w:hAnsi="宋体" w:eastAsia="宋体" w:cs="宋体"/>
          <w:b/>
          <w:bCs w:val="0"/>
          <w:kern w:val="2"/>
          <w:sz w:val="32"/>
          <w:szCs w:val="32"/>
        </w:rPr>
        <w:t>技术服务及售后</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7.1 服务时间、地点</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时间：2022年11月18日至2024年11月17日，共计24个月。</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地点：福建省漳州市漳浦县古雷开发区腾龙路86号福海创石油化工有限公司</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 日常服务要求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 定期提供服务报告（含系统评估、水质处理评价和操作建议）。初步设定为周报、月报、季报和年报形式，系统异常期间据情增加频次。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7.2.2 要求投标厂商在我司附近设置水处理分析设备和实验室，并派驻有资质的技术服务人员，保证至少每周3次的现场服务，包括且不限于药剂罐补充药剂、系统加药及调整、水质改善方案建议、现场药剂库存盘点等，如遇系统异常期间还应据实际情况增加现场服务次数。</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7.2.3 乙方必须配置1名专业服务人员（具有3年以上的PTA装置锅炉水处理经验），提供现场调试和运行的技术服务，包括产品介绍、技术咨询、操作技术培训等内容。</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7.2.4 如系统发生异常，服务人员接到通知2小时内至现场协助处理，采取应急措施及提供必要设施，处理完成后提供异常处理过程说明书面报告。</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7.2.5 锅炉停用期间，供应商需派项目技术人员协助装置编制锅炉停用保养方案、开停车方案，并在检修期间对设备内部检视，1周内提供书面检视报告。</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7.2.6 药剂到货，需甲方员工在场监督、核实到货数量，乙方应出具药剂清单及药剂合格证明。</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7.2.7 到货药剂的搬运，各储罐日常药剂的添加，由乙方负责，并保持药剂摆放区域的整理、整洁，并负责回收药剂空桶。</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7.2.8 药剂清点：乙方应对现场剩余药剂数量、使用药剂数量等定期统计，务必保证现场药剂量充足。若药剂使用量异常时，应及时反馈甲方并商讨解决方案。</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7.2.9 乙方根据每日水质分析情况，及时对药剂的添加量进行调整。</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7.2.10 协助装置技术人员对生产操作人员进行锅炉水药剂操作及相关知识的培训工作。</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7.2.11甲方有权利要求试用其他厂家助剂 </w:t>
      </w:r>
    </w:p>
    <w:p>
      <w:pPr>
        <w:pStyle w:val="252"/>
        <w:widowControl/>
        <w:numPr>
          <w:ilvl w:val="0"/>
          <w:numId w:val="0"/>
        </w:numPr>
        <w:ind w:leftChars="0" w:right="0" w:rightChars="0"/>
        <w:rPr>
          <w:rFonts w:hint="eastAsia" w:ascii="宋体" w:hAnsi="宋体" w:cs="宋体"/>
          <w:b/>
          <w:bCs w:val="0"/>
          <w:kern w:val="2"/>
          <w:sz w:val="32"/>
          <w:szCs w:val="32"/>
          <w:lang w:val="en-US" w:eastAsia="zh-CN"/>
        </w:rPr>
      </w:pPr>
      <w:r>
        <w:rPr>
          <w:rFonts w:hint="eastAsia" w:ascii="宋体" w:hAnsi="宋体" w:cs="宋体"/>
          <w:b/>
          <w:bCs w:val="0"/>
          <w:kern w:val="2"/>
          <w:sz w:val="32"/>
          <w:szCs w:val="32"/>
          <w:lang w:val="en-US" w:eastAsia="zh-CN"/>
        </w:rPr>
        <w:t>八、双方责任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 通则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8.1.1 本要求提出的是最低限度的技术要求，并未对一切技术要求作出详细规定，也未充分的引述有关标准及规范的条文。乙方应保证提供符合本规范书和相关的国际、国内工业标准的优质产品及其相应服务。</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8.1.2 本要求所使用的标准如遇与乙方、国家所执行的标准发生矛盾时，按较高标准执行。乙方确保供货完整以能满足用户系统要求为原则。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8.1.3 乙方若对本协议和招标文件的要求有不同的见解，以及工艺参数与合同要求有偏差时，应及时提出以供甲方确认。如乙方没有提出此类偏差文件，则乙方所提供的产品和服务将被认为完全符合甲方文件提出的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8.1.4 本发包要求作为药剂采购和技术服务合同的附件，是该合同不可分割的一部分，作为一个整体，具有相同的法律效力。</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 甲方责任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8.2.1 负责日常的水质取样、指标分析。</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8.2.2 甲方根据乙方提供的上述产品质量指标进行验收。</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8.2.3 甲方应保证系统补水水质指标符合技术协议要求。</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8.2.4 甲方与乙方约定的药剂使用量是以确保处理后的水质指标满足甲方要求为依据，如约定的药剂数量无法达到甲方要求的水质指标，乙方应通过增加药剂用量或调整药剂配方等手段使水质尽快达标，由此所增加的费用乙方不得向甲方追偿。如因甲方的原因（发生设备或工艺异常）造成药剂使用量超过约定，双方应共同对异常药剂量使用的原因进行分析，统计、核对异常工况产生的药剂使用量，在合约条款规范内，甲方向乙方支付超出合约药剂量的货款。超出合约货款支付金额计算：</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超出合约货款支付金额=超出合约药剂使用数量×药剂合约单价</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 乙方责任</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8.3.1 乙方需在规定的时间内向我司提供投标技术方案、资质材料和真实的业绩证明，供我司考察和技术澄清。厂商须提交下列资料和技术方案：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①提供企业法人营业执照</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②公司的主要业绩</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③锅炉水系统加药处理技术方案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④药剂质量标准、化学成分表及分析方法、MSDS材料安全数据表</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⑤锅炉水系统泄漏事故的应急处理方案</w:t>
      </w:r>
    </w:p>
    <w:p>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⑥甲方要求的其它与本项目有关的证明材料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8.3.2通过药剂注入量的调整以保证各种指标达到本技术协议中“水质控制指标”所规定的指标。</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8.3.3根据生产需要，经甲方书面通知，乙方应15日内将货物运输至现场，并送到甲方指定点。保证在合同期内不得中断药剂供应。</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8.3.4参与标定方案的编写与审核，配合标定的各项工作。</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8.3.5乙方应在每一批次产品送至甲方指定地点的同时提供该批次产品的质检单、合格证、安全技术说明书（MSDS）等相关资料。</w:t>
      </w:r>
    </w:p>
    <w:p>
      <w:pPr>
        <w:pStyle w:val="4"/>
        <w:keepNext w:val="0"/>
        <w:keepLines w:val="0"/>
        <w:pageBreakBefore w:val="0"/>
        <w:widowControl/>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8.3.6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color w:val="000000"/>
          <w:kern w:val="0"/>
          <w:sz w:val="24"/>
          <w:szCs w:val="24"/>
          <w:lang w:val="en-US" w:eastAsia="zh-CN" w:bidi="ar"/>
        </w:rPr>
        <w:t>8.3.7</w:t>
      </w:r>
      <w:r>
        <w:rPr>
          <w:rFonts w:hint="eastAsia" w:ascii="宋体" w:hAnsi="宋体" w:eastAsia="宋体" w:cs="宋体"/>
          <w:color w:val="000000"/>
          <w:kern w:val="2"/>
          <w:sz w:val="24"/>
          <w:szCs w:val="24"/>
          <w:lang w:val="en-US" w:eastAsia="zh-CN" w:bidi="ar"/>
        </w:rPr>
        <w:t>与本项目有关的所有资料非经甲方同意，乙方不得泄露给任何第三方，否则乙方须承担由此带来的一</w:t>
      </w:r>
      <w:r>
        <w:rPr>
          <w:rFonts w:hint="eastAsia" w:ascii="宋体" w:hAnsi="宋体" w:eastAsia="宋体" w:cs="宋体"/>
          <w:bCs/>
          <w:kern w:val="2"/>
          <w:sz w:val="24"/>
          <w:szCs w:val="24"/>
          <w:lang w:val="en-US" w:eastAsia="zh-CN" w:bidi="ar"/>
        </w:rPr>
        <w:t>切后果。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Arial" w:hAnsi="Arial" w:eastAsia="宋体" w:cs="宋体"/>
          <w:color w:val="000000"/>
          <w:kern w:val="2"/>
          <w:sz w:val="24"/>
          <w:szCs w:val="24"/>
        </w:rPr>
      </w:pPr>
      <w:r>
        <w:rPr>
          <w:rFonts w:hint="eastAsia" w:ascii="宋体" w:hAnsi="宋体" w:eastAsia="宋体" w:cs="宋体"/>
          <w:color w:val="000000"/>
          <w:kern w:val="0"/>
          <w:sz w:val="24"/>
          <w:szCs w:val="24"/>
          <w:lang w:val="en-US" w:eastAsia="zh-CN" w:bidi="ar"/>
        </w:rPr>
        <w:t>8.3.8</w:t>
      </w:r>
      <w:r>
        <w:rPr>
          <w:rFonts w:hint="eastAsia" w:ascii="宋体" w:hAnsi="宋体" w:eastAsia="宋体" w:cs="宋体"/>
          <w:color w:val="000000"/>
          <w:kern w:val="2"/>
          <w:sz w:val="24"/>
          <w:szCs w:val="24"/>
          <w:lang w:val="en-US" w:eastAsia="zh-CN" w:bidi="ar"/>
        </w:rPr>
        <w:t>乙方承诺的售后服务范围应按照协议要求实施，并计入考核内容。乙方的技术人员现场服务由甲乙双方共同签字确认，作为服务依据。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Arial" w:hAnsi="Arial" w:cs="Arial"/>
          <w:color w:val="000000"/>
          <w:kern w:val="2"/>
          <w:sz w:val="24"/>
          <w:szCs w:val="24"/>
        </w:rPr>
      </w:pPr>
      <w:r>
        <w:rPr>
          <w:rFonts w:hint="eastAsia" w:ascii="宋体" w:hAnsi="宋体" w:eastAsia="宋体" w:cs="宋体"/>
          <w:color w:val="000000"/>
          <w:kern w:val="0"/>
          <w:sz w:val="24"/>
          <w:szCs w:val="24"/>
          <w:lang w:val="en-US" w:eastAsia="zh-CN" w:bidi="ar"/>
        </w:rPr>
        <w:t>8.3.9</w:t>
      </w:r>
      <w:r>
        <w:rPr>
          <w:rFonts w:hint="eastAsia" w:ascii="宋体" w:hAnsi="宋体" w:eastAsia="宋体" w:cs="宋体"/>
          <w:color w:val="000000"/>
          <w:kern w:val="2"/>
          <w:sz w:val="24"/>
          <w:szCs w:val="24"/>
          <w:lang w:val="en-US" w:eastAsia="zh-CN" w:bidi="ar"/>
        </w:rPr>
        <w:t>乙方应在确认中标后第一时间到我司现场，与我司确认药剂过渡方案和备货情况，以保证系统的稳定运行和不发生水质波动。药剂供应及服务以甲方的正式通知（包括书面、电话或邮件）为准，药剂依乙方方案总量按月供应，并保证预留有</w:t>
      </w:r>
      <w:r>
        <w:rPr>
          <w:rFonts w:hint="default" w:ascii="Arial" w:hAnsi="Arial" w:eastAsia="宋体" w:cs="Arial"/>
          <w:color w:val="000000"/>
          <w:kern w:val="2"/>
          <w:sz w:val="24"/>
          <w:szCs w:val="24"/>
          <w:lang w:val="en-US" w:eastAsia="zh-CN" w:bidi="ar"/>
        </w:rPr>
        <w:t>1-3</w:t>
      </w:r>
      <w:r>
        <w:rPr>
          <w:rFonts w:hint="eastAsia" w:ascii="宋体" w:hAnsi="宋体" w:eastAsia="宋体" w:cs="宋体"/>
          <w:color w:val="000000"/>
          <w:kern w:val="2"/>
          <w:sz w:val="24"/>
          <w:szCs w:val="24"/>
          <w:lang w:val="en-US" w:eastAsia="zh-CN" w:bidi="ar"/>
        </w:rPr>
        <w:t>月的安全库存，</w:t>
      </w:r>
      <w:r>
        <w:rPr>
          <w:rFonts w:hint="eastAsia" w:ascii="Arial" w:hAnsi="Arial" w:eastAsia="宋体" w:cs="Arial"/>
          <w:color w:val="000000"/>
          <w:kern w:val="2"/>
          <w:sz w:val="24"/>
          <w:szCs w:val="24"/>
          <w:lang w:val="en-US" w:eastAsia="zh-CN" w:bidi="ar"/>
        </w:rPr>
        <w:t>24</w:t>
      </w:r>
      <w:r>
        <w:rPr>
          <w:rFonts w:hint="eastAsia" w:ascii="宋体" w:hAnsi="宋体" w:eastAsia="宋体" w:cs="宋体"/>
          <w:color w:val="000000"/>
          <w:kern w:val="2"/>
          <w:sz w:val="24"/>
          <w:szCs w:val="24"/>
          <w:lang w:val="en-US" w:eastAsia="zh-CN" w:bidi="ar"/>
        </w:rPr>
        <w:t xml:space="preserve">个月内全部交齐。乙方需按甲方指定地点存放药剂，甲方不负责对现场存放药剂的保管责任。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8.3.10乙方在合约期内未得到甲方认可不得中断药剂供应。 </w:t>
      </w:r>
    </w:p>
    <w:p>
      <w:pPr>
        <w:pStyle w:val="252"/>
        <w:widowControl/>
        <w:numPr>
          <w:ilvl w:val="0"/>
          <w:numId w:val="0"/>
        </w:numPr>
        <w:ind w:leftChars="0" w:right="0" w:rightChars="0"/>
        <w:rPr>
          <w:rFonts w:hint="eastAsia" w:ascii="Times New Roman" w:hAnsi="Times New Roman" w:eastAsia="宋体" w:cs="Times New Roman"/>
          <w:b/>
          <w:bCs w:val="0"/>
          <w:kern w:val="2"/>
          <w:sz w:val="32"/>
          <w:szCs w:val="32"/>
        </w:rPr>
      </w:pPr>
      <w:r>
        <w:rPr>
          <w:rFonts w:hint="eastAsia" w:ascii="宋体" w:hAnsi="宋体" w:cs="宋体"/>
          <w:b/>
          <w:bCs w:val="0"/>
          <w:kern w:val="2"/>
          <w:sz w:val="32"/>
          <w:szCs w:val="32"/>
          <w:lang w:val="en-US" w:eastAsia="zh-CN"/>
        </w:rPr>
        <w:t>九、</w:t>
      </w:r>
      <w:r>
        <w:rPr>
          <w:rFonts w:hint="eastAsia" w:ascii="宋体" w:hAnsi="宋体" w:eastAsia="宋体" w:cs="宋体"/>
          <w:b/>
          <w:bCs w:val="0"/>
          <w:kern w:val="2"/>
          <w:sz w:val="32"/>
          <w:szCs w:val="32"/>
        </w:rPr>
        <w:t>其他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9.1竞标厂商需满足招标文件中相关的资质、业绩条件，并确保所提供的药剂、方案、和服务可满足上述技术要求后，方可参与竞标。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9.2甲方安装的水质自动在线监测只作为加药和水质辅助监测，具体水质指标以甲方分析实验室化验数据报告为准；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kern w:val="2"/>
          <w:sz w:val="24"/>
          <w:szCs w:val="24"/>
          <w:lang w:val="en-US" w:eastAsia="zh-CN" w:bidi="ar"/>
        </w:rPr>
        <w:t>9.3</w:t>
      </w:r>
      <w:r>
        <w:rPr>
          <w:rFonts w:hint="eastAsia" w:ascii="宋体" w:hAnsi="宋体" w:eastAsia="宋体" w:cs="宋体"/>
          <w:bCs/>
          <w:kern w:val="2"/>
          <w:sz w:val="24"/>
          <w:szCs w:val="24"/>
          <w:lang w:val="en-US" w:eastAsia="zh-CN" w:bidi="ar"/>
        </w:rPr>
        <w:t>合约履行期间，甲方可随时对药剂等进厂材料进行查验检测，乙方应予配合；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9.4</w:t>
      </w:r>
      <w:r>
        <w:rPr>
          <w:rFonts w:hint="eastAsia" w:ascii="宋体" w:hAnsi="宋体" w:eastAsia="宋体" w:cs="宋体"/>
          <w:kern w:val="2"/>
          <w:sz w:val="24"/>
          <w:szCs w:val="24"/>
          <w:lang w:val="en-US" w:eastAsia="zh-CN" w:bidi="ar"/>
        </w:rPr>
        <w:t>对于本招标技术文件中未尽事宜，可继续向招标方咨询了解，对于双方同意的新增或修改事项可另附文说明并作为合同附件。</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kern w:val="2"/>
          <w:sz w:val="24"/>
          <w:szCs w:val="24"/>
        </w:rPr>
      </w:pPr>
    </w:p>
    <w:p>
      <w:pPr>
        <w:pStyle w:val="2"/>
        <w:rPr>
          <w:rFonts w:hint="eastAsia"/>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Pr>
        <w:pStyle w:val="2"/>
        <w:rPr>
          <w:rFonts w:hint="eastAsia" w:ascii="宋体" w:hAnsi="宋体" w:eastAsia="宋体" w:cs="宋体"/>
          <w:b/>
          <w:bCs w:val="0"/>
          <w:kern w:val="2"/>
          <w:sz w:val="24"/>
          <w:szCs w:val="24"/>
        </w:rPr>
      </w:pPr>
    </w:p>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9</w:t>
      </w:r>
      <w:r>
        <w:rPr>
          <w:rFonts w:ascii="Times New Roman" w:hAnsi="Times New Roman"/>
          <w:b/>
          <w:bCs/>
          <w:w w:val="95"/>
          <w:sz w:val="32"/>
          <w:lang w:eastAsia="zh-CN"/>
        </w:rPr>
        <w:t>月</w:t>
      </w:r>
    </w:p>
    <w:p>
      <w:pPr>
        <w:rPr>
          <w:lang w:eastAsia="zh-CN"/>
        </w:rPr>
      </w:pPr>
    </w:p>
    <w:p>
      <w:pPr>
        <w:pStyle w:val="2"/>
      </w:pPr>
    </w:p>
    <w:p>
      <w:pPr>
        <w:spacing w:line="1000" w:lineRule="exact"/>
        <w:jc w:val="both"/>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1．参选人应按规定，向比选人递交参选文件，正本一份</w:t>
      </w:r>
      <w:r>
        <w:rPr>
          <w:rFonts w:hint="eastAsia" w:cs="Times New Roman"/>
          <w:bCs w:val="0"/>
          <w:color w:val="C00000"/>
          <w:sz w:val="21"/>
          <w:szCs w:val="21"/>
          <w:lang w:val="en-US" w:eastAsia="zh-CN"/>
        </w:rPr>
        <w:t>即可</w:t>
      </w:r>
      <w:r>
        <w:rPr>
          <w:rFonts w:hint="eastAsia" w:cs="Times New Roman"/>
          <w:bCs w:val="0"/>
          <w:color w:val="C00000"/>
          <w:sz w:val="21"/>
          <w:szCs w:val="21"/>
          <w:lang w:eastAsia="zh-CN"/>
        </w:rPr>
        <w:t>。</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2.所有纸质文件采用</w:t>
      </w:r>
      <w:r>
        <w:rPr>
          <w:rFonts w:cs="Times New Roman"/>
          <w:bCs w:val="0"/>
          <w:color w:val="C00000"/>
          <w:sz w:val="21"/>
          <w:szCs w:val="21"/>
          <w:lang w:eastAsia="zh-CN"/>
        </w:rPr>
        <w:t>A4</w:t>
      </w:r>
      <w:r>
        <w:rPr>
          <w:rFonts w:hint="eastAsia" w:cs="Times New Roman"/>
          <w:bCs w:val="0"/>
          <w:color w:val="C00000"/>
          <w:sz w:val="21"/>
          <w:szCs w:val="21"/>
          <w:lang w:eastAsia="zh-CN"/>
        </w:rPr>
        <w:t>纸胶装</w:t>
      </w:r>
      <w:r>
        <w:rPr>
          <w:rFonts w:hint="eastAsia" w:cs="Times New Roman"/>
          <w:bCs w:val="0"/>
          <w:color w:val="C00000"/>
          <w:sz w:val="21"/>
          <w:szCs w:val="21"/>
          <w:lang w:val="en-US" w:eastAsia="zh-CN"/>
        </w:rPr>
        <w:t>或</w:t>
      </w:r>
      <w:r>
        <w:rPr>
          <w:rFonts w:hint="eastAsia" w:cs="Times New Roman"/>
          <w:bCs w:val="0"/>
          <w:color w:val="C00000"/>
          <w:sz w:val="21"/>
          <w:szCs w:val="21"/>
          <w:lang w:eastAsia="zh-CN"/>
        </w:rPr>
        <w:t>平装。所有参选文件应增加统一外层包封。</w:t>
      </w:r>
    </w:p>
    <w:p>
      <w:pPr>
        <w:pStyle w:val="76"/>
        <w:spacing w:beforeLines="0" w:afterLines="0"/>
        <w:ind w:firstLine="464" w:firstLineChars="221"/>
        <w:rPr>
          <w:rFonts w:cs="Times New Roman"/>
          <w:b/>
          <w:bCs/>
          <w:color w:val="C00000"/>
          <w:sz w:val="21"/>
          <w:szCs w:val="21"/>
          <w:lang w:eastAsia="zh-CN"/>
        </w:rPr>
      </w:pPr>
      <w:r>
        <w:rPr>
          <w:rFonts w:hint="eastAsia" w:cs="Times New Roman"/>
          <w:bCs w:val="0"/>
          <w:color w:val="C00000"/>
          <w:sz w:val="21"/>
          <w:szCs w:val="21"/>
          <w:lang w:eastAsia="zh-CN"/>
        </w:rPr>
        <w:t>3.提交参选文件时提供两个包装，商务参选文件（报价单）一个包装、技术参选文件一个包装</w:t>
      </w:r>
      <w:r>
        <w:rPr>
          <w:rFonts w:cs="Times New Roman"/>
          <w:bCs w:val="0"/>
          <w:color w:val="C00000"/>
          <w:sz w:val="21"/>
          <w:szCs w:val="21"/>
          <w:lang w:eastAsia="zh-CN"/>
        </w:rPr>
        <w:t>,</w:t>
      </w:r>
      <w:r>
        <w:rPr>
          <w:rFonts w:hint="eastAsia" w:cs="Times New Roman"/>
          <w:bCs w:val="0"/>
          <w:color w:val="C00000"/>
          <w:sz w:val="21"/>
          <w:szCs w:val="21"/>
          <w:lang w:eastAsia="zh-CN"/>
        </w:rPr>
        <w:t>封口处均需加盖骑缝章。</w:t>
      </w:r>
      <w:r>
        <w:rPr>
          <w:rFonts w:hint="eastAsia" w:cs="Times New Roman"/>
          <w:b/>
          <w:bCs/>
          <w:color w:val="C00000"/>
          <w:sz w:val="21"/>
          <w:szCs w:val="21"/>
          <w:lang w:eastAsia="zh-CN"/>
        </w:rPr>
        <w:t>商务参选文件和技术参选文件电子拷贝一份（随商务参选文件包装）。</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4.凡因参选文件不按规定填写，或填写不清晰、不完整、或密封不合要求而引起的一切后果，由参选人自行负责。</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line="240" w:lineRule="auto"/>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7、以下文件中</w:t>
      </w:r>
      <w:r>
        <w:rPr>
          <w:rFonts w:hint="eastAsia" w:cs="Times New Roman"/>
          <w:b/>
          <w:color w:val="00B050"/>
          <w:sz w:val="21"/>
          <w:szCs w:val="21"/>
          <w:lang w:eastAsia="zh-CN"/>
        </w:rPr>
        <w:t>绿色</w:t>
      </w:r>
      <w:r>
        <w:rPr>
          <w:rFonts w:hint="eastAsia" w:cs="Times New Roman"/>
          <w:bCs w:val="0"/>
          <w:color w:val="C00000"/>
          <w:sz w:val="21"/>
          <w:szCs w:val="21"/>
          <w:lang w:eastAsia="zh-CN"/>
        </w:rPr>
        <w:t>字体部分，请各参选单位根据实际情况填写后，修改为</w:t>
      </w:r>
      <w:r>
        <w:rPr>
          <w:rFonts w:hint="eastAsia" w:cs="Times New Roman"/>
          <w:b/>
          <w:color w:val="C00000"/>
          <w:sz w:val="21"/>
          <w:szCs w:val="21"/>
          <w:lang w:eastAsia="zh-CN"/>
        </w:rPr>
        <w:t>黑色（不加粗）</w:t>
      </w:r>
      <w:r>
        <w:rPr>
          <w:rFonts w:hint="eastAsia" w:cs="Times New Roman"/>
          <w:bCs w:val="0"/>
          <w:color w:val="C00000"/>
          <w:sz w:val="21"/>
          <w:szCs w:val="21"/>
          <w:lang w:eastAsia="zh-CN"/>
        </w:rPr>
        <w:t>字体打印。目录页码请根据实际情况编写。</w:t>
      </w:r>
    </w:p>
    <w:p>
      <w:pPr>
        <w:pStyle w:val="76"/>
        <w:spacing w:beforeLines="0" w:afterLines="0" w:line="240" w:lineRule="auto"/>
        <w:ind w:firstLine="464" w:firstLineChars="221"/>
        <w:rPr>
          <w:rFonts w:cs="Times New Roman"/>
          <w:color w:val="C00000"/>
          <w:sz w:val="21"/>
          <w:szCs w:val="21"/>
          <w:lang w:eastAsia="zh-CN"/>
        </w:rPr>
      </w:pPr>
      <w:r>
        <w:rPr>
          <w:rFonts w:hint="eastAsia" w:cs="Times New Roman"/>
          <w:color w:val="C00000"/>
          <w:sz w:val="21"/>
          <w:szCs w:val="21"/>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b/>
          <w:bCs/>
          <w:sz w:val="36"/>
          <w:szCs w:val="36"/>
          <w:lang w:eastAsia="zh-CN"/>
        </w:rPr>
      </w:pPr>
      <w:r>
        <w:rPr>
          <w:rFonts w:hint="eastAsia" w:ascii="Times New Roman" w:hAnsi="Times New Roman" w:cs="Times New Roman"/>
          <w:b/>
          <w:color w:val="FF0000"/>
          <w:sz w:val="24"/>
          <w:szCs w:val="24"/>
          <w:u w:val="single"/>
          <w:lang w:eastAsia="zh-CN"/>
        </w:rPr>
        <w:t>（如内容超过一页，可附页）</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ind w:firstLine="3614" w:firstLineChars="1000"/>
        <w:rPr>
          <w:rFonts w:hint="eastAsia" w:ascii="Times New Roman" w:hAnsi="Times New Roman"/>
          <w:b/>
          <w:bCs/>
          <w:kern w:val="2"/>
          <w:sz w:val="36"/>
          <w:szCs w:val="36"/>
        </w:rPr>
      </w:pPr>
    </w:p>
    <w:p>
      <w:pPr>
        <w:pStyle w:val="2"/>
        <w:ind w:firstLine="3614" w:firstLineChars="1000"/>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pStyle w:val="2"/>
        <w:rPr>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PTA装置废热锅炉水处理药剂供应及服务</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095"/>
        <w:gridCol w:w="1096"/>
        <w:gridCol w:w="1096"/>
        <w:gridCol w:w="1096"/>
        <w:gridCol w:w="109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序号</w:t>
            </w:r>
          </w:p>
        </w:tc>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标的名称</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规格型号</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数量 （吨/2年）</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固定单价（元/吨）</w:t>
            </w:r>
          </w:p>
        </w:tc>
        <w:tc>
          <w:tcPr>
            <w:tcW w:w="1096" w:type="dxa"/>
            <w:vAlign w:val="center"/>
          </w:tcPr>
          <w:p>
            <w:pPr>
              <w:spacing w:line="280" w:lineRule="exact"/>
              <w:ind w:left="90" w:leftChars="41" w:firstLine="90" w:firstLineChars="50"/>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总价（元）</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品牌</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pStyle w:val="2"/>
              <w:jc w:val="center"/>
              <w:rPr>
                <w:b/>
                <w:sz w:val="22"/>
              </w:rPr>
            </w:pPr>
            <w:r>
              <w:rPr>
                <w:rFonts w:hint="eastAsia"/>
                <w:b/>
                <w:sz w:val="22"/>
              </w:rPr>
              <w:t>1</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脱氧剂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2</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中和胺</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3</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清锅剂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投标总价（大写）：</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发票形式：</w:t>
            </w:r>
            <w:r>
              <w:rPr>
                <w:rFonts w:hint="eastAsia" w:asciiTheme="minorEastAsia" w:hAnsiTheme="minorEastAsia" w:eastAsiaTheme="minorEastAsia"/>
                <w:sz w:val="18"/>
                <w:szCs w:val="18"/>
                <w:u w:val="single"/>
                <w:lang w:eastAsia="zh-CN"/>
              </w:rPr>
              <w:t xml:space="preserve">       %</w:t>
            </w:r>
            <w:r>
              <w:rPr>
                <w:rFonts w:hint="eastAsia" w:asciiTheme="minorEastAsia" w:hAnsiTheme="minorEastAsia" w:eastAsiaTheme="minorEastAsia"/>
                <w:sz w:val="18"/>
                <w:szCs w:val="18"/>
                <w:lang w:eastAsia="zh-CN"/>
              </w:rPr>
              <w:t>增值税专用发票。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备注说明：</w:t>
            </w:r>
          </w:p>
          <w:p>
            <w:pPr>
              <w:pStyle w:val="74"/>
              <w:numPr>
                <w:ilvl w:val="0"/>
                <w:numId w:val="7"/>
              </w:num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报价药剂名称、数量为技术协议投加方案中注明的药剂名称及2年用量。</w:t>
            </w:r>
          </w:p>
          <w:p>
            <w:pPr>
              <w:spacing w:line="44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2、具体供货由厂家根据自身主案、自行提报。但需要满足下述要求：</w:t>
            </w:r>
          </w:p>
          <w:p>
            <w:pPr>
              <w:spacing w:line="44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（1）如果厂家提报的方案无法满足水质处理要求，厂家无条件更改方案，且合同价格不作任何调整。</w:t>
            </w:r>
          </w:p>
          <w:p>
            <w:pPr>
              <w:pStyle w:val="2"/>
              <w:spacing w:line="440" w:lineRule="exac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（2）厂家提报的数量为全年封顶数量：如果合约期内实际用药数量超过提报数量，合约商无条件补足。</w:t>
            </w:r>
          </w:p>
          <w:p>
            <w:pPr>
              <w:pStyle w:val="2"/>
              <w:spacing w:line="260" w:lineRule="exact"/>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val="en-US" w:eastAsia="zh-CN"/>
        </w:rPr>
        <w:t>联系电话</w:t>
      </w:r>
      <w:r>
        <w:rPr>
          <w:rFonts w:hint="eastAsia"/>
          <w:sz w:val="24"/>
          <w:szCs w:val="24"/>
          <w:lang w:eastAsia="zh-CN"/>
        </w:rPr>
        <w:t>：</w:t>
      </w:r>
      <w:r>
        <w:rPr>
          <w:rFonts w:hint="eastAsia"/>
          <w:sz w:val="24"/>
          <w:szCs w:val="24"/>
          <w:u w:val="single"/>
          <w:lang w:eastAsia="zh-CN"/>
        </w:rPr>
        <w:t xml:space="preserve">                 </w:t>
      </w:r>
      <w:r>
        <w:rPr>
          <w:sz w:val="24"/>
          <w:szCs w:val="24"/>
          <w:lang w:eastAsia="zh-CN"/>
        </w:rPr>
        <w:t>_</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rPr>
          <w:rFonts w:hint="eastAsia"/>
        </w:rPr>
      </w:pPr>
    </w:p>
    <w:p>
      <w:pPr>
        <w:pStyle w:val="2"/>
        <w:rPr>
          <w:sz w:val="24"/>
          <w:szCs w:val="24"/>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4"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9lMHZAAAADQEAAA8AAAAAAAAAAQAgAAAAIgAAAGRycy9kb3ducmV2LnhtbFBL&#10;AQIUABQAAAAIAIdO4kArSEpBvAEAAHQDAAAOAAAAAAAAAAEAIAAAACgBAABkcnMvZTJvRG9jLnht&#10;bFBLBQYAAAAABgAGAFkBAABW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L2UwdkAAAANAQAADwAAAAAAAAABACAAAAAiAAAAZHJzL2Rvd25yZXYueG1sUEsB&#10;AhQAFAAAAAgAh07iQE98QGK7AQAAdAMAAA4AAAAAAAAAAQAgAAAAKAEAAGRycy9lMm9Eb2MueG1s&#10;UEsFBgAAAAAGAAYAWQEAAFU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C585799"/>
    <w:multiLevelType w:val="multilevel"/>
    <w:tmpl w:val="5C5857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D13DE"/>
    <w:rsid w:val="001E3C0E"/>
    <w:rsid w:val="001E5406"/>
    <w:rsid w:val="001F3956"/>
    <w:rsid w:val="001F3D0A"/>
    <w:rsid w:val="001F70BA"/>
    <w:rsid w:val="00200CED"/>
    <w:rsid w:val="0020141D"/>
    <w:rsid w:val="00216CDC"/>
    <w:rsid w:val="0022539B"/>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130D"/>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7744D"/>
    <w:rsid w:val="00381036"/>
    <w:rsid w:val="00383DFA"/>
    <w:rsid w:val="00385474"/>
    <w:rsid w:val="003856F2"/>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166F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F1709"/>
    <w:rsid w:val="00DF30E1"/>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FB6"/>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225E"/>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40556DD"/>
    <w:rsid w:val="061139E5"/>
    <w:rsid w:val="06F50B00"/>
    <w:rsid w:val="076E1278"/>
    <w:rsid w:val="08D1141D"/>
    <w:rsid w:val="09E0077E"/>
    <w:rsid w:val="0B296DE2"/>
    <w:rsid w:val="10294AA3"/>
    <w:rsid w:val="10E40CA0"/>
    <w:rsid w:val="136130D9"/>
    <w:rsid w:val="154A73F4"/>
    <w:rsid w:val="18DD4F7E"/>
    <w:rsid w:val="1918629E"/>
    <w:rsid w:val="195B58A2"/>
    <w:rsid w:val="1BBB17E3"/>
    <w:rsid w:val="1E085A14"/>
    <w:rsid w:val="1FF43DDB"/>
    <w:rsid w:val="21933AA2"/>
    <w:rsid w:val="25BF356F"/>
    <w:rsid w:val="25DB0C2D"/>
    <w:rsid w:val="269469E7"/>
    <w:rsid w:val="29FC3B14"/>
    <w:rsid w:val="2B11792E"/>
    <w:rsid w:val="2D142369"/>
    <w:rsid w:val="31C54755"/>
    <w:rsid w:val="320A5430"/>
    <w:rsid w:val="3216608C"/>
    <w:rsid w:val="32B048E2"/>
    <w:rsid w:val="34CE14C6"/>
    <w:rsid w:val="34D84CEC"/>
    <w:rsid w:val="37AF5AB7"/>
    <w:rsid w:val="38E30C16"/>
    <w:rsid w:val="3A1B2CAD"/>
    <w:rsid w:val="3B1C3371"/>
    <w:rsid w:val="3BA7084C"/>
    <w:rsid w:val="3CC23198"/>
    <w:rsid w:val="3DDF4815"/>
    <w:rsid w:val="3F415114"/>
    <w:rsid w:val="3FE669E5"/>
    <w:rsid w:val="42770F78"/>
    <w:rsid w:val="4591786B"/>
    <w:rsid w:val="46C16C66"/>
    <w:rsid w:val="4CE4722C"/>
    <w:rsid w:val="50945E8E"/>
    <w:rsid w:val="50F63E28"/>
    <w:rsid w:val="5221007F"/>
    <w:rsid w:val="52926B5A"/>
    <w:rsid w:val="545C5E51"/>
    <w:rsid w:val="5486175B"/>
    <w:rsid w:val="558447C8"/>
    <w:rsid w:val="57667D24"/>
    <w:rsid w:val="577D2FDE"/>
    <w:rsid w:val="57CE5BC3"/>
    <w:rsid w:val="5AE1516A"/>
    <w:rsid w:val="5B6A3A79"/>
    <w:rsid w:val="5C1A5F7B"/>
    <w:rsid w:val="5EDC2437"/>
    <w:rsid w:val="645771F8"/>
    <w:rsid w:val="689618A9"/>
    <w:rsid w:val="6A4610AD"/>
    <w:rsid w:val="6A54112D"/>
    <w:rsid w:val="6AA035AE"/>
    <w:rsid w:val="6BAB12DB"/>
    <w:rsid w:val="6D6F091A"/>
    <w:rsid w:val="6E0F2E14"/>
    <w:rsid w:val="6F1E141D"/>
    <w:rsid w:val="6F5354F8"/>
    <w:rsid w:val="740A2BDE"/>
    <w:rsid w:val="751839E0"/>
    <w:rsid w:val="752C6E5F"/>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99"/>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paragraph" w:customStyle="1" w:styleId="252">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87DA2-8C43-4D91-AAAC-8D6B2B2F7C1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15979</Words>
  <Characters>17305</Characters>
  <Lines>131</Lines>
  <Paragraphs>37</Paragraphs>
  <TotalTime>5</TotalTime>
  <ScaleCrop>false</ScaleCrop>
  <LinksUpToDate>false</LinksUpToDate>
  <CharactersWithSpaces>17669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2020-07-01T09:27:00Z</dcterms:created>
  <dc:creator>CGC</dc:creator>
  <cp:lastModifiedBy>戴小玉</cp:lastModifiedBy>
  <dcterms:modified xsi:type="dcterms:W3CDTF">2022-09-20T06:36:57Z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EFBEB94290D24F79A6884F560953B9AD</vt:lpwstr>
  </property>
</Properties>
</file>