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760"/>
        </w:tabs>
        <w:spacing w:line="360" w:lineRule="auto"/>
        <w:rPr>
          <w:rFonts w:ascii="Times New Roman" w:hAnsi="Times New Roman" w:cs="Times New Roman"/>
          <w:sz w:val="20"/>
          <w:lang w:eastAsia="zh-CN"/>
        </w:rPr>
      </w:pPr>
    </w:p>
    <w:p>
      <w:pPr>
        <w:pStyle w:val="20"/>
        <w:spacing w:line="360" w:lineRule="auto"/>
        <w:rPr>
          <w:rFonts w:ascii="Times New Roman" w:hAnsi="Times New Roman" w:cs="Times New Roman"/>
          <w:sz w:val="20"/>
        </w:rPr>
      </w:pPr>
    </w:p>
    <w:p>
      <w:pPr>
        <w:pStyle w:val="20"/>
        <w:spacing w:line="360" w:lineRule="auto"/>
        <w:rPr>
          <w:rFonts w:ascii="Times New Roman" w:hAnsi="Times New Roman" w:cs="Times New Roman"/>
          <w:sz w:val="20"/>
        </w:rPr>
      </w:pPr>
    </w:p>
    <w:p>
      <w:pPr>
        <w:pStyle w:val="20"/>
        <w:spacing w:before="5" w:line="360" w:lineRule="auto"/>
        <w:rPr>
          <w:rFonts w:ascii="Times New Roman" w:hAnsi="Times New Roman" w:cs="Times New Roman"/>
          <w:sz w:val="20"/>
        </w:rPr>
      </w:pPr>
    </w:p>
    <w:p>
      <w:pPr>
        <w:pStyle w:val="20"/>
        <w:spacing w:line="360" w:lineRule="auto"/>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pPr>
        <w:spacing w:line="360" w:lineRule="auto"/>
        <w:jc w:val="center"/>
        <w:rPr>
          <w:rFonts w:ascii="Times New Roman" w:hAnsi="Times New Roman" w:cs="Times New Roman"/>
          <w:b/>
          <w:bCs/>
          <w:sz w:val="36"/>
          <w:szCs w:val="36"/>
          <w:u w:val="single"/>
          <w:lang w:eastAsia="zh-CN"/>
        </w:rPr>
      </w:pPr>
    </w:p>
    <w:p>
      <w:pPr>
        <w:pStyle w:val="2"/>
        <w:spacing w:line="360" w:lineRule="auto"/>
        <w:rPr>
          <w:rFonts w:ascii="Times New Roman" w:hAnsi="Times New Roman"/>
        </w:rPr>
      </w:pPr>
    </w:p>
    <w:p>
      <w:pPr>
        <w:spacing w:line="360" w:lineRule="auto"/>
        <w:jc w:val="center"/>
        <w:rPr>
          <w:rFonts w:ascii="Times New Roman" w:hAnsi="Times New Roman" w:cs="Times New Roman"/>
          <w:b/>
          <w:sz w:val="36"/>
          <w:szCs w:val="36"/>
          <w:u w:val="single"/>
          <w:lang w:eastAsia="zh-CN"/>
        </w:rPr>
      </w:pPr>
      <w:r>
        <w:rPr>
          <w:rFonts w:hint="eastAsia" w:ascii="Times New Roman" w:hAnsi="Times New Roman" w:cs="Times New Roman"/>
          <w:b/>
          <w:sz w:val="36"/>
          <w:szCs w:val="36"/>
          <w:u w:val="single"/>
          <w:lang w:eastAsia="zh-CN"/>
        </w:rPr>
        <w:t>翔鹭石化（漳州）有限公司海水冷却系统排水工程</w:t>
      </w:r>
    </w:p>
    <w:p>
      <w:pPr>
        <w:spacing w:line="360" w:lineRule="auto"/>
        <w:jc w:val="center"/>
        <w:rPr>
          <w:rFonts w:ascii="Times New Roman" w:hAnsi="Times New Roman" w:cs="Times New Roman"/>
          <w:b/>
          <w:sz w:val="36"/>
          <w:szCs w:val="36"/>
          <w:u w:val="single"/>
          <w:lang w:eastAsia="zh-CN"/>
        </w:rPr>
      </w:pPr>
      <w:r>
        <w:rPr>
          <w:rFonts w:hint="eastAsia" w:ascii="Times New Roman" w:hAnsi="Times New Roman" w:cs="Times New Roman"/>
          <w:b/>
          <w:sz w:val="36"/>
          <w:szCs w:val="36"/>
          <w:u w:val="single"/>
          <w:lang w:eastAsia="zh-CN"/>
        </w:rPr>
        <w:t>航标维护发包</w:t>
      </w:r>
      <w:r>
        <w:rPr>
          <w:rFonts w:ascii="Times New Roman" w:hAnsi="Times New Roman" w:cs="Times New Roman"/>
          <w:b/>
          <w:sz w:val="36"/>
          <w:szCs w:val="36"/>
          <w:u w:val="single"/>
          <w:lang w:eastAsia="zh-CN"/>
        </w:rPr>
        <w:t>项目比选文件</w:t>
      </w:r>
    </w:p>
    <w:p>
      <w:pPr>
        <w:pStyle w:val="20"/>
        <w:spacing w:line="360" w:lineRule="auto"/>
        <w:jc w:val="center"/>
        <w:rPr>
          <w:rFonts w:ascii="Times New Roman" w:hAnsi="Times New Roman" w:cs="Times New Roman"/>
          <w:b/>
          <w:sz w:val="48"/>
          <w:szCs w:val="48"/>
          <w:u w:val="single"/>
          <w:lang w:eastAsia="zh-CN"/>
        </w:rPr>
      </w:pPr>
    </w:p>
    <w:p>
      <w:pPr>
        <w:pStyle w:val="20"/>
        <w:spacing w:line="360" w:lineRule="auto"/>
        <w:rPr>
          <w:rFonts w:ascii="Times New Roman" w:hAnsi="Times New Roman" w:cs="Times New Roman"/>
          <w:b/>
          <w:sz w:val="94"/>
          <w:lang w:eastAsia="zh-CN"/>
        </w:rPr>
      </w:pPr>
    </w:p>
    <w:p>
      <w:pPr>
        <w:pStyle w:val="20"/>
        <w:spacing w:line="360" w:lineRule="auto"/>
        <w:rPr>
          <w:rFonts w:ascii="Times New Roman" w:hAnsi="Times New Roman" w:cs="Times New Roman"/>
          <w:b/>
          <w:sz w:val="94"/>
          <w:lang w:eastAsia="zh-CN"/>
        </w:rPr>
      </w:pPr>
    </w:p>
    <w:p>
      <w:pPr>
        <w:pStyle w:val="20"/>
        <w:spacing w:line="360" w:lineRule="auto"/>
        <w:rPr>
          <w:rFonts w:ascii="Times New Roman" w:hAnsi="Times New Roman" w:cs="Times New Roman"/>
          <w:b/>
          <w:sz w:val="32"/>
          <w:szCs w:val="32"/>
          <w:lang w:eastAsia="zh-CN"/>
        </w:rPr>
      </w:pPr>
    </w:p>
    <w:p>
      <w:pPr>
        <w:pStyle w:val="2"/>
        <w:spacing w:line="360" w:lineRule="auto"/>
        <w:jc w:val="center"/>
        <w:rPr>
          <w:rFonts w:ascii="Times New Roman" w:hAnsi="Times New Roman"/>
          <w:b/>
          <w:sz w:val="36"/>
          <w:szCs w:val="36"/>
        </w:rPr>
      </w:pPr>
    </w:p>
    <w:p>
      <w:pPr>
        <w:pStyle w:val="2"/>
        <w:spacing w:line="360" w:lineRule="auto"/>
        <w:jc w:val="center"/>
        <w:rPr>
          <w:rFonts w:ascii="Times New Roman" w:hAnsi="Times New Roman"/>
          <w:b/>
          <w:sz w:val="36"/>
          <w:szCs w:val="36"/>
        </w:rPr>
      </w:pPr>
      <w:r>
        <w:rPr>
          <w:rFonts w:ascii="Times New Roman" w:hAnsi="Times New Roman"/>
          <w:b/>
          <w:sz w:val="36"/>
          <w:szCs w:val="36"/>
        </w:rPr>
        <w:t>福建福海创石油化工有限公司编制</w:t>
      </w:r>
    </w:p>
    <w:p>
      <w:pPr>
        <w:spacing w:line="360" w:lineRule="auto"/>
        <w:ind w:right="1889"/>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二〇二二年</w:t>
      </w:r>
      <w:r>
        <w:rPr>
          <w:rFonts w:hint="eastAsia" w:ascii="Times New Roman" w:hAnsi="Times New Roman" w:cs="Times New Roman"/>
          <w:b/>
          <w:w w:val="95"/>
          <w:sz w:val="36"/>
          <w:szCs w:val="36"/>
          <w:lang w:eastAsia="zh-CN"/>
        </w:rPr>
        <w:t>九</w:t>
      </w:r>
      <w:r>
        <w:rPr>
          <w:rFonts w:ascii="Times New Roman" w:hAnsi="Times New Roman" w:cs="Times New Roman"/>
          <w:b/>
          <w:w w:val="95"/>
          <w:sz w:val="36"/>
          <w:szCs w:val="36"/>
          <w:lang w:eastAsia="zh-CN"/>
        </w:rPr>
        <w:t>月</w:t>
      </w:r>
    </w:p>
    <w:p>
      <w:pPr>
        <w:spacing w:line="360" w:lineRule="auto"/>
        <w:jc w:val="center"/>
        <w:rPr>
          <w:rFonts w:ascii="Times New Roman" w:hAnsi="Times New Roman" w:cs="Times New Roman"/>
          <w:sz w:val="32"/>
          <w:lang w:eastAsia="zh-CN"/>
        </w:rPr>
        <w:sectPr>
          <w:type w:val="continuous"/>
          <w:pgSz w:w="11910" w:h="16840"/>
          <w:pgMar w:top="1600" w:right="1680" w:bottom="280" w:left="1680" w:header="720" w:footer="720" w:gutter="0"/>
          <w:cols w:space="720" w:num="1"/>
        </w:sectPr>
      </w:pPr>
    </w:p>
    <w:p>
      <w:pPr>
        <w:tabs>
          <w:tab w:val="left" w:pos="959"/>
        </w:tabs>
        <w:spacing w:line="360" w:lineRule="auto"/>
        <w:ind w:right="170"/>
        <w:jc w:val="center"/>
        <w:rPr>
          <w:rFonts w:ascii="Times New Roman" w:hAnsi="Times New Roman" w:cs="Times New Roman"/>
          <w:sz w:val="32"/>
          <w:lang w:eastAsia="zh-CN"/>
        </w:rPr>
      </w:pPr>
      <w:r>
        <w:rPr>
          <w:rFonts w:ascii="Times New Roman" w:hAnsi="Times New Roman" w:cs="Times New Roman"/>
          <w:sz w:val="32"/>
          <w:lang w:eastAsia="zh-CN"/>
        </w:rPr>
        <w:t>目</w:t>
      </w:r>
      <w:r>
        <w:rPr>
          <w:rFonts w:ascii="Times New Roman" w:hAnsi="Times New Roman" w:cs="Times New Roman"/>
          <w:sz w:val="32"/>
          <w:lang w:eastAsia="zh-CN"/>
        </w:rPr>
        <w:tab/>
      </w:r>
      <w:r>
        <w:rPr>
          <w:rFonts w:ascii="Times New Roman" w:hAnsi="Times New Roman" w:cs="Times New Roman"/>
          <w:sz w:val="32"/>
          <w:lang w:eastAsia="zh-CN"/>
        </w:rPr>
        <w:t>录</w:t>
      </w:r>
    </w:p>
    <w:p>
      <w:pPr>
        <w:pStyle w:val="20"/>
        <w:spacing w:line="360" w:lineRule="auto"/>
        <w:rPr>
          <w:rFonts w:ascii="Times New Roman" w:hAnsi="Times New Roman" w:cs="Times New Roman"/>
          <w:sz w:val="20"/>
          <w:lang w:eastAsia="zh-CN"/>
        </w:rPr>
      </w:pPr>
    </w:p>
    <w:p>
      <w:pPr>
        <w:pStyle w:val="20"/>
        <w:spacing w:line="360" w:lineRule="auto"/>
        <w:rPr>
          <w:rFonts w:ascii="Times New Roman" w:hAnsi="Times New Roman" w:cs="Times New Roman"/>
          <w:sz w:val="20"/>
          <w:lang w:eastAsia="zh-CN"/>
        </w:rPr>
      </w:pPr>
    </w:p>
    <w:p>
      <w:pPr>
        <w:pStyle w:val="20"/>
        <w:spacing w:before="9" w:line="360" w:lineRule="auto"/>
        <w:rPr>
          <w:rFonts w:ascii="Times New Roman" w:hAnsi="Times New Roman" w:cs="Times New Roman"/>
          <w:lang w:eastAsia="zh-CN"/>
        </w:rPr>
      </w:pP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第一章  比选公告     </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第二章  比选须知</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第三章   参选文件的编制</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第四章   评比规则</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第五章   合同授予</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第六章   中选后相关履约要求</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第七章   其它</w:t>
      </w: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p>
    <w:p>
      <w:pPr>
        <w:pStyle w:val="2"/>
        <w:spacing w:line="360" w:lineRule="auto"/>
        <w:rPr>
          <w:rFonts w:ascii="Times New Roman" w:hAnsi="Times New Roman"/>
          <w:sz w:val="24"/>
          <w:szCs w:val="24"/>
        </w:rPr>
      </w:pPr>
    </w:p>
    <w:p>
      <w:pPr>
        <w:pStyle w:val="2"/>
        <w:spacing w:line="360" w:lineRule="auto"/>
        <w:rPr>
          <w:rFonts w:ascii="Times New Roman" w:hAnsi="Times New Roman"/>
          <w:sz w:val="24"/>
          <w:szCs w:val="24"/>
        </w:rPr>
      </w:pP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附件二：参选文件（范本）</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附件三：商务报价函</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附件四：《</w:t>
      </w:r>
      <w:r>
        <w:rPr>
          <w:rFonts w:hint="eastAsia" w:ascii="Times New Roman" w:hAnsi="Times New Roman" w:cs="Times New Roman"/>
          <w:sz w:val="24"/>
          <w:szCs w:val="24"/>
          <w:lang w:eastAsia="zh-CN"/>
        </w:rPr>
        <w:t>翔鹭石化（漳州）有限公司海水冷却系统排水工程航标维护发包说明</w:t>
      </w:r>
      <w:r>
        <w:rPr>
          <w:rFonts w:ascii="Times New Roman" w:hAnsi="Times New Roman" w:cs="Times New Roman"/>
          <w:sz w:val="24"/>
          <w:szCs w:val="24"/>
          <w:lang w:eastAsia="zh-CN"/>
        </w:rPr>
        <w:t>》</w:t>
      </w: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r>
        <w:rPr>
          <w:rFonts w:ascii="Times New Roman" w:hAnsi="Times New Roman" w:cs="Times New Roman"/>
          <w:b/>
          <w:sz w:val="28"/>
          <w:lang w:eastAsia="zh-CN"/>
        </w:rPr>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pPr>
        <w:spacing w:line="336" w:lineRule="auto"/>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 xml:space="preserve">  </w:t>
      </w:r>
      <w:r>
        <w:rPr>
          <w:rFonts w:hint="eastAsia" w:ascii="Times New Roman" w:hAnsi="Times New Roman" w:cs="Times New Roman"/>
          <w:snapToGrid w:val="0"/>
          <w:sz w:val="24"/>
          <w:szCs w:val="24"/>
          <w:lang w:eastAsia="zh-CN"/>
        </w:rPr>
        <w:t xml:space="preserve">    </w:t>
      </w:r>
      <w:r>
        <w:rPr>
          <w:rFonts w:ascii="Times New Roman" w:hAnsi="Times New Roman" w:cs="Times New Roman"/>
          <w:snapToGrid w:val="0"/>
          <w:sz w:val="24"/>
          <w:szCs w:val="24"/>
          <w:lang w:eastAsia="zh-CN"/>
        </w:rPr>
        <w:t xml:space="preserve">  福建福海创石油化工有限公司拟对</w:t>
      </w:r>
      <w:r>
        <w:rPr>
          <w:rFonts w:hint="eastAsia" w:ascii="Times New Roman" w:hAnsi="Times New Roman" w:cs="Times New Roman"/>
          <w:sz w:val="24"/>
          <w:szCs w:val="24"/>
          <w:u w:val="single"/>
          <w:lang w:eastAsia="zh-CN"/>
        </w:rPr>
        <w:t>翔鹭石化（漳州）有限公司海水冷却系统排水工程航标维护</w:t>
      </w:r>
      <w:r>
        <w:rPr>
          <w:rFonts w:hint="eastAsia" w:ascii="Times New Roman" w:hAnsi="Times New Roman" w:cs="Times New Roman"/>
          <w:snapToGrid w:val="0"/>
          <w:sz w:val="24"/>
          <w:szCs w:val="24"/>
          <w:u w:val="single"/>
          <w:lang w:eastAsia="zh-CN"/>
        </w:rPr>
        <w:t>采购</w:t>
      </w:r>
      <w:r>
        <w:rPr>
          <w:rFonts w:ascii="Times New Roman" w:hAnsi="Times New Roman" w:cs="Times New Roman"/>
          <w:snapToGrid w:val="0"/>
          <w:sz w:val="24"/>
          <w:szCs w:val="24"/>
          <w:lang w:eastAsia="zh-CN"/>
        </w:rPr>
        <w:t>进行公开比选。为了“公开、公平、公正、透明”，引导参选人进行正确参选，特制定本规定文件。</w:t>
      </w:r>
    </w:p>
    <w:p>
      <w:pPr>
        <w:spacing w:line="336" w:lineRule="auto"/>
        <w:ind w:firstLine="360" w:firstLineChars="15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pPr>
        <w:tabs>
          <w:tab w:val="left" w:pos="709"/>
        </w:tabs>
        <w:spacing w:line="336" w:lineRule="auto"/>
        <w:rPr>
          <w:rFonts w:ascii="Times New Roman" w:hAnsi="Times New Roman" w:cs="Times New Roman"/>
          <w:b/>
          <w:snapToGrid w:val="0"/>
          <w:spacing w:val="8"/>
          <w:sz w:val="24"/>
          <w:szCs w:val="24"/>
          <w:lang w:eastAsia="zh-CN"/>
        </w:rPr>
      </w:pPr>
      <w:r>
        <w:rPr>
          <w:rFonts w:ascii="Times New Roman" w:hAnsi="Times New Roman" w:cs="Times New Roman"/>
          <w:lang w:eastAsia="zh-CN"/>
        </w:rPr>
        <w:t>一、</w:t>
      </w:r>
      <w:r>
        <w:rPr>
          <w:rFonts w:ascii="Times New Roman" w:hAnsi="Times New Roman" w:cs="Times New Roman"/>
          <w:b/>
          <w:snapToGrid w:val="0"/>
          <w:spacing w:val="8"/>
          <w:sz w:val="24"/>
          <w:szCs w:val="24"/>
          <w:lang w:eastAsia="zh-CN"/>
        </w:rPr>
        <w:t>项目概况</w:t>
      </w:r>
    </w:p>
    <w:p>
      <w:pPr>
        <w:spacing w:line="336" w:lineRule="auto"/>
        <w:ind w:firstLine="158" w:firstLineChars="66"/>
        <w:rPr>
          <w:lang w:eastAsia="zh-CN"/>
        </w:rPr>
      </w:pPr>
      <w:r>
        <w:rPr>
          <w:rFonts w:ascii="Times New Roman" w:hAnsi="Times New Roman" w:cs="Times New Roman"/>
          <w:sz w:val="24"/>
          <w:szCs w:val="24"/>
          <w:lang w:eastAsia="zh-CN"/>
        </w:rPr>
        <w:t>1.  项目名称：</w:t>
      </w:r>
      <w:r>
        <w:rPr>
          <w:rFonts w:hint="eastAsia" w:ascii="Times New Roman" w:hAnsi="Times New Roman" w:cs="Times New Roman"/>
          <w:sz w:val="24"/>
          <w:szCs w:val="24"/>
          <w:u w:val="single"/>
          <w:lang w:eastAsia="zh-CN"/>
        </w:rPr>
        <w:t>翔鹭石化（漳州）有限公司海水冷却系统排水工程航标维护</w:t>
      </w:r>
      <w:r>
        <w:rPr>
          <w:rFonts w:hint="eastAsia" w:ascii="Times New Roman" w:hAnsi="Times New Roman" w:cs="Times New Roman"/>
          <w:sz w:val="24"/>
          <w:szCs w:val="24"/>
          <w:lang w:eastAsia="zh-CN"/>
        </w:rPr>
        <w:t xml:space="preserve">    </w:t>
      </w:r>
    </w:p>
    <w:p>
      <w:pPr>
        <w:spacing w:line="336" w:lineRule="auto"/>
        <w:ind w:left="139" w:leftChars="6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  比选控制价：</w:t>
      </w:r>
      <w:r>
        <w:rPr>
          <w:rFonts w:ascii="Times New Roman" w:hAnsi="Times New Roman"/>
          <w:sz w:val="24"/>
          <w:szCs w:val="24"/>
          <w:lang w:eastAsia="zh-CN"/>
        </w:rPr>
        <w:t>本项目设置最高控制价</w:t>
      </w:r>
      <w:r>
        <w:rPr>
          <w:rFonts w:hint="eastAsia" w:ascii="Times New Roman" w:hAnsi="Times New Roman"/>
          <w:sz w:val="24"/>
          <w:szCs w:val="24"/>
          <w:lang w:eastAsia="zh-CN"/>
        </w:rPr>
        <w:t>人民币34万</w:t>
      </w:r>
      <w:r>
        <w:rPr>
          <w:rFonts w:ascii="Times New Roman" w:hAnsi="Times New Roman"/>
          <w:sz w:val="24"/>
          <w:szCs w:val="24"/>
          <w:lang w:eastAsia="zh-CN"/>
        </w:rPr>
        <w:t>元（含税）</w:t>
      </w:r>
      <w:r>
        <w:rPr>
          <w:rFonts w:hint="eastAsia" w:ascii="Times New Roman" w:hAnsi="Times New Roman" w:cs="Times New Roman"/>
          <w:snapToGrid w:val="0"/>
          <w:sz w:val="24"/>
          <w:szCs w:val="24"/>
          <w:lang w:eastAsia="zh-CN"/>
        </w:rPr>
        <w:t>。</w:t>
      </w:r>
    </w:p>
    <w:p>
      <w:pPr>
        <w:snapToGrid w:val="0"/>
        <w:spacing w:line="288" w:lineRule="auto"/>
        <w:ind w:left="139" w:leftChars="63"/>
        <w:rPr>
          <w:rFonts w:ascii="Times New Roman" w:hAnsi="Times New Roman"/>
          <w:sz w:val="24"/>
          <w:szCs w:val="24"/>
          <w:lang w:eastAsia="zh-CN"/>
        </w:rPr>
      </w:pPr>
      <w:r>
        <w:rPr>
          <w:rFonts w:hint="eastAsia" w:ascii="Times New Roman" w:hAnsi="Times New Roman" w:cs="Times New Roman"/>
          <w:snapToGrid w:val="0"/>
          <w:sz w:val="24"/>
          <w:szCs w:val="24"/>
          <w:lang w:eastAsia="zh-CN"/>
        </w:rPr>
        <w:t>3</w:t>
      </w:r>
      <w:r>
        <w:rPr>
          <w:rFonts w:ascii="Times New Roman" w:hAnsi="Times New Roman" w:cs="Times New Roman"/>
          <w:snapToGrid w:val="0"/>
          <w:sz w:val="24"/>
          <w:szCs w:val="24"/>
          <w:lang w:eastAsia="zh-CN"/>
        </w:rPr>
        <w:t>.  工期</w:t>
      </w:r>
      <w:r>
        <w:rPr>
          <w:rFonts w:ascii="Times New Roman" w:hAnsi="Times New Roman"/>
          <w:sz w:val="24"/>
          <w:szCs w:val="24"/>
          <w:lang w:eastAsia="zh-CN"/>
        </w:rPr>
        <w:t>要求：</w:t>
      </w:r>
      <w:r>
        <w:rPr>
          <w:rFonts w:hint="eastAsia" w:ascii="Times New Roman" w:hAnsi="Times New Roman"/>
          <w:sz w:val="24"/>
          <w:szCs w:val="24"/>
          <w:lang w:eastAsia="zh-CN"/>
        </w:rPr>
        <w:t>合同期为一年</w:t>
      </w:r>
    </w:p>
    <w:p>
      <w:pPr>
        <w:spacing w:line="336" w:lineRule="auto"/>
        <w:ind w:left="139" w:leftChars="63"/>
        <w:rPr>
          <w:rFonts w:ascii="Times New Roman" w:hAnsi="Times New Roman"/>
          <w:color w:val="0000FF"/>
          <w:sz w:val="24"/>
          <w:szCs w:val="24"/>
          <w:lang w:eastAsia="zh-CN"/>
        </w:rPr>
      </w:pPr>
      <w:r>
        <w:rPr>
          <w:rFonts w:hint="eastAsia" w:ascii="Times New Roman" w:hAnsi="Times New Roman"/>
          <w:sz w:val="24"/>
          <w:szCs w:val="24"/>
          <w:lang w:eastAsia="zh-CN"/>
        </w:rPr>
        <w:t>4.  项目要求：按照《中华人民共和国航标条例》、《沿海航标管理办法》及交通部规定的有关航标维护各项标准和维护程序进行管理，确保维护的航标达到“标位准确，发光正常，涂色鲜明，结构良好”，</w:t>
      </w:r>
      <w:r>
        <w:rPr>
          <w:rFonts w:ascii="Times New Roman" w:hAnsi="Times New Roman"/>
          <w:sz w:val="24"/>
          <w:szCs w:val="24"/>
          <w:lang w:eastAsia="zh-CN"/>
        </w:rPr>
        <w:t xml:space="preserve"> </w:t>
      </w:r>
      <w:r>
        <w:rPr>
          <w:rFonts w:hint="eastAsia" w:ascii="Times New Roman" w:hAnsi="Times New Roman"/>
          <w:sz w:val="24"/>
          <w:szCs w:val="24"/>
          <w:lang w:eastAsia="zh-CN"/>
        </w:rPr>
        <w:t>发挥其正常的助导航功能。维保期内国家有关行政机关如需收回航标的所有权（即航标的设置及维护移交航标管理部门），则航标的使用功能及维保台账需确保满足国家有关航标的移交要求。</w:t>
      </w:r>
    </w:p>
    <w:p>
      <w:pPr>
        <w:pStyle w:val="20"/>
        <w:spacing w:line="336" w:lineRule="auto"/>
        <w:ind w:right="121"/>
        <w:jc w:val="both"/>
        <w:rPr>
          <w:rFonts w:ascii="Times New Roman" w:hAnsi="Times New Roman" w:cs="Times New Roman"/>
          <w:b/>
          <w:bCs/>
          <w:lang w:eastAsia="zh-CN"/>
        </w:rPr>
      </w:pPr>
      <w:r>
        <w:rPr>
          <w:rFonts w:ascii="Times New Roman" w:hAnsi="Times New Roman" w:cs="Times New Roman"/>
          <w:b/>
          <w:bCs/>
          <w:lang w:eastAsia="zh-CN"/>
        </w:rPr>
        <w:t>二、参选人资格要求：</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ascii="Times New Roman" w:hAnsi="Times New Roman" w:cs="Times New Roman"/>
          <w:sz w:val="24"/>
          <w:szCs w:val="24"/>
          <w:lang w:eastAsia="zh-CN"/>
        </w:rPr>
        <w:t>1.  参选人必须具备有效的企业法人营业执照，具有在中华人民共和国注册的法人资格。</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2. 投标人应是响应招标、参加投标竞争的中华人民共和国境内的企事业法人，并有独立订立合同的权利；</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3. 投标人具有航标生产制作许可证或安装（或维护）许可证或相关资质；</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4. 投标人在专业技术、设备设施、人员组织、业绩经验等方面具有相应资格和能力，且近2年内无人为重大责任事故被通报；</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5. 投标人近两年内，至少有2项安装或维护航标的工程业绩，且在生产运营中未发现重大的工程质量问题，需提供相关业绩合同扫描件；</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6. 单位负责人为同一人或存在控股、管理关系的不同单位，不得参加同一标段或者未划分标段的同一招标项目的投标，否则相关投标均无效；</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7. 不得使用通过受让或者租借等方式获取资格、资质证书等以他人名义投标。不接受使用伪造、变造的许可证件，提供虚假的财务状况或者业绩，提供虚假的项目负责人或者主要技术人员简历、劳动关系证明，提供虚假的信用状况等其他弄虚作假的行为。</w:t>
      </w:r>
    </w:p>
    <w:p>
      <w:pPr>
        <w:pStyle w:val="77"/>
        <w:spacing w:line="336" w:lineRule="auto"/>
        <w:ind w:firstLine="139" w:firstLineChars="58"/>
        <w:rPr>
          <w:rFonts w:ascii="Times New Roman" w:cs="Times New Roman"/>
          <w:color w:val="auto"/>
        </w:rPr>
      </w:pPr>
      <w:r>
        <w:rPr>
          <w:rFonts w:hint="eastAsia" w:ascii="Times New Roman" w:cs="Times New Roman"/>
          <w:color w:val="auto"/>
        </w:rPr>
        <w:t xml:space="preserve">8.  </w:t>
      </w:r>
      <w:r>
        <w:rPr>
          <w:rFonts w:ascii="Times New Roman" w:cs="Times New Roman"/>
          <w:color w:val="auto"/>
        </w:rPr>
        <w:t>参选人没有失信黑名单记录（以最高院失信被执行人系统发布信息为准）。</w:t>
      </w:r>
    </w:p>
    <w:p>
      <w:pPr>
        <w:pStyle w:val="2"/>
        <w:spacing w:line="336" w:lineRule="auto"/>
        <w:ind w:left="436" w:leftChars="62" w:hanging="300" w:hangingChars="125"/>
        <w:rPr>
          <w:rFonts w:ascii="Times New Roman" w:hAnsi="Times New Roman"/>
          <w:sz w:val="24"/>
          <w:szCs w:val="24"/>
        </w:rPr>
      </w:pPr>
      <w:r>
        <w:rPr>
          <w:rFonts w:hint="eastAsia" w:ascii="Times New Roman" w:hAnsi="Times New Roman"/>
          <w:sz w:val="24"/>
          <w:szCs w:val="24"/>
        </w:rPr>
        <w:t xml:space="preserve">9.  </w:t>
      </w:r>
      <w:r>
        <w:rPr>
          <w:rFonts w:ascii="Times New Roman" w:hAnsi="Times New Roman"/>
          <w:sz w:val="24"/>
          <w:szCs w:val="24"/>
        </w:rPr>
        <w:t>与比选人无诉讼纠纷。</w:t>
      </w:r>
    </w:p>
    <w:p>
      <w:pPr>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 xml:space="preserve">10.  </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r>
        <w:rPr>
          <w:rFonts w:hint="eastAsia" w:ascii="Times New Roman" w:hAnsi="Times New Roman" w:cs="Times New Roman"/>
          <w:sz w:val="24"/>
          <w:szCs w:val="24"/>
          <w:lang w:eastAsia="zh-CN"/>
        </w:rPr>
        <w:t>，不允许转包或分包。</w:t>
      </w:r>
    </w:p>
    <w:p>
      <w:pPr>
        <w:pStyle w:val="41"/>
        <w:spacing w:before="0" w:beforeAutospacing="0" w:after="0" w:afterAutospacing="0" w:line="336" w:lineRule="auto"/>
        <w:ind w:left="80" w:hanging="80" w:hangingChars="33"/>
        <w:textAlignment w:val="baseline"/>
        <w:rPr>
          <w:rFonts w:ascii="Times New Roman" w:hAnsi="Times New Roman" w:cs="Times New Roman"/>
          <w:b/>
          <w:iCs/>
        </w:rPr>
      </w:pPr>
      <w:r>
        <w:rPr>
          <w:rFonts w:ascii="Times New Roman" w:hAnsi="Times New Roman" w:cs="Times New Roman"/>
          <w:b/>
          <w:iCs/>
        </w:rPr>
        <w:t>三、获取比选文件：</w:t>
      </w:r>
    </w:p>
    <w:p>
      <w:pPr>
        <w:pStyle w:val="41"/>
        <w:spacing w:before="0" w:beforeAutospacing="0" w:after="0" w:afterAutospacing="0" w:line="336" w:lineRule="auto"/>
        <w:ind w:left="330" w:leftChars="150" w:firstLine="480" w:firstLineChars="200"/>
        <w:textAlignment w:val="baseline"/>
        <w:rPr>
          <w:rFonts w:ascii="Times New Roman" w:hAnsi="Times New Roman" w:cs="Times New Roman"/>
          <w:iCs/>
        </w:rPr>
      </w:pPr>
      <w:r>
        <w:rPr>
          <w:rFonts w:ascii="Times New Roman" w:hAnsi="Times New Roman" w:cs="Times New Roman"/>
          <w:iCs/>
        </w:rPr>
        <w:t>本项目比选文件详见公示附件，请有意向参选人自行下载并根据参选文件要求进行参选报价。有意向参选人请于公示期间进行交流澄清，并于2022年</w:t>
      </w:r>
      <w:r>
        <w:rPr>
          <w:rFonts w:hint="eastAsia" w:ascii="Times New Roman" w:hAnsi="Times New Roman" w:cs="Times New Roman"/>
          <w:iCs/>
          <w:lang w:val="en-US" w:eastAsia="zh-CN"/>
        </w:rPr>
        <w:t>10</w:t>
      </w:r>
      <w:r>
        <w:rPr>
          <w:rFonts w:ascii="Times New Roman" w:hAnsi="Times New Roman" w:cs="Times New Roman"/>
          <w:iCs/>
        </w:rPr>
        <w:t>月</w:t>
      </w:r>
      <w:r>
        <w:rPr>
          <w:rFonts w:hint="eastAsia" w:ascii="Times New Roman" w:hAnsi="Times New Roman" w:cs="Times New Roman"/>
          <w:iCs/>
          <w:lang w:val="en-US" w:eastAsia="zh-CN"/>
        </w:rPr>
        <w:t>8</w:t>
      </w:r>
      <w:r>
        <w:rPr>
          <w:rFonts w:ascii="Times New Roman" w:hAnsi="Times New Roman" w:cs="Times New Roman"/>
          <w:iCs/>
        </w:rPr>
        <w:t>日（共</w:t>
      </w:r>
      <w:r>
        <w:rPr>
          <w:rFonts w:hint="eastAsia" w:ascii="Times New Roman" w:hAnsi="Times New Roman" w:cs="Times New Roman"/>
          <w:iCs/>
        </w:rPr>
        <w:t>12</w:t>
      </w:r>
      <w:r>
        <w:rPr>
          <w:rFonts w:ascii="Times New Roman" w:hAnsi="Times New Roman" w:cs="Times New Roman"/>
          <w:iCs/>
        </w:rPr>
        <w:t>天）前将参选文件纸质原件密封送达比选人指定地点。</w:t>
      </w:r>
    </w:p>
    <w:p>
      <w:pPr>
        <w:pStyle w:val="41"/>
        <w:spacing w:before="0" w:beforeAutospacing="0" w:after="0" w:afterAutospacing="0" w:line="336" w:lineRule="auto"/>
        <w:ind w:firstLine="140" w:firstLineChars="58"/>
        <w:textAlignment w:val="baseline"/>
        <w:rPr>
          <w:rFonts w:ascii="Times New Roman" w:hAnsi="Times New Roman" w:cs="Times New Roman"/>
          <w:b/>
          <w:iCs/>
        </w:rPr>
      </w:pPr>
      <w:r>
        <w:rPr>
          <w:rFonts w:ascii="Times New Roman" w:hAnsi="Times New Roman" w:cs="Times New Roman"/>
          <w:b/>
          <w:iCs/>
        </w:rPr>
        <w:t>四、参选文件递交要求时间、地点：</w:t>
      </w:r>
    </w:p>
    <w:p>
      <w:pPr>
        <w:pStyle w:val="41"/>
        <w:spacing w:before="0" w:beforeAutospacing="0" w:after="0" w:afterAutospacing="0" w:line="336" w:lineRule="auto"/>
        <w:ind w:left="435" w:leftChars="45" w:hanging="336" w:hangingChars="140"/>
        <w:textAlignment w:val="baseline"/>
        <w:rPr>
          <w:rFonts w:ascii="Times New Roman" w:hAnsi="Times New Roman" w:cs="Times New Roman"/>
          <w:iCs/>
        </w:rPr>
      </w:pPr>
      <w:r>
        <w:rPr>
          <w:rFonts w:ascii="Times New Roman" w:hAnsi="Times New Roman" w:cs="Times New Roman"/>
          <w:iCs/>
        </w:rPr>
        <w:t>1.  参选文件递交地点：福建省漳州市漳浦县杜浔镇杜昌路9号福建福海创石油化工有限公司办公楼三楼设备及服务团队，联系人：</w:t>
      </w:r>
      <w:r>
        <w:rPr>
          <w:rFonts w:hint="eastAsia" w:ascii="Times New Roman" w:hAnsi="Times New Roman" w:cs="Times New Roman"/>
          <w:iCs/>
        </w:rPr>
        <w:t>何震洋</w:t>
      </w:r>
      <w:r>
        <w:rPr>
          <w:rFonts w:ascii="Times New Roman" w:hAnsi="Times New Roman" w:cs="Times New Roman"/>
          <w:iCs/>
        </w:rPr>
        <w:t> </w:t>
      </w:r>
      <w:r>
        <w:rPr>
          <w:rFonts w:hint="eastAsia" w:ascii="Times New Roman" w:hAnsi="Times New Roman" w:cs="Times New Roman"/>
          <w:iCs/>
        </w:rPr>
        <w:t xml:space="preserve">   </w:t>
      </w:r>
      <w:r>
        <w:rPr>
          <w:rFonts w:ascii="Times New Roman" w:hAnsi="Times New Roman" w:cs="Times New Roman"/>
          <w:iCs/>
        </w:rPr>
        <w:t>联系电话：</w:t>
      </w:r>
      <w:r>
        <w:rPr>
          <w:rFonts w:hint="eastAsia" w:ascii="Times New Roman" w:hAnsi="Times New Roman" w:cs="Times New Roman"/>
          <w:iCs/>
        </w:rPr>
        <w:t>15259232765</w:t>
      </w:r>
      <w:r>
        <w:rPr>
          <w:rFonts w:ascii="Times New Roman" w:hAnsi="Times New Roman" w:cs="Times New Roman"/>
          <w:iCs/>
        </w:rPr>
        <w:t>。</w:t>
      </w:r>
    </w:p>
    <w:p>
      <w:pPr>
        <w:pStyle w:val="41"/>
        <w:spacing w:before="0" w:beforeAutospacing="0" w:after="0" w:afterAutospacing="0" w:line="336" w:lineRule="auto"/>
        <w:ind w:left="435" w:leftChars="45" w:hanging="336" w:hangingChars="140"/>
        <w:textAlignment w:val="baseline"/>
        <w:rPr>
          <w:rFonts w:ascii="Times New Roman" w:hAnsi="Times New Roman" w:cs="Times New Roman"/>
          <w:iCs/>
        </w:rPr>
      </w:pPr>
      <w:r>
        <w:rPr>
          <w:rFonts w:ascii="Times New Roman" w:hAnsi="Times New Roman" w:cs="Times New Roman"/>
          <w:iCs/>
        </w:rPr>
        <w:t xml:space="preserve">2.  </w:t>
      </w:r>
      <w:r>
        <w:rPr>
          <w:rFonts w:ascii="Times New Roman" w:hAnsi="Times New Roman" w:cs="Times New Roman"/>
        </w:rPr>
        <w:t>参选文件递交截止时间（以送达时间为准）：2022年</w:t>
      </w:r>
      <w:r>
        <w:rPr>
          <w:rFonts w:hint="eastAsia" w:ascii="Times New Roman" w:hAnsi="Times New Roman" w:cs="Times New Roman"/>
          <w:lang w:val="en-US" w:eastAsia="zh-CN"/>
        </w:rPr>
        <w:t>10</w:t>
      </w:r>
      <w:r>
        <w:rPr>
          <w:rFonts w:ascii="Times New Roman" w:hAnsi="Times New Roman" w:cs="Times New Roman"/>
        </w:rPr>
        <w:t xml:space="preserve"> 月</w:t>
      </w:r>
      <w:r>
        <w:rPr>
          <w:rFonts w:hint="eastAsia" w:ascii="Times New Roman" w:hAnsi="Times New Roman" w:cs="Times New Roman"/>
          <w:lang w:val="en-US" w:eastAsia="zh-CN"/>
        </w:rPr>
        <w:t>8</w:t>
      </w:r>
      <w:r>
        <w:rPr>
          <w:rFonts w:ascii="Times New Roman" w:hAnsi="Times New Roman" w:cs="Times New Roman"/>
        </w:rPr>
        <w:t>日17时30分。</w:t>
      </w:r>
    </w:p>
    <w:p>
      <w:pPr>
        <w:pStyle w:val="2"/>
        <w:spacing w:line="336" w:lineRule="auto"/>
        <w:ind w:left="119" w:leftChars="54"/>
        <w:rPr>
          <w:rFonts w:ascii="Times New Roman" w:hAnsi="Times New Roman"/>
          <w:sz w:val="24"/>
          <w:szCs w:val="24"/>
        </w:rPr>
      </w:pPr>
      <w:r>
        <w:rPr>
          <w:rFonts w:ascii="Times New Roman" w:hAnsi="Times New Roman"/>
          <w:b/>
          <w:bCs/>
          <w:sz w:val="24"/>
          <w:szCs w:val="24"/>
        </w:rPr>
        <w:t>五、</w:t>
      </w:r>
      <w:r>
        <w:rPr>
          <w:rFonts w:ascii="Times New Roman" w:hAnsi="Times New Roman"/>
          <w:b/>
          <w:sz w:val="24"/>
          <w:szCs w:val="24"/>
        </w:rPr>
        <w:t>联系方式：</w:t>
      </w:r>
    </w:p>
    <w:p>
      <w:pPr>
        <w:pStyle w:val="10"/>
        <w:snapToGrid w:val="0"/>
        <w:spacing w:line="336" w:lineRule="auto"/>
        <w:ind w:firstLineChars="175"/>
        <w:rPr>
          <w:b/>
          <w:bCs/>
          <w:color w:val="FF0000"/>
          <w:szCs w:val="24"/>
          <w:u w:val="single"/>
        </w:rPr>
      </w:pPr>
      <w:r>
        <w:rPr>
          <w:bCs/>
          <w:szCs w:val="24"/>
        </w:rPr>
        <w:t>商务联系人：</w:t>
      </w:r>
      <w:r>
        <w:rPr>
          <w:rFonts w:hint="eastAsia"/>
          <w:bCs/>
          <w:szCs w:val="24"/>
        </w:rPr>
        <w:t>何震洋</w:t>
      </w:r>
      <w:r>
        <w:rPr>
          <w:bCs/>
          <w:szCs w:val="24"/>
        </w:rPr>
        <w:t xml:space="preserve">  电话：</w:t>
      </w:r>
      <w:r>
        <w:rPr>
          <w:rFonts w:hint="eastAsia"/>
          <w:bCs/>
          <w:szCs w:val="24"/>
        </w:rPr>
        <w:t>15259232765</w:t>
      </w:r>
      <w:r>
        <w:rPr>
          <w:bCs/>
          <w:color w:val="FF0000"/>
          <w:szCs w:val="24"/>
        </w:rPr>
        <w:t xml:space="preserve"> </w:t>
      </w:r>
      <w:r>
        <w:rPr>
          <w:bCs/>
          <w:szCs w:val="24"/>
        </w:rPr>
        <w:t>邮箱：</w:t>
      </w:r>
      <w:r>
        <w:rPr>
          <w:rFonts w:hint="eastAsia"/>
          <w:bCs/>
          <w:color w:val="FF0000"/>
          <w:szCs w:val="24"/>
          <w:u w:val="single"/>
        </w:rPr>
        <w:t>zyhe</w:t>
      </w:r>
      <w:r>
        <w:rPr>
          <w:bCs/>
          <w:color w:val="FF0000"/>
          <w:szCs w:val="24"/>
          <w:u w:val="single"/>
        </w:rPr>
        <w:t>@fjpec.com.cn</w:t>
      </w:r>
    </w:p>
    <w:p>
      <w:pPr>
        <w:pStyle w:val="10"/>
        <w:snapToGrid w:val="0"/>
        <w:spacing w:line="336" w:lineRule="auto"/>
        <w:ind w:firstLineChars="175"/>
        <w:rPr>
          <w:bCs/>
          <w:szCs w:val="24"/>
        </w:rPr>
      </w:pPr>
      <w:r>
        <w:rPr>
          <w:bCs/>
          <w:szCs w:val="24"/>
        </w:rPr>
        <w:t>纪检监察室电话：0596-6311774</w:t>
      </w:r>
    </w:p>
    <w:p>
      <w:pPr>
        <w:pStyle w:val="10"/>
        <w:snapToGrid w:val="0"/>
        <w:spacing w:line="336" w:lineRule="auto"/>
        <w:ind w:firstLineChars="175"/>
        <w:rPr>
          <w:b/>
          <w:bCs/>
          <w:szCs w:val="24"/>
        </w:rPr>
      </w:pPr>
      <w:r>
        <w:rPr>
          <w:bCs/>
          <w:szCs w:val="24"/>
        </w:rPr>
        <w:t>联系地址：漳州市漳浦县杜浔镇杜昌路9号</w:t>
      </w:r>
      <w:r>
        <w:rPr>
          <w:b/>
          <w:bCs/>
          <w:szCs w:val="24"/>
        </w:rPr>
        <w:t xml:space="preserve">   </w:t>
      </w:r>
      <w:r>
        <w:rPr>
          <w:bCs/>
          <w:szCs w:val="24"/>
        </w:rPr>
        <w:t>邮    编：363216</w:t>
      </w:r>
    </w:p>
    <w:p>
      <w:pPr>
        <w:pStyle w:val="3"/>
        <w:tabs>
          <w:tab w:val="left" w:pos="1262"/>
        </w:tabs>
        <w:spacing w:line="360" w:lineRule="auto"/>
        <w:ind w:left="0" w:right="108"/>
        <w:jc w:val="center"/>
        <w:rPr>
          <w:rFonts w:ascii="Times New Roman" w:hAnsi="Times New Roman" w:cs="Times New Roman"/>
          <w:sz w:val="24"/>
          <w:szCs w:val="24"/>
          <w:lang w:eastAsia="zh-CN"/>
        </w:rPr>
        <w:sectPr>
          <w:footerReference r:id="rId3" w:type="default"/>
          <w:pgSz w:w="11910" w:h="16840"/>
          <w:pgMar w:top="1060" w:right="710" w:bottom="740" w:left="1080" w:header="0" w:footer="551" w:gutter="0"/>
          <w:cols w:space="720" w:num="1"/>
        </w:sectPr>
      </w:pPr>
    </w:p>
    <w:p>
      <w:pPr>
        <w:pStyle w:val="3"/>
        <w:tabs>
          <w:tab w:val="left" w:pos="1262"/>
        </w:tabs>
        <w:spacing w:line="360" w:lineRule="auto"/>
        <w:ind w:left="0" w:right="108"/>
        <w:jc w:val="center"/>
        <w:rPr>
          <w:rFonts w:ascii="Times New Roman" w:hAnsi="Times New Roman" w:cs="Times New Roman"/>
          <w:lang w:eastAsia="zh-CN"/>
        </w:rPr>
      </w:pPr>
      <w:r>
        <w:rPr>
          <w:rFonts w:ascii="Times New Roman" w:hAnsi="Times New Roman" w:cs="Times New Roman"/>
          <w:lang w:eastAsia="zh-CN"/>
        </w:rPr>
        <w:t>第二章</w:t>
      </w:r>
      <w:r>
        <w:rPr>
          <w:rFonts w:ascii="Times New Roman" w:hAnsi="Times New Roman" w:cs="Times New Roman"/>
          <w:lang w:eastAsia="zh-CN"/>
        </w:rPr>
        <w:tab/>
      </w:r>
      <w:r>
        <w:rPr>
          <w:rFonts w:ascii="Times New Roman" w:hAnsi="Times New Roman" w:cs="Times New Roman"/>
          <w:spacing w:val="-1"/>
          <w:w w:val="95"/>
          <w:lang w:eastAsia="zh-CN"/>
        </w:rPr>
        <w:t>比选须</w:t>
      </w:r>
      <w:r>
        <w:rPr>
          <w:rFonts w:ascii="Times New Roman" w:hAnsi="Times New Roman" w:cs="Times New Roman"/>
          <w:w w:val="95"/>
          <w:lang w:eastAsia="zh-CN"/>
        </w:rPr>
        <w:t>知</w:t>
      </w:r>
    </w:p>
    <w:p>
      <w:pPr>
        <w:spacing w:beforeLines="50" w:afterLines="50" w:line="360" w:lineRule="auto"/>
        <w:rPr>
          <w:rFonts w:ascii="Times New Roman" w:hAnsi="Times New Roman" w:cs="Times New Roman"/>
          <w:b/>
          <w:sz w:val="28"/>
          <w:lang w:eastAsia="zh-CN"/>
        </w:rPr>
      </w:pPr>
      <w:r>
        <w:rPr>
          <w:rFonts w:ascii="Times New Roman" w:hAnsi="Times New Roman" w:cs="Times New Roman"/>
          <w:b/>
          <w:w w:val="95"/>
          <w:sz w:val="28"/>
          <w:lang w:eastAsia="zh-CN"/>
        </w:rPr>
        <w:t xml:space="preserve">   一、比选内容</w:t>
      </w:r>
    </w:p>
    <w:p>
      <w:pPr>
        <w:spacing w:line="420" w:lineRule="exact"/>
        <w:ind w:left="279" w:hanging="279" w:hangingChars="116"/>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 xml:space="preserve">1. </w:t>
      </w:r>
      <w:r>
        <w:rPr>
          <w:rFonts w:ascii="Times New Roman" w:hAnsi="Times New Roman" w:cs="Times New Roman"/>
          <w:b/>
          <w:bCs/>
          <w:sz w:val="24"/>
          <w:szCs w:val="24"/>
          <w:lang w:eastAsia="zh-CN"/>
        </w:rPr>
        <w:t>项目名称：</w:t>
      </w:r>
      <w:r>
        <w:rPr>
          <w:rFonts w:hint="eastAsia" w:ascii="Times New Roman" w:hAnsi="Times New Roman" w:cs="Times New Roman"/>
          <w:sz w:val="24"/>
          <w:szCs w:val="24"/>
          <w:lang w:eastAsia="zh-CN"/>
        </w:rPr>
        <w:t xml:space="preserve">翔鹭石化（漳州）有限公司海水冷却系统排水工程航标维护。 </w:t>
      </w:r>
    </w:p>
    <w:p>
      <w:pPr>
        <w:pStyle w:val="20"/>
        <w:spacing w:beforeLines="50" w:afterLines="50" w:line="360" w:lineRule="auto"/>
        <w:ind w:left="279" w:right="121" w:hanging="279" w:hangingChars="116"/>
        <w:jc w:val="both"/>
        <w:rPr>
          <w:rFonts w:asciiTheme="minorEastAsia" w:hAnsiTheme="minorEastAsia" w:eastAsiaTheme="minorEastAsia"/>
          <w:lang w:eastAsia="zh-CN"/>
        </w:rPr>
      </w:pPr>
      <w:r>
        <w:rPr>
          <w:rFonts w:hint="eastAsia" w:ascii="Times New Roman" w:hAnsi="Times New Roman" w:cs="Times New Roman"/>
          <w:b/>
          <w:bCs/>
          <w:lang w:eastAsia="zh-CN"/>
        </w:rPr>
        <w:t xml:space="preserve">2. </w:t>
      </w:r>
      <w:r>
        <w:rPr>
          <w:rFonts w:ascii="Times New Roman" w:hAnsi="Times New Roman" w:cs="Times New Roman"/>
          <w:b/>
          <w:bCs/>
          <w:lang w:eastAsia="zh-CN"/>
        </w:rPr>
        <w:t>项目地点：</w:t>
      </w:r>
      <w:r>
        <w:rPr>
          <w:rFonts w:ascii="Times New Roman" w:hAnsi="Times New Roman" w:cs="Times New Roman"/>
          <w:lang w:eastAsia="zh-CN"/>
        </w:rPr>
        <w:t>厦门港古雷港区古雷作业区。</w:t>
      </w:r>
    </w:p>
    <w:p>
      <w:pPr>
        <w:spacing w:line="420" w:lineRule="exact"/>
        <w:ind w:left="279" w:hanging="279" w:hangingChars="116"/>
        <w:jc w:val="both"/>
        <w:rPr>
          <w:rFonts w:asciiTheme="minorEastAsia" w:hAnsiTheme="minorEastAsia" w:eastAsiaTheme="minorEastAsia"/>
          <w:snapToGrid w:val="0"/>
          <w:sz w:val="24"/>
          <w:szCs w:val="24"/>
          <w:lang w:eastAsia="zh-CN"/>
        </w:rPr>
      </w:pPr>
      <w:r>
        <w:rPr>
          <w:rFonts w:hint="eastAsia" w:asciiTheme="minorEastAsia" w:hAnsiTheme="minorEastAsia" w:eastAsiaTheme="minorEastAsia"/>
          <w:b/>
          <w:bCs/>
          <w:sz w:val="24"/>
          <w:szCs w:val="24"/>
          <w:lang w:eastAsia="zh-CN"/>
        </w:rPr>
        <w:t>3.项目内容：</w:t>
      </w:r>
      <w:r>
        <w:rPr>
          <w:rFonts w:hint="eastAsia" w:asciiTheme="minorEastAsia" w:hAnsiTheme="minorEastAsia" w:eastAsiaTheme="minorEastAsia"/>
          <w:snapToGrid w:val="0"/>
          <w:sz w:val="24"/>
          <w:szCs w:val="24"/>
          <w:lang w:eastAsia="zh-CN"/>
        </w:rPr>
        <w:t>详见附件《翔鹭石化（漳州）有限公司海水冷却系统排水工程航标维护发包说明》</w:t>
      </w:r>
    </w:p>
    <w:p>
      <w:pPr>
        <w:spacing w:line="420" w:lineRule="exact"/>
        <w:ind w:left="278" w:hanging="278" w:hangingChars="116"/>
        <w:rPr>
          <w:rFonts w:asciiTheme="minorEastAsia" w:hAnsiTheme="minorEastAsia" w:eastAsiaTheme="minorEastAsia"/>
          <w:b/>
          <w:bCs/>
          <w:snapToGrid w:val="0"/>
          <w:color w:val="0000FF"/>
          <w:sz w:val="24"/>
          <w:szCs w:val="24"/>
          <w:lang w:eastAsia="zh-CN"/>
        </w:rPr>
      </w:pPr>
      <w:r>
        <w:rPr>
          <w:rFonts w:hint="eastAsia" w:asciiTheme="minorEastAsia" w:hAnsiTheme="minorEastAsia" w:eastAsiaTheme="minorEastAsia"/>
          <w:snapToGrid w:val="0"/>
          <w:sz w:val="24"/>
          <w:szCs w:val="24"/>
          <w:lang w:eastAsia="zh-CN"/>
        </w:rPr>
        <w:t>4.</w:t>
      </w:r>
      <w:r>
        <w:rPr>
          <w:rFonts w:hint="eastAsia" w:asciiTheme="minorEastAsia" w:hAnsiTheme="minorEastAsia" w:eastAsiaTheme="minorEastAsia"/>
          <w:b/>
          <w:bCs/>
          <w:snapToGrid w:val="0"/>
          <w:sz w:val="24"/>
          <w:szCs w:val="24"/>
          <w:lang w:eastAsia="zh-CN"/>
        </w:rPr>
        <w:t>项目要求：</w:t>
      </w:r>
      <w:r>
        <w:rPr>
          <w:rFonts w:hint="eastAsia" w:asciiTheme="minorEastAsia" w:hAnsiTheme="minorEastAsia" w:eastAsiaTheme="minorEastAsia"/>
          <w:snapToGrid w:val="0"/>
          <w:sz w:val="24"/>
          <w:szCs w:val="24"/>
          <w:lang w:eastAsia="zh-CN"/>
        </w:rPr>
        <w:t>按照《中华人民共和国航标条例》、《沿海航标管理办法》及交通部规定的有关航标维护各项标准和维护程序进行管理，确保维护的航标达到“标位准确，发光正常，涂色鲜明，结构良好”， 发挥其正常的助导航功能。维保期内国家有关行政机关如需收回航标的所有权（即航标的设置及维护移交航标管理部门），则航标的使用功能及维保台账需确保满足国家有关航标的移交要求。</w:t>
      </w:r>
    </w:p>
    <w:p>
      <w:pPr>
        <w:pStyle w:val="20"/>
        <w:spacing w:beforeLines="50" w:afterLines="50" w:line="360" w:lineRule="auto"/>
        <w:ind w:left="279" w:right="121" w:hanging="279" w:hangingChars="116"/>
        <w:jc w:val="both"/>
        <w:rPr>
          <w:rFonts w:ascii="Times New Roman" w:hAnsi="Times New Roman" w:cs="Times New Roman"/>
          <w:lang w:eastAsia="zh-CN"/>
        </w:rPr>
      </w:pPr>
      <w:r>
        <w:rPr>
          <w:rFonts w:hint="eastAsia" w:asciiTheme="minorEastAsia" w:hAnsiTheme="minorEastAsia" w:eastAsiaTheme="minorEastAsia"/>
          <w:b/>
          <w:bCs/>
          <w:snapToGrid w:val="0"/>
          <w:lang w:eastAsia="zh-CN"/>
        </w:rPr>
        <w:t>5. 承包方式：</w:t>
      </w:r>
      <w:r>
        <w:rPr>
          <w:rFonts w:hint="eastAsia" w:asciiTheme="minorEastAsia" w:hAnsiTheme="minorEastAsia" w:eastAsiaTheme="minorEastAsia"/>
          <w:snapToGrid w:val="0"/>
          <w:lang w:eastAsia="zh-CN"/>
        </w:rPr>
        <w:t>固定总价包干，报价包含且不限于如下工作：会务组织、专家费、参会人员劳务费、会场租赁及布置协调费等航标维护会发生的一切费用。</w:t>
      </w:r>
    </w:p>
    <w:p>
      <w:pPr>
        <w:pStyle w:val="20"/>
        <w:spacing w:beforeLines="50" w:afterLines="50" w:line="360" w:lineRule="auto"/>
        <w:ind w:left="278" w:right="121" w:hanging="278" w:hangingChars="116"/>
        <w:jc w:val="both"/>
        <w:rPr>
          <w:rFonts w:ascii="Times New Roman" w:hAnsi="Times New Roman" w:cs="Times New Roman"/>
          <w:lang w:eastAsia="zh-CN"/>
        </w:rPr>
      </w:pPr>
      <w:r>
        <w:rPr>
          <w:rFonts w:hint="eastAsia" w:ascii="Times New Roman" w:hAnsi="Times New Roman" w:cs="Times New Roman"/>
          <w:lang w:eastAsia="zh-CN"/>
        </w:rPr>
        <w:t xml:space="preserve">6. </w:t>
      </w:r>
      <w:r>
        <w:rPr>
          <w:rFonts w:ascii="Times New Roman" w:hAnsi="Times New Roman" w:cs="Times New Roman"/>
          <w:lang w:eastAsia="zh-CN"/>
        </w:rPr>
        <w:t>项目工作范围及技术要求：</w:t>
      </w:r>
      <w:r>
        <w:rPr>
          <w:rFonts w:hint="eastAsia" w:ascii="Times New Roman" w:hAnsi="Times New Roman" w:cs="Times New Roman"/>
          <w:lang w:eastAsia="zh-CN"/>
        </w:rPr>
        <w:t>详</w:t>
      </w:r>
      <w:r>
        <w:rPr>
          <w:rFonts w:ascii="Times New Roman" w:hAnsi="Times New Roman" w:cs="Times New Roman"/>
          <w:lang w:eastAsia="zh-CN"/>
        </w:rPr>
        <w:t>见附件《</w:t>
      </w:r>
      <w:r>
        <w:rPr>
          <w:rFonts w:hint="eastAsia" w:ascii="Times New Roman" w:hAnsi="Times New Roman" w:cs="Times New Roman"/>
          <w:lang w:eastAsia="zh-CN"/>
        </w:rPr>
        <w:t>采购发包说明</w:t>
      </w:r>
      <w:r>
        <w:rPr>
          <w:rFonts w:ascii="Times New Roman" w:hAnsi="Times New Roman" w:cs="Times New Roman"/>
          <w:lang w:eastAsia="zh-CN"/>
        </w:rPr>
        <w:t>》。</w:t>
      </w:r>
    </w:p>
    <w:p>
      <w:pPr>
        <w:pStyle w:val="20"/>
        <w:spacing w:beforeLines="50" w:afterLines="50" w:line="360" w:lineRule="auto"/>
        <w:ind w:right="121"/>
        <w:jc w:val="both"/>
        <w:rPr>
          <w:rFonts w:ascii="Times New Roman" w:hAnsi="Times New Roman" w:cs="Times New Roman"/>
          <w:color w:val="auto"/>
          <w:lang w:eastAsia="zh-CN"/>
        </w:rPr>
      </w:pPr>
      <w:r>
        <w:rPr>
          <w:rFonts w:hint="eastAsia" w:ascii="Times New Roman" w:hAnsi="Times New Roman" w:cs="Times New Roman"/>
          <w:lang w:eastAsia="zh-CN"/>
        </w:rPr>
        <w:t>7</w:t>
      </w:r>
      <w:r>
        <w:rPr>
          <w:rFonts w:ascii="Times New Roman" w:hAnsi="Times New Roman" w:cs="Times New Roman"/>
          <w:lang w:eastAsia="zh-CN"/>
        </w:rPr>
        <w:t>. 项目联系人</w:t>
      </w:r>
      <w:r>
        <w:rPr>
          <w:rFonts w:hint="eastAsia" w:ascii="Times New Roman" w:hAnsi="Times New Roman" w:cs="Times New Roman"/>
          <w:lang w:eastAsia="zh-CN"/>
        </w:rPr>
        <w:t>：陈海伟13616007156（</w:t>
      </w:r>
      <w:r>
        <w:rPr>
          <w:rFonts w:ascii="Times New Roman" w:hAnsi="Times New Roman" w:cs="Times New Roman"/>
          <w:lang w:eastAsia="zh-CN"/>
        </w:rPr>
        <w:t>技术</w:t>
      </w:r>
      <w:r>
        <w:rPr>
          <w:rFonts w:hint="eastAsia" w:ascii="Times New Roman" w:hAnsi="Times New Roman" w:cs="Times New Roman"/>
          <w:lang w:eastAsia="zh-CN"/>
        </w:rPr>
        <w:t>），</w:t>
      </w:r>
      <w:r>
        <w:rPr>
          <w:rFonts w:hint="eastAsia" w:ascii="Times New Roman" w:hAnsi="Times New Roman" w:cs="Times New Roman"/>
          <w:color w:val="auto"/>
          <w:lang w:eastAsia="zh-CN"/>
        </w:rPr>
        <w:t>何震洋</w:t>
      </w:r>
      <w:r>
        <w:rPr>
          <w:rFonts w:ascii="Times New Roman" w:hAnsi="Times New Roman" w:cs="Times New Roman"/>
          <w:color w:val="auto"/>
          <w:lang w:eastAsia="zh-CN"/>
        </w:rPr>
        <w:t xml:space="preserve">   </w:t>
      </w:r>
      <w:r>
        <w:rPr>
          <w:rFonts w:hint="eastAsia" w:ascii="Times New Roman" w:hAnsi="Times New Roman" w:cs="Times New Roman"/>
          <w:color w:val="auto"/>
          <w:lang w:eastAsia="zh-CN"/>
        </w:rPr>
        <w:t>15259232765（</w:t>
      </w:r>
      <w:r>
        <w:rPr>
          <w:rFonts w:ascii="Times New Roman" w:hAnsi="Times New Roman" w:cs="Times New Roman"/>
          <w:color w:val="auto"/>
          <w:lang w:eastAsia="zh-CN"/>
        </w:rPr>
        <w:t>商务</w:t>
      </w:r>
      <w:r>
        <w:rPr>
          <w:rFonts w:hint="eastAsia" w:ascii="Times New Roman" w:hAnsi="Times New Roman" w:cs="Times New Roman"/>
          <w:color w:val="auto"/>
          <w:lang w:eastAsia="zh-CN"/>
        </w:rPr>
        <w:t>）</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二、定义和解释</w:t>
      </w:r>
    </w:p>
    <w:p>
      <w:pPr>
        <w:pStyle w:val="20"/>
        <w:spacing w:beforeLines="50" w:afterLines="50" w:line="360" w:lineRule="auto"/>
        <w:ind w:left="319" w:right="121" w:hanging="319" w:hangingChars="133"/>
        <w:jc w:val="both"/>
        <w:rPr>
          <w:rFonts w:ascii="Times New Roman" w:hAnsi="Times New Roman" w:cs="Times New Roman"/>
          <w:lang w:eastAsia="zh-CN"/>
        </w:rPr>
      </w:pPr>
      <w:r>
        <w:rPr>
          <w:rFonts w:ascii="Times New Roman" w:hAnsi="Times New Roman" w:cs="Times New Roman"/>
          <w:lang w:eastAsia="zh-CN"/>
        </w:rPr>
        <w:t xml:space="preserve">1. </w:t>
      </w:r>
      <w:r>
        <w:rPr>
          <w:rFonts w:hint="eastAsia" w:ascii="Times New Roman" w:hAnsi="Times New Roman" w:cs="Times New Roman"/>
          <w:lang w:eastAsia="zh-CN"/>
        </w:rPr>
        <w:t>“</w:t>
      </w:r>
      <w:r>
        <w:rPr>
          <w:rFonts w:ascii="Times New Roman" w:hAnsi="Times New Roman" w:cs="Times New Roman"/>
          <w:lang w:eastAsia="zh-CN"/>
        </w:rPr>
        <w:t>比选人</w:t>
      </w:r>
      <w:r>
        <w:rPr>
          <w:rFonts w:hint="eastAsia" w:ascii="Times New Roman" w:hAnsi="Times New Roman" w:cs="Times New Roman"/>
          <w:lang w:eastAsia="zh-CN"/>
        </w:rPr>
        <w:t>”</w:t>
      </w:r>
      <w:r>
        <w:rPr>
          <w:rFonts w:ascii="Times New Roman" w:hAnsi="Times New Roman" w:cs="Times New Roman"/>
          <w:lang w:eastAsia="zh-CN"/>
        </w:rPr>
        <w:t>系福建福海创石油化工有限公司，即业主方。</w:t>
      </w:r>
    </w:p>
    <w:p>
      <w:pPr>
        <w:pStyle w:val="20"/>
        <w:spacing w:beforeLines="50" w:afterLines="50" w:line="360" w:lineRule="auto"/>
        <w:ind w:left="319" w:right="121" w:hanging="319" w:hangingChars="133"/>
        <w:jc w:val="both"/>
        <w:rPr>
          <w:rFonts w:ascii="Times New Roman" w:hAnsi="Times New Roman" w:cs="Times New Roman"/>
          <w:lang w:eastAsia="zh-CN"/>
        </w:rPr>
      </w:pPr>
      <w:r>
        <w:rPr>
          <w:rFonts w:ascii="Times New Roman" w:hAnsi="Times New Roman" w:cs="Times New Roman"/>
          <w:lang w:eastAsia="zh-CN"/>
        </w:rPr>
        <w:t xml:space="preserve">2. </w:t>
      </w:r>
      <w:r>
        <w:rPr>
          <w:rFonts w:hint="eastAsia" w:ascii="Times New Roman" w:hAnsi="Times New Roman" w:cs="Times New Roman"/>
          <w:lang w:eastAsia="zh-CN"/>
        </w:rPr>
        <w:t>“</w:t>
      </w:r>
      <w:r>
        <w:rPr>
          <w:rFonts w:ascii="Times New Roman" w:hAnsi="Times New Roman" w:cs="Times New Roman"/>
          <w:lang w:eastAsia="zh-CN"/>
        </w:rPr>
        <w:t>参选人</w:t>
      </w:r>
      <w:r>
        <w:rPr>
          <w:rFonts w:hint="eastAsia" w:ascii="Times New Roman" w:hAnsi="Times New Roman" w:cs="Times New Roman"/>
          <w:lang w:eastAsia="zh-CN"/>
        </w:rPr>
        <w:t>”</w:t>
      </w:r>
      <w:r>
        <w:rPr>
          <w:rFonts w:ascii="Times New Roman" w:hAnsi="Times New Roman" w:cs="Times New Roman"/>
          <w:lang w:eastAsia="zh-CN"/>
        </w:rPr>
        <w:t>系指向比选人报名并接受邀请，领取比选文件，且已经提交或准备提交本次参选文件的法人。</w:t>
      </w:r>
    </w:p>
    <w:p>
      <w:pPr>
        <w:pStyle w:val="20"/>
        <w:spacing w:beforeLines="50" w:afterLines="50" w:line="360" w:lineRule="auto"/>
        <w:ind w:left="319" w:right="121" w:hanging="319" w:hangingChars="133"/>
        <w:jc w:val="both"/>
        <w:rPr>
          <w:rFonts w:ascii="Times New Roman" w:hAnsi="Times New Roman" w:cs="Times New Roman"/>
          <w:lang w:eastAsia="zh-CN"/>
        </w:rPr>
      </w:pPr>
      <w:r>
        <w:rPr>
          <w:rFonts w:ascii="Times New Roman" w:hAnsi="Times New Roman" w:cs="Times New Roman"/>
          <w:lang w:eastAsia="zh-CN"/>
        </w:rPr>
        <w:t xml:space="preserve">3. </w:t>
      </w:r>
      <w:r>
        <w:rPr>
          <w:rFonts w:hint="eastAsia" w:ascii="Times New Roman" w:hAnsi="Times New Roman" w:cs="Times New Roman"/>
          <w:lang w:eastAsia="zh-CN"/>
        </w:rPr>
        <w:t>“</w:t>
      </w:r>
      <w:r>
        <w:rPr>
          <w:rFonts w:ascii="Times New Roman" w:hAnsi="Times New Roman" w:cs="Times New Roman"/>
          <w:lang w:eastAsia="zh-CN"/>
        </w:rPr>
        <w:t>参选人代表</w:t>
      </w:r>
      <w:r>
        <w:rPr>
          <w:rFonts w:hint="eastAsia" w:ascii="Times New Roman" w:hAnsi="Times New Roman" w:cs="Times New Roman"/>
          <w:lang w:eastAsia="zh-CN"/>
        </w:rPr>
        <w:t>”</w:t>
      </w:r>
      <w:r>
        <w:rPr>
          <w:rFonts w:ascii="Times New Roman" w:hAnsi="Times New Roman" w:cs="Times New Roman"/>
          <w:lang w:eastAsia="zh-CN"/>
        </w:rPr>
        <w:t>系指全权代表参选人参加本次比选活动并签署参选文件的人，如果参选人代表不是参选人的法定代表人，须持有《法定代表人授权委托书》详见附件。</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三、比选文件组成</w:t>
      </w:r>
    </w:p>
    <w:p>
      <w:pPr>
        <w:pStyle w:val="20"/>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1. 比选文件</w:t>
      </w:r>
      <w:r>
        <w:rPr>
          <w:rFonts w:hint="eastAsia" w:ascii="Times New Roman" w:hAnsi="Times New Roman" w:cs="Times New Roman"/>
          <w:lang w:eastAsia="zh-CN"/>
        </w:rPr>
        <w:t>含</w:t>
      </w:r>
      <w:r>
        <w:rPr>
          <w:rFonts w:ascii="Times New Roman" w:hAnsi="Times New Roman" w:cs="Times New Roman"/>
          <w:lang w:eastAsia="zh-CN"/>
        </w:rPr>
        <w:t>下列内容：比选公告、比选须知、项目内容、合同书格式、报价单、承诺函等。</w:t>
      </w:r>
    </w:p>
    <w:p>
      <w:pPr>
        <w:pStyle w:val="20"/>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比选文件除 1 中内容外，比选人在比选期间发出的书面文件和其他修改或补充函件，均是比选文件不可分割的组成部分。</w:t>
      </w:r>
    </w:p>
    <w:p>
      <w:pPr>
        <w:pStyle w:val="20"/>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四、比选文件的澄清</w:t>
      </w:r>
    </w:p>
    <w:p>
      <w:pPr>
        <w:pStyle w:val="20"/>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 xml:space="preserve">    </w:t>
      </w:r>
      <w:r>
        <w:rPr>
          <w:rFonts w:hint="eastAsia" w:ascii="Times New Roman" w:hAnsi="Times New Roman" w:cs="Times New Roman"/>
          <w:lang w:eastAsia="zh-CN"/>
        </w:rPr>
        <w:t xml:space="preserve">  </w:t>
      </w:r>
      <w:r>
        <w:rPr>
          <w:rFonts w:ascii="Times New Roman" w:hAnsi="Times New Roman" w:cs="Times New Roman"/>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五、比选文件的修改、补充</w:t>
      </w:r>
    </w:p>
    <w:p>
      <w:pPr>
        <w:pStyle w:val="20"/>
        <w:spacing w:beforeLines="50" w:afterLines="50" w:line="360"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 xml:space="preserve">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   </w:t>
      </w:r>
    </w:p>
    <w:p>
      <w:pPr>
        <w:pStyle w:val="20"/>
        <w:spacing w:beforeLines="50" w:afterLines="50" w:line="360"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 xml:space="preserve"> 2.</w:t>
      </w:r>
      <w:r>
        <w:rPr>
          <w:rFonts w:hint="eastAsia" w:ascii="Times New Roman" w:hAnsi="Times New Roman" w:cs="Times New Roman"/>
          <w:lang w:eastAsia="zh-CN"/>
        </w:rPr>
        <w:t xml:space="preserve"> </w:t>
      </w:r>
      <w:r>
        <w:rPr>
          <w:rFonts w:ascii="Times New Roman" w:hAnsi="Times New Roman" w:cs="Times New Roman"/>
          <w:lang w:eastAsia="zh-CN"/>
        </w:rPr>
        <w:t>为使参选人在准备参选文件时有合理的时间考虑比选文件的修改，比选人可酌情推迟参选截止时间和开评时间，并以书面形式通知已获得比选文件的每一参选人。</w:t>
      </w:r>
    </w:p>
    <w:p>
      <w:pPr>
        <w:pStyle w:val="20"/>
        <w:spacing w:beforeLines="50" w:afterLines="50" w:line="360"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 xml:space="preserve"> 3.</w:t>
      </w:r>
      <w:r>
        <w:rPr>
          <w:rFonts w:hint="eastAsia" w:ascii="Times New Roman" w:hAnsi="Times New Roman" w:cs="Times New Roman"/>
          <w:lang w:eastAsia="zh-CN"/>
        </w:rPr>
        <w:t xml:space="preserve"> </w:t>
      </w:r>
      <w:r>
        <w:rPr>
          <w:rFonts w:ascii="Times New Roman" w:hAnsi="Times New Roman" w:cs="Times New Roman"/>
          <w:lang w:eastAsia="zh-CN"/>
        </w:rPr>
        <w:t>比选文件的修改书将构成比选文件的一部分，对参选人具有约束作用。</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六、参选人资格</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ascii="Times New Roman" w:hAnsi="Times New Roman" w:cs="Times New Roman"/>
          <w:sz w:val="24"/>
          <w:szCs w:val="24"/>
          <w:lang w:eastAsia="zh-CN"/>
        </w:rPr>
        <w:t>1.  参选人必须具备有效的企业法人营业执照，具有在中华人民共和国注册的法人资格。</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2. 投标人应是响应招标、参加投标竞争的中华人民共和国境内的企事业法人，并有独立订立合同的权利；</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3. 投标人具有航标生产制作许可证或安装（或维护）许可证或相关资质；</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4. 投标人在专业技术、设备设施、人员组织、业绩经验等方面具有相应资格和能力，且近2年内无人为重大责任事故被通报；</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5. 投标人近两年内，至少有2项安装或维护航标的工程业绩，且在生产运营中未发现重大的工程质量问题，需提供相关业绩合同扫描件；</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6. 单位负责人为同一人或存在控股、管理关系的不同单位，不得参加同一标段或者未划分标段的同一招标项目的投标，否则相关投标均无效；</w:t>
      </w:r>
    </w:p>
    <w:p>
      <w:pPr>
        <w:tabs>
          <w:tab w:val="left" w:pos="284"/>
          <w:tab w:val="left" w:pos="426"/>
          <w:tab w:val="left" w:pos="709"/>
        </w:tabs>
        <w:spacing w:line="336"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7. 不得使用通过受让或者租借等方式获取资格、资质证书等以他人名义投标。不接受使用伪造、变造的许可证件，提供虚假的财务状况或者业绩，提供虚假的项目负责人或者主要技术人员简历、劳动关系证明，提供虚假的信用状况等其他弄虚作假的行为。</w:t>
      </w:r>
    </w:p>
    <w:p>
      <w:pPr>
        <w:pStyle w:val="77"/>
        <w:spacing w:line="336" w:lineRule="auto"/>
        <w:ind w:firstLine="139" w:firstLineChars="58"/>
        <w:rPr>
          <w:rFonts w:ascii="Times New Roman" w:cs="Times New Roman"/>
          <w:color w:val="auto"/>
        </w:rPr>
      </w:pPr>
      <w:r>
        <w:rPr>
          <w:rFonts w:hint="eastAsia" w:ascii="Times New Roman" w:cs="Times New Roman"/>
          <w:color w:val="auto"/>
        </w:rPr>
        <w:t xml:space="preserve">8.  </w:t>
      </w:r>
      <w:r>
        <w:rPr>
          <w:rFonts w:ascii="Times New Roman" w:cs="Times New Roman"/>
          <w:color w:val="auto"/>
        </w:rPr>
        <w:t>参选人没有失信黑名单记录（以最高院失信被执行人系统发布信息为准）。</w:t>
      </w:r>
    </w:p>
    <w:p>
      <w:pPr>
        <w:pStyle w:val="2"/>
        <w:spacing w:line="360" w:lineRule="auto"/>
        <w:ind w:left="436" w:leftChars="62" w:hanging="300" w:hangingChars="125"/>
        <w:rPr>
          <w:rFonts w:ascii="Times New Roman" w:hAnsi="Times New Roman"/>
          <w:sz w:val="24"/>
          <w:szCs w:val="24"/>
        </w:rPr>
      </w:pPr>
      <w:r>
        <w:rPr>
          <w:rFonts w:hint="eastAsia" w:ascii="Times New Roman" w:hAnsi="Times New Roman"/>
          <w:sz w:val="24"/>
          <w:szCs w:val="24"/>
        </w:rPr>
        <w:t xml:space="preserve">9.  </w:t>
      </w:r>
      <w:r>
        <w:rPr>
          <w:rFonts w:ascii="Times New Roman" w:hAnsi="Times New Roman"/>
          <w:sz w:val="24"/>
          <w:szCs w:val="24"/>
        </w:rPr>
        <w:t>与比选人无诉讼纠纷。</w:t>
      </w:r>
    </w:p>
    <w:p>
      <w:pPr>
        <w:spacing w:line="360" w:lineRule="auto"/>
        <w:ind w:left="436" w:leftChars="62" w:hanging="300" w:hangingChars="125"/>
        <w:rPr>
          <w:rFonts w:ascii="Times New Roman" w:hAnsi="Times New Roman" w:cs="Times New Roman"/>
          <w:sz w:val="24"/>
          <w:szCs w:val="24"/>
          <w:lang w:eastAsia="zh-CN"/>
        </w:rPr>
      </w:pPr>
      <w:r>
        <w:rPr>
          <w:rFonts w:hint="eastAsia" w:ascii="Times New Roman" w:hAnsi="Times New Roman" w:cs="Times New Roman"/>
          <w:sz w:val="24"/>
          <w:szCs w:val="24"/>
          <w:lang w:eastAsia="zh-CN"/>
        </w:rPr>
        <w:t xml:space="preserve">10.  </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r>
        <w:rPr>
          <w:rFonts w:hint="eastAsia" w:ascii="Times New Roman" w:hAnsi="Times New Roman" w:cs="Times New Roman"/>
          <w:sz w:val="24"/>
          <w:szCs w:val="24"/>
          <w:lang w:eastAsia="zh-CN"/>
        </w:rPr>
        <w:t>，不允许转包或分包。</w:t>
      </w:r>
    </w:p>
    <w:p>
      <w:pPr>
        <w:pStyle w:val="3"/>
        <w:spacing w:line="360" w:lineRule="auto"/>
        <w:ind w:left="0"/>
        <w:rPr>
          <w:rFonts w:ascii="Times New Roman" w:hAnsi="Times New Roman" w:cs="Times New Roman"/>
          <w:lang w:eastAsia="zh-CN"/>
        </w:rPr>
      </w:pPr>
      <w:r>
        <w:rPr>
          <w:rFonts w:ascii="Times New Roman" w:hAnsi="Times New Roman" w:cs="Times New Roman"/>
          <w:w w:val="95"/>
          <w:lang w:eastAsia="zh-CN"/>
        </w:rPr>
        <w:t>七、参选保证金</w:t>
      </w:r>
    </w:p>
    <w:p>
      <w:pPr>
        <w:pStyle w:val="20"/>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1. 参选单位应缴纳参选保证金，</w:t>
      </w:r>
      <w:r>
        <w:rPr>
          <w:rFonts w:ascii="Times New Roman" w:hAnsi="Times New Roman" w:cs="Times New Roman"/>
          <w:b/>
          <w:bCs/>
          <w:lang w:eastAsia="zh-CN"/>
        </w:rPr>
        <w:t>保证金金额</w:t>
      </w:r>
      <w:r>
        <w:rPr>
          <w:rFonts w:hint="eastAsia" w:ascii="Times New Roman" w:hAnsi="Times New Roman" w:cs="Times New Roman"/>
          <w:b/>
          <w:bCs/>
          <w:lang w:eastAsia="zh-CN"/>
        </w:rPr>
        <w:t>6</w:t>
      </w:r>
      <w:r>
        <w:rPr>
          <w:rFonts w:ascii="Times New Roman" w:hAnsi="Times New Roman" w:cs="Times New Roman"/>
          <w:b/>
          <w:bCs/>
          <w:lang w:eastAsia="zh-CN"/>
        </w:rPr>
        <w:t>,</w:t>
      </w:r>
      <w:r>
        <w:rPr>
          <w:rFonts w:hint="eastAsia" w:ascii="Times New Roman" w:hAnsi="Times New Roman" w:cs="Times New Roman"/>
          <w:b/>
          <w:bCs/>
          <w:lang w:eastAsia="zh-CN"/>
        </w:rPr>
        <w:t>8</w:t>
      </w:r>
      <w:r>
        <w:rPr>
          <w:rFonts w:ascii="Times New Roman" w:hAnsi="Times New Roman" w:cs="Times New Roman"/>
          <w:b/>
          <w:bCs/>
          <w:lang w:eastAsia="zh-CN"/>
        </w:rPr>
        <w:t>00.00元整</w:t>
      </w:r>
      <w:r>
        <w:rPr>
          <w:rFonts w:ascii="Times New Roman" w:hAnsi="Times New Roman" w:cs="Times New Roman"/>
          <w:lang w:eastAsia="zh-CN"/>
        </w:rPr>
        <w:t>，参选单位应按照要求从参选单位基本账户转入比选单位的账户，比选单位账户信息如下：</w:t>
      </w:r>
    </w:p>
    <w:p>
      <w:pPr>
        <w:pStyle w:val="20"/>
        <w:spacing w:line="360"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开户名称：</w:t>
      </w:r>
      <w:r>
        <w:rPr>
          <w:rFonts w:ascii="Times New Roman" w:hAnsi="Times New Roman" w:cs="Times New Roman"/>
          <w:lang w:eastAsia="zh-CN"/>
        </w:rPr>
        <w:t>福建福海创石油化工有限公司</w:t>
      </w:r>
    </w:p>
    <w:p>
      <w:pPr>
        <w:pStyle w:val="20"/>
        <w:spacing w:line="360"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开户银行：</w:t>
      </w:r>
      <w:r>
        <w:rPr>
          <w:rFonts w:ascii="Times New Roman" w:hAnsi="Times New Roman" w:cs="Times New Roman"/>
          <w:lang w:eastAsia="zh-CN"/>
        </w:rPr>
        <w:t>中国银行股份有限公司漳州古雷经济开发区支行</w:t>
      </w:r>
    </w:p>
    <w:p>
      <w:pPr>
        <w:pStyle w:val="20"/>
        <w:spacing w:line="360"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帐</w:t>
      </w:r>
      <w:r>
        <w:rPr>
          <w:rFonts w:hint="eastAsia" w:ascii="Times New Roman" w:hAnsi="Times New Roman" w:cs="Times New Roman"/>
          <w:b/>
          <w:bCs/>
          <w:lang w:eastAsia="zh-CN"/>
        </w:rPr>
        <w:t xml:space="preserve">     </w:t>
      </w:r>
      <w:r>
        <w:rPr>
          <w:rFonts w:ascii="Times New Roman" w:hAnsi="Times New Roman" w:cs="Times New Roman"/>
          <w:b/>
          <w:bCs/>
          <w:lang w:eastAsia="zh-CN"/>
        </w:rPr>
        <w:t>  号：</w:t>
      </w:r>
      <w:r>
        <w:rPr>
          <w:rFonts w:ascii="Times New Roman" w:hAnsi="Times New Roman" w:cs="Times New Roman"/>
          <w:lang w:eastAsia="zh-CN"/>
        </w:rPr>
        <w:t>406574816628</w:t>
      </w:r>
    </w:p>
    <w:p>
      <w:pPr>
        <w:spacing w:line="360" w:lineRule="auto"/>
        <w:ind w:firstLine="301" w:firstLineChars="125"/>
        <w:rPr>
          <w:rFonts w:ascii="Times New Roman" w:hAnsi="Times New Roman" w:cs="Times New Roman"/>
          <w:sz w:val="24"/>
          <w:szCs w:val="24"/>
          <w:lang w:eastAsia="zh-CN"/>
        </w:rPr>
      </w:pPr>
      <w:r>
        <w:rPr>
          <w:rFonts w:ascii="Times New Roman" w:hAnsi="Times New Roman" w:cs="Times New Roman"/>
          <w:b/>
          <w:bCs/>
          <w:sz w:val="24"/>
          <w:szCs w:val="24"/>
          <w:lang w:eastAsia="zh-CN"/>
        </w:rPr>
        <w:t>注明用途：</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PTA海水冷却系统排水工程航标维护</w:t>
      </w:r>
      <w:r>
        <w:rPr>
          <w:rFonts w:ascii="Times New Roman" w:hAnsi="Times New Roman" w:cs="Times New Roman"/>
          <w:sz w:val="24"/>
          <w:szCs w:val="24"/>
          <w:lang w:eastAsia="zh-CN"/>
        </w:rPr>
        <w:t>参选保证金</w:t>
      </w:r>
    </w:p>
    <w:p>
      <w:pPr>
        <w:pStyle w:val="20"/>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 xml:space="preserve">    参选保证金有效期：90日历天。</w:t>
      </w:r>
    </w:p>
    <w:p>
      <w:pPr>
        <w:pStyle w:val="20"/>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2. 对于未能按要求提交保证金的参选文件，比选单位可以视为不符合上面比选要求而予以拒绝；</w:t>
      </w:r>
    </w:p>
    <w:p>
      <w:pPr>
        <w:pStyle w:val="20"/>
        <w:spacing w:line="360" w:lineRule="auto"/>
        <w:ind w:left="278" w:right="121" w:hanging="278" w:hangingChars="116"/>
        <w:jc w:val="both"/>
        <w:rPr>
          <w:rFonts w:ascii="Times New Roman" w:hAnsi="Times New Roman" w:cs="Times New Roman"/>
          <w:lang w:eastAsia="zh-CN"/>
        </w:rPr>
      </w:pPr>
      <w:r>
        <w:rPr>
          <w:rFonts w:ascii="Times New Roman" w:hAnsi="Times New Roman" w:cs="Times New Roman"/>
          <w:lang w:eastAsia="zh-CN"/>
        </w:rPr>
        <w:t>3. 比选结束退还未中选者的比选保证金（无息），最迟不超过规定的比选有效期满后的20天；</w:t>
      </w:r>
    </w:p>
    <w:p>
      <w:pPr>
        <w:pStyle w:val="20"/>
        <w:spacing w:line="360" w:lineRule="auto"/>
        <w:ind w:left="278" w:right="121" w:hanging="278" w:hangingChars="116"/>
        <w:jc w:val="both"/>
        <w:rPr>
          <w:rFonts w:ascii="Times New Roman" w:hAnsi="Times New Roman" w:cs="Times New Roman"/>
          <w:lang w:eastAsia="zh-CN"/>
        </w:rPr>
      </w:pPr>
      <w:r>
        <w:rPr>
          <w:rFonts w:ascii="Times New Roman" w:hAnsi="Times New Roman" w:cs="Times New Roman"/>
          <w:lang w:eastAsia="zh-CN"/>
        </w:rPr>
        <w:t>4.  如有下列情况发生，将被没收参选保证金：</w:t>
      </w:r>
    </w:p>
    <w:p>
      <w:pPr>
        <w:pStyle w:val="20"/>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（1）参选单位在参选有效期内撤回参选文件；</w:t>
      </w:r>
    </w:p>
    <w:p>
      <w:pPr>
        <w:pStyle w:val="3"/>
        <w:spacing w:line="360" w:lineRule="auto"/>
        <w:ind w:left="333" w:leftChars="36" w:hanging="254" w:hangingChars="106"/>
        <w:rPr>
          <w:rFonts w:ascii="Times New Roman" w:hAnsi="Times New Roman" w:cs="Times New Roman"/>
          <w:b w:val="0"/>
          <w:bCs w:val="0"/>
          <w:sz w:val="24"/>
          <w:szCs w:val="24"/>
          <w:lang w:eastAsia="zh-CN"/>
        </w:rPr>
      </w:pPr>
      <w:r>
        <w:rPr>
          <w:rFonts w:ascii="Times New Roman" w:hAnsi="Times New Roman" w:cs="Times New Roman"/>
          <w:b w:val="0"/>
          <w:bCs w:val="0"/>
          <w:sz w:val="24"/>
          <w:szCs w:val="24"/>
          <w:lang w:eastAsia="zh-CN"/>
        </w:rPr>
        <w:t>（2）参选单位未能按接到中标通知书后规定的时间内签定合同。</w:t>
      </w:r>
    </w:p>
    <w:p>
      <w:pPr>
        <w:spacing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八、参选文件的递交</w:t>
      </w:r>
    </w:p>
    <w:p>
      <w:pPr>
        <w:spacing w:line="360" w:lineRule="auto"/>
        <w:rPr>
          <w:rFonts w:ascii="Times New Roman" w:hAnsi="Times New Roman" w:cs="Times New Roman"/>
          <w:color w:val="0000FF"/>
          <w:lang w:eastAsia="zh-CN"/>
        </w:rPr>
      </w:pPr>
      <w:r>
        <w:rPr>
          <w:rFonts w:ascii="Times New Roman" w:hAnsi="Times New Roman" w:cs="Times New Roman"/>
          <w:lang w:eastAsia="zh-CN"/>
        </w:rPr>
        <w:t>1. 参选文件递交的时间：</w:t>
      </w:r>
      <w:r>
        <w:rPr>
          <w:rFonts w:ascii="Times New Roman" w:hAnsi="Times New Roman" w:cs="Times New Roman"/>
          <w:b/>
          <w:bCs/>
          <w:color w:val="auto"/>
          <w:lang w:eastAsia="zh-CN"/>
        </w:rPr>
        <w:t>自2022年</w:t>
      </w:r>
      <w:r>
        <w:rPr>
          <w:rFonts w:hint="eastAsia" w:ascii="Times New Roman" w:hAnsi="Times New Roman" w:cs="Times New Roman"/>
          <w:b/>
          <w:bCs/>
          <w:color w:val="auto"/>
          <w:lang w:eastAsia="zh-CN"/>
        </w:rPr>
        <w:t xml:space="preserve"> </w:t>
      </w:r>
      <w:r>
        <w:rPr>
          <w:rFonts w:hint="eastAsia" w:ascii="Times New Roman" w:hAnsi="Times New Roman" w:cs="Times New Roman"/>
          <w:b/>
          <w:bCs/>
          <w:color w:val="auto"/>
          <w:lang w:val="en-US" w:eastAsia="zh-CN"/>
        </w:rPr>
        <w:t>9</w:t>
      </w:r>
      <w:r>
        <w:rPr>
          <w:rFonts w:ascii="Times New Roman" w:hAnsi="Times New Roman" w:cs="Times New Roman"/>
          <w:b/>
          <w:bCs/>
          <w:color w:val="auto"/>
          <w:lang w:eastAsia="zh-CN"/>
        </w:rPr>
        <w:t>月</w:t>
      </w:r>
      <w:r>
        <w:rPr>
          <w:rFonts w:hint="eastAsia" w:ascii="Times New Roman" w:hAnsi="Times New Roman" w:cs="Times New Roman"/>
          <w:b/>
          <w:bCs/>
          <w:color w:val="auto"/>
          <w:lang w:eastAsia="zh-CN"/>
        </w:rPr>
        <w:t xml:space="preserve"> </w:t>
      </w:r>
      <w:r>
        <w:rPr>
          <w:rFonts w:hint="eastAsia" w:ascii="Times New Roman" w:hAnsi="Times New Roman" w:cs="Times New Roman"/>
          <w:b/>
          <w:bCs/>
          <w:color w:val="auto"/>
          <w:lang w:val="en-US" w:eastAsia="zh-CN"/>
        </w:rPr>
        <w:t>26</w:t>
      </w:r>
      <w:r>
        <w:rPr>
          <w:rFonts w:hint="eastAsia" w:ascii="Times New Roman" w:hAnsi="Times New Roman" w:cs="Times New Roman"/>
          <w:b/>
          <w:bCs/>
          <w:color w:val="auto"/>
          <w:lang w:eastAsia="zh-CN"/>
        </w:rPr>
        <w:t xml:space="preserve">  </w:t>
      </w:r>
      <w:r>
        <w:rPr>
          <w:rFonts w:ascii="Times New Roman" w:hAnsi="Times New Roman" w:cs="Times New Roman"/>
          <w:b/>
          <w:bCs/>
          <w:color w:val="auto"/>
          <w:lang w:eastAsia="zh-CN"/>
        </w:rPr>
        <w:t>日~2022年</w:t>
      </w:r>
      <w:r>
        <w:rPr>
          <w:rFonts w:hint="eastAsia" w:ascii="Times New Roman" w:hAnsi="Times New Roman" w:cs="Times New Roman"/>
          <w:b/>
          <w:bCs/>
          <w:color w:val="auto"/>
          <w:lang w:eastAsia="zh-CN"/>
        </w:rPr>
        <w:t xml:space="preserve">  </w:t>
      </w:r>
      <w:r>
        <w:rPr>
          <w:rFonts w:hint="eastAsia" w:ascii="Times New Roman" w:hAnsi="Times New Roman" w:cs="Times New Roman"/>
          <w:b/>
          <w:bCs/>
          <w:color w:val="auto"/>
          <w:lang w:val="en-US" w:eastAsia="zh-CN"/>
        </w:rPr>
        <w:t>10</w:t>
      </w:r>
      <w:r>
        <w:rPr>
          <w:rFonts w:hint="eastAsia" w:ascii="Times New Roman" w:hAnsi="Times New Roman" w:cs="Times New Roman"/>
          <w:b/>
          <w:bCs/>
          <w:color w:val="auto"/>
          <w:lang w:eastAsia="zh-CN"/>
        </w:rPr>
        <w:t xml:space="preserve"> </w:t>
      </w:r>
      <w:r>
        <w:rPr>
          <w:rFonts w:ascii="Times New Roman" w:hAnsi="Times New Roman" w:cs="Times New Roman"/>
          <w:b/>
          <w:bCs/>
          <w:color w:val="auto"/>
          <w:lang w:eastAsia="zh-CN"/>
        </w:rPr>
        <w:t>月</w:t>
      </w:r>
      <w:r>
        <w:rPr>
          <w:rFonts w:hint="eastAsia" w:ascii="Times New Roman" w:hAnsi="Times New Roman" w:cs="Times New Roman"/>
          <w:b/>
          <w:bCs/>
          <w:color w:val="auto"/>
          <w:lang w:eastAsia="zh-CN"/>
        </w:rPr>
        <w:t xml:space="preserve">  </w:t>
      </w:r>
      <w:r>
        <w:rPr>
          <w:rFonts w:hint="eastAsia" w:ascii="Times New Roman" w:hAnsi="Times New Roman" w:cs="Times New Roman"/>
          <w:b/>
          <w:bCs/>
          <w:color w:val="auto"/>
          <w:lang w:val="en-US" w:eastAsia="zh-CN"/>
        </w:rPr>
        <w:t>08</w:t>
      </w:r>
      <w:r>
        <w:rPr>
          <w:rFonts w:hint="eastAsia" w:ascii="Times New Roman" w:hAnsi="Times New Roman" w:cs="Times New Roman"/>
          <w:b/>
          <w:bCs/>
          <w:color w:val="auto"/>
          <w:lang w:eastAsia="zh-CN"/>
        </w:rPr>
        <w:t xml:space="preserve"> </w:t>
      </w:r>
      <w:r>
        <w:rPr>
          <w:rFonts w:ascii="Times New Roman" w:hAnsi="Times New Roman" w:cs="Times New Roman"/>
          <w:b/>
          <w:bCs/>
          <w:color w:val="auto"/>
          <w:lang w:eastAsia="zh-CN"/>
        </w:rPr>
        <w:t xml:space="preserve"> 日止（共</w:t>
      </w:r>
      <w:r>
        <w:rPr>
          <w:rFonts w:hint="eastAsia" w:ascii="Times New Roman" w:hAnsi="Times New Roman" w:cs="Times New Roman"/>
          <w:b/>
          <w:bCs/>
          <w:color w:val="auto"/>
          <w:lang w:eastAsia="zh-CN"/>
        </w:rPr>
        <w:t>12</w:t>
      </w:r>
      <w:r>
        <w:rPr>
          <w:rFonts w:ascii="Times New Roman" w:hAnsi="Times New Roman" w:cs="Times New Roman"/>
          <w:b/>
          <w:bCs/>
          <w:color w:val="auto"/>
          <w:lang w:eastAsia="zh-CN"/>
        </w:rPr>
        <w:t>天）。</w:t>
      </w:r>
    </w:p>
    <w:p>
      <w:pPr>
        <w:pStyle w:val="4"/>
        <w:tabs>
          <w:tab w:val="left" w:pos="6879"/>
        </w:tabs>
        <w:spacing w:line="360" w:lineRule="auto"/>
        <w:ind w:left="241" w:right="106" w:hanging="241" w:hangingChars="100"/>
        <w:rPr>
          <w:rFonts w:ascii="Times New Roman" w:hAnsi="Times New Roman" w:cs="Times New Roman"/>
          <w:color w:val="FF0000"/>
          <w:spacing w:val="-4"/>
          <w:lang w:eastAsia="zh-CN"/>
        </w:rPr>
      </w:pPr>
      <w:r>
        <w:rPr>
          <w:rFonts w:ascii="Times New Roman" w:hAnsi="Times New Roman" w:cs="Times New Roman"/>
          <w:lang w:eastAsia="zh-CN"/>
        </w:rPr>
        <w:t xml:space="preserve">2. </w:t>
      </w:r>
      <w:r>
        <w:rPr>
          <w:rFonts w:ascii="Times New Roman" w:hAnsi="Times New Roman" w:cs="Times New Roman"/>
          <w:spacing w:val="4"/>
          <w:lang w:eastAsia="zh-CN"/>
        </w:rPr>
        <w:t>递交</w:t>
      </w:r>
      <w:r>
        <w:rPr>
          <w:rFonts w:ascii="Times New Roman" w:hAnsi="Times New Roman" w:cs="Times New Roman"/>
          <w:lang w:eastAsia="zh-CN"/>
        </w:rPr>
        <w:t>参</w:t>
      </w:r>
      <w:r>
        <w:rPr>
          <w:rFonts w:ascii="Times New Roman" w:hAnsi="Times New Roman" w:cs="Times New Roman"/>
          <w:spacing w:val="4"/>
          <w:lang w:eastAsia="zh-CN"/>
        </w:rPr>
        <w:t>选文件的地</w:t>
      </w:r>
      <w:r>
        <w:rPr>
          <w:rFonts w:ascii="Times New Roman" w:hAnsi="Times New Roman" w:cs="Times New Roman"/>
          <w:lang w:eastAsia="zh-CN"/>
        </w:rPr>
        <w:t>点</w:t>
      </w:r>
      <w:r>
        <w:rPr>
          <w:rFonts w:ascii="Times New Roman" w:hAnsi="Times New Roman" w:cs="Times New Roman"/>
          <w:spacing w:val="4"/>
          <w:lang w:eastAsia="zh-CN"/>
        </w:rPr>
        <w:t>为：福建福海创石油化工有限公司办公楼（漳州市漳浦县杜浔镇杜昌路9号）</w:t>
      </w:r>
      <w:r>
        <w:rPr>
          <w:rFonts w:ascii="Times New Roman" w:hAnsi="Times New Roman" w:cs="Times New Roman"/>
          <w:spacing w:val="-57"/>
          <w:lang w:eastAsia="zh-CN"/>
        </w:rPr>
        <w:t>，</w:t>
      </w:r>
      <w:r>
        <w:rPr>
          <w:rFonts w:ascii="Times New Roman" w:hAnsi="Times New Roman" w:cs="Times New Roman"/>
          <w:lang w:eastAsia="zh-CN"/>
        </w:rPr>
        <w:t>联系人</w:t>
      </w:r>
      <w:r>
        <w:rPr>
          <w:rFonts w:ascii="Times New Roman" w:hAnsi="Times New Roman" w:cs="Times New Roman"/>
          <w:spacing w:val="-56"/>
          <w:lang w:eastAsia="zh-CN"/>
        </w:rPr>
        <w:t>：</w:t>
      </w:r>
      <w:r>
        <w:rPr>
          <w:rFonts w:hint="eastAsia" w:ascii="Times New Roman" w:hAnsi="Times New Roman" w:cs="Times New Roman"/>
          <w:spacing w:val="-56"/>
          <w:lang w:eastAsia="zh-CN"/>
        </w:rPr>
        <w:t>何震洋</w:t>
      </w:r>
      <w:r>
        <w:rPr>
          <w:rFonts w:ascii="Times New Roman" w:hAnsi="Times New Roman" w:cs="Times New Roman"/>
          <w:lang w:eastAsia="zh-CN"/>
        </w:rPr>
        <w:t xml:space="preserve">   联系电话</w:t>
      </w:r>
      <w:r>
        <w:rPr>
          <w:rFonts w:ascii="Times New Roman" w:hAnsi="Times New Roman" w:cs="Times New Roman"/>
          <w:spacing w:val="-4"/>
          <w:lang w:eastAsia="zh-CN"/>
        </w:rPr>
        <w:t>：</w:t>
      </w:r>
      <w:r>
        <w:rPr>
          <w:rFonts w:hint="eastAsia" w:ascii="Times New Roman" w:hAnsi="Times New Roman" w:cs="Times New Roman"/>
          <w:color w:val="auto"/>
          <w:spacing w:val="-4"/>
          <w:lang w:eastAsia="zh-CN"/>
        </w:rPr>
        <w:t>15259232765</w:t>
      </w:r>
      <w:r>
        <w:rPr>
          <w:rFonts w:ascii="Times New Roman" w:hAnsi="Times New Roman" w:cs="Times New Roman"/>
          <w:color w:val="auto"/>
          <w:spacing w:val="-4"/>
          <w:lang w:eastAsia="zh-CN"/>
        </w:rPr>
        <w:t>。</w:t>
      </w:r>
    </w:p>
    <w:p>
      <w:pPr>
        <w:pStyle w:val="4"/>
        <w:tabs>
          <w:tab w:val="left" w:pos="6879"/>
        </w:tabs>
        <w:spacing w:line="360" w:lineRule="auto"/>
        <w:ind w:left="0" w:right="106"/>
        <w:rPr>
          <w:rFonts w:ascii="Times New Roman" w:hAnsi="Times New Roman" w:cs="Times New Roman"/>
          <w:lang w:eastAsia="zh-CN"/>
        </w:rPr>
      </w:pPr>
      <w:r>
        <w:rPr>
          <w:rFonts w:ascii="Times New Roman" w:hAnsi="Times New Roman" w:cs="Times New Roman"/>
          <w:lang w:eastAsia="zh-CN"/>
        </w:rPr>
        <w:t xml:space="preserve">    注：请使用顺丰快递或中国邮政 EMS 快递，其他快递不能保证送达目的地。</w:t>
      </w:r>
    </w:p>
    <w:p>
      <w:pPr>
        <w:pStyle w:val="20"/>
        <w:numPr>
          <w:ilvl w:val="0"/>
          <w:numId w:val="6"/>
        </w:numPr>
        <w:spacing w:line="360" w:lineRule="auto"/>
        <w:ind w:right="121"/>
        <w:jc w:val="both"/>
        <w:rPr>
          <w:rFonts w:ascii="Times New Roman" w:hAnsi="Times New Roman" w:cs="Times New Roman"/>
          <w:lang w:eastAsia="zh-CN"/>
        </w:rPr>
      </w:pPr>
      <w:r>
        <w:rPr>
          <w:rFonts w:ascii="Times New Roman" w:hAnsi="Times New Roman" w:cs="Times New Roman"/>
          <w:lang w:eastAsia="zh-CN"/>
        </w:rPr>
        <w:t>只允许参选人有一个参选方案，否则将被视为无效参选。</w:t>
      </w:r>
    </w:p>
    <w:p>
      <w:pPr>
        <w:pStyle w:val="20"/>
        <w:numPr>
          <w:ilvl w:val="0"/>
          <w:numId w:val="6"/>
        </w:numPr>
        <w:spacing w:line="360"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逾期送达的或未送达指定地点或参选文件密封不符合规定要求的参选文件，比选人不予 受理。参选人所提交的比选文件在评选结束后，无论中选与否都不退还。</w:t>
      </w:r>
    </w:p>
    <w:p>
      <w:pPr>
        <w:pStyle w:val="20"/>
        <w:numPr>
          <w:ilvl w:val="0"/>
          <w:numId w:val="6"/>
        </w:numPr>
        <w:spacing w:line="360"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参选人收到比选文件后，如有疑问需要澄清，请以书面形式在规定时间内报比选人汇总。</w:t>
      </w:r>
    </w:p>
    <w:p>
      <w:pPr>
        <w:pStyle w:val="20"/>
        <w:numPr>
          <w:ilvl w:val="0"/>
          <w:numId w:val="6"/>
        </w:numPr>
        <w:spacing w:line="360"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rFonts w:ascii="Times New Roman" w:hAnsi="Times New Roman" w:cs="Times New Roman"/>
          <w:lang w:eastAsia="zh-CN"/>
        </w:rPr>
        <w:sectPr>
          <w:pgSz w:w="11910" w:h="16840"/>
          <w:pgMar w:top="1420" w:right="710" w:bottom="740" w:left="1080" w:header="0" w:footer="551" w:gutter="0"/>
          <w:cols w:space="720" w:num="1"/>
        </w:sectPr>
      </w:pPr>
    </w:p>
    <w:p>
      <w:pPr>
        <w:pStyle w:val="3"/>
        <w:tabs>
          <w:tab w:val="left" w:pos="4627"/>
        </w:tabs>
        <w:spacing w:line="360" w:lineRule="auto"/>
        <w:ind w:left="3363"/>
        <w:rPr>
          <w:rFonts w:ascii="Times New Roman" w:hAnsi="Times New Roman" w:cs="Times New Roman"/>
          <w:sz w:val="30"/>
          <w:szCs w:val="30"/>
          <w:lang w:eastAsia="zh-CN"/>
        </w:rPr>
      </w:pPr>
      <w:r>
        <w:rPr>
          <w:rFonts w:ascii="Times New Roman" w:hAnsi="Times New Roman" w:cs="Times New Roman"/>
          <w:sz w:val="30"/>
          <w:szCs w:val="30"/>
          <w:lang w:eastAsia="zh-CN"/>
        </w:rPr>
        <w:t>第三章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参选文</w:t>
      </w:r>
      <w:r>
        <w:rPr>
          <w:rFonts w:ascii="Times New Roman" w:hAnsi="Times New Roman" w:cs="Times New Roman"/>
          <w:w w:val="95"/>
          <w:sz w:val="30"/>
          <w:szCs w:val="30"/>
          <w:lang w:eastAsia="zh-CN"/>
        </w:rPr>
        <w:t>件的编制</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 xml:space="preserve">   一、参选文件的组成：</w:t>
      </w:r>
    </w:p>
    <w:p>
      <w:pPr>
        <w:pStyle w:val="20"/>
        <w:spacing w:line="360" w:lineRule="auto"/>
        <w:ind w:right="121" w:firstLine="360" w:firstLineChars="150"/>
        <w:jc w:val="both"/>
        <w:rPr>
          <w:rFonts w:ascii="Times New Roman" w:hAnsi="Times New Roman" w:cs="Times New Roman"/>
          <w:lang w:eastAsia="zh-CN"/>
        </w:rPr>
      </w:pPr>
      <w:r>
        <w:rPr>
          <w:rFonts w:ascii="Times New Roman" w:hAnsi="Times New Roman" w:cs="Times New Roman"/>
          <w:lang w:eastAsia="zh-CN"/>
        </w:rPr>
        <w:t>1.技术参选文件主要包含以下：</w:t>
      </w:r>
    </w:p>
    <w:tbl>
      <w:tblPr>
        <w:tblStyle w:val="46"/>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营业执照和开户许可证复印件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7</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相关资质要求证明材料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8</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相关业绩证明材料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9</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839" w:type="dxa"/>
            <w:gridSpan w:val="2"/>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备注:参选单位在投标文件中所附的业绩合同等佐证材料复印件，均需加盖投标人单位公章，否则其业绩不计；且应对申报业绩的真实性和准确性负责，凡弄虚作假的，一经查实，比选人有权取消其中选资格。</w:t>
            </w:r>
          </w:p>
        </w:tc>
      </w:tr>
    </w:tbl>
    <w:p>
      <w:pPr>
        <w:pStyle w:val="20"/>
        <w:spacing w:before="26" w:line="360" w:lineRule="auto"/>
        <w:ind w:firstLine="480" w:firstLineChars="200"/>
        <w:rPr>
          <w:rFonts w:ascii="Times New Roman" w:hAnsi="Times New Roman" w:cs="Times New Roman"/>
          <w:lang w:eastAsia="zh-CN"/>
        </w:rPr>
      </w:pPr>
      <w:r>
        <w:rPr>
          <w:rFonts w:ascii="Times New Roman" w:hAnsi="Times New Roman" w:cs="Times New Roman"/>
          <w:lang w:eastAsia="zh-CN"/>
        </w:rPr>
        <w:t>备注：以上资料文件</w:t>
      </w:r>
      <w:r>
        <w:rPr>
          <w:rFonts w:ascii="Times New Roman" w:hAnsi="Times New Roman" w:cs="Times New Roman"/>
          <w:b/>
          <w:bCs/>
          <w:lang w:eastAsia="zh-CN"/>
        </w:rPr>
        <w:t>胶装</w:t>
      </w:r>
      <w:r>
        <w:rPr>
          <w:rFonts w:ascii="Times New Roman" w:hAnsi="Times New Roman" w:cs="Times New Roman"/>
          <w:lang w:eastAsia="zh-CN"/>
        </w:rPr>
        <w:t>密封并加盖公章。</w:t>
      </w:r>
    </w:p>
    <w:p>
      <w:pPr>
        <w:pStyle w:val="20"/>
        <w:numPr>
          <w:ilvl w:val="0"/>
          <w:numId w:val="7"/>
        </w:numPr>
        <w:spacing w:line="360" w:lineRule="auto"/>
        <w:ind w:right="121" w:firstLine="480" w:firstLineChars="200"/>
        <w:jc w:val="both"/>
        <w:rPr>
          <w:rFonts w:ascii="Times New Roman" w:hAnsi="Times New Roman" w:cs="Times New Roman"/>
          <w:b/>
          <w:bCs/>
          <w:lang w:eastAsia="zh-CN"/>
        </w:rPr>
      </w:pPr>
      <w:r>
        <w:rPr>
          <w:rFonts w:ascii="Times New Roman" w:hAnsi="Times New Roman" w:cs="Times New Roman"/>
          <w:lang w:eastAsia="zh-CN"/>
        </w:rPr>
        <w:t>商务参选文件：</w:t>
      </w:r>
      <w:r>
        <w:rPr>
          <w:rFonts w:ascii="Times New Roman" w:hAnsi="Times New Roman" w:cs="Times New Roman"/>
          <w:b/>
          <w:bCs/>
          <w:lang w:eastAsia="zh-CN"/>
        </w:rPr>
        <w:t>商务报价文件，见附件商务报价函格式，需单独密封提供。</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二、参选书格式内容</w:t>
      </w:r>
    </w:p>
    <w:p>
      <w:pPr>
        <w:pStyle w:val="20"/>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三、参选报价</w:t>
      </w:r>
    </w:p>
    <w:p>
      <w:pPr>
        <w:pStyle w:val="20"/>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四、特别说明</w:t>
      </w:r>
    </w:p>
    <w:p>
      <w:pPr>
        <w:pStyle w:val="20"/>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1. 参选人应承担所有与准备和参加比选有关的费用。不论比选的结果如何，比选机构和比选人均无义务和责任承担这些费用。</w:t>
      </w:r>
    </w:p>
    <w:p>
      <w:pPr>
        <w:pStyle w:val="20"/>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2. 参选收到比选文件后，如有疑问需要澄清，请以书面形式在规定时间内报比选人汇总。</w:t>
      </w:r>
    </w:p>
    <w:p>
      <w:pPr>
        <w:pStyle w:val="20"/>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3. 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ind w:left="312" w:leftChars="30" w:hanging="246" w:hangingChars="112"/>
        <w:jc w:val="both"/>
        <w:rPr>
          <w:rFonts w:ascii="Times New Roman" w:hAnsi="Times New Roman" w:cs="Times New Roman"/>
          <w:lang w:eastAsia="zh-CN"/>
        </w:rPr>
        <w:sectPr>
          <w:pgSz w:w="11910" w:h="16840"/>
          <w:pgMar w:top="1500" w:right="1020" w:bottom="740" w:left="1300" w:header="0" w:footer="551" w:gutter="0"/>
          <w:cols w:space="720" w:num="1"/>
        </w:sectPr>
      </w:pPr>
    </w:p>
    <w:p>
      <w:pPr>
        <w:pStyle w:val="3"/>
        <w:tabs>
          <w:tab w:val="left" w:pos="1488"/>
        </w:tabs>
        <w:spacing w:beforeLines="50" w:afterLines="50" w:line="360" w:lineRule="auto"/>
        <w:ind w:left="365"/>
        <w:jc w:val="center"/>
        <w:rPr>
          <w:rFonts w:ascii="Times New Roman" w:hAnsi="Times New Roman" w:cs="Times New Roman"/>
          <w:sz w:val="32"/>
          <w:szCs w:val="32"/>
          <w:lang w:eastAsia="zh-CN"/>
        </w:rPr>
      </w:pPr>
      <w:r>
        <w:rPr>
          <w:rFonts w:ascii="Times New Roman" w:hAnsi="Times New Roman" w:cs="Times New Roman"/>
          <w:sz w:val="32"/>
          <w:szCs w:val="32"/>
          <w:lang w:eastAsia="zh-CN"/>
        </w:rPr>
        <w:t>第四章</w:t>
      </w:r>
      <w:r>
        <w:rPr>
          <w:rFonts w:ascii="Times New Roman" w:hAnsi="Times New Roman" w:cs="Times New Roman"/>
          <w:sz w:val="32"/>
          <w:szCs w:val="32"/>
          <w:lang w:eastAsia="zh-CN"/>
        </w:rPr>
        <w:tab/>
      </w:r>
      <w:r>
        <w:rPr>
          <w:rFonts w:ascii="Times New Roman" w:hAnsi="Times New Roman" w:cs="Times New Roman"/>
          <w:spacing w:val="-1"/>
          <w:w w:val="95"/>
          <w:sz w:val="32"/>
          <w:szCs w:val="32"/>
          <w:lang w:eastAsia="zh-CN"/>
        </w:rPr>
        <w:t>评比规</w:t>
      </w:r>
      <w:r>
        <w:rPr>
          <w:rFonts w:ascii="Times New Roman" w:hAnsi="Times New Roman" w:cs="Times New Roman"/>
          <w:w w:val="95"/>
          <w:sz w:val="32"/>
          <w:szCs w:val="32"/>
          <w:lang w:eastAsia="zh-CN"/>
        </w:rPr>
        <w:t>则</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一、规则</w:t>
      </w:r>
    </w:p>
    <w:p>
      <w:pPr>
        <w:pStyle w:val="20"/>
        <w:spacing w:beforeLines="50" w:afterLines="50" w:line="360"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1. 比选人在评选时，将优先对技术参选文件进行评选，技术参选文件符合业主要求方可进行下一轮商务报价评选。</w:t>
      </w:r>
    </w:p>
    <w:p>
      <w:pPr>
        <w:pStyle w:val="20"/>
        <w:spacing w:beforeLines="50" w:afterLines="50" w:line="360"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2. 参选人串选、相互勾结故意压低标价以排挤竞争对手的公平竞争的，其参选无效。</w:t>
      </w:r>
    </w:p>
    <w:p>
      <w:pPr>
        <w:pStyle w:val="20"/>
        <w:spacing w:beforeLines="50" w:afterLines="50" w:line="360"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3. 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二、资格审查</w:t>
      </w:r>
    </w:p>
    <w:p>
      <w:pPr>
        <w:pStyle w:val="20"/>
        <w:spacing w:beforeLines="50" w:afterLines="50"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由比选人依法组建的评选委员会将按照第二章比选须知第六点</w:t>
      </w:r>
      <w:r>
        <w:rPr>
          <w:rFonts w:hint="eastAsia" w:ascii="Times New Roman" w:hAnsi="Times New Roman" w:cs="Times New Roman"/>
          <w:lang w:eastAsia="zh-CN"/>
        </w:rPr>
        <w:t>“</w:t>
      </w:r>
      <w:r>
        <w:rPr>
          <w:rFonts w:ascii="Times New Roman" w:hAnsi="Times New Roman" w:cs="Times New Roman"/>
          <w:lang w:eastAsia="zh-CN"/>
        </w:rPr>
        <w:t>参选人资格</w:t>
      </w:r>
      <w:r>
        <w:rPr>
          <w:rFonts w:hint="eastAsia" w:ascii="Times New Roman" w:hAnsi="Times New Roman" w:cs="Times New Roman"/>
          <w:lang w:eastAsia="zh-CN"/>
        </w:rPr>
        <w:t>”</w:t>
      </w:r>
      <w:r>
        <w:rPr>
          <w:rFonts w:ascii="Times New Roman" w:hAnsi="Times New Roman" w:cs="Times New Roman"/>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三、评选办法</w:t>
      </w:r>
    </w:p>
    <w:p>
      <w:pPr>
        <w:pStyle w:val="2"/>
        <w:spacing w:beforeLines="50" w:afterLines="50" w:line="360" w:lineRule="auto"/>
        <w:ind w:left="238" w:leftChars="9" w:hanging="218" w:hangingChars="91"/>
        <w:rPr>
          <w:rFonts w:ascii="Times New Roman" w:hAnsi="Times New Roman"/>
          <w:sz w:val="24"/>
          <w:szCs w:val="24"/>
        </w:rPr>
      </w:pPr>
      <w:r>
        <w:rPr>
          <w:rFonts w:ascii="Times New Roman" w:hAnsi="Times New Roman"/>
          <w:sz w:val="24"/>
          <w:szCs w:val="24"/>
        </w:rPr>
        <w:t>1. 本项目设置最高控制价</w:t>
      </w:r>
      <w:r>
        <w:rPr>
          <w:rFonts w:hint="eastAsia" w:ascii="Times New Roman" w:hAnsi="Times New Roman"/>
          <w:sz w:val="24"/>
          <w:szCs w:val="24"/>
        </w:rPr>
        <w:t>人民币34万</w:t>
      </w:r>
      <w:r>
        <w:rPr>
          <w:rFonts w:ascii="Times New Roman" w:hAnsi="Times New Roman"/>
          <w:sz w:val="24"/>
          <w:szCs w:val="24"/>
        </w:rPr>
        <w:t>元（含税）。</w:t>
      </w:r>
    </w:p>
    <w:p>
      <w:pPr>
        <w:pStyle w:val="2"/>
        <w:spacing w:beforeLines="50" w:afterLines="50" w:line="360" w:lineRule="auto"/>
        <w:ind w:left="238" w:leftChars="9" w:hanging="218" w:hangingChars="91"/>
        <w:rPr>
          <w:rFonts w:ascii="Times New Roman" w:hAnsi="Times New Roman"/>
          <w:sz w:val="24"/>
          <w:szCs w:val="24"/>
        </w:rPr>
      </w:pPr>
      <w:r>
        <w:rPr>
          <w:rFonts w:ascii="Times New Roman" w:hAnsi="Times New Roman"/>
          <w:sz w:val="24"/>
          <w:szCs w:val="24"/>
        </w:rPr>
        <w:t>2. 比选人在评选时，将先对技术参选文件进行评选，技术参选文件符合业主要求方可进行下轮商务报价评选。本项目采用商务报价决标的评标办法，经技术评选合格后选择未税总价最低者作为中选单位。</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四、以下情况作废选处理</w:t>
      </w:r>
    </w:p>
    <w:p>
      <w:pPr>
        <w:pStyle w:val="20"/>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1. 对比选文件提出的实质性要求和条件，参选文件未能在实质上响应的。</w:t>
      </w:r>
    </w:p>
    <w:p>
      <w:pPr>
        <w:pStyle w:val="20"/>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2. 参选文件存在重大偏差的。</w:t>
      </w:r>
    </w:p>
    <w:p>
      <w:pPr>
        <w:pStyle w:val="20"/>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3. 违反规定影响开选评选工作或采取其他方式对比选人施加影响的。</w:t>
      </w:r>
    </w:p>
    <w:p>
      <w:pPr>
        <w:pStyle w:val="20"/>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4. 参选人串标、相互勾结故意压低标价以排挤竞争对手的公平竞争的，其参选无效。</w:t>
      </w:r>
    </w:p>
    <w:p>
      <w:pPr>
        <w:spacing w:beforeLines="50" w:afterLines="50" w:line="360" w:lineRule="auto"/>
        <w:rPr>
          <w:rFonts w:ascii="Times New Roman" w:hAnsi="Times New Roman" w:cs="Times New Roman"/>
          <w:b/>
          <w:w w:val="95"/>
          <w:sz w:val="28"/>
          <w:lang w:eastAsia="zh-CN"/>
        </w:rPr>
      </w:pP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五、评选</w:t>
      </w:r>
    </w:p>
    <w:p>
      <w:pPr>
        <w:pStyle w:val="20"/>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1. 比选人将在参选文件截止日期后另行择日组织比选会，参选人选定工作在比选人有关部门监督下，由比选人依法组建的评选委员会负责。</w:t>
      </w:r>
    </w:p>
    <w:p>
      <w:pPr>
        <w:pStyle w:val="20"/>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2. 在开选时没有启封和读出的参选文件，在评选时将不予考虑。</w:t>
      </w:r>
    </w:p>
    <w:p>
      <w:pPr>
        <w:pStyle w:val="20"/>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3. 比选人将做开选记录。</w:t>
      </w:r>
    </w:p>
    <w:p>
      <w:pPr>
        <w:pStyle w:val="20"/>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4. 业主将根据评选结果与中选人签订合同。</w:t>
      </w:r>
    </w:p>
    <w:p>
      <w:pPr>
        <w:pStyle w:val="20"/>
        <w:spacing w:before="23" w:line="360" w:lineRule="auto"/>
        <w:rPr>
          <w:rFonts w:ascii="Times New Roman" w:hAnsi="Times New Roman" w:cs="Times New Roman"/>
          <w:lang w:eastAsia="zh-CN"/>
        </w:rPr>
        <w:sectPr>
          <w:pgSz w:w="11910" w:h="16840"/>
          <w:pgMar w:top="1500" w:right="1140" w:bottom="740" w:left="1300" w:header="0" w:footer="551" w:gutter="0"/>
          <w:cols w:space="720" w:num="1"/>
        </w:sectPr>
      </w:pPr>
    </w:p>
    <w:p>
      <w:pPr>
        <w:spacing w:before="15" w:line="360" w:lineRule="auto"/>
        <w:ind w:firstLine="3205" w:firstLineChars="1200"/>
        <w:rPr>
          <w:rFonts w:ascii="Times New Roman" w:hAnsi="Times New Roman" w:cs="Times New Roman"/>
          <w:b/>
          <w:w w:val="95"/>
          <w:sz w:val="28"/>
          <w:lang w:eastAsia="zh-CN"/>
        </w:rPr>
      </w:pPr>
      <w:r>
        <w:rPr>
          <w:rFonts w:ascii="Times New Roman" w:hAnsi="Times New Roman" w:cs="Times New Roman"/>
          <w:b/>
          <w:w w:val="95"/>
          <w:sz w:val="28"/>
          <w:lang w:eastAsia="zh-CN"/>
        </w:rPr>
        <w:t>第五章  合同授予</w:t>
      </w:r>
    </w:p>
    <w:p>
      <w:pPr>
        <w:pStyle w:val="20"/>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1. 比选人将把合同授予中选人；在授予前，仍需进行资格审查。</w:t>
      </w:r>
    </w:p>
    <w:p>
      <w:pPr>
        <w:pStyle w:val="20"/>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2. 中选人确定后，比选将通知中选人，并将中选结果公示在比选人集团官网。</w:t>
      </w:r>
    </w:p>
    <w:p>
      <w:pPr>
        <w:pStyle w:val="20"/>
        <w:spacing w:line="360" w:lineRule="auto"/>
        <w:ind w:left="240" w:right="121" w:hanging="240" w:hangingChars="100"/>
        <w:jc w:val="both"/>
        <w:rPr>
          <w:rFonts w:ascii="Times New Roman" w:hAnsi="Times New Roman" w:cs="Times New Roman"/>
          <w:lang w:eastAsia="zh-CN"/>
        </w:rPr>
      </w:pPr>
      <w:r>
        <w:rPr>
          <w:rFonts w:ascii="Times New Roman" w:hAnsi="Times New Roman" w:cs="Times New Roman"/>
          <w:lang w:eastAsia="zh-CN"/>
        </w:rPr>
        <w:t>3. 中选通知对比选人和参选人具有法律效力。</w:t>
      </w:r>
      <w:r>
        <w:rPr>
          <w:rFonts w:ascii="Times New Roman" w:hAnsi="Times New Roman" w:cs="Times New Roman"/>
          <w:b/>
          <w:bCs/>
          <w:lang w:eastAsia="zh-CN"/>
        </w:rPr>
        <w:t>福建福海创石油化工有限公司指定其权属子公司</w:t>
      </w:r>
      <w:r>
        <w:rPr>
          <w:rFonts w:hint="eastAsia" w:ascii="Times New Roman" w:hAnsi="Times New Roman" w:cs="Times New Roman"/>
          <w:b/>
          <w:bCs/>
          <w:lang w:eastAsia="zh-CN"/>
        </w:rPr>
        <w:t>翔鹭石化（漳州）有限公司</w:t>
      </w:r>
      <w:r>
        <w:rPr>
          <w:rFonts w:ascii="Times New Roman" w:hAnsi="Times New Roman" w:cs="Times New Roman"/>
          <w:b/>
          <w:bCs/>
          <w:lang w:eastAsia="zh-CN"/>
        </w:rPr>
        <w:t>作为合同执行主体</w:t>
      </w:r>
      <w:r>
        <w:rPr>
          <w:rFonts w:hint="eastAsia" w:ascii="Times New Roman" w:hAnsi="Times New Roman" w:cs="Times New Roman"/>
          <w:b/>
          <w:bCs/>
          <w:lang w:eastAsia="zh-CN"/>
        </w:rPr>
        <w:t>。</w:t>
      </w:r>
      <w:r>
        <w:rPr>
          <w:rStyle w:val="49"/>
          <w:rFonts w:ascii="Times New Roman" w:hAnsi="Times New Roman" w:cs="Times New Roman"/>
          <w:b w:val="0"/>
          <w:bCs w:val="0"/>
          <w:sz w:val="21"/>
          <w:szCs w:val="22"/>
          <w:lang w:eastAsia="zh-CN"/>
        </w:rPr>
        <w:t>将于</w:t>
      </w:r>
      <w:r>
        <w:rPr>
          <w:rStyle w:val="49"/>
          <w:rFonts w:ascii="Times New Roman" w:hAnsi="Times New Roman" w:cs="Times New Roman"/>
          <w:b w:val="0"/>
          <w:bCs w:val="0"/>
          <w:lang w:eastAsia="zh-CN"/>
        </w:rPr>
        <w:t>中选结果公示流程结束之日起30日内与中选人完成合同签订事宜。</w:t>
      </w:r>
      <w:r>
        <w:rPr>
          <w:rFonts w:ascii="Times New Roman" w:hAnsi="Times New Roman" w:cs="Times New Roman"/>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4. 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5. 比选文件与合同附件作为签订合同的条款，比选文件合同条款中没有规定的内容， 比选人、参选人认为有必要进行补充，可另行商定解决。</w:t>
      </w:r>
    </w:p>
    <w:p>
      <w:pPr>
        <w:pStyle w:val="20"/>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6. 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rFonts w:ascii="Times New Roman" w:hAnsi="Times New Roman" w:cs="Times New Roman"/>
          <w:lang w:eastAsia="zh-CN"/>
        </w:rPr>
        <w:sectPr>
          <w:footerReference r:id="rId4" w:type="default"/>
          <w:pgSz w:w="11910" w:h="16840"/>
          <w:pgMar w:top="1500" w:right="1020" w:bottom="740" w:left="1300" w:header="0" w:footer="551" w:gutter="0"/>
          <w:pgNumType w:start="10"/>
          <w:cols w:space="720" w:num="1"/>
        </w:sectPr>
      </w:pPr>
    </w:p>
    <w:p>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第六章  中选后相关履约要求</w:t>
      </w:r>
    </w:p>
    <w:p>
      <w:pPr>
        <w:pStyle w:val="20"/>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1. 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2. 中选单位必须严格执行技术咨询服务合同（详见附件一）的规定。</w:t>
      </w:r>
    </w:p>
    <w:p>
      <w:pPr>
        <w:pStyle w:val="20"/>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3. 中选单位需遵守比选人的各项管理规章制度。如违反相关条例者则按福建福海创石油化工有限公司相应条款进行处罚。</w:t>
      </w:r>
    </w:p>
    <w:p>
      <w:pPr>
        <w:pStyle w:val="20"/>
        <w:spacing w:before="26" w:line="360" w:lineRule="auto"/>
        <w:ind w:left="118" w:right="106" w:firstLine="480"/>
        <w:jc w:val="both"/>
        <w:rPr>
          <w:rFonts w:ascii="Times New Roman" w:hAnsi="Times New Roman" w:cs="Times New Roman"/>
          <w:lang w:eastAsia="zh-CN"/>
        </w:rPr>
      </w:pPr>
    </w:p>
    <w:p>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pPr>
        <w:pStyle w:val="20"/>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1. 参选人的参选文件无论其是否中选，均不退回。</w:t>
      </w:r>
    </w:p>
    <w:p>
      <w:pPr>
        <w:pStyle w:val="20"/>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2. 比选人郑重承诺：参选人所提交的参选文件及相关资料不向第三方泄露。</w:t>
      </w:r>
    </w:p>
    <w:p>
      <w:pPr>
        <w:pStyle w:val="20"/>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3. 本比选文件的解释权归福建福海创石油化工有限公司。</w:t>
      </w:r>
    </w:p>
    <w:p>
      <w:pPr>
        <w:pStyle w:val="20"/>
        <w:spacing w:line="360" w:lineRule="auto"/>
        <w:ind w:left="215"/>
        <w:rPr>
          <w:rFonts w:ascii="Times New Roman" w:hAnsi="Times New Roman" w:cs="Times New Roman"/>
          <w:lang w:eastAsia="zh-CN"/>
        </w:rPr>
      </w:pPr>
      <w:r>
        <w:rPr>
          <w:rFonts w:ascii="Times New Roman" w:hAnsi="Times New Roman" w:cs="Times New Roman"/>
          <w:lang w:eastAsia="zh-CN"/>
        </w:rPr>
        <w:br w:type="page"/>
      </w:r>
    </w:p>
    <w:p>
      <w:pPr>
        <w:pStyle w:val="20"/>
        <w:spacing w:line="360" w:lineRule="auto"/>
        <w:rPr>
          <w:rFonts w:ascii="Times New Roman" w:hAnsi="Times New Roman" w:cs="Times New Roman"/>
          <w:b/>
          <w:bCs/>
          <w:lang w:eastAsia="zh-CN"/>
        </w:rPr>
      </w:pPr>
      <w:r>
        <w:rPr>
          <w:rFonts w:ascii="Times New Roman" w:hAnsi="Times New Roman" w:cs="Times New Roman"/>
          <w:b/>
          <w:bCs/>
          <w:lang w:eastAsia="zh-CN"/>
        </w:rPr>
        <w:t>附件一、</w:t>
      </w:r>
    </w:p>
    <w:p>
      <w:pPr>
        <w:pStyle w:val="2"/>
        <w:spacing w:line="360" w:lineRule="auto"/>
      </w:pPr>
      <w:bookmarkStart w:id="0" w:name="_Toc251742852"/>
    </w:p>
    <w:p>
      <w:pPr>
        <w:jc w:val="center"/>
        <w:rPr>
          <w:b/>
          <w:sz w:val="36"/>
          <w:szCs w:val="36"/>
          <w:lang w:eastAsia="zh-CN"/>
        </w:rPr>
      </w:pPr>
      <w:r>
        <w:rPr>
          <w:rFonts w:hint="eastAsia"/>
          <w:b/>
          <w:sz w:val="36"/>
          <w:szCs w:val="36"/>
          <w:lang w:eastAsia="zh-CN"/>
        </w:rPr>
        <w:t>航标管理合同</w:t>
      </w:r>
    </w:p>
    <w:p>
      <w:pPr>
        <w:ind w:firstLine="4320" w:firstLineChars="1800"/>
        <w:rPr>
          <w:sz w:val="24"/>
          <w:lang w:eastAsia="zh-CN"/>
        </w:rPr>
      </w:pPr>
      <w:r>
        <w:rPr>
          <w:rFonts w:hint="eastAsia"/>
          <w:sz w:val="24"/>
          <w:lang w:eastAsia="zh-CN"/>
        </w:rPr>
        <w:t xml:space="preserve">合同编号：    </w:t>
      </w:r>
    </w:p>
    <w:p>
      <w:pPr>
        <w:rPr>
          <w:sz w:val="24"/>
          <w:lang w:eastAsia="zh-CN"/>
        </w:rPr>
      </w:pPr>
      <w:r>
        <w:rPr>
          <w:rFonts w:hint="eastAsia"/>
          <w:sz w:val="24"/>
          <w:lang w:eastAsia="zh-CN"/>
        </w:rPr>
        <w:t xml:space="preserve">                                    签订地点：漳浦杜浔</w:t>
      </w:r>
    </w:p>
    <w:p>
      <w:pPr>
        <w:rPr>
          <w:sz w:val="24"/>
          <w:lang w:eastAsia="zh-CN"/>
        </w:rPr>
      </w:pPr>
      <w:r>
        <w:rPr>
          <w:rFonts w:hint="eastAsia"/>
          <w:sz w:val="24"/>
          <w:lang w:eastAsia="zh-CN"/>
        </w:rPr>
        <w:t xml:space="preserve">                                    签订日期：2022年 月  日</w:t>
      </w:r>
    </w:p>
    <w:p>
      <w:pPr>
        <w:spacing w:line="460" w:lineRule="exact"/>
        <w:rPr>
          <w:sz w:val="24"/>
          <w:lang w:eastAsia="zh-CN"/>
        </w:rPr>
      </w:pPr>
      <w:r>
        <w:rPr>
          <w:rFonts w:hint="eastAsia"/>
          <w:sz w:val="24"/>
          <w:lang w:eastAsia="zh-CN"/>
        </w:rPr>
        <w:t>甲方：翔鹭石化（漳州）有限公司</w:t>
      </w:r>
    </w:p>
    <w:p>
      <w:pPr>
        <w:spacing w:line="460" w:lineRule="exact"/>
        <w:ind w:left="179" w:leftChars="1" w:hanging="177" w:hangingChars="74"/>
        <w:rPr>
          <w:sz w:val="24"/>
          <w:lang w:eastAsia="zh-CN"/>
        </w:rPr>
      </w:pPr>
      <w:r>
        <w:rPr>
          <w:rFonts w:hint="eastAsia"/>
          <w:sz w:val="24"/>
          <w:lang w:eastAsia="zh-CN"/>
        </w:rPr>
        <w:t>乙方：</w:t>
      </w:r>
    </w:p>
    <w:p>
      <w:pPr>
        <w:spacing w:line="460" w:lineRule="exact"/>
        <w:ind w:left="-25" w:leftChars="-257" w:hanging="540" w:hangingChars="225"/>
        <w:rPr>
          <w:sz w:val="24"/>
          <w:lang w:eastAsia="zh-CN"/>
        </w:rPr>
      </w:pPr>
      <w:r>
        <w:rPr>
          <w:rFonts w:hint="eastAsia"/>
          <w:sz w:val="24"/>
          <w:lang w:eastAsia="zh-CN"/>
        </w:rPr>
        <w:t xml:space="preserve">         为保障翔鹭石化（漳州）有限公司</w:t>
      </w:r>
      <w:r>
        <w:rPr>
          <w:rFonts w:hint="eastAsia"/>
          <w:color w:val="000000"/>
          <w:sz w:val="24"/>
          <w:lang w:eastAsia="zh-CN"/>
        </w:rPr>
        <w:t>海水冷却系统排水工程</w:t>
      </w:r>
      <w:r>
        <w:rPr>
          <w:rFonts w:hint="eastAsia"/>
          <w:sz w:val="24"/>
          <w:lang w:eastAsia="zh-CN"/>
        </w:rPr>
        <w:t>航标的正常使用及航行于该区域的船舶安全。依据我国《</w:t>
      </w:r>
      <w:r>
        <w:rPr>
          <w:color w:val="111111"/>
          <w:sz w:val="24"/>
          <w:lang w:eastAsia="zh-CN"/>
        </w:rPr>
        <w:t>中华人民共和国民法典</w:t>
      </w:r>
      <w:r>
        <w:rPr>
          <w:rFonts w:hint="eastAsia"/>
          <w:sz w:val="24"/>
          <w:lang w:eastAsia="zh-CN"/>
        </w:rPr>
        <w:t>》及《沿海航标管理办法》等相关法律规定，甲方委托乙方对所设置的三座灯桩进行日常维护保养及管理工作，经双方协商一致，达成如下协议：</w:t>
      </w:r>
    </w:p>
    <w:p>
      <w:pPr>
        <w:spacing w:line="460" w:lineRule="exact"/>
        <w:rPr>
          <w:sz w:val="24"/>
          <w:lang w:eastAsia="zh-CN"/>
        </w:rPr>
      </w:pPr>
      <w:r>
        <w:rPr>
          <w:rFonts w:hint="eastAsia"/>
          <w:sz w:val="24"/>
          <w:lang w:eastAsia="zh-CN"/>
        </w:rPr>
        <w:t>一、维护内容：负责对所置3座灯桩进行维护管理工作（具体内容详见发包方案）。</w:t>
      </w:r>
    </w:p>
    <w:p>
      <w:pPr>
        <w:spacing w:line="460" w:lineRule="exact"/>
        <w:rPr>
          <w:sz w:val="24"/>
          <w:lang w:eastAsia="zh-CN"/>
        </w:rPr>
      </w:pPr>
      <w:r>
        <w:rPr>
          <w:rFonts w:hint="eastAsia"/>
          <w:color w:val="000000"/>
          <w:sz w:val="24"/>
          <w:lang w:eastAsia="zh-CN"/>
        </w:rPr>
        <w:t>二、维护方式：通过海安捷管理系统进行监控。</w:t>
      </w:r>
    </w:p>
    <w:p>
      <w:pPr>
        <w:spacing w:line="460" w:lineRule="exact"/>
        <w:rPr>
          <w:sz w:val="24"/>
        </w:rPr>
      </w:pPr>
      <w:r>
        <w:rPr>
          <w:rFonts w:hint="eastAsia"/>
          <w:sz w:val="24"/>
          <w:lang w:eastAsia="zh-CN"/>
        </w:rPr>
        <w:t>三、维护期限：一年（自合同生效之日起至   年   月   日止，具体以甲乙双方协商确定的实际截止日期为准。）</w:t>
      </w:r>
    </w:p>
    <w:p>
      <w:pPr>
        <w:spacing w:line="460" w:lineRule="exact"/>
        <w:rPr>
          <w:sz w:val="24"/>
          <w:lang w:eastAsia="zh-CN"/>
        </w:rPr>
      </w:pPr>
      <w:r>
        <w:rPr>
          <w:rFonts w:hint="eastAsia"/>
          <w:sz w:val="24"/>
          <w:lang w:eastAsia="zh-CN"/>
        </w:rPr>
        <w:t>四、维护技术及要求</w:t>
      </w:r>
    </w:p>
    <w:p>
      <w:pPr>
        <w:spacing w:line="460" w:lineRule="exact"/>
        <w:ind w:firstLine="480" w:firstLineChars="200"/>
        <w:rPr>
          <w:sz w:val="24"/>
          <w:lang w:eastAsia="zh-CN"/>
        </w:rPr>
      </w:pPr>
      <w:r>
        <w:rPr>
          <w:rFonts w:hint="eastAsia"/>
          <w:sz w:val="24"/>
          <w:lang w:eastAsia="zh-CN"/>
        </w:rPr>
        <w:t>乙方严格按交通部规定的有关航标维护各项标准和维护程序进行管理，确保维护的灯浮达到“标位准确，发光正常，涂色鲜明，结构良好”，发挥其正常的警戒标志航标航效能作用。具体详见发包方案。</w:t>
      </w:r>
    </w:p>
    <w:p>
      <w:pPr>
        <w:spacing w:line="460" w:lineRule="exact"/>
        <w:rPr>
          <w:sz w:val="24"/>
          <w:lang w:eastAsia="zh-CN"/>
        </w:rPr>
      </w:pPr>
      <w:r>
        <w:rPr>
          <w:rFonts w:hint="eastAsia"/>
          <w:sz w:val="24"/>
          <w:lang w:eastAsia="zh-CN"/>
        </w:rPr>
        <w:t>五、维护费用及付款方式</w:t>
      </w:r>
    </w:p>
    <w:p>
      <w:pPr>
        <w:spacing w:line="460" w:lineRule="exact"/>
        <w:ind w:firstLine="480" w:firstLineChars="200"/>
        <w:rPr>
          <w:rFonts w:hint="eastAsia"/>
          <w:sz w:val="24"/>
          <w:lang w:eastAsia="zh-CN"/>
        </w:rPr>
      </w:pPr>
      <w:r>
        <w:rPr>
          <w:rFonts w:hint="eastAsia"/>
          <w:sz w:val="24"/>
          <w:lang w:eastAsia="zh-CN"/>
        </w:rPr>
        <w:t>合同维护到期后，乙方服务质量无问题，甲方收到等额增值税专用发票（</w:t>
      </w:r>
      <w:r>
        <w:rPr>
          <w:rFonts w:hint="eastAsia"/>
          <w:sz w:val="24"/>
          <w:u w:val="single"/>
          <w:lang w:val="en-US" w:eastAsia="zh-CN"/>
        </w:rPr>
        <w:t xml:space="preserve">   </w:t>
      </w:r>
      <w:r>
        <w:rPr>
          <w:rFonts w:hint="eastAsia"/>
          <w:sz w:val="24"/>
          <w:u w:val="single"/>
          <w:lang w:eastAsia="zh-CN"/>
        </w:rPr>
        <w:t>%</w:t>
      </w:r>
      <w:r>
        <w:rPr>
          <w:rFonts w:hint="eastAsia"/>
          <w:sz w:val="24"/>
          <w:lang w:eastAsia="zh-CN"/>
        </w:rPr>
        <w:t>的增值税,如遇国家税费改革，则按照不含税价加上调整后的税率予以调整。）后30个工作日一次性支付100%维护款。合同期满如需续签，双方另行签订维护合同。</w:t>
      </w:r>
    </w:p>
    <w:p>
      <w:pPr>
        <w:spacing w:line="460" w:lineRule="exact"/>
        <w:rPr>
          <w:rFonts w:hint="eastAsia" w:ascii="宋体" w:hAnsi="宋体" w:eastAsia="宋体" w:cs="宋体"/>
          <w:sz w:val="24"/>
          <w:lang w:eastAsia="zh-CN"/>
        </w:rPr>
      </w:pPr>
      <w:r>
        <w:rPr>
          <w:rFonts w:hint="eastAsia" w:ascii="宋体" w:hAnsi="宋体" w:eastAsia="宋体" w:cs="宋体"/>
          <w:sz w:val="24"/>
          <w:lang w:eastAsia="zh-CN"/>
        </w:rPr>
        <w:t>六、 履约保证</w:t>
      </w:r>
    </w:p>
    <w:p>
      <w:pPr>
        <w:spacing w:line="460" w:lineRule="exact"/>
        <w:rPr>
          <w:rFonts w:hint="eastAsia" w:ascii="宋体" w:hAnsi="宋体" w:eastAsia="宋体" w:cs="宋体"/>
          <w:sz w:val="24"/>
          <w:lang w:eastAsia="zh-CN"/>
        </w:rPr>
      </w:pPr>
      <w:r>
        <w:rPr>
          <w:rFonts w:hint="eastAsia" w:ascii="宋体" w:hAnsi="宋体" w:eastAsia="宋体" w:cs="宋体"/>
          <w:sz w:val="24"/>
          <w:lang w:eastAsia="zh-CN"/>
        </w:rPr>
        <w:t>1、合同签订后，乙方的参选保证金RMB</w:t>
      </w:r>
      <w:r>
        <w:rPr>
          <w:rFonts w:hint="eastAsia" w:ascii="宋体" w:hAnsi="宋体" w:eastAsia="宋体" w:cs="宋体"/>
          <w:sz w:val="24"/>
          <w:lang w:val="en-US" w:eastAsia="zh-CN"/>
        </w:rPr>
        <w:t>68</w:t>
      </w:r>
      <w:r>
        <w:rPr>
          <w:rFonts w:hint="eastAsia" w:ascii="宋体" w:hAnsi="宋体" w:eastAsia="宋体" w:cs="宋体"/>
          <w:sz w:val="24"/>
          <w:lang w:eastAsia="zh-CN"/>
        </w:rPr>
        <w:t>00元将直接转为本合同的履约保证金，若乙方违约或发生本合同约定的其他事由的，甲方有权从履约保证金中优先扣除乙方违约金及其他应付款项；由此造成履约保证金不足的，乙方应在5日内补足，逾期每日按照应缴金额的千分之一支付违约金。</w:t>
      </w:r>
    </w:p>
    <w:p>
      <w:pPr>
        <w:spacing w:line="460" w:lineRule="exact"/>
        <w:rPr>
          <w:rFonts w:hint="eastAsia" w:ascii="宋体" w:hAnsi="宋体" w:eastAsia="宋体" w:cs="宋体"/>
          <w:sz w:val="24"/>
          <w:lang w:eastAsia="zh-CN"/>
        </w:rPr>
      </w:pPr>
      <w:r>
        <w:rPr>
          <w:rFonts w:hint="eastAsia" w:ascii="宋体" w:hAnsi="宋体" w:eastAsia="宋体" w:cs="宋体"/>
          <w:sz w:val="24"/>
          <w:lang w:eastAsia="zh-CN"/>
        </w:rPr>
        <w:t>2、该履约保证金在乙方全面履行完毕本合同义务后30天内无息退还。但履约保证金退还后发现任何应由乙方承担责任的行为或事件，乙方仍应承担责任。</w:t>
      </w:r>
    </w:p>
    <w:p>
      <w:pPr>
        <w:pStyle w:val="2"/>
        <w:rPr>
          <w:lang w:eastAsia="zh-CN"/>
        </w:rPr>
      </w:pPr>
    </w:p>
    <w:p>
      <w:pPr>
        <w:spacing w:line="460" w:lineRule="exact"/>
        <w:rPr>
          <w:color w:val="000000"/>
          <w:sz w:val="24"/>
          <w:lang w:eastAsia="zh-CN"/>
        </w:rPr>
      </w:pPr>
      <w:r>
        <w:rPr>
          <w:rFonts w:hint="eastAsia"/>
          <w:color w:val="000000"/>
          <w:sz w:val="24"/>
          <w:lang w:eastAsia="zh-CN"/>
        </w:rPr>
        <w:t>七、双方责任：</w:t>
      </w:r>
    </w:p>
    <w:p>
      <w:pPr>
        <w:spacing w:line="460" w:lineRule="exact"/>
        <w:rPr>
          <w:color w:val="000000"/>
          <w:sz w:val="24"/>
          <w:lang w:eastAsia="zh-CN"/>
        </w:rPr>
      </w:pPr>
      <w:r>
        <w:rPr>
          <w:rFonts w:hint="eastAsia"/>
          <w:color w:val="000000"/>
          <w:sz w:val="24"/>
          <w:lang w:eastAsia="zh-CN"/>
        </w:rPr>
        <w:t>（一）甲方责任：</w:t>
      </w:r>
    </w:p>
    <w:p>
      <w:pPr>
        <w:spacing w:line="460" w:lineRule="exact"/>
        <w:rPr>
          <w:color w:val="000000"/>
          <w:sz w:val="24"/>
          <w:lang w:eastAsia="zh-CN"/>
        </w:rPr>
      </w:pPr>
      <w:r>
        <w:rPr>
          <w:rFonts w:hint="eastAsia"/>
          <w:color w:val="000000"/>
          <w:sz w:val="24"/>
          <w:lang w:eastAsia="zh-CN"/>
        </w:rPr>
        <w:t>1、合同生效前向乙方做好技术交底工作，提供相关资料（设计文本、扫海图、航标设置批复、工程所涉及用地用海审批手续等）。</w:t>
      </w:r>
    </w:p>
    <w:p>
      <w:pPr>
        <w:spacing w:line="460" w:lineRule="exact"/>
        <w:rPr>
          <w:color w:val="000000"/>
          <w:sz w:val="24"/>
          <w:lang w:eastAsia="zh-CN"/>
        </w:rPr>
      </w:pPr>
      <w:r>
        <w:rPr>
          <w:rFonts w:hint="eastAsia"/>
          <w:color w:val="000000"/>
          <w:sz w:val="24"/>
          <w:lang w:eastAsia="zh-CN"/>
        </w:rPr>
        <w:t>2、在合同履约期间应派代表到现场进行质量监督，工程现场验收交工，并做好协调工作，确保乙方进场及维护工程顺利施工。</w:t>
      </w:r>
    </w:p>
    <w:p>
      <w:pPr>
        <w:spacing w:line="460" w:lineRule="exact"/>
        <w:rPr>
          <w:color w:val="000000"/>
          <w:sz w:val="24"/>
          <w:lang w:eastAsia="zh-CN"/>
        </w:rPr>
      </w:pPr>
      <w:r>
        <w:rPr>
          <w:rFonts w:hint="eastAsia"/>
          <w:color w:val="000000"/>
          <w:sz w:val="24"/>
          <w:lang w:eastAsia="zh-CN"/>
        </w:rPr>
        <w:t>3、按合同的要求按时支付维护费用，配合乙方检查乙方所承担的有关助航设施的维护保养工作情况，如发现助航设施工作异常，应及时通知乙方有关部门，并积极配合乙方人员进行抢修工作。</w:t>
      </w:r>
    </w:p>
    <w:p>
      <w:pPr>
        <w:spacing w:line="460" w:lineRule="exact"/>
        <w:rPr>
          <w:color w:val="000000"/>
          <w:sz w:val="24"/>
          <w:lang w:eastAsia="zh-CN"/>
        </w:rPr>
      </w:pPr>
      <w:r>
        <w:rPr>
          <w:rFonts w:hint="eastAsia"/>
          <w:color w:val="000000"/>
          <w:sz w:val="24"/>
          <w:lang w:eastAsia="zh-CN"/>
        </w:rPr>
        <w:t>4、如果灯浮标或灯桩在航标维护期间因不可抗力原因或不明原因（含漂失、沉没、损坏、被盗等）产生损失，导致航标不能修复或可修复但损失严重，甲方承担损失材料费用。</w:t>
      </w:r>
    </w:p>
    <w:p>
      <w:pPr>
        <w:spacing w:line="460" w:lineRule="exact"/>
        <w:rPr>
          <w:color w:val="000000"/>
          <w:sz w:val="24"/>
          <w:lang w:eastAsia="zh-CN"/>
        </w:rPr>
      </w:pPr>
      <w:r>
        <w:rPr>
          <w:rFonts w:hint="eastAsia"/>
          <w:color w:val="000000"/>
          <w:sz w:val="24"/>
          <w:lang w:eastAsia="zh-CN"/>
        </w:rPr>
        <w:t>5、为利于甲方后续核销支付费用并附成果，乙方每年应提供维护方案或计划及管理成果给甲方。</w:t>
      </w:r>
    </w:p>
    <w:p>
      <w:pPr>
        <w:spacing w:line="460" w:lineRule="exact"/>
        <w:rPr>
          <w:color w:val="000000"/>
          <w:sz w:val="24"/>
          <w:lang w:eastAsia="zh-CN"/>
        </w:rPr>
      </w:pPr>
      <w:r>
        <w:rPr>
          <w:rFonts w:hint="eastAsia"/>
          <w:color w:val="000000"/>
          <w:sz w:val="24"/>
          <w:lang w:eastAsia="zh-CN"/>
        </w:rPr>
        <w:t>6、甲方指定</w:t>
      </w:r>
      <w:r>
        <w:rPr>
          <w:rFonts w:hint="eastAsia"/>
          <w:color w:val="000000"/>
          <w:sz w:val="24"/>
          <w:u w:val="single"/>
          <w:lang w:eastAsia="zh-CN"/>
        </w:rPr>
        <w:t xml:space="preserve"> 陈海伟13616007156 </w:t>
      </w:r>
      <w:r>
        <w:rPr>
          <w:rFonts w:hint="eastAsia"/>
          <w:color w:val="000000"/>
          <w:sz w:val="24"/>
          <w:lang w:eastAsia="zh-CN"/>
        </w:rPr>
        <w:t>作为本项目的甲方项目对接人。</w:t>
      </w:r>
    </w:p>
    <w:p>
      <w:pPr>
        <w:spacing w:line="460" w:lineRule="exact"/>
        <w:rPr>
          <w:color w:val="000000"/>
          <w:sz w:val="24"/>
          <w:lang w:eastAsia="zh-CN"/>
        </w:rPr>
      </w:pPr>
      <w:r>
        <w:rPr>
          <w:rFonts w:hint="eastAsia"/>
          <w:color w:val="000000"/>
          <w:sz w:val="24"/>
          <w:lang w:eastAsia="zh-CN"/>
        </w:rPr>
        <w:t>（二）乙方责任：</w:t>
      </w:r>
    </w:p>
    <w:p>
      <w:pPr>
        <w:spacing w:line="460" w:lineRule="exact"/>
        <w:rPr>
          <w:color w:val="000000"/>
          <w:sz w:val="24"/>
          <w:lang w:eastAsia="zh-CN"/>
        </w:rPr>
      </w:pPr>
      <w:r>
        <w:rPr>
          <w:rFonts w:hint="eastAsia"/>
          <w:color w:val="000000"/>
          <w:sz w:val="24"/>
          <w:lang w:eastAsia="zh-CN"/>
        </w:rPr>
        <w:t>1、乙方指定</w:t>
      </w:r>
      <w:r>
        <w:rPr>
          <w:rFonts w:hint="eastAsia"/>
          <w:color w:val="000000"/>
          <w:sz w:val="24"/>
          <w:u w:val="single"/>
          <w:lang w:eastAsia="zh-CN"/>
        </w:rPr>
        <w:t xml:space="preserve">                    </w:t>
      </w:r>
      <w:r>
        <w:rPr>
          <w:rFonts w:hint="eastAsia"/>
          <w:color w:val="000000"/>
          <w:sz w:val="24"/>
          <w:lang w:eastAsia="zh-CN"/>
        </w:rPr>
        <w:t>作为本项目的乙方项目负责人。</w:t>
      </w:r>
    </w:p>
    <w:p>
      <w:pPr>
        <w:spacing w:line="460" w:lineRule="exact"/>
        <w:rPr>
          <w:color w:val="000000"/>
          <w:sz w:val="24"/>
          <w:lang w:eastAsia="zh-CN"/>
        </w:rPr>
      </w:pPr>
      <w:r>
        <w:rPr>
          <w:rFonts w:hint="eastAsia"/>
          <w:color w:val="000000"/>
          <w:sz w:val="24"/>
          <w:lang w:eastAsia="zh-CN"/>
        </w:rPr>
        <w:t>2、严格按交通部规定的有关航标维护各项标准和维护程序进行管理，确保维护的航标达到“标位准确，发光正常，涂色鲜明，结构良好”，发挥其正常的助航功能。</w:t>
      </w:r>
    </w:p>
    <w:p>
      <w:pPr>
        <w:spacing w:line="460" w:lineRule="exact"/>
        <w:rPr>
          <w:color w:val="000000"/>
          <w:sz w:val="24"/>
          <w:lang w:eastAsia="zh-CN"/>
        </w:rPr>
      </w:pPr>
      <w:r>
        <w:rPr>
          <w:rFonts w:hint="eastAsia"/>
          <w:color w:val="000000"/>
          <w:sz w:val="24"/>
          <w:lang w:eastAsia="zh-CN"/>
        </w:rPr>
        <w:t>3、如果灯浮标或灯桩在合同履约期间因不可抗力原因或不明原因（含漂失、沉没、损坏、被盗等）造成损失，导致航标不能修复或可修复但损失严重，乙方承担修复所产生的人工费用及船舶台班费用。</w:t>
      </w:r>
    </w:p>
    <w:p>
      <w:pPr>
        <w:spacing w:line="460" w:lineRule="exact"/>
        <w:rPr>
          <w:color w:val="000000"/>
          <w:sz w:val="24"/>
          <w:lang w:eastAsia="zh-CN"/>
        </w:rPr>
      </w:pPr>
      <w:r>
        <w:rPr>
          <w:rFonts w:hint="eastAsia"/>
          <w:color w:val="000000"/>
          <w:sz w:val="24"/>
          <w:lang w:eastAsia="zh-CN"/>
        </w:rPr>
        <w:t>4、乙方必须按标准积极做好助航设施的维护工作，如因乙方责任造成船舶航行事故，或因乙方维护不力导致其他民事责任、行政责任等，均由乙方承担全部责任。</w:t>
      </w:r>
    </w:p>
    <w:p>
      <w:pPr>
        <w:spacing w:line="460" w:lineRule="exact"/>
        <w:rPr>
          <w:color w:val="000000"/>
          <w:sz w:val="24"/>
          <w:lang w:eastAsia="zh-CN"/>
        </w:rPr>
      </w:pPr>
      <w:r>
        <w:rPr>
          <w:rFonts w:hint="eastAsia"/>
          <w:color w:val="000000"/>
          <w:sz w:val="24"/>
          <w:lang w:eastAsia="zh-CN"/>
        </w:rPr>
        <w:t>5、非乙方责任由第三方造成的意外事故，乙方及时向甲方有关部门报告。为减少损失起见，建议甲方对本合同所述航标购买保险。</w:t>
      </w:r>
    </w:p>
    <w:p>
      <w:pPr>
        <w:spacing w:line="460" w:lineRule="exact"/>
        <w:rPr>
          <w:color w:val="000000"/>
          <w:sz w:val="24"/>
          <w:lang w:eastAsia="zh-CN"/>
        </w:rPr>
      </w:pPr>
      <w:r>
        <w:rPr>
          <w:rFonts w:hint="eastAsia"/>
          <w:color w:val="000000"/>
          <w:sz w:val="24"/>
          <w:lang w:eastAsia="zh-CN"/>
        </w:rPr>
        <w:t>八、安全事项：</w:t>
      </w:r>
    </w:p>
    <w:p>
      <w:pPr>
        <w:spacing w:line="460" w:lineRule="exact"/>
        <w:ind w:firstLine="480" w:firstLineChars="200"/>
        <w:rPr>
          <w:color w:val="000000"/>
          <w:sz w:val="24"/>
          <w:lang w:eastAsia="zh-CN"/>
        </w:rPr>
      </w:pPr>
      <w:r>
        <w:rPr>
          <w:rFonts w:hint="eastAsia"/>
          <w:color w:val="000000"/>
          <w:sz w:val="24"/>
          <w:lang w:eastAsia="zh-CN"/>
        </w:rPr>
        <w:t>乙方应严格遵守海上安全管理规定和施工安全操作规范。合同履约期间如发生安全事故（含施工工人安全事件及船舶航行安全责任事故等所有事故），由乙方自行负责，造成甲方被索赔的，甲方有权向乙方全额追偿。</w:t>
      </w:r>
    </w:p>
    <w:p>
      <w:pPr>
        <w:spacing w:line="460" w:lineRule="exact"/>
        <w:rPr>
          <w:color w:val="000000"/>
          <w:sz w:val="24"/>
          <w:lang w:eastAsia="zh-CN"/>
        </w:rPr>
      </w:pPr>
      <w:r>
        <w:rPr>
          <w:rFonts w:hint="eastAsia"/>
          <w:color w:val="000000"/>
          <w:sz w:val="24"/>
          <w:lang w:eastAsia="zh-CN"/>
        </w:rPr>
        <w:t xml:space="preserve">九、违约责任： </w:t>
      </w:r>
    </w:p>
    <w:p>
      <w:pPr>
        <w:spacing w:line="460" w:lineRule="exact"/>
        <w:rPr>
          <w:color w:val="000000"/>
          <w:sz w:val="24"/>
          <w:lang w:eastAsia="zh-CN"/>
        </w:rPr>
      </w:pPr>
      <w:r>
        <w:rPr>
          <w:rFonts w:hint="eastAsia"/>
          <w:color w:val="000000"/>
          <w:sz w:val="24"/>
          <w:lang w:eastAsia="zh-CN"/>
        </w:rPr>
        <w:t>1、合同双方当事人中的任一方因未履行合同约定或违反国家法律、法规及相关政策规定，受到处罚或给对方造成经济损失的，均由责任方承担责任，并赔偿给对方造成的经济损失，未造成经济损失的，应支付合同结算总价的2%违约金。</w:t>
      </w:r>
    </w:p>
    <w:p>
      <w:pPr>
        <w:spacing w:line="460" w:lineRule="exact"/>
        <w:rPr>
          <w:color w:val="000000"/>
          <w:sz w:val="24"/>
          <w:lang w:eastAsia="zh-CN"/>
        </w:rPr>
      </w:pPr>
      <w:r>
        <w:rPr>
          <w:rFonts w:hint="eastAsia"/>
          <w:color w:val="000000"/>
          <w:sz w:val="24"/>
          <w:lang w:eastAsia="zh-CN"/>
        </w:rPr>
        <w:t>2、因一方原因，造成合同无法履行时，该方应及时通知另一方，办理合同终止手续，并由责任方赔偿对方全部的经济损失；</w:t>
      </w:r>
    </w:p>
    <w:p>
      <w:pPr>
        <w:spacing w:line="460" w:lineRule="exact"/>
        <w:rPr>
          <w:color w:val="000000"/>
          <w:sz w:val="24"/>
          <w:lang w:eastAsia="zh-CN"/>
        </w:rPr>
      </w:pPr>
      <w:r>
        <w:rPr>
          <w:rFonts w:hint="eastAsia"/>
          <w:color w:val="000000"/>
          <w:sz w:val="24"/>
          <w:lang w:eastAsia="zh-CN"/>
        </w:rPr>
        <w:t>3、由于乙方原因，维护质量达不到双方约定的质量标准，乙方自付费用进行限期整改至达到双方约定的质量标准，如限期仍不能达到标准，甲方有权解除合同，另行委托第三方完成，并有权要求乙方承担合同结算总价20%违约金，违约金不足以弥补损失的，有权另行主张。</w:t>
      </w:r>
    </w:p>
    <w:p>
      <w:pPr>
        <w:spacing w:line="460" w:lineRule="exact"/>
        <w:rPr>
          <w:color w:val="000000"/>
          <w:sz w:val="24"/>
          <w:lang w:eastAsia="zh-CN"/>
        </w:rPr>
      </w:pPr>
      <w:r>
        <w:rPr>
          <w:rFonts w:hint="eastAsia"/>
          <w:color w:val="000000"/>
          <w:sz w:val="24"/>
          <w:lang w:eastAsia="zh-CN"/>
        </w:rPr>
        <w:t>十、合同争议的解决方式：</w:t>
      </w:r>
    </w:p>
    <w:p>
      <w:pPr>
        <w:spacing w:line="460" w:lineRule="exact"/>
        <w:rPr>
          <w:color w:val="000000"/>
          <w:sz w:val="24"/>
          <w:lang w:eastAsia="zh-CN"/>
        </w:rPr>
      </w:pPr>
      <w:r>
        <w:rPr>
          <w:rFonts w:hint="eastAsia"/>
          <w:color w:val="000000"/>
          <w:sz w:val="24"/>
          <w:lang w:eastAsia="zh-CN"/>
        </w:rPr>
        <w:t>双方发生争议协商解决不成时，按下列第</w:t>
      </w:r>
      <w:r>
        <w:rPr>
          <w:rFonts w:hint="eastAsia"/>
          <w:color w:val="000000"/>
          <w:sz w:val="24"/>
          <w:u w:val="single"/>
          <w:lang w:eastAsia="zh-CN"/>
        </w:rPr>
        <w:t>2</w:t>
      </w:r>
      <w:r>
        <w:rPr>
          <w:rFonts w:hint="eastAsia"/>
          <w:color w:val="000000"/>
          <w:sz w:val="24"/>
          <w:lang w:eastAsia="zh-CN"/>
        </w:rPr>
        <w:t>种方式解决：</w:t>
      </w:r>
    </w:p>
    <w:p>
      <w:pPr>
        <w:numPr>
          <w:ilvl w:val="0"/>
          <w:numId w:val="8"/>
        </w:numPr>
        <w:tabs>
          <w:tab w:val="left" w:pos="426"/>
          <w:tab w:val="left" w:pos="709"/>
        </w:tabs>
        <w:spacing w:line="460" w:lineRule="exact"/>
        <w:ind w:hanging="840"/>
        <w:rPr>
          <w:color w:val="000000"/>
          <w:sz w:val="24"/>
          <w:lang w:eastAsia="zh-CN"/>
        </w:rPr>
      </w:pPr>
      <w:r>
        <w:rPr>
          <w:rFonts w:hint="eastAsia"/>
          <w:color w:val="000000"/>
          <w:sz w:val="24"/>
          <w:lang w:eastAsia="zh-CN"/>
        </w:rPr>
        <w:t>向合同签订地仲裁委员会申请仲裁；</w:t>
      </w:r>
    </w:p>
    <w:p>
      <w:pPr>
        <w:numPr>
          <w:ilvl w:val="0"/>
          <w:numId w:val="8"/>
        </w:numPr>
        <w:tabs>
          <w:tab w:val="left" w:pos="426"/>
        </w:tabs>
        <w:spacing w:line="460" w:lineRule="exact"/>
        <w:ind w:hanging="840"/>
        <w:rPr>
          <w:color w:val="000000"/>
          <w:sz w:val="24"/>
          <w:lang w:eastAsia="zh-CN"/>
        </w:rPr>
      </w:pPr>
      <w:r>
        <w:rPr>
          <w:rFonts w:hint="eastAsia"/>
          <w:color w:val="000000"/>
          <w:sz w:val="24"/>
          <w:lang w:eastAsia="zh-CN"/>
        </w:rPr>
        <w:t>向甲方所在地人民法院起诉。</w:t>
      </w:r>
    </w:p>
    <w:p>
      <w:pPr>
        <w:spacing w:line="460" w:lineRule="exact"/>
        <w:rPr>
          <w:color w:val="000000"/>
          <w:sz w:val="24"/>
          <w:lang w:eastAsia="zh-CN"/>
        </w:rPr>
      </w:pPr>
      <w:r>
        <w:rPr>
          <w:rFonts w:hint="eastAsia"/>
          <w:color w:val="000000"/>
          <w:sz w:val="24"/>
          <w:lang w:eastAsia="zh-CN"/>
        </w:rPr>
        <w:t>十一、其它：</w:t>
      </w:r>
    </w:p>
    <w:p>
      <w:pPr>
        <w:spacing w:line="460" w:lineRule="exact"/>
        <w:rPr>
          <w:color w:val="000000"/>
          <w:sz w:val="24"/>
          <w:lang w:eastAsia="zh-CN"/>
        </w:rPr>
      </w:pPr>
      <w:r>
        <w:rPr>
          <w:rFonts w:hint="eastAsia"/>
          <w:color w:val="000000"/>
          <w:sz w:val="24"/>
          <w:lang w:eastAsia="zh-CN"/>
        </w:rPr>
        <w:t>1、本合同未尽事宜，由双方另行协商解决。</w:t>
      </w:r>
    </w:p>
    <w:p>
      <w:pPr>
        <w:spacing w:line="460" w:lineRule="exact"/>
        <w:rPr>
          <w:color w:val="000000"/>
          <w:sz w:val="24"/>
          <w:lang w:eastAsia="zh-CN"/>
        </w:rPr>
      </w:pPr>
      <w:r>
        <w:rPr>
          <w:rFonts w:hint="eastAsia"/>
          <w:color w:val="000000"/>
          <w:sz w:val="24"/>
          <w:lang w:eastAsia="zh-CN"/>
        </w:rPr>
        <w:t>2、本合同一式五份，甲方执三份，乙方执二份，具有同等法律效力。</w:t>
      </w:r>
    </w:p>
    <w:p>
      <w:pPr>
        <w:spacing w:line="460" w:lineRule="exact"/>
        <w:rPr>
          <w:color w:val="000000"/>
          <w:sz w:val="24"/>
          <w:lang w:eastAsia="zh-CN"/>
        </w:rPr>
      </w:pPr>
      <w:r>
        <w:rPr>
          <w:rFonts w:hint="eastAsia"/>
          <w:color w:val="000000"/>
          <w:sz w:val="24"/>
          <w:lang w:eastAsia="zh-CN"/>
        </w:rPr>
        <w:t>3、本合同自双方盖章之日起生效，合同项下权利义务履行完毕自然失效。</w:t>
      </w:r>
    </w:p>
    <w:p>
      <w:pPr>
        <w:spacing w:line="500" w:lineRule="exact"/>
        <w:ind w:left="6120" w:right="-376" w:rightChars="-171" w:hanging="6120" w:hangingChars="2550"/>
        <w:rPr>
          <w:sz w:val="24"/>
          <w:lang w:eastAsia="zh-CN"/>
        </w:rPr>
      </w:pPr>
    </w:p>
    <w:p>
      <w:pPr>
        <w:spacing w:line="500" w:lineRule="exact"/>
        <w:ind w:left="6120" w:right="-376" w:rightChars="-171" w:hanging="6120" w:hangingChars="2550"/>
        <w:rPr>
          <w:sz w:val="24"/>
          <w:lang w:eastAsia="zh-CN"/>
        </w:rPr>
      </w:pPr>
    </w:p>
    <w:p>
      <w:pPr>
        <w:spacing w:line="500" w:lineRule="exact"/>
        <w:ind w:left="6120" w:right="-376" w:rightChars="-171" w:hanging="6120" w:hangingChars="2550"/>
        <w:rPr>
          <w:sz w:val="24"/>
          <w:lang w:eastAsia="zh-CN"/>
        </w:rPr>
      </w:pPr>
      <w:r>
        <w:rPr>
          <w:rFonts w:hint="eastAsia"/>
          <w:sz w:val="24"/>
          <w:lang w:eastAsia="zh-CN"/>
        </w:rPr>
        <w:t xml:space="preserve">甲方：翔鹭石化（漳州）有限公司              乙方：（公章）              </w:t>
      </w:r>
    </w:p>
    <w:p>
      <w:pPr>
        <w:spacing w:line="500" w:lineRule="exact"/>
        <w:ind w:right="-376" w:rightChars="-171"/>
        <w:rPr>
          <w:sz w:val="24"/>
          <w:lang w:eastAsia="zh-CN"/>
        </w:rPr>
      </w:pPr>
      <w:r>
        <w:rPr>
          <w:rFonts w:hint="eastAsia"/>
          <w:sz w:val="24"/>
          <w:lang w:eastAsia="zh-CN"/>
        </w:rPr>
        <w:t>法定代表或经办人：                          法定代表或经办人：</w:t>
      </w:r>
    </w:p>
    <w:p>
      <w:pPr>
        <w:spacing w:line="500" w:lineRule="exact"/>
        <w:ind w:right="-376" w:rightChars="-171"/>
        <w:rPr>
          <w:sz w:val="24"/>
          <w:lang w:eastAsia="zh-CN"/>
        </w:rPr>
      </w:pPr>
      <w:r>
        <w:rPr>
          <w:rFonts w:hint="eastAsia"/>
          <w:sz w:val="24"/>
          <w:lang w:eastAsia="zh-CN"/>
        </w:rPr>
        <w:t>联系电话：</w:t>
      </w:r>
      <w:r>
        <w:rPr>
          <w:rFonts w:hint="eastAsia"/>
          <w:sz w:val="24"/>
          <w:lang w:val="en-US" w:eastAsia="zh-CN"/>
        </w:rPr>
        <w:t xml:space="preserve">             </w:t>
      </w:r>
      <w:r>
        <w:rPr>
          <w:rFonts w:hint="eastAsia"/>
          <w:sz w:val="24"/>
          <w:lang w:eastAsia="zh-CN"/>
        </w:rPr>
        <w:t xml:space="preserve">    </w:t>
      </w:r>
      <w:bookmarkStart w:id="1" w:name="_GoBack"/>
      <w:bookmarkEnd w:id="1"/>
      <w:r>
        <w:rPr>
          <w:rFonts w:hint="eastAsia"/>
          <w:sz w:val="24"/>
          <w:lang w:eastAsia="zh-CN"/>
        </w:rPr>
        <w:t xml:space="preserve">                 联系电话：</w:t>
      </w:r>
    </w:p>
    <w:p>
      <w:pPr>
        <w:spacing w:line="500" w:lineRule="exact"/>
        <w:ind w:right="-376" w:rightChars="-171"/>
        <w:rPr>
          <w:sz w:val="24"/>
          <w:lang w:eastAsia="zh-CN"/>
        </w:rPr>
      </w:pPr>
      <w:r>
        <w:rPr>
          <w:rFonts w:hint="eastAsia"/>
          <w:sz w:val="24"/>
          <w:lang w:eastAsia="zh-CN"/>
        </w:rPr>
        <w:t xml:space="preserve">地址：福建省漳州市古雷经济开发区腾龙路86号  地址：                            </w:t>
      </w:r>
    </w:p>
    <w:p>
      <w:pPr>
        <w:spacing w:line="500" w:lineRule="exact"/>
        <w:ind w:left="5160" w:right="-376" w:rightChars="-171" w:hanging="5160" w:hangingChars="2150"/>
        <w:rPr>
          <w:sz w:val="24"/>
          <w:lang w:eastAsia="zh-CN"/>
        </w:rPr>
      </w:pPr>
      <w:r>
        <w:rPr>
          <w:rFonts w:hint="eastAsia"/>
          <w:sz w:val="24"/>
          <w:lang w:eastAsia="zh-CN"/>
        </w:rPr>
        <w:t>开户银行：中国银行漳州分行                  开户银行：</w:t>
      </w:r>
    </w:p>
    <w:p>
      <w:pPr>
        <w:spacing w:line="500" w:lineRule="exact"/>
        <w:ind w:right="-376" w:rightChars="-171"/>
        <w:rPr>
          <w:sz w:val="24"/>
          <w:lang w:eastAsia="zh-CN"/>
        </w:rPr>
      </w:pPr>
      <w:r>
        <w:rPr>
          <w:rFonts w:hint="eastAsia"/>
          <w:sz w:val="24"/>
          <w:lang w:eastAsia="zh-CN"/>
        </w:rPr>
        <w:t>账号：416958369985                          账号：</w:t>
      </w:r>
    </w:p>
    <w:p>
      <w:pPr>
        <w:spacing w:line="500" w:lineRule="exact"/>
        <w:ind w:right="-376" w:rightChars="-171"/>
        <w:rPr>
          <w:sz w:val="24"/>
          <w:lang w:eastAsia="zh-CN"/>
        </w:rPr>
      </w:pPr>
      <w:r>
        <w:rPr>
          <w:rFonts w:hint="eastAsia"/>
          <w:sz w:val="24"/>
          <w:lang w:eastAsia="zh-CN"/>
        </w:rPr>
        <w:t>税号：913506006765392255                    税号：</w:t>
      </w:r>
    </w:p>
    <w:p>
      <w:pPr>
        <w:pStyle w:val="2"/>
        <w:rPr>
          <w:rFonts w:ascii="Times New Roman" w:hAnsi="Times New Roman"/>
          <w:sz w:val="28"/>
          <w:szCs w:val="28"/>
        </w:rPr>
      </w:pPr>
    </w:p>
    <w:p>
      <w:pPr>
        <w:widowControl/>
        <w:autoSpaceDE/>
        <w:autoSpaceDN/>
        <w:spacing w:line="360" w:lineRule="auto"/>
        <w:jc w:val="center"/>
        <w:rPr>
          <w:rFonts w:ascii="Times New Roman" w:hAnsi="Times New Roman" w:cs="Times New Roman"/>
          <w:sz w:val="28"/>
          <w:szCs w:val="28"/>
          <w:lang w:eastAsia="zh-CN"/>
        </w:rPr>
      </w:pPr>
    </w:p>
    <w:p>
      <w:pPr>
        <w:pStyle w:val="2"/>
        <w:rPr>
          <w:rFonts w:ascii="Times New Roman" w:hAnsi="Times New Roman"/>
          <w:sz w:val="28"/>
          <w:szCs w:val="28"/>
        </w:rPr>
      </w:pPr>
    </w:p>
    <w:p>
      <w:pPr>
        <w:pStyle w:val="2"/>
        <w:rPr>
          <w:rFonts w:ascii="Times New Roman" w:hAnsi="Times New Roman"/>
          <w:sz w:val="28"/>
          <w:szCs w:val="28"/>
        </w:rPr>
      </w:pPr>
    </w:p>
    <w:p>
      <w:pPr>
        <w:pStyle w:val="2"/>
        <w:rPr>
          <w:rFonts w:ascii="Times New Roman" w:hAnsi="Times New Roman"/>
          <w:sz w:val="28"/>
          <w:szCs w:val="28"/>
        </w:rPr>
      </w:pPr>
    </w:p>
    <w:p>
      <w:pPr>
        <w:widowControl/>
        <w:autoSpaceDE/>
        <w:autoSpaceDN/>
        <w:spacing w:line="360" w:lineRule="auto"/>
        <w:jc w:val="center"/>
        <w:rPr>
          <w:rFonts w:ascii="Times New Roman" w:hAnsi="Times New Roman" w:cs="Times New Roman"/>
          <w:sz w:val="28"/>
          <w:szCs w:val="28"/>
          <w:lang w:eastAsia="zh-CN"/>
        </w:rPr>
      </w:pPr>
      <w:r>
        <w:rPr>
          <w:rFonts w:ascii="Times New Roman" w:hAnsi="Times New Roman" w:cs="Times New Roman"/>
          <w:sz w:val="28"/>
          <w:szCs w:val="28"/>
          <w:lang w:eastAsia="zh-CN"/>
        </w:rPr>
        <w:t>附件1、安全环保协议书</w:t>
      </w:r>
    </w:p>
    <w:p>
      <w:pPr>
        <w:spacing w:line="360" w:lineRule="auto"/>
        <w:rPr>
          <w:rFonts w:ascii="Times New Roman" w:hAnsi="Times New Roman" w:cs="Times New Roman"/>
          <w:sz w:val="24"/>
          <w:szCs w:val="24"/>
          <w:lang w:eastAsia="zh-CN"/>
        </w:rPr>
      </w:pP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甲方（委托方）：</w:t>
      </w:r>
      <w:r>
        <w:rPr>
          <w:rFonts w:hint="eastAsia"/>
          <w:sz w:val="24"/>
          <w:lang w:eastAsia="zh-CN"/>
        </w:rPr>
        <w:t>翔鹭石化（漳州）有限公司</w:t>
      </w:r>
      <w:r>
        <w:rPr>
          <w:rFonts w:ascii="Times New Roman" w:hAnsi="Times New Roman" w:cs="Times New Roman"/>
          <w:sz w:val="24"/>
          <w:szCs w:val="24"/>
          <w:lang w:eastAsia="zh-CN"/>
        </w:rPr>
        <w:t xml:space="preserve">                 </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乙方（受托方）：</w:t>
      </w:r>
    </w:p>
    <w:p>
      <w:pPr>
        <w:spacing w:line="420" w:lineRule="exact"/>
        <w:ind w:firstLine="120" w:firstLineChars="5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甲乙双方就 </w:t>
      </w:r>
      <w:r>
        <w:rPr>
          <w:rFonts w:hint="eastAsia" w:ascii="Times New Roman" w:hAnsi="Times New Roman" w:cs="Times New Roman"/>
          <w:sz w:val="24"/>
          <w:szCs w:val="24"/>
          <w:u w:val="single"/>
          <w:lang w:eastAsia="zh-CN"/>
        </w:rPr>
        <w:t>翔鹭石化（漳州）有限公司海水冷却系统排水工程航标维护工程</w:t>
      </w:r>
      <w:r>
        <w:rPr>
          <w:rFonts w:hint="eastAsia" w:ascii="Times New Roman" w:hAnsi="Times New Roman" w:cs="Times New Roman"/>
          <w:sz w:val="24"/>
          <w:szCs w:val="24"/>
          <w:lang w:eastAsia="zh-CN"/>
        </w:rPr>
        <w:t>/项目签订了技术服务合同，</w:t>
      </w:r>
      <w:r>
        <w:rPr>
          <w:rFonts w:ascii="Times New Roman" w:hAnsi="Times New Roman" w:cs="Times New Roman"/>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numPr>
          <w:ilvl w:val="0"/>
          <w:numId w:val="9"/>
        </w:num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甲方的权利和义务：</w:t>
      </w:r>
    </w:p>
    <w:p>
      <w:pPr>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1、 甲方有权对乙方的资质进行审查，确认其符合且具备进厂条件，方可进厂施工。</w:t>
      </w:r>
    </w:p>
    <w:p>
      <w:pPr>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2、 甲方有权要求乙方维护好甲方相关的安全环保设施、设备和器材。</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5、 甲方有权对乙方不服从管理和严重违章者，驱除施工现场。</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6、 甲方负责对乙方进行厂级和部门级安全培训教育和考核，考核合格方可办理入厂手续。</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7、 甲方负责各装置的工艺处理、退料、置换、吹扫及盲板隔离工作，为本项目提供安全的施工条件。</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8、 甲方应乙方要求，向乙方提供与乙方作业相关的甲方有毒有害、易燃易爆物品的数据。</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9、 甲方在开工前必须对乙方进行全面的安全技术及文明施工交底。</w:t>
      </w:r>
    </w:p>
    <w:p>
      <w:pPr>
        <w:spacing w:line="360" w:lineRule="auto"/>
        <w:ind w:left="378" w:hanging="378" w:hangingChars="157"/>
        <w:rPr>
          <w:rFonts w:ascii="Times New Roman" w:hAnsi="Times New Roman" w:cs="Times New Roman"/>
          <w:b/>
          <w:sz w:val="24"/>
          <w:szCs w:val="24"/>
          <w:lang w:eastAsia="zh-CN"/>
        </w:rPr>
      </w:pPr>
      <w:r>
        <w:rPr>
          <w:rFonts w:ascii="Times New Roman" w:hAnsi="Times New Roman" w:cs="Times New Roman"/>
          <w:b/>
          <w:sz w:val="24"/>
          <w:szCs w:val="24"/>
          <w:lang w:eastAsia="zh-CN"/>
        </w:rPr>
        <w:t>二、乙方的权利和义务：</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 乙方有权对甲方安全管理工作提出合理化建议或改进措施。</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 xml:space="preserve">3、 乙方对甲方管理人员违章指挥、强令冒险作业、有权拒绝执行。对打击和报复行为有权向上级和有关部门汇报。 </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4、乙方对危及生命安全和身体健康的施工作业条件和环境，有权提出整改建议或拒绝施工作业。</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5、乙方施工过程中在发生严重危及作业人员生命安全的不可抗拒紧急情况时，有权采取必要的避险措施，并立即向管理部门报告。</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6、乙方有权要求甲方提供相关的安全资料。</w:t>
      </w:r>
    </w:p>
    <w:p>
      <w:pPr>
        <w:spacing w:line="360" w:lineRule="auto"/>
        <w:ind w:left="332" w:leftChars="-9" w:hanging="352" w:hangingChars="147"/>
        <w:rPr>
          <w:rFonts w:ascii="Times New Roman" w:hAnsi="Times New Roman" w:cs="Times New Roman"/>
          <w:b/>
          <w:sz w:val="24"/>
          <w:szCs w:val="24"/>
          <w:lang w:eastAsia="zh-CN"/>
        </w:rPr>
      </w:pPr>
      <w:r>
        <w:rPr>
          <w:rFonts w:ascii="Times New Roman" w:hAnsi="Times New Roman" w:cs="Times New Roman"/>
          <w:sz w:val="24"/>
          <w:szCs w:val="24"/>
          <w:lang w:eastAsia="zh-CN"/>
        </w:rPr>
        <w:t>7、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 xml:space="preserve">11、乙方应按《中华人民共和国劳动法》等法律、法规、规定用工，严禁使用未成年工和有职业禁忌的人员进行施工作业。 </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17、</w:t>
      </w:r>
      <w:r>
        <w:rPr>
          <w:rFonts w:ascii="Times New Roman" w:hAnsi="Times New Roman" w:cs="Times New Roman"/>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332" w:leftChars="-9" w:hanging="352" w:hangingChars="147"/>
        <w:rPr>
          <w:rFonts w:ascii="Times New Roman" w:hAnsi="Times New Roman" w:cs="Times New Roman"/>
          <w:bCs/>
          <w:sz w:val="24"/>
          <w:szCs w:val="24"/>
          <w:lang w:eastAsia="zh-CN"/>
        </w:rPr>
      </w:pPr>
      <w:r>
        <w:rPr>
          <w:rFonts w:ascii="Times New Roman" w:hAnsi="Times New Roman" w:cs="Times New Roman"/>
          <w:bCs/>
          <w:sz w:val="24"/>
          <w:szCs w:val="24"/>
          <w:lang w:eastAsia="zh-CN"/>
        </w:rPr>
        <w:t>18、</w:t>
      </w:r>
      <w:r>
        <w:rPr>
          <w:rFonts w:ascii="Times New Roman" w:hAnsi="Times New Roman" w:cs="Times New Roman"/>
          <w:sz w:val="24"/>
          <w:szCs w:val="24"/>
          <w:lang w:eastAsia="zh-CN"/>
        </w:rPr>
        <w:t>乙方</w:t>
      </w:r>
      <w:r>
        <w:rPr>
          <w:rFonts w:ascii="Times New Roman" w:hAnsi="Times New Roman" w:cs="Times New Roman"/>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4"/>
          <w:szCs w:val="24"/>
          <w:lang w:eastAsia="zh-CN"/>
        </w:rPr>
        <w:t>GB 2894-2008）</w:t>
      </w:r>
      <w:r>
        <w:rPr>
          <w:rFonts w:ascii="Times New Roman" w:hAnsi="Times New Roman" w:cs="Times New Roman"/>
          <w:bCs/>
          <w:sz w:val="24"/>
          <w:szCs w:val="24"/>
          <w:lang w:eastAsia="zh-CN"/>
        </w:rPr>
        <w:t>的规定。</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bCs/>
          <w:sz w:val="24"/>
          <w:szCs w:val="24"/>
          <w:lang w:eastAsia="zh-CN"/>
        </w:rPr>
        <w:t>19、</w:t>
      </w:r>
      <w:r>
        <w:rPr>
          <w:rFonts w:ascii="Times New Roman" w:hAnsi="Times New Roman" w:cs="Times New Roman"/>
          <w:sz w:val="24"/>
          <w:szCs w:val="24"/>
          <w:lang w:eastAsia="zh-CN"/>
        </w:rPr>
        <w:t>乙方</w:t>
      </w:r>
      <w:r>
        <w:rPr>
          <w:rFonts w:ascii="Times New Roman" w:hAnsi="Times New Roman" w:cs="Times New Roman"/>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20、乙方施工产生的</w:t>
      </w:r>
      <w:r>
        <w:rPr>
          <w:rFonts w:ascii="Times New Roman" w:hAnsi="Times New Roman" w:cs="Times New Roman"/>
          <w:bCs/>
          <w:sz w:val="24"/>
          <w:szCs w:val="24"/>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22、</w:t>
      </w:r>
      <w:r>
        <w:rPr>
          <w:rFonts w:ascii="Times New Roman" w:hAnsi="Times New Roman" w:cs="Times New Roman"/>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三、违约责任及处理</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1、乙方不得转包、违法分包及挂靠等违法行为；未经福海创许可，不得将工程分包。</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2、发生安全事故时，甲乙双方均有抢险、救灾的义务，所发生的费用由责任方承担。</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4、甲方违约造成的事故，甲方承担全部责任，并按规定追究有关人员责任及上报。</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四、 不可抗力：</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由于不可抗力造成合同项目施工作业事故及产生的损失，甲乙双方各自承担相应的损失。</w:t>
      </w:r>
    </w:p>
    <w:p>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五、本协议书经双方盖章后生效。</w:t>
      </w:r>
    </w:p>
    <w:p>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六、协议期限：</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本协议期限应与主合同期限一致。如果主合同因故需要变更期限，本合同应与主同变更至相同期限。</w:t>
      </w:r>
    </w:p>
    <w:p>
      <w:pPr>
        <w:pStyle w:val="2"/>
      </w:pPr>
    </w:p>
    <w:p>
      <w:pPr>
        <w:spacing w:line="360" w:lineRule="auto"/>
        <w:ind w:firstLine="723" w:firstLineChars="300"/>
        <w:rPr>
          <w:rFonts w:ascii="Times New Roman" w:hAnsi="Times New Roman" w:cs="Times New Roman"/>
          <w:sz w:val="24"/>
          <w:szCs w:val="24"/>
          <w:lang w:eastAsia="zh-CN"/>
        </w:rPr>
      </w:pPr>
      <w:r>
        <w:rPr>
          <w:rFonts w:ascii="Times New Roman" w:hAnsi="Times New Roman" w:cs="Times New Roman"/>
          <w:b/>
          <w:bCs/>
          <w:sz w:val="24"/>
          <w:szCs w:val="24"/>
          <w:lang w:eastAsia="zh-CN"/>
        </w:rPr>
        <w:t>以下无正文，为合同盖章页。</w:t>
      </w:r>
    </w:p>
    <w:p>
      <w:pPr>
        <w:spacing w:line="360" w:lineRule="auto"/>
        <w:rPr>
          <w:rFonts w:ascii="Times New Roman" w:hAnsi="Times New Roman" w:cs="Times New Roman"/>
          <w:sz w:val="24"/>
          <w:szCs w:val="24"/>
          <w:lang w:eastAsia="zh-CN"/>
        </w:rPr>
      </w:pPr>
    </w:p>
    <w:p>
      <w:pPr>
        <w:pStyle w:val="2"/>
      </w:pP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甲  方:</w:t>
      </w:r>
      <w:r>
        <w:rPr>
          <w:rFonts w:hint="eastAsia" w:ascii="Times New Roman" w:hAnsi="Times New Roman" w:cs="Times New Roman"/>
          <w:sz w:val="24"/>
          <w:szCs w:val="24"/>
          <w:lang w:eastAsia="zh-CN"/>
        </w:rPr>
        <w:t xml:space="preserve"> </w:t>
      </w:r>
      <w:r>
        <w:rPr>
          <w:rFonts w:hint="eastAsia"/>
          <w:sz w:val="24"/>
          <w:lang w:eastAsia="zh-CN"/>
        </w:rPr>
        <w:t>翔鹭石化（漳州）有限公司</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乙方：</w:t>
      </w:r>
    </w:p>
    <w:p>
      <w:pPr>
        <w:spacing w:line="500" w:lineRule="exact"/>
        <w:ind w:left="5160" w:right="-376" w:rightChars="-171" w:hanging="5160" w:hangingChars="2150"/>
        <w:rPr>
          <w:sz w:val="24"/>
          <w:lang w:eastAsia="zh-CN"/>
        </w:rPr>
      </w:pPr>
      <w:r>
        <w:rPr>
          <w:rFonts w:hint="eastAsia"/>
          <w:sz w:val="24"/>
          <w:lang w:eastAsia="zh-CN"/>
        </w:rPr>
        <w:t>开户银行：中国银行漳州分行                  开户银行：</w:t>
      </w:r>
    </w:p>
    <w:p>
      <w:pPr>
        <w:spacing w:line="500" w:lineRule="exact"/>
        <w:ind w:right="-376" w:rightChars="-171"/>
        <w:rPr>
          <w:sz w:val="24"/>
          <w:lang w:eastAsia="zh-CN"/>
        </w:rPr>
      </w:pPr>
      <w:r>
        <w:rPr>
          <w:rFonts w:hint="eastAsia"/>
          <w:sz w:val="24"/>
          <w:lang w:eastAsia="zh-CN"/>
        </w:rPr>
        <w:t>账号：416958369985                          账号：</w:t>
      </w:r>
    </w:p>
    <w:p>
      <w:pPr>
        <w:spacing w:line="500" w:lineRule="exact"/>
        <w:ind w:right="-376" w:rightChars="-171"/>
        <w:rPr>
          <w:sz w:val="24"/>
          <w:lang w:eastAsia="zh-CN"/>
        </w:rPr>
      </w:pPr>
      <w:r>
        <w:rPr>
          <w:rFonts w:hint="eastAsia"/>
          <w:sz w:val="24"/>
          <w:lang w:eastAsia="zh-CN"/>
        </w:rPr>
        <w:t>税号：913506006765392255                    税号：</w:t>
      </w:r>
    </w:p>
    <w:p>
      <w:pPr>
        <w:pStyle w:val="2"/>
        <w:rPr>
          <w:rFonts w:hAnsi="宋体"/>
          <w:sz w:val="24"/>
        </w:rPr>
      </w:pPr>
    </w:p>
    <w:p>
      <w:pPr>
        <w:pStyle w:val="2"/>
        <w:rPr>
          <w:rFonts w:hAnsi="宋体"/>
          <w:sz w:val="24"/>
        </w:rPr>
      </w:pPr>
    </w:p>
    <w:p>
      <w:pPr>
        <w:widowControl/>
        <w:spacing w:line="360" w:lineRule="auto"/>
        <w:ind w:left="260" w:leftChars="118"/>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pPr>
        <w:pStyle w:val="2"/>
        <w:spacing w:line="360" w:lineRule="auto"/>
        <w:rPr>
          <w:rFonts w:ascii="Times New Roman" w:hAnsi="Times New Roman"/>
          <w:b/>
          <w:bCs/>
          <w:sz w:val="24"/>
          <w:szCs w:val="24"/>
        </w:rPr>
      </w:pPr>
    </w:p>
    <w:p>
      <w:pPr>
        <w:pStyle w:val="2"/>
        <w:spacing w:line="360" w:lineRule="auto"/>
        <w:rPr>
          <w:rFonts w:ascii="Times New Roman" w:hAnsi="Times New Roman"/>
          <w:b/>
          <w:bCs/>
          <w:sz w:val="24"/>
          <w:szCs w:val="24"/>
        </w:rPr>
      </w:pPr>
      <w:r>
        <w:rPr>
          <w:rFonts w:ascii="Times New Roman" w:hAnsi="Times New Roman"/>
          <w:b/>
          <w:bCs/>
          <w:sz w:val="24"/>
          <w:szCs w:val="24"/>
        </w:rPr>
        <w:t>附件二、参选文件范本</w:t>
      </w:r>
    </w:p>
    <w:p>
      <w:pPr>
        <w:pStyle w:val="25"/>
        <w:spacing w:line="360" w:lineRule="auto"/>
        <w:jc w:val="center"/>
        <w:rPr>
          <w:rFonts w:ascii="Times New Roman" w:hAnsi="Times New Roman" w:cs="Times New Roman"/>
          <w:b/>
          <w:sz w:val="52"/>
          <w:szCs w:val="52"/>
          <w:lang w:eastAsia="zh-CN"/>
        </w:rPr>
      </w:pPr>
    </w:p>
    <w:p>
      <w:pPr>
        <w:pStyle w:val="25"/>
        <w:spacing w:line="360" w:lineRule="auto"/>
        <w:jc w:val="center"/>
        <w:rPr>
          <w:rFonts w:ascii="Times New Roman" w:hAnsi="Times New Roman" w:cs="Times New Roman"/>
          <w:b/>
          <w:sz w:val="44"/>
          <w:szCs w:val="44"/>
          <w:lang w:eastAsia="zh-CN"/>
        </w:rPr>
      </w:pPr>
    </w:p>
    <w:p>
      <w:pPr>
        <w:pStyle w:val="25"/>
        <w:spacing w:line="360" w:lineRule="auto"/>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25"/>
        <w:spacing w:line="360" w:lineRule="auto"/>
        <w:jc w:val="center"/>
        <w:rPr>
          <w:rFonts w:ascii="Times New Roman" w:hAnsi="Times New Roman" w:cs="Times New Roman"/>
          <w:b/>
          <w:sz w:val="44"/>
          <w:szCs w:val="44"/>
          <w:lang w:eastAsia="zh-CN"/>
        </w:rPr>
      </w:pPr>
    </w:p>
    <w:p>
      <w:pPr>
        <w:pStyle w:val="25"/>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 xml:space="preserve"> PTA海水冷却系统排水工程航标维护项目</w:t>
      </w: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spacing w:line="360" w:lineRule="auto"/>
        <w:rPr>
          <w:rFonts w:ascii="Times New Roman" w:hAnsi="Times New Roman"/>
        </w:rPr>
      </w:pPr>
    </w:p>
    <w:p>
      <w:pPr>
        <w:pStyle w:val="25"/>
        <w:spacing w:line="360" w:lineRule="auto"/>
        <w:rPr>
          <w:rFonts w:ascii="Times New Roman" w:hAnsi="Times New Roman" w:cs="Times New Roman"/>
          <w:lang w:eastAsia="zh-CN"/>
        </w:rPr>
      </w:pPr>
    </w:p>
    <w:p>
      <w:pPr>
        <w:pStyle w:val="25"/>
        <w:spacing w:line="360" w:lineRule="auto"/>
        <w:rPr>
          <w:rFonts w:ascii="Times New Roman" w:hAnsi="Times New Roman" w:cs="Times New Roman"/>
          <w:lang w:eastAsia="zh-CN"/>
        </w:rPr>
      </w:pPr>
    </w:p>
    <w:p>
      <w:pPr>
        <w:pStyle w:val="25"/>
        <w:spacing w:line="360" w:lineRule="auto"/>
        <w:rPr>
          <w:rFonts w:ascii="Times New Roman" w:hAnsi="Times New Roman" w:cs="Times New Roman"/>
          <w:lang w:eastAsia="zh-CN"/>
        </w:rPr>
      </w:pPr>
    </w:p>
    <w:p>
      <w:pPr>
        <w:pStyle w:val="25"/>
        <w:spacing w:line="360" w:lineRule="auto"/>
        <w:rPr>
          <w:rFonts w:ascii="Times New Roman" w:hAnsi="Times New Roman" w:cs="Times New Roman"/>
          <w:lang w:eastAsia="zh-CN"/>
        </w:rPr>
      </w:pPr>
    </w:p>
    <w:p>
      <w:pPr>
        <w:pStyle w:val="25"/>
        <w:spacing w:line="360" w:lineRule="auto"/>
        <w:rPr>
          <w:rFonts w:ascii="Times New Roman" w:hAnsi="Times New Roman" w:cs="Times New Roman"/>
          <w:lang w:eastAsia="zh-CN"/>
        </w:rPr>
      </w:pPr>
    </w:p>
    <w:p>
      <w:pPr>
        <w:pStyle w:val="25"/>
        <w:spacing w:line="360" w:lineRule="auto"/>
        <w:rPr>
          <w:rFonts w:ascii="Times New Roman" w:hAnsi="Times New Roman" w:cs="Times New Roman"/>
          <w:b/>
          <w:bCs/>
          <w:sz w:val="32"/>
          <w:szCs w:val="32"/>
          <w:lang w:eastAsia="zh-CN"/>
        </w:rPr>
      </w:pPr>
    </w:p>
    <w:p>
      <w:pPr>
        <w:pStyle w:val="25"/>
        <w:spacing w:line="360" w:lineRule="auto"/>
        <w:rPr>
          <w:rFonts w:ascii="Times New Roman" w:hAnsi="Times New Roman" w:cs="Times New Roman"/>
          <w:b/>
          <w:bCs/>
          <w:sz w:val="32"/>
          <w:szCs w:val="32"/>
          <w:lang w:eastAsia="zh-CN"/>
        </w:rPr>
      </w:pPr>
    </w:p>
    <w:p>
      <w:pPr>
        <w:pStyle w:val="25"/>
        <w:spacing w:line="360" w:lineRule="auto"/>
        <w:rPr>
          <w:rFonts w:ascii="Times New Roman" w:hAnsi="Times New Roman" w:cs="Times New Roman"/>
          <w:b/>
          <w:bCs/>
          <w:sz w:val="32"/>
          <w:szCs w:val="36"/>
          <w:lang w:eastAsia="zh-CN"/>
        </w:rPr>
      </w:pPr>
    </w:p>
    <w:p>
      <w:pPr>
        <w:pStyle w:val="25"/>
        <w:spacing w:line="360" w:lineRule="auto"/>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sz w:val="32"/>
          <w:szCs w:val="32"/>
          <w:lang w:eastAsia="zh-CN"/>
        </w:rPr>
        <w:t xml:space="preserve"> </w:t>
      </w:r>
      <w:r>
        <w:rPr>
          <w:rFonts w:ascii="Times New Roman" w:hAnsi="Times New Roman" w:cs="Times New Roman"/>
          <w:b/>
          <w:bCs/>
          <w:i/>
          <w:iCs/>
          <w:sz w:val="32"/>
          <w:szCs w:val="32"/>
          <w:u w:val="single"/>
          <w:lang w:eastAsia="zh-CN"/>
        </w:rPr>
        <w:t>（打印时请取消下划线）</w:t>
      </w:r>
      <w:r>
        <w:rPr>
          <w:rFonts w:ascii="Times New Roman" w:hAnsi="Times New Roman" w:cs="Times New Roman"/>
          <w:b/>
          <w:bCs/>
          <w:sz w:val="32"/>
          <w:szCs w:val="32"/>
          <w:lang w:eastAsia="zh-CN"/>
        </w:rPr>
        <w:t>有限公司</w:t>
      </w:r>
    </w:p>
    <w:p>
      <w:pPr>
        <w:pStyle w:val="25"/>
        <w:spacing w:line="360" w:lineRule="auto"/>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2022年</w:t>
      </w:r>
      <w:r>
        <w:rPr>
          <w:rFonts w:hint="eastAsia" w:ascii="Times New Roman" w:hAnsi="Times New Roman" w:cs="Times New Roman"/>
          <w:b/>
          <w:bCs/>
          <w:w w:val="95"/>
          <w:sz w:val="32"/>
          <w:lang w:eastAsia="zh-CN"/>
        </w:rPr>
        <w:t>9</w:t>
      </w:r>
      <w:r>
        <w:rPr>
          <w:rFonts w:ascii="Times New Roman" w:hAnsi="Times New Roman" w:cs="Times New Roman"/>
          <w:b/>
          <w:bCs/>
          <w:w w:val="95"/>
          <w:sz w:val="32"/>
          <w:lang w:eastAsia="zh-CN"/>
        </w:rPr>
        <w:t>月</w:t>
      </w:r>
    </w:p>
    <w:p>
      <w:pPr>
        <w:spacing w:line="360" w:lineRule="auto"/>
        <w:rPr>
          <w:rFonts w:ascii="Times New Roman" w:hAnsi="Times New Roman" w:cs="Times New Roman"/>
          <w:lang w:eastAsia="zh-CN"/>
        </w:rPr>
      </w:pPr>
    </w:p>
    <w:p>
      <w:pPr>
        <w:pStyle w:val="2"/>
        <w:spacing w:line="360" w:lineRule="auto"/>
        <w:rPr>
          <w:rFonts w:ascii="Times New Roman" w:hAnsi="Times New Roman"/>
        </w:rPr>
      </w:pPr>
    </w:p>
    <w:p>
      <w:pPr>
        <w:pStyle w:val="2"/>
        <w:spacing w:line="360" w:lineRule="auto"/>
        <w:rPr>
          <w:rFonts w:ascii="Times New Roman" w:hAnsi="Times New Roman"/>
        </w:rPr>
      </w:pPr>
    </w:p>
    <w:p>
      <w:pPr>
        <w:pStyle w:val="2"/>
        <w:spacing w:line="360" w:lineRule="auto"/>
        <w:rPr>
          <w:rFonts w:ascii="Times New Roman" w:hAnsi="Times New Roman"/>
        </w:rPr>
      </w:pPr>
    </w:p>
    <w:p>
      <w:pPr>
        <w:spacing w:line="360" w:lineRule="auto"/>
        <w:jc w:val="center"/>
        <w:rPr>
          <w:rFonts w:ascii="Times New Roman" w:hAnsi="Times New Roman" w:cs="Times New Roman"/>
          <w:b/>
          <w:i/>
          <w:iCs/>
          <w:sz w:val="44"/>
          <w:szCs w:val="44"/>
          <w:lang w:eastAsia="zh-CN"/>
        </w:rPr>
      </w:pPr>
      <w:r>
        <w:rPr>
          <w:rFonts w:ascii="Times New Roman" w:hAnsi="Times New Roman" w:cs="Times New Roman"/>
          <w:b/>
          <w:i/>
          <w:iCs/>
          <w:sz w:val="44"/>
          <w:szCs w:val="44"/>
          <w:lang w:eastAsia="zh-CN"/>
        </w:rPr>
        <w:t>参选文件编写说明</w:t>
      </w:r>
    </w:p>
    <w:p>
      <w:pPr>
        <w:spacing w:line="360" w:lineRule="auto"/>
        <w:jc w:val="center"/>
        <w:rPr>
          <w:rFonts w:ascii="Times New Roman" w:hAnsi="Times New Roman" w:cs="Times New Roman"/>
          <w:b/>
          <w:i/>
          <w:iCs/>
          <w:sz w:val="44"/>
          <w:szCs w:val="44"/>
          <w:u w:val="double"/>
          <w:lang w:eastAsia="zh-CN"/>
        </w:rPr>
      </w:pPr>
      <w:r>
        <w:rPr>
          <w:rFonts w:ascii="Times New Roman" w:hAnsi="Times New Roman" w:cs="Times New Roman"/>
          <w:b/>
          <w:i/>
          <w:iCs/>
          <w:sz w:val="44"/>
          <w:szCs w:val="44"/>
          <w:u w:val="double"/>
          <w:lang w:eastAsia="zh-CN"/>
        </w:rPr>
        <w:t>（本页无须打印）</w:t>
      </w:r>
    </w:p>
    <w:p>
      <w:pPr>
        <w:pStyle w:val="76"/>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1．参选人应按规定，向比选人递交参选文件，正本一份、副本一份，当正本与副本有不一致时，以正本为准。</w:t>
      </w:r>
    </w:p>
    <w:p>
      <w:pPr>
        <w:pStyle w:val="76"/>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2.所有纸质文件采用A4纸胶装、平装。所有参选文件应增加统一外层包封。</w:t>
      </w:r>
    </w:p>
    <w:p>
      <w:pPr>
        <w:pStyle w:val="76"/>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76"/>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4.凡因参选文件不按规定填写，或填写不清晰、不完整、或密封不合要求而引起的一切后果，由参选人自行负责。</w:t>
      </w:r>
    </w:p>
    <w:p>
      <w:pPr>
        <w:pStyle w:val="76"/>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5.参选文件正本必须逐页或骑缝加盖参选人公章或由法人代表或法人代表授权人逐页签字方视为有效，同时应注明提交日期，否则视为废标。</w:t>
      </w:r>
    </w:p>
    <w:p>
      <w:pPr>
        <w:pStyle w:val="76"/>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6.在外层包封上应写明参选人的名称与地址、邮政编码，以便参选出现逾期送达时能原封退回。具体样式如下：</w:t>
      </w:r>
    </w:p>
    <w:p>
      <w:pPr>
        <w:spacing w:line="360" w:lineRule="auto"/>
        <w:rPr>
          <w:rFonts w:ascii="Times New Roman" w:hAnsi="Times New Roman" w:cs="Times New Roman"/>
          <w:szCs w:val="21"/>
          <w:lang w:eastAsia="zh-CN"/>
        </w:rPr>
      </w:pPr>
      <w:r>
        <w:rPr>
          <w:rFonts w:ascii="Times New Roman" w:hAnsi="Times New Roman" w:cs="Times New Roman"/>
          <w:lang w:eastAsia="zh-CN"/>
        </w:rPr>
        <w:pict>
          <v:shape id="_x0000_s1026" o:spid="_x0000_s1026" o:spt="202" type="#_x0000_t202" style="position:absolute;left:0pt;margin-left:5.25pt;margin-top:0.5pt;height:147.2pt;width:363.2pt;z-index:251661312;mso-width-relative:page;mso-height-relative:page;"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LGVT+LAIAAEgEAAAOAAAAZHJzL2Uyb0RvYy54bWytVE2O&#10;0zAU3iNxB8t7mjRqhzZqOho6KkIafqSBA7iOk1g4fsZ2m5QDwA1mxYY95+o5eHY6JQJWiCwsP7/n&#10;z5+/7zmr675V5CCsk6ALOp2klAjNoZS6LuiH99tnC0qcZ7pkCrQo6FE4er1++mTVmVxk0IAqhSUI&#10;ol3emYI23ps8SRxvRMvcBIzQmKzAtsxjaOuktKxD9FYlWZpeJR3Y0ljgwjlcvR2SdB3xq0pw/7aq&#10;nPBEFRS5+TjaOO7CmKxXLK8tM43kZxrsH1i0TGo89AJ1yzwjeyv/gGolt+Cg8hMObQJVJbmId8Db&#10;TNPfbnPfMCPiXVAcZy4yuf8Hy98c3lkiS/SOEs1atOj08PX07cfp+xeSBXk643KsujdY5/sX0IfS&#10;cFVn7oB/dETDpmG6FjfWQtcIViK9adiZjLYOOC6A7LrXUOI5bO8hAvWVbQMgqkEQHW06XqwRvScc&#10;F2fpcpEtMcUxN11kV4vlPJ7B8sftxjr/UkBLwqSgFr2P8Oxw53ygw/LHkkgflCy3UqkY2Hq3UZYc&#10;GPbJNn5ndDcuU5p0BV3Os/mgwDjnxhBp/P4G0UqPDa9kW9DFuEjpwEPElj3zDfIFxQbtfL/rz3bs&#10;oDyikBaGdsbnh5MG7GdKOmzlgrpPe2YFJeqVRjOW09ks9H4MZvPnGQZ2nNmNM0xzhCqop2SYbvzw&#10;XvbGyrrBkwb7NdyggZWM0gaqA6uz7diuUfHz0wrvYRzHql8/gP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IsZVP4sAgAASAQAAA4AAAAAAAAAAQAgAAAAJgEAAGRycy9lMm9Eb2MueG1sUEsF&#10;BgAAAAAGAAYAWQEAAMQFA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pStyle w:val="76"/>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7、以下文件中</w:t>
      </w:r>
      <w:r>
        <w:rPr>
          <w:rFonts w:ascii="Times New Roman" w:hAnsi="Times New Roman" w:cs="Times New Roman"/>
          <w:b/>
          <w:sz w:val="24"/>
          <w:szCs w:val="24"/>
          <w:lang w:eastAsia="zh-CN"/>
        </w:rPr>
        <w:t>绿色</w:t>
      </w:r>
      <w:r>
        <w:rPr>
          <w:rFonts w:ascii="Times New Roman" w:hAnsi="Times New Roman" w:cs="Times New Roman"/>
          <w:bCs w:val="0"/>
          <w:sz w:val="24"/>
          <w:szCs w:val="24"/>
          <w:lang w:eastAsia="zh-CN"/>
        </w:rPr>
        <w:t>字体部分，请各参选单位根据实际情况填写后，修改为</w:t>
      </w:r>
      <w:r>
        <w:rPr>
          <w:rFonts w:ascii="Times New Roman" w:hAnsi="Times New Roman" w:cs="Times New Roman"/>
          <w:b/>
          <w:sz w:val="24"/>
          <w:szCs w:val="24"/>
          <w:lang w:eastAsia="zh-CN"/>
        </w:rPr>
        <w:t>黑色（不加粗）</w:t>
      </w:r>
      <w:r>
        <w:rPr>
          <w:rFonts w:ascii="Times New Roman" w:hAnsi="Times New Roman" w:cs="Times New Roman"/>
          <w:bCs w:val="0"/>
          <w:sz w:val="24"/>
          <w:szCs w:val="24"/>
          <w:lang w:eastAsia="zh-CN"/>
        </w:rPr>
        <w:t>字体打印。目录页码请根据实际情况编写。</w:t>
      </w:r>
    </w:p>
    <w:p>
      <w:pPr>
        <w:pStyle w:val="76"/>
        <w:spacing w:beforeLines="0" w:afterLines="0"/>
        <w:ind w:firstLine="530" w:firstLineChars="221"/>
        <w:rPr>
          <w:rFonts w:ascii="Times New Roman" w:hAnsi="Times New Roman" w:cs="Times New Roman"/>
          <w:sz w:val="24"/>
          <w:szCs w:val="24"/>
          <w:lang w:eastAsia="zh-CN"/>
        </w:rPr>
      </w:pPr>
      <w:r>
        <w:rPr>
          <w:rFonts w:ascii="Times New Roman" w:hAnsi="Times New Roman" w:cs="Times New Roman"/>
          <w:sz w:val="24"/>
          <w:szCs w:val="24"/>
          <w:lang w:eastAsia="zh-CN"/>
        </w:rPr>
        <w:t>8、以下文件中红色字体部分，打印时请删除。</w:t>
      </w:r>
    </w:p>
    <w:p>
      <w:pPr>
        <w:pStyle w:val="76"/>
        <w:spacing w:beforeLines="0" w:afterLines="0"/>
        <w:ind w:firstLine="530" w:firstLineChars="221"/>
        <w:rPr>
          <w:rFonts w:ascii="Times New Roman" w:hAnsi="Times New Roman" w:cs="Times New Roman"/>
          <w:sz w:val="24"/>
          <w:szCs w:val="24"/>
          <w:lang w:eastAsia="zh-CN"/>
        </w:rPr>
      </w:pPr>
    </w:p>
    <w:p>
      <w:pPr>
        <w:pStyle w:val="76"/>
        <w:spacing w:beforeLines="0" w:afterLines="0"/>
        <w:ind w:firstLine="530" w:firstLineChars="221"/>
        <w:rPr>
          <w:rFonts w:ascii="Times New Roman" w:hAnsi="Times New Roman" w:cs="Times New Roman"/>
          <w:sz w:val="24"/>
          <w:szCs w:val="24"/>
          <w:lang w:eastAsia="zh-CN"/>
        </w:rPr>
      </w:pPr>
    </w:p>
    <w:p>
      <w:pPr>
        <w:pStyle w:val="76"/>
        <w:spacing w:beforeLines="0" w:afterLines="0"/>
        <w:ind w:firstLine="530" w:firstLineChars="221"/>
        <w:rPr>
          <w:rFonts w:ascii="Times New Roman" w:hAnsi="Times New Roman" w:cs="Times New Roman"/>
          <w:sz w:val="24"/>
          <w:szCs w:val="24"/>
          <w:lang w:eastAsia="zh-CN"/>
        </w:rPr>
      </w:pPr>
    </w:p>
    <w:p>
      <w:pPr>
        <w:pStyle w:val="2"/>
        <w:spacing w:line="360" w:lineRule="auto"/>
        <w:rPr>
          <w:rFonts w:ascii="Times New Roman" w:hAnsi="Times New Roman"/>
        </w:rPr>
      </w:pPr>
    </w:p>
    <w:p>
      <w:pPr>
        <w:spacing w:line="360" w:lineRule="auto"/>
        <w:jc w:val="center"/>
        <w:rPr>
          <w:rFonts w:ascii="Times New Roman" w:hAnsi="Times New Roman" w:cs="Times New Roman"/>
          <w:b/>
          <w:sz w:val="44"/>
          <w:szCs w:val="44"/>
          <w:lang w:eastAsia="zh-CN"/>
        </w:rPr>
      </w:pPr>
    </w:p>
    <w:p>
      <w:pPr>
        <w:pStyle w:val="2"/>
        <w:rPr>
          <w:rFonts w:ascii="Times New Roman" w:hAnsi="Times New Roman"/>
          <w:b/>
          <w:sz w:val="44"/>
          <w:szCs w:val="44"/>
        </w:rPr>
      </w:pPr>
    </w:p>
    <w:p>
      <w:pPr>
        <w:pStyle w:val="2"/>
        <w:rPr>
          <w:rFonts w:ascii="Times New Roman" w:hAnsi="Times New Roman"/>
          <w:b/>
          <w:sz w:val="44"/>
          <w:szCs w:val="44"/>
        </w:rPr>
      </w:pPr>
    </w:p>
    <w:p>
      <w:pPr>
        <w:spacing w:line="360" w:lineRule="auto"/>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360" w:lineRule="auto"/>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360" w:lineRule="auto"/>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参选书</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8</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lang w:eastAsia="zh-CN"/>
              </w:rPr>
              <w:t>项目人员简历及相关资格证书。</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9</w:t>
            </w:r>
          </w:p>
        </w:tc>
        <w:tc>
          <w:tcPr>
            <w:tcW w:w="6023" w:type="dxa"/>
          </w:tcPr>
          <w:p>
            <w:pPr>
              <w:spacing w:line="360" w:lineRule="auto"/>
              <w:rPr>
                <w:rFonts w:ascii="Times New Roman" w:hAnsi="Times New Roman" w:cs="Times New Roman"/>
                <w:sz w:val="24"/>
              </w:rPr>
            </w:pPr>
            <w:r>
              <w:rPr>
                <w:rFonts w:ascii="Times New Roman" w:hAnsi="Times New Roman" w:cs="Times New Roman"/>
                <w:sz w:val="24"/>
                <w:szCs w:val="28"/>
              </w:rPr>
              <w:t>业绩的证明</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10</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360" w:lineRule="auto"/>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spacing w:line="360" w:lineRule="auto"/>
        <w:jc w:val="center"/>
        <w:rPr>
          <w:rFonts w:ascii="Times New Roman" w:hAnsi="Times New Roman" w:cs="Times New Roman"/>
          <w:b/>
          <w:bCs/>
          <w:sz w:val="24"/>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spacing w:line="360" w:lineRule="auto"/>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参选书</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致：福建福海创石油化工有限公司</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根据贵方的比选文件， </w:t>
      </w:r>
      <w:r>
        <w:rPr>
          <w:rFonts w:ascii="Times New Roman" w:hAnsi="Times New Roman" w:cs="Times New Roman"/>
          <w:sz w:val="28"/>
          <w:szCs w:val="28"/>
          <w:u w:val="single"/>
          <w:lang w:eastAsia="zh-CN"/>
        </w:rPr>
        <w:t>被授权代表人姓名</w:t>
      </w:r>
      <w:r>
        <w:rPr>
          <w:rFonts w:ascii="Times New Roman" w:hAnsi="Times New Roman" w:cs="Times New Roman"/>
          <w:sz w:val="24"/>
          <w:lang w:eastAsia="zh-CN"/>
        </w:rPr>
        <w:t>被我方正式授权并代表我公司</w:t>
      </w:r>
      <w:r>
        <w:rPr>
          <w:rFonts w:ascii="Times New Roman" w:hAnsi="Times New Roman" w:cs="Times New Roman"/>
          <w:sz w:val="28"/>
          <w:szCs w:val="28"/>
          <w:u w:val="single"/>
          <w:lang w:eastAsia="zh-CN"/>
        </w:rPr>
        <w:t>单位名称</w:t>
      </w:r>
      <w:r>
        <w:rPr>
          <w:rFonts w:ascii="Times New Roman" w:hAnsi="Times New Roman" w:cs="Times New Roman"/>
          <w:sz w:val="24"/>
          <w:lang w:eastAsia="zh-CN"/>
        </w:rPr>
        <w:t>递交下述文件，并对此负责。</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（1）参选文件</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（2）法定代表人授权委托书</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（3）参选报价单</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据此参选书，我公司及签字代表宣布同意如下：</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1、所递交的文件真实合法有效，且不存在任何虚假陈述或记载。</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2、我方将履行比选文件规定的每一项要求：如业主中选，将严格按照服务合同约定履行各项义务。</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3、我公司报价有效期为比选文件收取时间截止期后30个工作日，如中选，有效期将延长至合同执行完毕。</w:t>
      </w:r>
    </w:p>
    <w:p>
      <w:pPr>
        <w:spacing w:line="360" w:lineRule="auto"/>
        <w:ind w:firstLine="480" w:firstLineChars="200"/>
        <w:rPr>
          <w:rFonts w:ascii="Times New Roman" w:hAnsi="Times New Roman" w:cs="Times New Roman"/>
          <w:sz w:val="24"/>
          <w:lang w:eastAsia="zh-CN"/>
        </w:rPr>
      </w:pPr>
    </w:p>
    <w:p>
      <w:pPr>
        <w:spacing w:line="360" w:lineRule="auto"/>
        <w:ind w:firstLine="480" w:firstLineChars="200"/>
        <w:rPr>
          <w:rFonts w:ascii="Times New Roman" w:hAnsi="Times New Roman" w:cs="Times New Roman"/>
          <w:sz w:val="24"/>
          <w:lang w:eastAsia="zh-CN"/>
        </w:rPr>
      </w:pP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被授权代表姓名：</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职          务：</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联系方式及邮箱：</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被授权代表签字：</w:t>
      </w:r>
    </w:p>
    <w:p>
      <w:pPr>
        <w:pStyle w:val="2"/>
        <w:spacing w:line="360" w:lineRule="auto"/>
        <w:rPr>
          <w:rFonts w:ascii="Times New Roman" w:hAnsi="Times New Roman"/>
        </w:rPr>
      </w:pPr>
    </w:p>
    <w:p>
      <w:pPr>
        <w:pStyle w:val="2"/>
        <w:spacing w:line="360" w:lineRule="auto"/>
        <w:jc w:val="center"/>
        <w:rPr>
          <w:rFonts w:ascii="Times New Roman" w:hAnsi="Times New Roman"/>
          <w:kern w:val="2"/>
          <w:sz w:val="24"/>
          <w:szCs w:val="24"/>
        </w:rPr>
      </w:pPr>
      <w:r>
        <w:rPr>
          <w:rFonts w:ascii="Times New Roman" w:hAnsi="Times New Roman"/>
          <w:kern w:val="2"/>
          <w:sz w:val="24"/>
          <w:szCs w:val="24"/>
        </w:rPr>
        <w:t xml:space="preserve">                                     参  选  人：</w:t>
      </w:r>
      <w:r>
        <w:rPr>
          <w:rFonts w:ascii="Times New Roman" w:hAnsi="Times New Roman"/>
          <w:kern w:val="2"/>
          <w:sz w:val="28"/>
          <w:szCs w:val="28"/>
        </w:rPr>
        <w:t>（单位名称）</w:t>
      </w:r>
    </w:p>
    <w:p>
      <w:pPr>
        <w:pStyle w:val="2"/>
        <w:spacing w:line="360" w:lineRule="auto"/>
        <w:ind w:firstLine="420"/>
        <w:jc w:val="center"/>
        <w:rPr>
          <w:rFonts w:ascii="Times New Roman" w:hAnsi="Times New Roman"/>
          <w:kern w:val="2"/>
          <w:sz w:val="24"/>
          <w:szCs w:val="24"/>
        </w:rPr>
      </w:pPr>
      <w:r>
        <w:rPr>
          <w:rFonts w:ascii="Times New Roman" w:hAnsi="Times New Roman"/>
          <w:kern w:val="2"/>
          <w:sz w:val="24"/>
          <w:szCs w:val="24"/>
        </w:rPr>
        <w:t xml:space="preserve">       法定代表人：</w:t>
      </w:r>
    </w:p>
    <w:p>
      <w:pPr>
        <w:spacing w:line="360" w:lineRule="auto"/>
        <w:jc w:val="both"/>
        <w:rPr>
          <w:rFonts w:ascii="Times New Roman" w:hAnsi="Times New Roman" w:cs="Times New Roman"/>
          <w:sz w:val="34"/>
          <w:lang w:eastAsia="zh-C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法定代表人授权书</w:t>
      </w:r>
    </w:p>
    <w:p>
      <w:pPr>
        <w:pStyle w:val="2"/>
        <w:spacing w:line="360" w:lineRule="auto"/>
        <w:jc w:val="center"/>
        <w:rPr>
          <w:rFonts w:ascii="Times New Roman" w:hAnsi="Times New Roman"/>
        </w:rPr>
      </w:pPr>
    </w:p>
    <w:p>
      <w:pPr>
        <w:spacing w:line="420" w:lineRule="exact"/>
        <w:ind w:firstLine="600" w:firstLineChars="250"/>
        <w:rPr>
          <w:rFonts w:ascii="Times New Roman" w:hAnsi="Times New Roman" w:cs="Times New Roman"/>
          <w:sz w:val="24"/>
          <w:lang w:eastAsia="zh-CN"/>
        </w:rPr>
      </w:pPr>
      <w:r>
        <w:rPr>
          <w:rFonts w:ascii="Times New Roman" w:hAnsi="Times New Roman" w:cs="Times New Roman"/>
          <w:sz w:val="24"/>
          <w:lang w:eastAsia="zh-CN"/>
        </w:rPr>
        <w:t>本授权书声明：注册于</w:t>
      </w:r>
      <w:r>
        <w:rPr>
          <w:rFonts w:ascii="Times New Roman" w:hAnsi="Times New Roman" w:cs="Times New Roman"/>
          <w:sz w:val="28"/>
          <w:szCs w:val="28"/>
          <w:u w:val="single"/>
          <w:lang w:eastAsia="zh-CN"/>
        </w:rPr>
        <w:t>注册地址</w:t>
      </w:r>
      <w:r>
        <w:rPr>
          <w:rFonts w:ascii="Times New Roman" w:hAnsi="Times New Roman" w:cs="Times New Roman"/>
          <w:sz w:val="24"/>
          <w:lang w:eastAsia="zh-CN"/>
        </w:rPr>
        <w:t>的</w:t>
      </w:r>
      <w:r>
        <w:rPr>
          <w:rFonts w:ascii="Times New Roman" w:hAnsi="Times New Roman" w:cs="Times New Roman"/>
          <w:sz w:val="28"/>
          <w:szCs w:val="28"/>
          <w:u w:val="single"/>
          <w:lang w:eastAsia="zh-CN"/>
        </w:rPr>
        <w:t>公司名称</w:t>
      </w:r>
      <w:r>
        <w:rPr>
          <w:rFonts w:ascii="Times New Roman" w:hAnsi="Times New Roman" w:cs="Times New Roman"/>
          <w:sz w:val="24"/>
          <w:lang w:eastAsia="zh-CN"/>
        </w:rPr>
        <w:t>的在下方签字（或签章）的</w:t>
      </w:r>
      <w:r>
        <w:rPr>
          <w:rFonts w:ascii="Times New Roman" w:hAnsi="Times New Roman" w:cs="Times New Roman"/>
          <w:sz w:val="28"/>
          <w:szCs w:val="28"/>
          <w:u w:val="single"/>
          <w:lang w:eastAsia="zh-CN"/>
        </w:rPr>
        <w:t>法人代表姓名</w:t>
      </w:r>
      <w:r>
        <w:rPr>
          <w:rFonts w:ascii="Times New Roman" w:hAnsi="Times New Roman" w:cs="Times New Roman"/>
          <w:sz w:val="24"/>
          <w:lang w:eastAsia="zh-CN"/>
        </w:rPr>
        <w:t>代表本公司授权</w:t>
      </w:r>
      <w:r>
        <w:rPr>
          <w:rFonts w:ascii="Times New Roman" w:hAnsi="Times New Roman" w:cs="Times New Roman"/>
          <w:sz w:val="28"/>
          <w:szCs w:val="28"/>
          <w:u w:val="single"/>
          <w:lang w:eastAsia="zh-CN"/>
        </w:rPr>
        <w:t>被授权代表人姓名、职务</w:t>
      </w:r>
      <w:r>
        <w:rPr>
          <w:rFonts w:ascii="Times New Roman" w:hAnsi="Times New Roman" w:cs="Times New Roman"/>
          <w:sz w:val="24"/>
          <w:lang w:eastAsia="zh-CN"/>
        </w:rPr>
        <w:t>为本公司的合法代理人，就福建福海创石油化工有限公司</w:t>
      </w:r>
      <w:r>
        <w:rPr>
          <w:rFonts w:ascii="Times New Roman" w:hAnsi="Times New Roman" w:cs="Times New Roman"/>
          <w:sz w:val="28"/>
          <w:szCs w:val="28"/>
          <w:u w:val="single"/>
          <w:lang w:eastAsia="zh-CN"/>
        </w:rPr>
        <w:t xml:space="preserve"> </w:t>
      </w:r>
      <w:r>
        <w:rPr>
          <w:rFonts w:hint="eastAsia" w:ascii="Times New Roman" w:hAnsi="Times New Roman" w:cs="Times New Roman"/>
          <w:sz w:val="24"/>
          <w:u w:val="single"/>
          <w:lang w:eastAsia="zh-CN"/>
        </w:rPr>
        <w:t>翔鹭石化（漳州）有限公司海水冷却系统排水工程航标维护项目</w:t>
      </w:r>
      <w:r>
        <w:rPr>
          <w:rFonts w:hint="eastAsia" w:ascii="Times New Roman" w:hAnsi="Times New Roman" w:cs="Times New Roman"/>
          <w:sz w:val="24"/>
          <w:szCs w:val="24"/>
          <w:lang w:eastAsia="zh-CN"/>
        </w:rPr>
        <w:t>公</w:t>
      </w:r>
      <w:r>
        <w:rPr>
          <w:rFonts w:ascii="Times New Roman" w:hAnsi="Times New Roman" w:cs="Times New Roman"/>
          <w:sz w:val="24"/>
          <w:szCs w:val="24"/>
          <w:lang w:eastAsia="zh-CN"/>
        </w:rPr>
        <w:t>开自主比选，以</w:t>
      </w:r>
      <w:r>
        <w:rPr>
          <w:rFonts w:ascii="Times New Roman" w:hAnsi="Times New Roman" w:cs="Times New Roman"/>
          <w:sz w:val="24"/>
          <w:lang w:eastAsia="zh-CN"/>
        </w:rPr>
        <w:t>本公司名义参与报价、合同执行并处理与之有关的其他事务，相关责任及后果由本公司承担。</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本授权书于</w:t>
      </w:r>
      <w:r>
        <w:rPr>
          <w:rFonts w:ascii="Times New Roman" w:hAnsi="Times New Roman" w:cs="Times New Roman"/>
          <w:b/>
          <w:bCs/>
          <w:color w:val="0000FF"/>
          <w:sz w:val="28"/>
          <w:szCs w:val="28"/>
          <w:u w:val="single"/>
          <w:lang w:eastAsia="zh-CN"/>
        </w:rPr>
        <w:t>2022年</w:t>
      </w:r>
      <w:r>
        <w:rPr>
          <w:rFonts w:hint="eastAsia" w:ascii="Times New Roman" w:hAnsi="Times New Roman" w:cs="Times New Roman"/>
          <w:b/>
          <w:bCs/>
          <w:color w:val="0000FF"/>
          <w:sz w:val="28"/>
          <w:szCs w:val="28"/>
          <w:u w:val="single"/>
          <w:lang w:eastAsia="zh-CN"/>
        </w:rPr>
        <w:t xml:space="preserve">  </w:t>
      </w:r>
      <w:r>
        <w:rPr>
          <w:rFonts w:ascii="Times New Roman" w:hAnsi="Times New Roman" w:cs="Times New Roman"/>
          <w:b/>
          <w:bCs/>
          <w:color w:val="0000FF"/>
          <w:sz w:val="28"/>
          <w:szCs w:val="28"/>
          <w:u w:val="single"/>
          <w:lang w:eastAsia="zh-CN"/>
        </w:rPr>
        <w:t>月   日</w:t>
      </w:r>
      <w:r>
        <w:rPr>
          <w:rFonts w:ascii="Times New Roman" w:hAnsi="Times New Roman" w:cs="Times New Roman"/>
          <w:sz w:val="24"/>
          <w:lang w:eastAsia="zh-CN"/>
        </w:rPr>
        <w:t>生效，本授权书有效期至此次报价，以及合同履行完毕时止。</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特此声明。</w:t>
      </w:r>
    </w:p>
    <w:p>
      <w:pPr>
        <w:pStyle w:val="2"/>
        <w:spacing w:line="360" w:lineRule="auto"/>
        <w:rPr>
          <w:rFonts w:ascii="Times New Roman" w:hAnsi="Times New Roman"/>
        </w:rPr>
      </w:pP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法人代表（签字）：</w:t>
      </w:r>
    </w:p>
    <w:p>
      <w:pPr>
        <w:spacing w:line="360" w:lineRule="auto"/>
        <w:rPr>
          <w:rFonts w:ascii="Times New Roman" w:hAnsi="Times New Roman" w:cs="Times New Roman"/>
          <w:sz w:val="24"/>
          <w:lang w:eastAsia="zh-CN"/>
        </w:rPr>
      </w:pP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被授权代表签字：</w:t>
      </w:r>
    </w:p>
    <w:p>
      <w:pPr>
        <w:spacing w:line="360" w:lineRule="auto"/>
        <w:rPr>
          <w:rFonts w:ascii="Times New Roman" w:hAnsi="Times New Roman" w:cs="Times New Roman"/>
          <w:sz w:val="24"/>
          <w:lang w:eastAsia="zh-CN"/>
        </w:rPr>
      </w:pPr>
    </w:p>
    <w:p>
      <w:pPr>
        <w:pStyle w:val="2"/>
        <w:spacing w:line="360" w:lineRule="auto"/>
        <w:rPr>
          <w:rFonts w:ascii="Times New Roman" w:hAnsi="Times New Roman"/>
        </w:rPr>
      </w:pPr>
    </w:p>
    <w:p>
      <w:pPr>
        <w:pStyle w:val="2"/>
        <w:spacing w:line="360" w:lineRule="auto"/>
        <w:rPr>
          <w:rFonts w:ascii="Times New Roman" w:hAnsi="Times New Roman"/>
        </w:rPr>
      </w:pPr>
    </w:p>
    <w:p>
      <w:pPr>
        <w:pStyle w:val="2"/>
        <w:spacing w:line="360" w:lineRule="auto"/>
        <w:rPr>
          <w:rFonts w:ascii="Times New Roman" w:hAnsi="Times New Roman"/>
        </w:rPr>
      </w:pPr>
    </w:p>
    <w:p>
      <w:pPr>
        <w:pStyle w:val="2"/>
        <w:spacing w:line="360" w:lineRule="auto"/>
        <w:rPr>
          <w:rFonts w:ascii="Times New Roman" w:hAnsi="Times New Roman"/>
        </w:rPr>
      </w:pPr>
    </w:p>
    <w:p>
      <w:pPr>
        <w:pStyle w:val="2"/>
        <w:spacing w:line="360" w:lineRule="auto"/>
        <w:jc w:val="center"/>
        <w:rPr>
          <w:rFonts w:ascii="Times New Roman" w:hAnsi="Times New Roman"/>
        </w:rPr>
      </w:pPr>
      <w:r>
        <w:rPr>
          <w:rFonts w:ascii="Times New Roman" w:hAnsi="Times New Roman"/>
          <w:sz w:val="24"/>
          <w:szCs w:val="24"/>
        </w:rPr>
        <w:t xml:space="preserve">               单位名称：</w:t>
      </w:r>
      <w:r>
        <w:rPr>
          <w:rFonts w:ascii="Times New Roman" w:hAnsi="Times New Roman"/>
          <w:kern w:val="2"/>
          <w:sz w:val="28"/>
          <w:szCs w:val="28"/>
        </w:rPr>
        <w:t>（公章）</w:t>
      </w: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法定代表人身份证复印件</w:t>
      </w:r>
    </w:p>
    <w:p>
      <w:pPr>
        <w:spacing w:line="360" w:lineRule="auto"/>
        <w:jc w:val="center"/>
        <w:rPr>
          <w:rFonts w:ascii="Times New Roman" w:hAnsi="Times New Roman" w:cs="Times New Roman"/>
          <w:b/>
          <w:bCs/>
          <w:sz w:val="28"/>
          <w:szCs w:val="28"/>
          <w:lang w:eastAsia="zh-CN"/>
        </w:rPr>
      </w:pPr>
    </w:p>
    <w:p>
      <w:pPr>
        <w:pStyle w:val="2"/>
        <w:spacing w:line="360" w:lineRule="auto"/>
        <w:jc w:val="center"/>
        <w:rPr>
          <w:rFonts w:ascii="Times New Roman" w:hAnsi="Times New Roman"/>
          <w:b/>
          <w:bCs/>
          <w:sz w:val="28"/>
          <w:szCs w:val="28"/>
        </w:rPr>
      </w:pPr>
    </w:p>
    <w:p>
      <w:pPr>
        <w:pStyle w:val="76"/>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被授权代表人身份证复印件</w:t>
      </w:r>
    </w:p>
    <w:p>
      <w:pPr>
        <w:pStyle w:val="2"/>
        <w:spacing w:line="360" w:lineRule="auto"/>
        <w:jc w:val="center"/>
        <w:rPr>
          <w:rFonts w:ascii="Times New Roman" w:hAnsi="Times New Roman"/>
          <w:b/>
          <w:bCs/>
          <w:sz w:val="28"/>
          <w:szCs w:val="28"/>
        </w:rPr>
      </w:pPr>
    </w:p>
    <w:p>
      <w:pPr>
        <w:pStyle w:val="76"/>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企业概况</w:t>
      </w:r>
    </w:p>
    <w:p>
      <w:pPr>
        <w:pStyle w:val="76"/>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（如内容超过一页，可附页）</w:t>
      </w:r>
    </w:p>
    <w:p>
      <w:pPr>
        <w:spacing w:line="360" w:lineRule="auto"/>
        <w:jc w:val="center"/>
        <w:rPr>
          <w:rFonts w:ascii="Times New Roman" w:hAnsi="Times New Roman" w:cs="Times New Roman"/>
          <w:b/>
          <w:bCs/>
          <w:sz w:val="28"/>
          <w:szCs w:val="28"/>
          <w:lang w:eastAsia="zh-CN"/>
        </w:rPr>
      </w:pPr>
    </w:p>
    <w:p>
      <w:pPr>
        <w:spacing w:line="360" w:lineRule="auto"/>
        <w:jc w:val="center"/>
        <w:rPr>
          <w:rFonts w:ascii="Times New Roman" w:hAnsi="Times New Roman" w:cs="Times New Roman"/>
          <w:b/>
          <w:bCs/>
          <w:sz w:val="28"/>
          <w:szCs w:val="28"/>
          <w:lang w:eastAsia="zh-CN"/>
        </w:rPr>
      </w:pPr>
    </w:p>
    <w:p>
      <w:pPr>
        <w:pStyle w:val="2"/>
        <w:spacing w:line="360" w:lineRule="auto"/>
        <w:jc w:val="center"/>
        <w:rPr>
          <w:rFonts w:ascii="Times New Roman" w:hAnsi="Times New Roman"/>
          <w:b/>
          <w:bCs/>
          <w:sz w:val="28"/>
          <w:szCs w:val="28"/>
        </w:rPr>
      </w:pPr>
      <w:r>
        <w:rPr>
          <w:rFonts w:ascii="Times New Roman" w:hAnsi="Times New Roman"/>
          <w:b/>
          <w:bCs/>
          <w:sz w:val="28"/>
          <w:szCs w:val="28"/>
        </w:rPr>
        <w:t>营业执照和开户许可证复印件</w:t>
      </w:r>
    </w:p>
    <w:p>
      <w:pPr>
        <w:pStyle w:val="2"/>
        <w:spacing w:line="360" w:lineRule="auto"/>
        <w:jc w:val="center"/>
        <w:rPr>
          <w:rFonts w:ascii="Times New Roman" w:hAnsi="Times New Roman"/>
          <w:b/>
          <w:bCs/>
          <w:sz w:val="28"/>
          <w:szCs w:val="28"/>
        </w:rPr>
      </w:pPr>
    </w:p>
    <w:p>
      <w:pPr>
        <w:pStyle w:val="2"/>
        <w:spacing w:line="360" w:lineRule="auto"/>
        <w:jc w:val="center"/>
        <w:rPr>
          <w:rFonts w:ascii="Times New Roman" w:hAnsi="Times New Roman"/>
          <w:b/>
          <w:bCs/>
          <w:sz w:val="28"/>
          <w:szCs w:val="28"/>
        </w:rPr>
      </w:pPr>
      <w:r>
        <w:rPr>
          <w:rFonts w:ascii="Times New Roman" w:hAnsi="Times New Roman"/>
          <w:b/>
          <w:bCs/>
          <w:sz w:val="28"/>
          <w:szCs w:val="28"/>
        </w:rPr>
        <w:t>相关资质要求证明材料</w:t>
      </w:r>
    </w:p>
    <w:p>
      <w:pPr>
        <w:pStyle w:val="2"/>
        <w:spacing w:line="360" w:lineRule="auto"/>
        <w:jc w:val="center"/>
        <w:rPr>
          <w:rFonts w:ascii="Times New Roman" w:hAnsi="Times New Roman"/>
          <w:b/>
          <w:bCs/>
          <w:sz w:val="28"/>
          <w:szCs w:val="28"/>
        </w:rPr>
      </w:pPr>
    </w:p>
    <w:p>
      <w:pPr>
        <w:pStyle w:val="76"/>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相关业绩证明材料</w:t>
      </w:r>
    </w:p>
    <w:p>
      <w:pPr>
        <w:pStyle w:val="76"/>
        <w:spacing w:beforeLines="0" w:afterLines="0"/>
        <w:ind w:firstLine="0" w:firstLineChars="0"/>
        <w:jc w:val="center"/>
        <w:rPr>
          <w:rFonts w:ascii="Times New Roman" w:hAnsi="Times New Roman" w:cs="Times New Roman"/>
          <w:b/>
          <w:sz w:val="24"/>
          <w:szCs w:val="24"/>
          <w:u w:val="single"/>
          <w:lang w:eastAsia="zh-CN"/>
        </w:rPr>
      </w:pPr>
      <w:r>
        <w:rPr>
          <w:rFonts w:ascii="Times New Roman" w:hAnsi="Times New Roman" w:cs="Times New Roman"/>
          <w:b/>
          <w:sz w:val="24"/>
          <w:szCs w:val="24"/>
          <w:u w:val="single"/>
          <w:lang w:eastAsia="zh-CN"/>
        </w:rPr>
        <w:t>（如内容超过一页，可附页）</w:t>
      </w:r>
    </w:p>
    <w:p>
      <w:pPr>
        <w:pStyle w:val="76"/>
        <w:spacing w:beforeLines="0" w:afterLines="0"/>
        <w:ind w:firstLine="0" w:firstLineChars="0"/>
        <w:jc w:val="center"/>
        <w:rPr>
          <w:rFonts w:ascii="Times New Roman" w:hAnsi="Times New Roman" w:cs="Times New Roman"/>
          <w:b/>
          <w:lang w:eastAsia="zh-CN"/>
        </w:rPr>
      </w:pPr>
    </w:p>
    <w:p>
      <w:pPr>
        <w:pStyle w:val="76"/>
        <w:spacing w:beforeLines="0" w:afterLines="0"/>
        <w:ind w:firstLine="0" w:firstLineChars="0"/>
        <w:jc w:val="center"/>
        <w:rPr>
          <w:rFonts w:ascii="Times New Roman" w:hAnsi="Times New Roman" w:cs="Times New Roman"/>
          <w:b/>
          <w:sz w:val="36"/>
          <w:szCs w:val="36"/>
          <w:lang w:eastAsia="zh-C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spacing w:line="360" w:lineRule="auto"/>
        <w:rPr>
          <w:rFonts w:ascii="Times New Roman" w:hAnsi="Times New Roman" w:cs="Times New Roman"/>
          <w:b/>
          <w:sz w:val="32"/>
          <w:szCs w:val="32"/>
          <w:lang w:eastAsia="zh-CN"/>
        </w:rPr>
      </w:pPr>
      <w:r>
        <w:rPr>
          <w:rFonts w:ascii="Times New Roman" w:hAnsi="Times New Roman" w:cs="Times New Roman"/>
          <w:b/>
          <w:sz w:val="32"/>
          <w:szCs w:val="32"/>
          <w:lang w:eastAsia="zh-CN"/>
        </w:rPr>
        <w:t>附件三：</w:t>
      </w:r>
    </w:p>
    <w:p>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t>商务报价函</w:t>
      </w:r>
    </w:p>
    <w:p>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pPr>
        <w:spacing w:line="360" w:lineRule="auto"/>
        <w:ind w:firstLine="420" w:firstLineChars="150"/>
        <w:jc w:val="center"/>
        <w:rPr>
          <w:rFonts w:ascii="Times New Roman" w:hAnsi="Times New Roman" w:cs="Times New Roman"/>
          <w:sz w:val="28"/>
          <w:szCs w:val="28"/>
          <w:lang w:eastAsia="zh-CN"/>
        </w:rPr>
      </w:pPr>
      <w:r>
        <w:rPr>
          <w:rFonts w:ascii="Times New Roman" w:hAnsi="Times New Roman" w:cs="Times New Roman"/>
          <w:sz w:val="28"/>
          <w:szCs w:val="28"/>
          <w:lang w:eastAsia="zh-CN"/>
        </w:rPr>
        <w:t>在充分研究福建福海创石油化工有限公司</w:t>
      </w:r>
      <w:r>
        <w:rPr>
          <w:rFonts w:ascii="Times New Roman" w:hAnsi="Times New Roman" w:cs="Times New Roman"/>
          <w:sz w:val="24"/>
          <w:szCs w:val="24"/>
          <w:lang w:eastAsia="zh-CN"/>
        </w:rPr>
        <w:t xml:space="preserve"> </w:t>
      </w:r>
      <w:r>
        <w:rPr>
          <w:rFonts w:hint="eastAsia" w:ascii="Times New Roman" w:hAnsi="Times New Roman" w:cs="Times New Roman"/>
          <w:sz w:val="28"/>
          <w:szCs w:val="28"/>
          <w:u w:val="single"/>
          <w:lang w:eastAsia="zh-CN"/>
        </w:rPr>
        <w:t>翔鹭石化（漳州）有限公司海水冷却系统排水工程航标维护</w:t>
      </w:r>
      <w:r>
        <w:rPr>
          <w:rFonts w:hint="eastAsia" w:ascii="Times New Roman" w:hAnsi="Times New Roman" w:cs="Times New Roman"/>
          <w:sz w:val="28"/>
          <w:szCs w:val="28"/>
          <w:lang w:eastAsia="zh-CN"/>
        </w:rPr>
        <w:t>项目比</w:t>
      </w:r>
      <w:r>
        <w:rPr>
          <w:rFonts w:ascii="Times New Roman" w:hAnsi="Times New Roman" w:cs="Times New Roman"/>
          <w:sz w:val="28"/>
          <w:szCs w:val="28"/>
          <w:lang w:eastAsia="zh-CN"/>
        </w:rPr>
        <w:t>选文件的全部内容后，我方愿以以下报价，严格按照自主比选文件的要求，交付本项目并维修其中的任何缺陷。</w:t>
      </w:r>
    </w:p>
    <w:p>
      <w:pPr>
        <w:spacing w:line="360" w:lineRule="auto"/>
        <w:rPr>
          <w:rFonts w:ascii="Times New Roman" w:hAnsi="Times New Roman" w:cs="Times New Roman"/>
          <w:sz w:val="28"/>
          <w:szCs w:val="28"/>
          <w:lang w:eastAsia="zh-CN"/>
        </w:rPr>
      </w:pPr>
      <w:r>
        <w:rPr>
          <w:rFonts w:ascii="Times New Roman" w:hAnsi="Times New Roman" w:cs="Times New Roman"/>
          <w:b/>
          <w:bCs/>
          <w:sz w:val="28"/>
          <w:szCs w:val="28"/>
          <w:lang w:eastAsia="zh-CN"/>
        </w:rPr>
        <w:t>本项目含税包干固定总价</w:t>
      </w:r>
      <w:r>
        <w:rPr>
          <w:rFonts w:ascii="Times New Roman" w:hAnsi="Times New Roman" w:cs="Times New Roman"/>
          <w:sz w:val="28"/>
          <w:szCs w:val="28"/>
          <w:lang w:eastAsia="zh-CN"/>
        </w:rPr>
        <w:t xml:space="preserve">（大写）： </w:t>
      </w:r>
      <w:r>
        <w:rPr>
          <w:rFonts w:ascii="Times New Roman" w:hAnsi="Times New Roman" w:cs="Times New Roman"/>
          <w:sz w:val="28"/>
          <w:szCs w:val="28"/>
          <w:u w:val="single"/>
          <w:lang w:eastAsia="zh-CN"/>
        </w:rPr>
        <w:t xml:space="preserve">                                                                          </w:t>
      </w:r>
    </w:p>
    <w:p>
      <w:pPr>
        <w:spacing w:line="360" w:lineRule="auto"/>
        <w:ind w:firstLine="3220" w:firstLineChars="1150"/>
        <w:rPr>
          <w:rFonts w:ascii="Times New Roman" w:hAnsi="Times New Roman" w:cs="Times New Roman"/>
          <w:sz w:val="28"/>
          <w:szCs w:val="28"/>
          <w:u w:val="single"/>
          <w:lang w:eastAsia="zh-CN"/>
        </w:rPr>
      </w:pPr>
      <w:r>
        <w:rPr>
          <w:rFonts w:ascii="Times New Roman" w:hAnsi="Times New Roman" w:cs="Times New Roman"/>
          <w:sz w:val="28"/>
          <w:szCs w:val="28"/>
          <w:lang w:eastAsia="zh-CN"/>
        </w:rPr>
        <w:t>（小写）：</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 xml:space="preserve">               元（增值税税     %） </w:t>
      </w:r>
    </w:p>
    <w:p>
      <w:pPr>
        <w:pStyle w:val="209"/>
        <w:spacing w:line="360" w:lineRule="auto"/>
        <w:rPr>
          <w:rFonts w:ascii="Times New Roman" w:hAnsi="Times New Roman" w:cs="Times New Roman"/>
          <w:szCs w:val="24"/>
          <w:lang w:eastAsia="zh-CN"/>
        </w:rPr>
      </w:pPr>
    </w:p>
    <w:p>
      <w:pPr>
        <w:pStyle w:val="210"/>
        <w:rPr>
          <w:lang w:eastAsia="zh-CN"/>
        </w:rPr>
      </w:pPr>
    </w:p>
    <w:p>
      <w:pPr>
        <w:pStyle w:val="209"/>
        <w:spacing w:line="360" w:lineRule="auto"/>
        <w:jc w:val="left"/>
        <w:rPr>
          <w:rFonts w:ascii="Times New Roman" w:hAnsi="Times New Roman" w:cs="Times New Roman"/>
          <w:b/>
          <w:sz w:val="30"/>
          <w:szCs w:val="30"/>
          <w:lang w:eastAsia="zh-CN"/>
        </w:rPr>
      </w:pPr>
      <w:r>
        <w:rPr>
          <w:rFonts w:hint="eastAsia" w:ascii="Times New Roman" w:hAnsi="Times New Roman" w:cs="Times New Roman"/>
          <w:b/>
          <w:sz w:val="30"/>
          <w:szCs w:val="30"/>
          <w:u w:val="single"/>
          <w:lang w:eastAsia="zh-CN"/>
        </w:rPr>
        <w:t>翔鹭石化（漳州）有限公司海水冷却系统排水工程航标维护项目</w:t>
      </w:r>
      <w:r>
        <w:rPr>
          <w:rFonts w:ascii="Times New Roman" w:hAnsi="Times New Roman" w:cs="Times New Roman"/>
          <w:b/>
          <w:sz w:val="30"/>
          <w:szCs w:val="30"/>
          <w:lang w:eastAsia="zh-CN"/>
        </w:rPr>
        <w:t>如下表：</w:t>
      </w:r>
    </w:p>
    <w:tbl>
      <w:tblPr>
        <w:tblStyle w:val="46"/>
        <w:tblW w:w="939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2" w:type="dxa"/>
          <w:bottom w:w="0" w:type="dxa"/>
          <w:right w:w="142" w:type="dxa"/>
        </w:tblCellMar>
      </w:tblPr>
      <w:tblGrid>
        <w:gridCol w:w="1276"/>
        <w:gridCol w:w="2982"/>
        <w:gridCol w:w="1994"/>
        <w:gridCol w:w="1038"/>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trHeight w:val="454" w:hRule="atLeast"/>
        </w:trPr>
        <w:tc>
          <w:tcPr>
            <w:tcW w:w="1276" w:type="dxa"/>
            <w:vAlign w:val="center"/>
          </w:tcPr>
          <w:p>
            <w:pPr>
              <w:suppressAutoHyphens/>
              <w:spacing w:before="120" w:after="120" w:line="312" w:lineRule="auto"/>
              <w:jc w:val="center"/>
              <w:textAlignment w:val="center"/>
              <w:rPr>
                <w:b/>
                <w:sz w:val="24"/>
              </w:rPr>
            </w:pPr>
            <w:r>
              <w:rPr>
                <w:rFonts w:hint="eastAsia"/>
                <w:b/>
                <w:sz w:val="24"/>
              </w:rPr>
              <w:t>序号</w:t>
            </w:r>
          </w:p>
        </w:tc>
        <w:tc>
          <w:tcPr>
            <w:tcW w:w="2982" w:type="dxa"/>
            <w:vAlign w:val="center"/>
          </w:tcPr>
          <w:p>
            <w:pPr>
              <w:suppressAutoHyphens/>
              <w:spacing w:before="120" w:after="120" w:line="312" w:lineRule="auto"/>
              <w:jc w:val="center"/>
              <w:textAlignment w:val="center"/>
              <w:rPr>
                <w:b/>
                <w:sz w:val="24"/>
              </w:rPr>
            </w:pPr>
            <w:r>
              <w:rPr>
                <w:rFonts w:hint="eastAsia"/>
                <w:b/>
                <w:sz w:val="24"/>
              </w:rPr>
              <w:t>名   称</w:t>
            </w:r>
          </w:p>
        </w:tc>
        <w:tc>
          <w:tcPr>
            <w:tcW w:w="1994" w:type="dxa"/>
            <w:vAlign w:val="center"/>
          </w:tcPr>
          <w:p>
            <w:pPr>
              <w:suppressAutoHyphens/>
              <w:spacing w:before="120" w:after="120" w:line="312" w:lineRule="auto"/>
              <w:jc w:val="center"/>
              <w:textAlignment w:val="center"/>
              <w:rPr>
                <w:b/>
                <w:sz w:val="24"/>
              </w:rPr>
            </w:pPr>
            <w:r>
              <w:rPr>
                <w:rFonts w:hint="eastAsia"/>
                <w:b/>
                <w:sz w:val="24"/>
              </w:rPr>
              <w:t>规   格</w:t>
            </w:r>
          </w:p>
        </w:tc>
        <w:tc>
          <w:tcPr>
            <w:tcW w:w="1038" w:type="dxa"/>
            <w:vAlign w:val="center"/>
          </w:tcPr>
          <w:p>
            <w:pPr>
              <w:suppressAutoHyphens/>
              <w:spacing w:before="120" w:after="120" w:line="312" w:lineRule="auto"/>
              <w:jc w:val="center"/>
              <w:textAlignment w:val="center"/>
              <w:rPr>
                <w:b/>
                <w:sz w:val="24"/>
              </w:rPr>
            </w:pPr>
            <w:r>
              <w:rPr>
                <w:rFonts w:hint="eastAsia"/>
                <w:b/>
                <w:sz w:val="24"/>
              </w:rPr>
              <w:t>数 量</w:t>
            </w:r>
          </w:p>
        </w:tc>
        <w:tc>
          <w:tcPr>
            <w:tcW w:w="2106" w:type="dxa"/>
            <w:vAlign w:val="center"/>
          </w:tcPr>
          <w:p>
            <w:pPr>
              <w:suppressAutoHyphens/>
              <w:spacing w:before="120" w:after="120" w:line="312" w:lineRule="auto"/>
              <w:jc w:val="center"/>
              <w:textAlignment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trHeight w:val="454" w:hRule="atLeast"/>
        </w:trPr>
        <w:tc>
          <w:tcPr>
            <w:tcW w:w="1276" w:type="dxa"/>
          </w:tcPr>
          <w:p>
            <w:pPr>
              <w:suppressAutoHyphens/>
              <w:spacing w:beforeLines="25" w:afterLines="25" w:line="312" w:lineRule="auto"/>
              <w:ind w:firstLine="360" w:firstLineChars="150"/>
              <w:textAlignment w:val="center"/>
              <w:rPr>
                <w:sz w:val="24"/>
              </w:rPr>
            </w:pPr>
            <w:r>
              <w:rPr>
                <w:rFonts w:hint="eastAsia"/>
                <w:sz w:val="24"/>
              </w:rPr>
              <w:t>一</w:t>
            </w:r>
          </w:p>
        </w:tc>
        <w:tc>
          <w:tcPr>
            <w:tcW w:w="2982" w:type="dxa"/>
          </w:tcPr>
          <w:p>
            <w:pPr>
              <w:suppressAutoHyphens/>
              <w:spacing w:beforeLines="25" w:afterLines="25" w:line="312" w:lineRule="auto"/>
              <w:jc w:val="center"/>
              <w:textAlignment w:val="center"/>
              <w:rPr>
                <w:sz w:val="24"/>
              </w:rPr>
            </w:pPr>
            <w:r>
              <w:rPr>
                <w:rFonts w:hint="eastAsia"/>
                <w:sz w:val="24"/>
              </w:rPr>
              <w:t>灯桩</w:t>
            </w:r>
          </w:p>
        </w:tc>
        <w:tc>
          <w:tcPr>
            <w:tcW w:w="1994" w:type="dxa"/>
          </w:tcPr>
          <w:p>
            <w:pPr>
              <w:suppressAutoHyphens/>
              <w:spacing w:beforeLines="25" w:afterLines="25" w:line="312" w:lineRule="auto"/>
              <w:jc w:val="center"/>
              <w:textAlignment w:val="center"/>
              <w:rPr>
                <w:sz w:val="24"/>
              </w:rPr>
            </w:pPr>
          </w:p>
        </w:tc>
        <w:tc>
          <w:tcPr>
            <w:tcW w:w="1038" w:type="dxa"/>
          </w:tcPr>
          <w:p>
            <w:pPr>
              <w:suppressAutoHyphens/>
              <w:spacing w:beforeLines="25" w:afterLines="25" w:line="312" w:lineRule="auto"/>
              <w:jc w:val="center"/>
              <w:textAlignment w:val="center"/>
              <w:rPr>
                <w:sz w:val="24"/>
              </w:rPr>
            </w:pPr>
          </w:p>
        </w:tc>
        <w:tc>
          <w:tcPr>
            <w:tcW w:w="2106" w:type="dxa"/>
            <w:vMerge w:val="restart"/>
            <w:vAlign w:val="center"/>
          </w:tcPr>
          <w:p>
            <w:pPr>
              <w:suppressAutoHyphens/>
              <w:spacing w:beforeLines="25" w:afterLines="25" w:line="312" w:lineRule="auto"/>
              <w:jc w:val="center"/>
              <w:textAlignment w:val="center"/>
              <w:rPr>
                <w:sz w:val="24"/>
                <w:lang w:eastAsia="zh-CN"/>
              </w:rPr>
            </w:pPr>
            <w:r>
              <w:rPr>
                <w:rFonts w:hint="eastAsia"/>
                <w:sz w:val="24"/>
                <w:lang w:eastAsia="zh-CN"/>
              </w:rPr>
              <w:t>具体要求详见附件发包说明。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trHeight w:val="454" w:hRule="atLeast"/>
        </w:trPr>
        <w:tc>
          <w:tcPr>
            <w:tcW w:w="1276" w:type="dxa"/>
            <w:vAlign w:val="center"/>
          </w:tcPr>
          <w:p>
            <w:pPr>
              <w:suppressAutoHyphens/>
              <w:spacing w:beforeLines="25" w:afterLines="25"/>
              <w:jc w:val="center"/>
              <w:textAlignment w:val="center"/>
              <w:rPr>
                <w:sz w:val="24"/>
              </w:rPr>
            </w:pPr>
            <w:r>
              <w:rPr>
                <w:rFonts w:hint="eastAsia"/>
                <w:sz w:val="24"/>
              </w:rPr>
              <w:t>1</w:t>
            </w:r>
          </w:p>
        </w:tc>
        <w:tc>
          <w:tcPr>
            <w:tcW w:w="2982" w:type="dxa"/>
            <w:vAlign w:val="center"/>
          </w:tcPr>
          <w:p>
            <w:pPr>
              <w:suppressAutoHyphens/>
              <w:spacing w:beforeLines="25" w:afterLines="25"/>
              <w:jc w:val="center"/>
              <w:textAlignment w:val="center"/>
              <w:rPr>
                <w:sz w:val="24"/>
              </w:rPr>
            </w:pPr>
            <w:r>
              <w:rPr>
                <w:rFonts w:hint="eastAsia"/>
                <w:sz w:val="24"/>
              </w:rPr>
              <w:t>航标灯</w:t>
            </w:r>
          </w:p>
        </w:tc>
        <w:tc>
          <w:tcPr>
            <w:tcW w:w="1994" w:type="dxa"/>
            <w:vAlign w:val="center"/>
          </w:tcPr>
          <w:p>
            <w:pPr>
              <w:suppressAutoHyphens/>
              <w:spacing w:beforeLines="25" w:afterLines="25"/>
              <w:jc w:val="center"/>
              <w:textAlignment w:val="center"/>
              <w:rPr>
                <w:sz w:val="24"/>
              </w:rPr>
            </w:pPr>
            <w:r>
              <w:rPr>
                <w:rFonts w:hint="eastAsia"/>
                <w:sz w:val="24"/>
              </w:rPr>
              <w:t>LED，</w:t>
            </w:r>
            <w:r>
              <w:rPr>
                <w:sz w:val="24"/>
              </w:rPr>
              <w:t>5NM</w:t>
            </w:r>
          </w:p>
        </w:tc>
        <w:tc>
          <w:tcPr>
            <w:tcW w:w="1038" w:type="dxa"/>
            <w:vAlign w:val="center"/>
          </w:tcPr>
          <w:p>
            <w:pPr>
              <w:suppressAutoHyphens/>
              <w:spacing w:beforeLines="25" w:afterLines="25"/>
              <w:jc w:val="center"/>
              <w:textAlignment w:val="center"/>
              <w:rPr>
                <w:sz w:val="24"/>
              </w:rPr>
            </w:pPr>
            <w:r>
              <w:rPr>
                <w:rFonts w:hint="eastAsia"/>
                <w:sz w:val="24"/>
              </w:rPr>
              <w:t>3套</w:t>
            </w:r>
          </w:p>
        </w:tc>
        <w:tc>
          <w:tcPr>
            <w:tcW w:w="2106" w:type="dxa"/>
            <w:vMerge w:val="continue"/>
            <w:vAlign w:val="center"/>
          </w:tcPr>
          <w:p>
            <w:pPr>
              <w:suppressAutoHyphens/>
              <w:spacing w:beforeLines="25" w:afterLines="25"/>
              <w:jc w:val="center"/>
              <w:textAlignment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trHeight w:val="454" w:hRule="atLeast"/>
        </w:trPr>
        <w:tc>
          <w:tcPr>
            <w:tcW w:w="1276" w:type="dxa"/>
            <w:vAlign w:val="center"/>
          </w:tcPr>
          <w:p>
            <w:pPr>
              <w:suppressAutoHyphens/>
              <w:spacing w:beforeLines="25" w:afterLines="25"/>
              <w:jc w:val="center"/>
              <w:textAlignment w:val="center"/>
              <w:rPr>
                <w:sz w:val="24"/>
              </w:rPr>
            </w:pPr>
            <w:r>
              <w:rPr>
                <w:rFonts w:hint="eastAsia"/>
                <w:sz w:val="24"/>
              </w:rPr>
              <w:t>2</w:t>
            </w:r>
          </w:p>
        </w:tc>
        <w:tc>
          <w:tcPr>
            <w:tcW w:w="2982" w:type="dxa"/>
            <w:vAlign w:val="center"/>
          </w:tcPr>
          <w:p>
            <w:pPr>
              <w:suppressAutoHyphens/>
              <w:spacing w:beforeLines="25" w:afterLines="25"/>
              <w:jc w:val="center"/>
              <w:textAlignment w:val="center"/>
              <w:rPr>
                <w:sz w:val="24"/>
              </w:rPr>
            </w:pPr>
            <w:r>
              <w:rPr>
                <w:rFonts w:hint="eastAsia"/>
                <w:sz w:val="24"/>
              </w:rPr>
              <w:t>太阳能电源</w:t>
            </w:r>
          </w:p>
        </w:tc>
        <w:tc>
          <w:tcPr>
            <w:tcW w:w="1994" w:type="dxa"/>
            <w:vAlign w:val="center"/>
          </w:tcPr>
          <w:p>
            <w:pPr>
              <w:suppressAutoHyphens/>
              <w:jc w:val="center"/>
              <w:textAlignment w:val="center"/>
              <w:rPr>
                <w:sz w:val="24"/>
              </w:rPr>
            </w:pPr>
            <w:r>
              <w:rPr>
                <w:rFonts w:hint="eastAsia"/>
                <w:sz w:val="24"/>
              </w:rPr>
              <w:t>18V、</w:t>
            </w:r>
            <w:r>
              <w:rPr>
                <w:sz w:val="24"/>
              </w:rPr>
              <w:t>1x6</w:t>
            </w:r>
            <w:r>
              <w:rPr>
                <w:rFonts w:hint="eastAsia"/>
                <w:sz w:val="24"/>
              </w:rPr>
              <w:t>0W</w:t>
            </w:r>
          </w:p>
          <w:p>
            <w:pPr>
              <w:suppressAutoHyphens/>
              <w:spacing w:beforeLines="25" w:afterLines="25"/>
              <w:jc w:val="center"/>
              <w:textAlignment w:val="center"/>
              <w:rPr>
                <w:sz w:val="24"/>
              </w:rPr>
            </w:pPr>
            <w:r>
              <w:rPr>
                <w:rFonts w:hint="eastAsia"/>
                <w:sz w:val="24"/>
              </w:rPr>
              <w:t>12V、</w:t>
            </w:r>
            <w:r>
              <w:rPr>
                <w:sz w:val="24"/>
              </w:rPr>
              <w:t>3x100</w:t>
            </w:r>
            <w:r>
              <w:rPr>
                <w:rFonts w:hint="eastAsia"/>
                <w:sz w:val="24"/>
              </w:rPr>
              <w:t>Ah</w:t>
            </w:r>
          </w:p>
        </w:tc>
        <w:tc>
          <w:tcPr>
            <w:tcW w:w="1038" w:type="dxa"/>
            <w:vAlign w:val="center"/>
          </w:tcPr>
          <w:p>
            <w:pPr>
              <w:suppressAutoHyphens/>
              <w:spacing w:beforeLines="25" w:afterLines="25"/>
              <w:jc w:val="center"/>
              <w:textAlignment w:val="center"/>
              <w:rPr>
                <w:sz w:val="24"/>
              </w:rPr>
            </w:pPr>
            <w:r>
              <w:rPr>
                <w:rFonts w:hint="eastAsia"/>
                <w:sz w:val="24"/>
              </w:rPr>
              <w:t>3组</w:t>
            </w:r>
          </w:p>
        </w:tc>
        <w:tc>
          <w:tcPr>
            <w:tcW w:w="2106" w:type="dxa"/>
            <w:vMerge w:val="continue"/>
            <w:vAlign w:val="center"/>
          </w:tcPr>
          <w:p>
            <w:pPr>
              <w:suppressAutoHyphens/>
              <w:spacing w:beforeLines="25" w:afterLines="25"/>
              <w:jc w:val="center"/>
              <w:textAlignment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trHeight w:val="454" w:hRule="atLeast"/>
        </w:trPr>
        <w:tc>
          <w:tcPr>
            <w:tcW w:w="1276" w:type="dxa"/>
            <w:vAlign w:val="center"/>
          </w:tcPr>
          <w:p>
            <w:pPr>
              <w:suppressAutoHyphens/>
              <w:spacing w:before="120" w:after="120"/>
              <w:jc w:val="center"/>
              <w:textAlignment w:val="center"/>
              <w:rPr>
                <w:sz w:val="24"/>
              </w:rPr>
            </w:pPr>
            <w:r>
              <w:rPr>
                <w:rFonts w:hint="eastAsia"/>
                <w:sz w:val="24"/>
              </w:rPr>
              <w:t>3</w:t>
            </w:r>
          </w:p>
        </w:tc>
        <w:tc>
          <w:tcPr>
            <w:tcW w:w="2982" w:type="dxa"/>
            <w:vAlign w:val="center"/>
          </w:tcPr>
          <w:p>
            <w:pPr>
              <w:suppressAutoHyphens/>
              <w:spacing w:before="120" w:after="120"/>
              <w:jc w:val="center"/>
              <w:textAlignment w:val="center"/>
              <w:rPr>
                <w:sz w:val="24"/>
                <w:lang w:eastAsia="zh-CN"/>
              </w:rPr>
            </w:pPr>
            <w:r>
              <w:rPr>
                <w:rFonts w:hint="eastAsia"/>
                <w:sz w:val="24"/>
                <w:lang w:eastAsia="zh-CN"/>
              </w:rPr>
              <w:t>航标</w:t>
            </w:r>
            <w:r>
              <w:rPr>
                <w:sz w:val="24"/>
                <w:lang w:eastAsia="zh-CN"/>
              </w:rPr>
              <w:t>遥测遥控终端（</w:t>
            </w:r>
            <w:r>
              <w:rPr>
                <w:rFonts w:hint="eastAsia"/>
                <w:sz w:val="24"/>
                <w:lang w:eastAsia="zh-CN"/>
              </w:rPr>
              <w:t>RTU</w:t>
            </w:r>
            <w:r>
              <w:rPr>
                <w:sz w:val="24"/>
                <w:lang w:eastAsia="zh-CN"/>
              </w:rPr>
              <w:t>）</w:t>
            </w:r>
          </w:p>
        </w:tc>
        <w:tc>
          <w:tcPr>
            <w:tcW w:w="1994" w:type="dxa"/>
            <w:vAlign w:val="center"/>
          </w:tcPr>
          <w:p>
            <w:pPr>
              <w:suppressAutoHyphens/>
              <w:spacing w:before="120" w:after="120"/>
              <w:jc w:val="center"/>
              <w:textAlignment w:val="center"/>
              <w:rPr>
                <w:sz w:val="24"/>
                <w:lang w:eastAsia="zh-CN"/>
              </w:rPr>
            </w:pPr>
          </w:p>
        </w:tc>
        <w:tc>
          <w:tcPr>
            <w:tcW w:w="1038" w:type="dxa"/>
            <w:vAlign w:val="center"/>
          </w:tcPr>
          <w:p>
            <w:pPr>
              <w:suppressAutoHyphens/>
              <w:spacing w:before="120" w:after="120"/>
              <w:jc w:val="center"/>
              <w:textAlignment w:val="center"/>
              <w:rPr>
                <w:sz w:val="24"/>
              </w:rPr>
            </w:pPr>
            <w:r>
              <w:rPr>
                <w:rFonts w:hint="eastAsia"/>
                <w:sz w:val="24"/>
              </w:rPr>
              <w:t>3套</w:t>
            </w:r>
          </w:p>
        </w:tc>
        <w:tc>
          <w:tcPr>
            <w:tcW w:w="2106" w:type="dxa"/>
            <w:vMerge w:val="continue"/>
            <w:vAlign w:val="center"/>
          </w:tcPr>
          <w:p>
            <w:pPr>
              <w:suppressAutoHyphens/>
              <w:spacing w:before="120" w:after="120"/>
              <w:jc w:val="center"/>
              <w:textAlignment w:val="center"/>
              <w:rPr>
                <w:sz w:val="24"/>
              </w:rPr>
            </w:pPr>
          </w:p>
        </w:tc>
      </w:tr>
    </w:tbl>
    <w:p>
      <w:pPr>
        <w:pStyle w:val="210"/>
        <w:rPr>
          <w:rFonts w:ascii="Times New Roman"/>
          <w:b/>
          <w:sz w:val="32"/>
          <w:szCs w:val="32"/>
          <w:lang w:eastAsia="zh-CN"/>
        </w:rPr>
      </w:pPr>
    </w:p>
    <w:p>
      <w:pPr>
        <w:pStyle w:val="210"/>
        <w:rPr>
          <w:rFonts w:ascii="Times New Roman"/>
          <w:b/>
          <w:sz w:val="32"/>
          <w:szCs w:val="32"/>
          <w:lang w:eastAsia="zh-CN"/>
        </w:rPr>
      </w:pPr>
    </w:p>
    <w:p>
      <w:pPr>
        <w:spacing w:line="360" w:lineRule="auto"/>
        <w:ind w:firstLine="560" w:firstLineChars="200"/>
        <w:jc w:val="right"/>
        <w:rPr>
          <w:rFonts w:ascii="Times New Roman" w:hAnsi="Times New Roman" w:cs="Times New Roman"/>
          <w:sz w:val="28"/>
          <w:lang w:eastAsia="zh-CN"/>
        </w:rPr>
      </w:pPr>
    </w:p>
    <w:p>
      <w:pPr>
        <w:spacing w:line="360" w:lineRule="auto"/>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lang w:eastAsia="zh-CN"/>
        </w:rPr>
        <w:t>（加盖参选单位章）</w:t>
      </w:r>
    </w:p>
    <w:p>
      <w:pPr>
        <w:spacing w:line="360" w:lineRule="auto"/>
        <w:ind w:firstLine="560" w:firstLineChars="200"/>
        <w:jc w:val="right"/>
        <w:rPr>
          <w:rFonts w:ascii="Times New Roman" w:hAnsi="Times New Roman" w:cs="Times New Roman"/>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lang w:eastAsia="zh-CN"/>
        </w:rPr>
        <w:t>（签字）</w:t>
      </w:r>
    </w:p>
    <w:p>
      <w:pPr>
        <w:spacing w:line="360" w:lineRule="auto"/>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sz w:val="28"/>
          <w:lang w:eastAsia="zh-CN"/>
        </w:rPr>
        <w:t>（签字）</w:t>
      </w:r>
    </w:p>
    <w:p>
      <w:pPr>
        <w:spacing w:line="360" w:lineRule="auto"/>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 xml:space="preserve">编制时间： </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年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月</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日</w:t>
      </w:r>
      <w:bookmarkEnd w:id="0"/>
    </w:p>
    <w:p>
      <w:pPr>
        <w:pStyle w:val="2"/>
        <w:spacing w:line="360" w:lineRule="auto"/>
        <w:rPr>
          <w:rFonts w:asciiTheme="minorEastAsia" w:hAnsiTheme="minorEastAsia" w:eastAsiaTheme="minorEastAsia"/>
          <w:sz w:val="24"/>
          <w:szCs w:val="24"/>
        </w:rPr>
      </w:pPr>
    </w:p>
    <w:p>
      <w:pPr>
        <w:pStyle w:val="2"/>
        <w:spacing w:line="360" w:lineRule="auto"/>
        <w:rPr>
          <w:rFonts w:asciiTheme="minorEastAsia" w:hAnsiTheme="minorEastAsia" w:eastAsiaTheme="minorEastAsia"/>
          <w:sz w:val="24"/>
          <w:szCs w:val="24"/>
        </w:rPr>
      </w:pPr>
    </w:p>
    <w:p>
      <w:pPr>
        <w:pStyle w:val="2"/>
        <w:spacing w:line="360" w:lineRule="auto"/>
        <w:rPr>
          <w:rFonts w:hAnsi="宋体" w:cs="宋体"/>
          <w:b/>
          <w:bCs/>
          <w:sz w:val="24"/>
          <w:szCs w:val="24"/>
        </w:rPr>
      </w:pPr>
      <w:r>
        <w:rPr>
          <w:rFonts w:hint="eastAsia" w:hAnsi="宋体" w:cs="宋体"/>
          <w:b/>
          <w:bCs/>
          <w:sz w:val="24"/>
          <w:szCs w:val="24"/>
        </w:rPr>
        <w:t>附件四</w:t>
      </w:r>
    </w:p>
    <w:p>
      <w:pPr>
        <w:pStyle w:val="2"/>
        <w:spacing w:line="360" w:lineRule="auto"/>
        <w:rPr>
          <w:rFonts w:asciiTheme="minorEastAsia" w:hAnsiTheme="minorEastAsia" w:eastAsiaTheme="minorEastAsia"/>
          <w:b/>
          <w:bCs/>
          <w:sz w:val="24"/>
          <w:szCs w:val="24"/>
        </w:rPr>
      </w:pPr>
    </w:p>
    <w:p>
      <w:pPr>
        <w:spacing w:line="420" w:lineRule="exact"/>
        <w:ind w:firstLine="161" w:firstLineChars="50"/>
        <w:jc w:val="center"/>
        <w:rPr>
          <w:rFonts w:ascii="黑体" w:hAnsi="黑体" w:eastAsia="黑体"/>
          <w:b/>
          <w:sz w:val="32"/>
          <w:szCs w:val="32"/>
          <w:lang w:eastAsia="zh-CN"/>
        </w:rPr>
      </w:pPr>
      <w:r>
        <w:rPr>
          <w:rFonts w:hint="eastAsia" w:ascii="黑体" w:hAnsi="黑体" w:eastAsia="黑体"/>
          <w:b/>
          <w:sz w:val="32"/>
          <w:szCs w:val="32"/>
          <w:lang w:eastAsia="zh-CN"/>
        </w:rPr>
        <w:t>翔鹭石化（漳州）有限公司海水冷却系统排水工程</w:t>
      </w:r>
    </w:p>
    <w:p>
      <w:pPr>
        <w:spacing w:line="420" w:lineRule="exact"/>
        <w:ind w:firstLine="161" w:firstLineChars="50"/>
        <w:jc w:val="center"/>
        <w:rPr>
          <w:rFonts w:ascii="黑体" w:hAnsi="黑体" w:eastAsia="黑体"/>
          <w:b/>
          <w:sz w:val="32"/>
          <w:szCs w:val="32"/>
          <w:lang w:eastAsia="zh-CN"/>
        </w:rPr>
      </w:pPr>
      <w:r>
        <w:rPr>
          <w:rFonts w:hint="eastAsia" w:ascii="黑体" w:hAnsi="黑体" w:eastAsia="黑体"/>
          <w:b/>
          <w:sz w:val="32"/>
          <w:szCs w:val="32"/>
          <w:lang w:eastAsia="zh-CN"/>
        </w:rPr>
        <w:t>航标维护发包说明</w:t>
      </w:r>
    </w:p>
    <w:p>
      <w:pPr>
        <w:snapToGrid w:val="0"/>
        <w:spacing w:line="360" w:lineRule="auto"/>
        <w:rPr>
          <w:rFonts w:ascii="黑体" w:eastAsia="黑体"/>
          <w:b/>
          <w:sz w:val="32"/>
          <w:szCs w:val="32"/>
          <w:lang w:eastAsia="zh-CN"/>
        </w:rPr>
      </w:pPr>
    </w:p>
    <w:p>
      <w:pPr>
        <w:snapToGrid w:val="0"/>
        <w:spacing w:line="560" w:lineRule="exact"/>
        <w:outlineLvl w:val="0"/>
        <w:rPr>
          <w:rFonts w:ascii="仿宋_GB2312" w:hAnsi="华文中宋" w:eastAsia="仿宋_GB2312"/>
          <w:b/>
          <w:sz w:val="28"/>
          <w:szCs w:val="28"/>
          <w:lang w:eastAsia="zh-CN"/>
        </w:rPr>
      </w:pPr>
      <w:r>
        <w:rPr>
          <w:rFonts w:hint="eastAsia" w:ascii="仿宋_GB2312" w:hAnsi="华文中宋" w:eastAsia="仿宋_GB2312"/>
          <w:b/>
          <w:sz w:val="28"/>
          <w:szCs w:val="28"/>
          <w:lang w:eastAsia="zh-CN"/>
        </w:rPr>
        <w:t>一、项目名称</w:t>
      </w:r>
    </w:p>
    <w:p>
      <w:pPr>
        <w:spacing w:line="420" w:lineRule="exact"/>
        <w:ind w:firstLine="560" w:firstLineChars="200"/>
        <w:rPr>
          <w:rFonts w:ascii="仿宋_GB2312" w:eastAsia="仿宋_GB2312"/>
          <w:color w:val="000000"/>
          <w:sz w:val="28"/>
          <w:szCs w:val="28"/>
          <w:lang w:eastAsia="zh-CN"/>
        </w:rPr>
      </w:pPr>
      <w:r>
        <w:rPr>
          <w:rFonts w:hint="eastAsia" w:ascii="仿宋_GB2312" w:eastAsia="仿宋_GB2312"/>
          <w:color w:val="000000"/>
          <w:sz w:val="28"/>
          <w:szCs w:val="28"/>
          <w:lang w:eastAsia="zh-CN"/>
        </w:rPr>
        <w:t>翔鹭石化（漳州）有限公司海水冷却系统排水工程航标维护。</w:t>
      </w:r>
    </w:p>
    <w:p>
      <w:pPr>
        <w:snapToGrid w:val="0"/>
        <w:spacing w:line="560" w:lineRule="exact"/>
        <w:outlineLvl w:val="0"/>
        <w:rPr>
          <w:rFonts w:ascii="仿宋_GB2312" w:hAnsi="华文中宋" w:eastAsia="仿宋_GB2312"/>
          <w:b/>
          <w:sz w:val="28"/>
          <w:szCs w:val="28"/>
          <w:lang w:eastAsia="zh-CN"/>
        </w:rPr>
      </w:pPr>
      <w:r>
        <w:rPr>
          <w:rFonts w:hint="eastAsia" w:ascii="仿宋_GB2312" w:hAnsi="华文中宋" w:eastAsia="仿宋_GB2312"/>
          <w:b/>
          <w:sz w:val="28"/>
          <w:szCs w:val="28"/>
          <w:lang w:eastAsia="zh-CN"/>
        </w:rPr>
        <w:t>二、工程概况</w:t>
      </w:r>
    </w:p>
    <w:p>
      <w:pPr>
        <w:spacing w:line="440" w:lineRule="exact"/>
        <w:ind w:firstLine="560" w:firstLineChars="200"/>
        <w:rPr>
          <w:rFonts w:ascii="仿宋_GB2312" w:eastAsia="仿宋_GB2312"/>
          <w:color w:val="000000"/>
          <w:sz w:val="28"/>
          <w:szCs w:val="28"/>
          <w:lang w:eastAsia="zh-CN"/>
        </w:rPr>
      </w:pPr>
      <w:r>
        <w:rPr>
          <w:rFonts w:hint="eastAsia" w:ascii="仿宋_GB2312" w:eastAsia="仿宋_GB2312"/>
          <w:color w:val="000000"/>
          <w:sz w:val="28"/>
          <w:szCs w:val="28"/>
          <w:lang w:eastAsia="zh-CN"/>
        </w:rPr>
        <w:t>海水冷却排水工程为翔鹭石化450万吨/年精对苯二甲酸二期工程项目（以下简称“PTA项目”）和腾龙芳烃（漳州）有限公司80万吨/年对二甲苯项目（以下简称“PX项目”）配套的海水冷却系统和PX项目配套的热电厂的冷却排水工程，工程全长约392.9m(明渠103m，暗涵180m，扩散段79.9m)，共配置3座LED 灯桩、无缘雷达反射器、太阳能电 池硅板、免维护蓄电池、遥测遥控终端等设备。</w:t>
      </w:r>
    </w:p>
    <w:p>
      <w:pPr>
        <w:spacing w:line="440" w:lineRule="exact"/>
        <w:ind w:firstLine="560" w:firstLineChars="200"/>
        <w:rPr>
          <w:rFonts w:ascii="仿宋_GB2312" w:eastAsia="仿宋_GB2312"/>
          <w:color w:val="000000"/>
          <w:sz w:val="28"/>
          <w:szCs w:val="28"/>
          <w:lang w:eastAsia="zh-CN"/>
        </w:rPr>
      </w:pPr>
      <w:r>
        <w:rPr>
          <w:rFonts w:hint="eastAsia" w:ascii="仿宋_GB2312" w:eastAsia="仿宋_GB2312"/>
          <w:color w:val="000000"/>
          <w:sz w:val="28"/>
          <w:szCs w:val="28"/>
          <w:lang w:eastAsia="zh-CN"/>
        </w:rPr>
        <w:t>灯桩主要设计参数见下表</w:t>
      </w:r>
    </w:p>
    <w:tbl>
      <w:tblPr>
        <w:tblStyle w:val="46"/>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2535"/>
        <w:gridCol w:w="2520"/>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6" w:type="dxa"/>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名称</w:t>
            </w:r>
          </w:p>
        </w:tc>
        <w:tc>
          <w:tcPr>
            <w:tcW w:w="2535" w:type="dxa"/>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D1灯桩</w:t>
            </w:r>
          </w:p>
        </w:tc>
        <w:tc>
          <w:tcPr>
            <w:tcW w:w="2520" w:type="dxa"/>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D2灯桩</w:t>
            </w:r>
          </w:p>
        </w:tc>
        <w:tc>
          <w:tcPr>
            <w:tcW w:w="2468" w:type="dxa"/>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D3灯桩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56" w:type="dxa"/>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类别</w:t>
            </w:r>
          </w:p>
        </w:tc>
        <w:tc>
          <w:tcPr>
            <w:tcW w:w="2535" w:type="dxa"/>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排水箱涵警示标志</w:t>
            </w:r>
          </w:p>
        </w:tc>
        <w:tc>
          <w:tcPr>
            <w:tcW w:w="2520" w:type="dxa"/>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排水箱涵警示标志</w:t>
            </w:r>
          </w:p>
        </w:tc>
        <w:tc>
          <w:tcPr>
            <w:tcW w:w="2468" w:type="dxa"/>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排水箱涵警示标志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56" w:type="dxa"/>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位置（CGCS2000）</w:t>
            </w:r>
          </w:p>
        </w:tc>
        <w:tc>
          <w:tcPr>
            <w:tcW w:w="2535" w:type="dxa"/>
            <w:vAlign w:val="center"/>
          </w:tcPr>
          <w:p>
            <w:pPr>
              <w:spacing w:line="440" w:lineRule="exact"/>
              <w:ind w:firstLine="560" w:firstLineChars="200"/>
              <w:jc w:val="center"/>
              <w:rPr>
                <w:rFonts w:ascii="仿宋_GB2312" w:eastAsia="仿宋_GB2312"/>
                <w:color w:val="000000"/>
                <w:sz w:val="28"/>
                <w:szCs w:val="28"/>
              </w:rPr>
            </w:pPr>
          </w:p>
        </w:tc>
        <w:tc>
          <w:tcPr>
            <w:tcW w:w="2520" w:type="dxa"/>
            <w:vAlign w:val="center"/>
          </w:tcPr>
          <w:p>
            <w:pPr>
              <w:spacing w:line="440" w:lineRule="exact"/>
              <w:ind w:firstLine="560" w:firstLineChars="200"/>
              <w:jc w:val="center"/>
              <w:rPr>
                <w:rFonts w:ascii="仿宋_GB2312" w:eastAsia="仿宋_GB2312"/>
                <w:color w:val="000000"/>
                <w:sz w:val="28"/>
                <w:szCs w:val="28"/>
              </w:rPr>
            </w:pPr>
          </w:p>
        </w:tc>
        <w:tc>
          <w:tcPr>
            <w:tcW w:w="2468" w:type="dxa"/>
            <w:vAlign w:val="center"/>
          </w:tcPr>
          <w:p>
            <w:pPr>
              <w:spacing w:line="440" w:lineRule="exact"/>
              <w:ind w:firstLine="560" w:firstLineChars="200"/>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56" w:type="dxa"/>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灯质</w:t>
            </w:r>
          </w:p>
        </w:tc>
        <w:tc>
          <w:tcPr>
            <w:tcW w:w="2535" w:type="dxa"/>
            <w:vAlign w:val="center"/>
          </w:tcPr>
          <w:p>
            <w:pPr>
              <w:spacing w:line="440" w:lineRule="exact"/>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白色，闪光节奏为莫（U）</w:t>
            </w:r>
          </w:p>
        </w:tc>
        <w:tc>
          <w:tcPr>
            <w:tcW w:w="2520" w:type="dxa"/>
            <w:vAlign w:val="center"/>
          </w:tcPr>
          <w:p>
            <w:pPr>
              <w:spacing w:line="440" w:lineRule="exact"/>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白色，闪光节奏为莫（U）</w:t>
            </w:r>
          </w:p>
        </w:tc>
        <w:tc>
          <w:tcPr>
            <w:tcW w:w="2468" w:type="dxa"/>
            <w:vAlign w:val="center"/>
          </w:tcPr>
          <w:p>
            <w:pPr>
              <w:spacing w:line="440" w:lineRule="exact"/>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白色，闪光节奏为莫（U）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56" w:type="dxa"/>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灯高（m）</w:t>
            </w:r>
          </w:p>
        </w:tc>
        <w:tc>
          <w:tcPr>
            <w:tcW w:w="2535" w:type="dxa"/>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7</w:t>
            </w:r>
          </w:p>
        </w:tc>
        <w:tc>
          <w:tcPr>
            <w:tcW w:w="2520" w:type="dxa"/>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7</w:t>
            </w:r>
          </w:p>
        </w:tc>
        <w:tc>
          <w:tcPr>
            <w:tcW w:w="2468" w:type="dxa"/>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56" w:type="dxa"/>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射程（海里）</w:t>
            </w:r>
          </w:p>
        </w:tc>
        <w:tc>
          <w:tcPr>
            <w:tcW w:w="2535" w:type="dxa"/>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≥5</w:t>
            </w:r>
          </w:p>
        </w:tc>
        <w:tc>
          <w:tcPr>
            <w:tcW w:w="2520" w:type="dxa"/>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≥5</w:t>
            </w:r>
          </w:p>
        </w:tc>
        <w:tc>
          <w:tcPr>
            <w:tcW w:w="2468" w:type="dxa"/>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构造</w:t>
            </w:r>
          </w:p>
        </w:tc>
        <w:tc>
          <w:tcPr>
            <w:tcW w:w="2535" w:type="dxa"/>
            <w:vAlign w:val="center"/>
          </w:tcPr>
          <w:p>
            <w:pPr>
              <w:spacing w:line="440" w:lineRule="exact"/>
              <w:jc w:val="center"/>
              <w:rPr>
                <w:rFonts w:ascii="仿宋_GB2312" w:eastAsia="仿宋_GB2312"/>
                <w:color w:val="000000"/>
                <w:sz w:val="28"/>
                <w:szCs w:val="28"/>
                <w:lang w:eastAsia="zh-CN"/>
              </w:rPr>
            </w:pPr>
            <w:r>
              <w:rPr>
                <w:rFonts w:hint="eastAsia" w:ascii="仿宋_GB2312" w:eastAsia="仿宋_GB2312"/>
                <w:color w:val="000000"/>
                <w:sz w:val="28"/>
                <w:szCs w:val="28"/>
              </w:rPr>
              <w:t>φ</w:t>
            </w:r>
            <w:r>
              <w:rPr>
                <w:rFonts w:hint="eastAsia" w:ascii="仿宋_GB2312" w:eastAsia="仿宋_GB2312"/>
                <w:color w:val="000000"/>
                <w:sz w:val="28"/>
                <w:szCs w:val="28"/>
                <w:lang w:eastAsia="zh-CN"/>
              </w:rPr>
              <w:t>700钢管，桩身颜色为红、白色相间横纹</w:t>
            </w:r>
          </w:p>
        </w:tc>
        <w:tc>
          <w:tcPr>
            <w:tcW w:w="2520" w:type="dxa"/>
            <w:vAlign w:val="center"/>
          </w:tcPr>
          <w:p>
            <w:pPr>
              <w:spacing w:line="440" w:lineRule="exact"/>
              <w:jc w:val="center"/>
              <w:rPr>
                <w:rFonts w:ascii="仿宋_GB2312" w:eastAsia="仿宋_GB2312"/>
                <w:color w:val="000000"/>
                <w:sz w:val="28"/>
                <w:szCs w:val="28"/>
                <w:lang w:eastAsia="zh-CN"/>
              </w:rPr>
            </w:pPr>
            <w:r>
              <w:rPr>
                <w:rFonts w:hint="eastAsia" w:ascii="仿宋_GB2312" w:eastAsia="仿宋_GB2312"/>
                <w:color w:val="000000"/>
                <w:sz w:val="28"/>
                <w:szCs w:val="28"/>
              </w:rPr>
              <w:t>φ</w:t>
            </w:r>
            <w:r>
              <w:rPr>
                <w:rFonts w:hint="eastAsia" w:ascii="仿宋_GB2312" w:eastAsia="仿宋_GB2312"/>
                <w:color w:val="000000"/>
                <w:sz w:val="28"/>
                <w:szCs w:val="28"/>
                <w:lang w:eastAsia="zh-CN"/>
              </w:rPr>
              <w:t>700钢管，桩身颜色为红、白色相间横纹</w:t>
            </w:r>
          </w:p>
        </w:tc>
        <w:tc>
          <w:tcPr>
            <w:tcW w:w="2468" w:type="dxa"/>
            <w:vAlign w:val="center"/>
          </w:tcPr>
          <w:p>
            <w:pPr>
              <w:spacing w:line="440" w:lineRule="exact"/>
              <w:jc w:val="center"/>
              <w:rPr>
                <w:rFonts w:ascii="仿宋_GB2312" w:eastAsia="仿宋_GB2312"/>
                <w:color w:val="000000"/>
                <w:sz w:val="28"/>
                <w:szCs w:val="28"/>
                <w:lang w:eastAsia="zh-CN"/>
              </w:rPr>
            </w:pPr>
            <w:r>
              <w:rPr>
                <w:rFonts w:hint="eastAsia" w:ascii="仿宋_GB2312" w:eastAsia="仿宋_GB2312"/>
                <w:color w:val="000000"/>
                <w:sz w:val="28"/>
                <w:szCs w:val="28"/>
              </w:rPr>
              <w:t>φ</w:t>
            </w:r>
            <w:r>
              <w:rPr>
                <w:rFonts w:hint="eastAsia" w:ascii="仿宋_GB2312" w:eastAsia="仿宋_GB2312"/>
                <w:color w:val="000000"/>
                <w:sz w:val="28"/>
                <w:szCs w:val="28"/>
                <w:lang w:eastAsia="zh-CN"/>
              </w:rPr>
              <w:t>700钢管，桩身颜色为红、白色相间横纹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56" w:type="dxa"/>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备注</w:t>
            </w:r>
          </w:p>
        </w:tc>
        <w:tc>
          <w:tcPr>
            <w:tcW w:w="2535" w:type="dxa"/>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新设</w:t>
            </w:r>
          </w:p>
        </w:tc>
        <w:tc>
          <w:tcPr>
            <w:tcW w:w="2520" w:type="dxa"/>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新设</w:t>
            </w:r>
          </w:p>
        </w:tc>
        <w:tc>
          <w:tcPr>
            <w:tcW w:w="2468" w:type="dxa"/>
            <w:vAlign w:val="center"/>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新设</w:t>
            </w:r>
          </w:p>
        </w:tc>
      </w:tr>
    </w:tbl>
    <w:p>
      <w:pPr>
        <w:spacing w:line="440" w:lineRule="exact"/>
        <w:ind w:firstLine="560" w:firstLineChars="200"/>
        <w:rPr>
          <w:rFonts w:ascii="仿宋_GB2312" w:eastAsia="仿宋_GB2312"/>
          <w:color w:val="000000"/>
          <w:sz w:val="28"/>
          <w:szCs w:val="28"/>
        </w:rPr>
      </w:pPr>
    </w:p>
    <w:p>
      <w:pPr>
        <w:snapToGrid w:val="0"/>
        <w:spacing w:line="560" w:lineRule="exact"/>
        <w:outlineLvl w:val="0"/>
        <w:rPr>
          <w:rFonts w:ascii="仿宋_GB2312" w:hAnsi="华文中宋" w:eastAsia="仿宋_GB2312"/>
          <w:b/>
          <w:sz w:val="28"/>
          <w:szCs w:val="28"/>
        </w:rPr>
      </w:pPr>
      <w:r>
        <w:rPr>
          <w:rFonts w:hint="eastAsia" w:ascii="仿宋_GB2312" w:hAnsi="华文中宋" w:eastAsia="仿宋_GB2312"/>
          <w:b/>
          <w:sz w:val="28"/>
          <w:szCs w:val="28"/>
        </w:rPr>
        <w:t>三、招标内容</w:t>
      </w:r>
    </w:p>
    <w:p>
      <w:pPr>
        <w:spacing w:line="4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1、本次需要维护的灯桩3座。</w:t>
      </w:r>
    </w:p>
    <w:p>
      <w:pPr>
        <w:spacing w:line="4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2、维护内容包含灯桩的备品备件采购、巡检补给、维护保养、更换及维护资料建档等。</w:t>
      </w:r>
    </w:p>
    <w:p>
      <w:pPr>
        <w:spacing w:line="420" w:lineRule="exact"/>
        <w:ind w:firstLine="560" w:firstLineChars="200"/>
        <w:rPr>
          <w:rFonts w:ascii="仿宋_GB2312" w:eastAsia="仿宋_GB2312"/>
          <w:sz w:val="28"/>
          <w:szCs w:val="28"/>
        </w:rPr>
      </w:pPr>
      <w:r>
        <w:rPr>
          <w:rFonts w:hint="eastAsia" w:ascii="仿宋_GB2312" w:eastAsia="仿宋_GB2312"/>
          <w:sz w:val="28"/>
          <w:szCs w:val="28"/>
        </w:rPr>
        <w:t>3、备品备件如下表</w:t>
      </w:r>
    </w:p>
    <w:tbl>
      <w:tblPr>
        <w:tblStyle w:val="46"/>
        <w:tblW w:w="939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2" w:type="dxa"/>
          <w:bottom w:w="0" w:type="dxa"/>
          <w:right w:w="142" w:type="dxa"/>
        </w:tblCellMar>
      </w:tblPr>
      <w:tblGrid>
        <w:gridCol w:w="1276"/>
        <w:gridCol w:w="2982"/>
        <w:gridCol w:w="1994"/>
        <w:gridCol w:w="1038"/>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trHeight w:val="454" w:hRule="atLeast"/>
        </w:trPr>
        <w:tc>
          <w:tcPr>
            <w:tcW w:w="1276" w:type="dxa"/>
            <w:vAlign w:val="center"/>
          </w:tcPr>
          <w:p>
            <w:pPr>
              <w:suppressAutoHyphens/>
              <w:spacing w:before="120" w:after="120" w:line="312" w:lineRule="auto"/>
              <w:jc w:val="center"/>
              <w:textAlignment w:val="center"/>
              <w:rPr>
                <w:b/>
                <w:sz w:val="24"/>
              </w:rPr>
            </w:pPr>
            <w:r>
              <w:rPr>
                <w:rFonts w:hint="eastAsia"/>
                <w:b/>
                <w:sz w:val="24"/>
              </w:rPr>
              <w:t>序号</w:t>
            </w:r>
          </w:p>
        </w:tc>
        <w:tc>
          <w:tcPr>
            <w:tcW w:w="2982" w:type="dxa"/>
            <w:vAlign w:val="center"/>
          </w:tcPr>
          <w:p>
            <w:pPr>
              <w:suppressAutoHyphens/>
              <w:spacing w:before="120" w:after="120" w:line="312" w:lineRule="auto"/>
              <w:jc w:val="center"/>
              <w:textAlignment w:val="center"/>
              <w:rPr>
                <w:b/>
                <w:sz w:val="24"/>
              </w:rPr>
            </w:pPr>
            <w:r>
              <w:rPr>
                <w:rFonts w:hint="eastAsia"/>
                <w:b/>
                <w:sz w:val="24"/>
              </w:rPr>
              <w:t>名   称</w:t>
            </w:r>
          </w:p>
        </w:tc>
        <w:tc>
          <w:tcPr>
            <w:tcW w:w="1994" w:type="dxa"/>
            <w:vAlign w:val="center"/>
          </w:tcPr>
          <w:p>
            <w:pPr>
              <w:suppressAutoHyphens/>
              <w:spacing w:before="120" w:after="120" w:line="312" w:lineRule="auto"/>
              <w:jc w:val="center"/>
              <w:textAlignment w:val="center"/>
              <w:rPr>
                <w:b/>
                <w:sz w:val="24"/>
              </w:rPr>
            </w:pPr>
            <w:r>
              <w:rPr>
                <w:rFonts w:hint="eastAsia"/>
                <w:b/>
                <w:sz w:val="24"/>
              </w:rPr>
              <w:t>规   格</w:t>
            </w:r>
          </w:p>
        </w:tc>
        <w:tc>
          <w:tcPr>
            <w:tcW w:w="1038" w:type="dxa"/>
            <w:vAlign w:val="center"/>
          </w:tcPr>
          <w:p>
            <w:pPr>
              <w:suppressAutoHyphens/>
              <w:spacing w:before="120" w:after="120" w:line="312" w:lineRule="auto"/>
              <w:jc w:val="center"/>
              <w:textAlignment w:val="center"/>
              <w:rPr>
                <w:b/>
                <w:sz w:val="24"/>
              </w:rPr>
            </w:pPr>
            <w:r>
              <w:rPr>
                <w:rFonts w:hint="eastAsia"/>
                <w:b/>
                <w:sz w:val="24"/>
              </w:rPr>
              <w:t>数 量</w:t>
            </w:r>
          </w:p>
        </w:tc>
        <w:tc>
          <w:tcPr>
            <w:tcW w:w="2106" w:type="dxa"/>
            <w:vAlign w:val="center"/>
          </w:tcPr>
          <w:p>
            <w:pPr>
              <w:suppressAutoHyphens/>
              <w:spacing w:before="120" w:after="120" w:line="312" w:lineRule="auto"/>
              <w:jc w:val="center"/>
              <w:textAlignment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trHeight w:val="454" w:hRule="atLeast"/>
        </w:trPr>
        <w:tc>
          <w:tcPr>
            <w:tcW w:w="1276" w:type="dxa"/>
          </w:tcPr>
          <w:p>
            <w:pPr>
              <w:suppressAutoHyphens/>
              <w:spacing w:beforeLines="25" w:afterLines="25" w:line="312" w:lineRule="auto"/>
              <w:ind w:firstLine="360" w:firstLineChars="150"/>
              <w:textAlignment w:val="center"/>
              <w:rPr>
                <w:sz w:val="24"/>
              </w:rPr>
            </w:pPr>
            <w:r>
              <w:rPr>
                <w:rFonts w:hint="eastAsia"/>
                <w:sz w:val="24"/>
              </w:rPr>
              <w:t>一</w:t>
            </w:r>
          </w:p>
        </w:tc>
        <w:tc>
          <w:tcPr>
            <w:tcW w:w="2982" w:type="dxa"/>
          </w:tcPr>
          <w:p>
            <w:pPr>
              <w:suppressAutoHyphens/>
              <w:spacing w:beforeLines="25" w:afterLines="25" w:line="312" w:lineRule="auto"/>
              <w:jc w:val="center"/>
              <w:textAlignment w:val="center"/>
              <w:rPr>
                <w:sz w:val="24"/>
              </w:rPr>
            </w:pPr>
            <w:r>
              <w:rPr>
                <w:rFonts w:hint="eastAsia"/>
                <w:sz w:val="24"/>
              </w:rPr>
              <w:t>灯桩</w:t>
            </w:r>
          </w:p>
        </w:tc>
        <w:tc>
          <w:tcPr>
            <w:tcW w:w="1994" w:type="dxa"/>
          </w:tcPr>
          <w:p>
            <w:pPr>
              <w:suppressAutoHyphens/>
              <w:spacing w:beforeLines="25" w:afterLines="25" w:line="312" w:lineRule="auto"/>
              <w:jc w:val="center"/>
              <w:textAlignment w:val="center"/>
              <w:rPr>
                <w:sz w:val="24"/>
              </w:rPr>
            </w:pPr>
          </w:p>
        </w:tc>
        <w:tc>
          <w:tcPr>
            <w:tcW w:w="1038" w:type="dxa"/>
          </w:tcPr>
          <w:p>
            <w:pPr>
              <w:suppressAutoHyphens/>
              <w:spacing w:beforeLines="25" w:afterLines="25" w:line="312" w:lineRule="auto"/>
              <w:jc w:val="center"/>
              <w:textAlignment w:val="center"/>
              <w:rPr>
                <w:sz w:val="24"/>
              </w:rPr>
            </w:pPr>
          </w:p>
        </w:tc>
        <w:tc>
          <w:tcPr>
            <w:tcW w:w="2106" w:type="dxa"/>
          </w:tcPr>
          <w:p>
            <w:pPr>
              <w:suppressAutoHyphens/>
              <w:spacing w:beforeLines="25" w:afterLines="25" w:line="312" w:lineRule="auto"/>
              <w:jc w:val="center"/>
              <w:textAlignment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trHeight w:val="454" w:hRule="atLeast"/>
        </w:trPr>
        <w:tc>
          <w:tcPr>
            <w:tcW w:w="1276" w:type="dxa"/>
            <w:vAlign w:val="center"/>
          </w:tcPr>
          <w:p>
            <w:pPr>
              <w:suppressAutoHyphens/>
              <w:spacing w:beforeLines="25" w:afterLines="25"/>
              <w:jc w:val="center"/>
              <w:textAlignment w:val="center"/>
              <w:rPr>
                <w:sz w:val="24"/>
              </w:rPr>
            </w:pPr>
            <w:r>
              <w:rPr>
                <w:rFonts w:hint="eastAsia"/>
                <w:sz w:val="24"/>
              </w:rPr>
              <w:t>1</w:t>
            </w:r>
          </w:p>
        </w:tc>
        <w:tc>
          <w:tcPr>
            <w:tcW w:w="2982" w:type="dxa"/>
            <w:vAlign w:val="center"/>
          </w:tcPr>
          <w:p>
            <w:pPr>
              <w:suppressAutoHyphens/>
              <w:spacing w:beforeLines="25" w:afterLines="25"/>
              <w:jc w:val="center"/>
              <w:textAlignment w:val="center"/>
              <w:rPr>
                <w:sz w:val="24"/>
              </w:rPr>
            </w:pPr>
            <w:r>
              <w:rPr>
                <w:rFonts w:hint="eastAsia"/>
                <w:sz w:val="24"/>
              </w:rPr>
              <w:t>航标灯</w:t>
            </w:r>
          </w:p>
        </w:tc>
        <w:tc>
          <w:tcPr>
            <w:tcW w:w="1994" w:type="dxa"/>
            <w:vAlign w:val="center"/>
          </w:tcPr>
          <w:p>
            <w:pPr>
              <w:suppressAutoHyphens/>
              <w:spacing w:beforeLines="25" w:afterLines="25"/>
              <w:jc w:val="center"/>
              <w:textAlignment w:val="center"/>
              <w:rPr>
                <w:sz w:val="24"/>
              </w:rPr>
            </w:pPr>
            <w:r>
              <w:rPr>
                <w:rFonts w:hint="eastAsia"/>
                <w:sz w:val="24"/>
              </w:rPr>
              <w:t>LED，</w:t>
            </w:r>
            <w:r>
              <w:rPr>
                <w:sz w:val="24"/>
              </w:rPr>
              <w:t>5NM</w:t>
            </w:r>
          </w:p>
        </w:tc>
        <w:tc>
          <w:tcPr>
            <w:tcW w:w="1038" w:type="dxa"/>
            <w:vAlign w:val="center"/>
          </w:tcPr>
          <w:p>
            <w:pPr>
              <w:suppressAutoHyphens/>
              <w:spacing w:beforeLines="25" w:afterLines="25"/>
              <w:jc w:val="center"/>
              <w:textAlignment w:val="center"/>
              <w:rPr>
                <w:sz w:val="24"/>
              </w:rPr>
            </w:pPr>
            <w:r>
              <w:rPr>
                <w:rFonts w:hint="eastAsia"/>
                <w:sz w:val="24"/>
              </w:rPr>
              <w:t>3套</w:t>
            </w:r>
          </w:p>
        </w:tc>
        <w:tc>
          <w:tcPr>
            <w:tcW w:w="2106" w:type="dxa"/>
            <w:vAlign w:val="center"/>
          </w:tcPr>
          <w:p>
            <w:pPr>
              <w:suppressAutoHyphens/>
              <w:spacing w:beforeLines="25" w:afterLines="25"/>
              <w:jc w:val="center"/>
              <w:textAlignment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trHeight w:val="454" w:hRule="atLeast"/>
        </w:trPr>
        <w:tc>
          <w:tcPr>
            <w:tcW w:w="1276" w:type="dxa"/>
            <w:vAlign w:val="center"/>
          </w:tcPr>
          <w:p>
            <w:pPr>
              <w:suppressAutoHyphens/>
              <w:spacing w:beforeLines="25" w:afterLines="25"/>
              <w:jc w:val="center"/>
              <w:textAlignment w:val="center"/>
              <w:rPr>
                <w:sz w:val="24"/>
              </w:rPr>
            </w:pPr>
            <w:r>
              <w:rPr>
                <w:rFonts w:hint="eastAsia"/>
                <w:sz w:val="24"/>
              </w:rPr>
              <w:t>2</w:t>
            </w:r>
          </w:p>
        </w:tc>
        <w:tc>
          <w:tcPr>
            <w:tcW w:w="2982" w:type="dxa"/>
            <w:vAlign w:val="center"/>
          </w:tcPr>
          <w:p>
            <w:pPr>
              <w:suppressAutoHyphens/>
              <w:spacing w:beforeLines="25" w:afterLines="25"/>
              <w:jc w:val="center"/>
              <w:textAlignment w:val="center"/>
              <w:rPr>
                <w:sz w:val="24"/>
              </w:rPr>
            </w:pPr>
            <w:r>
              <w:rPr>
                <w:rFonts w:hint="eastAsia"/>
                <w:sz w:val="24"/>
              </w:rPr>
              <w:t>太阳能电源</w:t>
            </w:r>
          </w:p>
        </w:tc>
        <w:tc>
          <w:tcPr>
            <w:tcW w:w="1994" w:type="dxa"/>
            <w:vAlign w:val="center"/>
          </w:tcPr>
          <w:p>
            <w:pPr>
              <w:suppressAutoHyphens/>
              <w:jc w:val="center"/>
              <w:textAlignment w:val="center"/>
              <w:rPr>
                <w:sz w:val="24"/>
              </w:rPr>
            </w:pPr>
            <w:r>
              <w:rPr>
                <w:rFonts w:hint="eastAsia"/>
                <w:sz w:val="24"/>
              </w:rPr>
              <w:t>18V、</w:t>
            </w:r>
            <w:r>
              <w:rPr>
                <w:sz w:val="24"/>
              </w:rPr>
              <w:t>1x6</w:t>
            </w:r>
            <w:r>
              <w:rPr>
                <w:rFonts w:hint="eastAsia"/>
                <w:sz w:val="24"/>
              </w:rPr>
              <w:t>0W</w:t>
            </w:r>
          </w:p>
          <w:p>
            <w:pPr>
              <w:suppressAutoHyphens/>
              <w:spacing w:beforeLines="25" w:afterLines="25"/>
              <w:jc w:val="center"/>
              <w:textAlignment w:val="center"/>
              <w:rPr>
                <w:sz w:val="24"/>
              </w:rPr>
            </w:pPr>
            <w:r>
              <w:rPr>
                <w:rFonts w:hint="eastAsia"/>
                <w:sz w:val="24"/>
              </w:rPr>
              <w:t>12V、</w:t>
            </w:r>
            <w:r>
              <w:rPr>
                <w:sz w:val="24"/>
              </w:rPr>
              <w:t>3x100</w:t>
            </w:r>
            <w:r>
              <w:rPr>
                <w:rFonts w:hint="eastAsia"/>
                <w:sz w:val="24"/>
              </w:rPr>
              <w:t>Ah</w:t>
            </w:r>
          </w:p>
        </w:tc>
        <w:tc>
          <w:tcPr>
            <w:tcW w:w="1038" w:type="dxa"/>
            <w:vAlign w:val="center"/>
          </w:tcPr>
          <w:p>
            <w:pPr>
              <w:suppressAutoHyphens/>
              <w:spacing w:beforeLines="25" w:afterLines="25"/>
              <w:jc w:val="center"/>
              <w:textAlignment w:val="center"/>
              <w:rPr>
                <w:sz w:val="24"/>
              </w:rPr>
            </w:pPr>
            <w:r>
              <w:rPr>
                <w:rFonts w:hint="eastAsia"/>
                <w:sz w:val="24"/>
              </w:rPr>
              <w:t>3组</w:t>
            </w:r>
          </w:p>
        </w:tc>
        <w:tc>
          <w:tcPr>
            <w:tcW w:w="2106" w:type="dxa"/>
            <w:vAlign w:val="center"/>
          </w:tcPr>
          <w:p>
            <w:pPr>
              <w:suppressAutoHyphens/>
              <w:spacing w:beforeLines="25" w:afterLines="25"/>
              <w:jc w:val="center"/>
              <w:textAlignment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trHeight w:val="454" w:hRule="atLeast"/>
        </w:trPr>
        <w:tc>
          <w:tcPr>
            <w:tcW w:w="1276" w:type="dxa"/>
            <w:vAlign w:val="center"/>
          </w:tcPr>
          <w:p>
            <w:pPr>
              <w:suppressAutoHyphens/>
              <w:spacing w:before="120" w:after="120"/>
              <w:jc w:val="center"/>
              <w:textAlignment w:val="center"/>
              <w:rPr>
                <w:sz w:val="24"/>
              </w:rPr>
            </w:pPr>
            <w:r>
              <w:rPr>
                <w:rFonts w:hint="eastAsia"/>
                <w:sz w:val="24"/>
              </w:rPr>
              <w:t>3</w:t>
            </w:r>
          </w:p>
        </w:tc>
        <w:tc>
          <w:tcPr>
            <w:tcW w:w="2982" w:type="dxa"/>
            <w:vAlign w:val="center"/>
          </w:tcPr>
          <w:p>
            <w:pPr>
              <w:suppressAutoHyphens/>
              <w:spacing w:before="120" w:after="120"/>
              <w:jc w:val="center"/>
              <w:textAlignment w:val="center"/>
              <w:rPr>
                <w:sz w:val="24"/>
                <w:lang w:eastAsia="zh-CN"/>
              </w:rPr>
            </w:pPr>
            <w:r>
              <w:rPr>
                <w:rFonts w:hint="eastAsia"/>
                <w:sz w:val="24"/>
                <w:lang w:eastAsia="zh-CN"/>
              </w:rPr>
              <w:t>航标</w:t>
            </w:r>
            <w:r>
              <w:rPr>
                <w:sz w:val="24"/>
                <w:lang w:eastAsia="zh-CN"/>
              </w:rPr>
              <w:t>遥测遥控终端（</w:t>
            </w:r>
            <w:r>
              <w:rPr>
                <w:rFonts w:hint="eastAsia"/>
                <w:sz w:val="24"/>
                <w:lang w:eastAsia="zh-CN"/>
              </w:rPr>
              <w:t>RTU</w:t>
            </w:r>
            <w:r>
              <w:rPr>
                <w:sz w:val="24"/>
                <w:lang w:eastAsia="zh-CN"/>
              </w:rPr>
              <w:t>）</w:t>
            </w:r>
          </w:p>
        </w:tc>
        <w:tc>
          <w:tcPr>
            <w:tcW w:w="1994" w:type="dxa"/>
            <w:vAlign w:val="center"/>
          </w:tcPr>
          <w:p>
            <w:pPr>
              <w:suppressAutoHyphens/>
              <w:spacing w:before="120" w:after="120"/>
              <w:jc w:val="center"/>
              <w:textAlignment w:val="center"/>
              <w:rPr>
                <w:sz w:val="24"/>
                <w:lang w:eastAsia="zh-CN"/>
              </w:rPr>
            </w:pPr>
          </w:p>
        </w:tc>
        <w:tc>
          <w:tcPr>
            <w:tcW w:w="1038" w:type="dxa"/>
            <w:vAlign w:val="center"/>
          </w:tcPr>
          <w:p>
            <w:pPr>
              <w:suppressAutoHyphens/>
              <w:spacing w:before="120" w:after="120"/>
              <w:jc w:val="center"/>
              <w:textAlignment w:val="center"/>
              <w:rPr>
                <w:sz w:val="24"/>
              </w:rPr>
            </w:pPr>
            <w:r>
              <w:rPr>
                <w:rFonts w:hint="eastAsia"/>
                <w:sz w:val="24"/>
              </w:rPr>
              <w:t>3套</w:t>
            </w:r>
          </w:p>
        </w:tc>
        <w:tc>
          <w:tcPr>
            <w:tcW w:w="2106" w:type="dxa"/>
            <w:vAlign w:val="center"/>
          </w:tcPr>
          <w:p>
            <w:pPr>
              <w:suppressAutoHyphens/>
              <w:spacing w:before="120" w:after="120"/>
              <w:jc w:val="center"/>
              <w:textAlignment w:val="center"/>
              <w:rPr>
                <w:sz w:val="24"/>
              </w:rPr>
            </w:pPr>
          </w:p>
        </w:tc>
      </w:tr>
    </w:tbl>
    <w:p>
      <w:pPr>
        <w:spacing w:line="420" w:lineRule="exact"/>
        <w:ind w:firstLine="560" w:firstLineChars="200"/>
        <w:rPr>
          <w:rFonts w:ascii="仿宋_GB2312" w:eastAsia="仿宋_GB2312"/>
          <w:sz w:val="28"/>
          <w:szCs w:val="28"/>
        </w:rPr>
      </w:pPr>
    </w:p>
    <w:p>
      <w:pPr>
        <w:snapToGrid w:val="0"/>
        <w:spacing w:line="560" w:lineRule="exact"/>
        <w:outlineLvl w:val="0"/>
        <w:rPr>
          <w:rFonts w:ascii="仿宋_GB2312" w:hAnsi="华文中宋" w:eastAsia="仿宋_GB2312"/>
          <w:b/>
          <w:sz w:val="28"/>
          <w:szCs w:val="28"/>
        </w:rPr>
      </w:pPr>
      <w:r>
        <w:rPr>
          <w:rFonts w:hint="eastAsia" w:ascii="仿宋_GB2312" w:hAnsi="华文中宋" w:eastAsia="仿宋_GB2312"/>
          <w:b/>
          <w:sz w:val="28"/>
          <w:szCs w:val="28"/>
        </w:rPr>
        <w:t>四、航标维护要求</w:t>
      </w:r>
    </w:p>
    <w:p>
      <w:pPr>
        <w:spacing w:line="4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按照《中华人民共和国航标条例》、《沿海航标管理办法》及交通部规定的有关航标维护各项标准和维护程序进行管理，确保维护的航标达到“标位准确，发光正常，涂色鲜明，结构良好”，</w:t>
      </w:r>
      <w:r>
        <w:rPr>
          <w:rFonts w:ascii="仿宋_GB2312" w:eastAsia="仿宋_GB2312"/>
          <w:sz w:val="28"/>
          <w:szCs w:val="28"/>
          <w:lang w:eastAsia="zh-CN"/>
        </w:rPr>
        <w:t xml:space="preserve"> </w:t>
      </w:r>
      <w:r>
        <w:rPr>
          <w:rFonts w:hint="eastAsia" w:ascii="仿宋_GB2312" w:eastAsia="仿宋_GB2312"/>
          <w:sz w:val="28"/>
          <w:szCs w:val="28"/>
          <w:lang w:eastAsia="zh-CN"/>
        </w:rPr>
        <w:t>发挥其正常的助导航功能。维保期内国家有关行政机关如需收回航标的所有权（即航标的设置及维护移交航标管理部门），则航标的使用功能及维保台账需确保满足国家有关航标的移交要求。</w:t>
      </w:r>
    </w:p>
    <w:p>
      <w:pPr>
        <w:snapToGrid w:val="0"/>
        <w:spacing w:line="560" w:lineRule="exact"/>
        <w:outlineLvl w:val="0"/>
        <w:rPr>
          <w:rFonts w:ascii="仿宋_GB2312" w:eastAsia="仿宋_GB2312"/>
          <w:b/>
          <w:sz w:val="28"/>
          <w:szCs w:val="28"/>
          <w:lang w:eastAsia="zh-CN"/>
        </w:rPr>
      </w:pPr>
      <w:r>
        <w:rPr>
          <w:rFonts w:hint="eastAsia" w:ascii="仿宋_GB2312" w:eastAsia="仿宋_GB2312"/>
          <w:b/>
          <w:sz w:val="28"/>
          <w:szCs w:val="28"/>
          <w:lang w:eastAsia="zh-CN"/>
        </w:rPr>
        <w:t>五、维护时间要求</w:t>
      </w:r>
    </w:p>
    <w:p>
      <w:pPr>
        <w:spacing w:line="4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本次招标维护期为一年。</w:t>
      </w:r>
    </w:p>
    <w:p>
      <w:pPr>
        <w:snapToGrid w:val="0"/>
        <w:spacing w:line="560" w:lineRule="exact"/>
        <w:outlineLvl w:val="0"/>
        <w:rPr>
          <w:rFonts w:ascii="仿宋_GB2312" w:eastAsia="仿宋_GB2312"/>
          <w:b/>
          <w:sz w:val="28"/>
          <w:szCs w:val="28"/>
          <w:lang w:eastAsia="zh-CN"/>
        </w:rPr>
      </w:pPr>
    </w:p>
    <w:p>
      <w:pPr>
        <w:snapToGrid w:val="0"/>
        <w:spacing w:line="560" w:lineRule="exact"/>
        <w:outlineLvl w:val="0"/>
        <w:rPr>
          <w:rFonts w:ascii="仿宋_GB2312" w:eastAsia="仿宋_GB2312"/>
          <w:b/>
          <w:sz w:val="28"/>
          <w:szCs w:val="28"/>
          <w:lang w:eastAsia="zh-CN"/>
        </w:rPr>
      </w:pPr>
      <w:r>
        <w:rPr>
          <w:rFonts w:hint="eastAsia" w:ascii="仿宋_GB2312" w:eastAsia="仿宋_GB2312"/>
          <w:b/>
          <w:sz w:val="28"/>
          <w:szCs w:val="28"/>
          <w:lang w:eastAsia="zh-CN"/>
        </w:rPr>
        <w:t>六、报名资格要求</w:t>
      </w:r>
    </w:p>
    <w:p>
      <w:pPr>
        <w:spacing w:line="4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根据《中华人民共和国航标条例》</w:t>
      </w:r>
      <w:r>
        <w:rPr>
          <w:rFonts w:ascii="仿宋_GB2312" w:eastAsia="仿宋_GB2312"/>
          <w:sz w:val="28"/>
          <w:szCs w:val="28"/>
          <w:lang w:eastAsia="zh-CN"/>
        </w:rPr>
        <w:t>第四条</w:t>
      </w:r>
      <w:r>
        <w:rPr>
          <w:rFonts w:hint="eastAsia" w:ascii="仿宋_GB2312" w:eastAsia="仿宋_GB2312"/>
          <w:sz w:val="28"/>
          <w:szCs w:val="28"/>
          <w:lang w:eastAsia="zh-CN"/>
        </w:rPr>
        <w:t>“</w:t>
      </w:r>
      <w:r>
        <w:rPr>
          <w:rFonts w:ascii="仿宋_GB2312" w:eastAsia="仿宋_GB2312"/>
          <w:sz w:val="28"/>
          <w:szCs w:val="28"/>
          <w:lang w:eastAsia="zh-CN"/>
        </w:rPr>
        <w:t>航标的管理和保护，实行统一管理、分级负责和专业保护的原则</w:t>
      </w:r>
      <w:r>
        <w:rPr>
          <w:rFonts w:hint="eastAsia" w:ascii="仿宋_GB2312" w:eastAsia="仿宋_GB2312"/>
          <w:sz w:val="28"/>
          <w:szCs w:val="28"/>
          <w:lang w:eastAsia="zh-CN"/>
        </w:rPr>
        <w:t>”</w:t>
      </w:r>
      <w:r>
        <w:rPr>
          <w:rFonts w:ascii="仿宋_GB2312" w:eastAsia="仿宋_GB2312"/>
          <w:sz w:val="28"/>
          <w:szCs w:val="28"/>
          <w:lang w:eastAsia="zh-CN"/>
        </w:rPr>
        <w:t>。</w:t>
      </w:r>
      <w:r>
        <w:rPr>
          <w:rFonts w:hint="eastAsia" w:ascii="仿宋_GB2312" w:eastAsia="仿宋_GB2312"/>
          <w:sz w:val="28"/>
          <w:szCs w:val="28"/>
          <w:lang w:eastAsia="zh-CN"/>
        </w:rPr>
        <w:t>为此对投标人提出如下要求：</w:t>
      </w:r>
    </w:p>
    <w:p>
      <w:pPr>
        <w:spacing w:line="4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6.1投标人应是响应招标、参加投标竞争的中华人民共和国境内的企事业法人，并有独立订立合同的权利；</w:t>
      </w:r>
    </w:p>
    <w:p>
      <w:pPr>
        <w:spacing w:line="4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6.2投标人具有航标生产制作许可证或安装（或维护）许可证或相关资质；</w:t>
      </w:r>
    </w:p>
    <w:p>
      <w:pPr>
        <w:spacing w:line="4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6.3投标人在专业技术、设备设施、人员组织、业绩经验等方面具有相应资格和能力，且近2年内无人为重大责任事故被通报；</w:t>
      </w:r>
    </w:p>
    <w:p>
      <w:pPr>
        <w:spacing w:line="4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6.4投标人近两年内，至少有2项安装或维护航标的工程业绩，且在生产运营中未发现重大的工程质量问题，需提供相关业绩合同扫描件；</w:t>
      </w:r>
    </w:p>
    <w:p>
      <w:pPr>
        <w:spacing w:line="4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6.5本次招标不接受联合体方式投标，不允许转包或分包；</w:t>
      </w:r>
    </w:p>
    <w:p>
      <w:pPr>
        <w:spacing w:line="4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6.6单位负责人为同一人或存在控股、管理关系的不同单位，不得参加同一标段或者未划分标段的同一招标项目的投标，否则相关投标均无效；</w:t>
      </w:r>
    </w:p>
    <w:p>
      <w:pPr>
        <w:spacing w:line="4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6.7不得使用通过受让或者租借等方式获取资格、资质证书等以他人名义投标。不接受使用伪造、变造的许可证件，提供虚假的财务状况或者业绩，提供虚假的项目负责人或者主要技术人员简历、劳动关系证明，提供虚假的信用状况等其他弄虚作假的行为。</w:t>
      </w:r>
    </w:p>
    <w:p>
      <w:pPr>
        <w:pStyle w:val="2"/>
      </w:pPr>
    </w:p>
    <w:sectPr>
      <w:footerReference r:id="rId5" w:type="default"/>
      <w:pgSz w:w="11906" w:h="16838"/>
      <w:pgMar w:top="1198" w:right="915" w:bottom="1120" w:left="1091"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eastAsia="zh-CN"/>
      </w:rPr>
      <w:pict>
        <v:shape id="文本框 1026" o:spid="_x0000_s2050"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gvQD2kAQAANAMAAA4AAABkcnMvZTJvRG9jLnhtbK1S&#10;QW7bMBC8F8gfCN5jykJqBILlAEGQIEDQFkj7AJoiLQIklyAZS/5A+4Oeeum97/I7uqQtN01uQS7U&#10;cHc52pnd5dVoDdnKEDW4ls5nFSXSCei027T029fb80tKYuKu4wacbOlORnq1OvuwHHwja+jBdDIQ&#10;JHGxGXxL+5R8w1gUvbQ8zsBLh0kFwfKE17BhXeADslvD6qpasAFC5wMIGSNGbw5Juir8SkmRPisV&#10;ZSKmpdhbKmco5zqfbLXkzSZw32txbIO/oQvLtcOfnqhueOLkKehXVFaLABFUmgmwDJTSQhYNqGZe&#10;vVDz2HMvixY0J/qTTfH9aMWn7ZdAdNfSmhLHLY5o//PH/tef/e/vZF7Vi+zQ4GODhY8eS9N4DSNO&#10;eopHDGbhowo2f1ESwTx6vTv5K8dEBAYvLutFhRmBqfnH+gIxsrN/j32I6U6CJRm0NOD4iqt8+xDT&#10;oXQqyf9ycKuNKSM07r8Ach4isuzA8XXWceg3ozSux6O4NXQ71GbuHVqb12QCYQLrCTz5oDc9Nlcc&#10;YJkIR1NUHNcoz/75HfHzZ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DpxV7ZAAAADQEAAA8A&#10;AAAAAAAAAQAgAAAAIgAAAGRycy9kb3ducmV2LnhtbFBLAQIUABQAAAAIAIdO4kC4L0A9pAEAADQD&#10;AAAOAAAAAAAAAAEAIAAAACgBAABkcnMvZTJvRG9jLnhtbFBLBQYAAAAABgAGAFkBAAA+BQ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eastAsia="zh-CN"/>
      </w:rPr>
      <w:pict>
        <v:shape id="文本框 1028" o:spid="_x0000_s2049"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McIYwikAQAANAMAAA4AAABkcnMvZTJvRG9jLnhtbK1S&#10;S27bMBDdF+gdCO5rymoaGILlAEWQokDRBEhzAJoiLQL8YchY8gXaG3SVTfY5l8+RIW25brsruqEe&#10;Z4ZP897M8mq0hmwlRO1dS+ezihLphO+027T04dvNuwUlMXHXceOdbOlORnq1evtmOYRG1r73ppNA&#10;kMTFZggt7VMKDWNR9NLyOPNBOkwqD5YnvMKGdcAHZLeG1VV1yQYPXQAvZIwYvT4k6arwKyVFulUq&#10;ykRMS7G3VE4o5zqfbLXkzQZ46LU4tsH/oQvLtcOfnqiueeLkEfRfVFYL8NGrNBPeMq+UFrJoQDXz&#10;6g819z0PsmhBc2I42RT/H634ur0DoruWvqfEcYsj2v/8sX962T9/J/OqXmSHhhAbLLwPWJrGj37E&#10;SU/xiMEsfFRg8xclEcyj17uTv3JMRGDwYlFfVpgRmJp/qC8QIzv79ThATJ+ktySDlgKOr7jKt19i&#10;OpROJflfzt9oY8oIjfstgJyHiCw7cHyddRz6zSiN6/Eobu27HWoznx1am9dkAjCB9QQeA+hNj80V&#10;B1gmwtEUFcc1yrM/vyM+X/bV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i9lMHZAAAADQEAAA8A&#10;AAAAAAAAAQAgAAAAIgAAAGRycy9kb3ducmV2LnhtbFBLAQIUABQAAAAIAIdO4kDHCGMIpAEAADQD&#10;AAAOAAAAAAAAAAEAIAAAACgBAABkcnMvZTJvRG9jLnhtbFBLBQYAAAAABgAGAFkBAAA+BQ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6CC07"/>
    <w:multiLevelType w:val="singleLevel"/>
    <w:tmpl w:val="AB46CC07"/>
    <w:lvl w:ilvl="0" w:tentative="0">
      <w:start w:val="2"/>
      <w:numFmt w:val="decimal"/>
      <w:lvlText w:val="%1."/>
      <w:lvlJc w:val="left"/>
      <w:pPr>
        <w:tabs>
          <w:tab w:val="left" w:pos="312"/>
        </w:tabs>
      </w:pPr>
    </w:lvl>
  </w:abstractNum>
  <w:abstractNum w:abstractNumId="1">
    <w:nsid w:val="00AA2607"/>
    <w:multiLevelType w:val="multilevel"/>
    <w:tmpl w:val="00AA260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5B7E1E76"/>
    <w:multiLevelType w:val="singleLevel"/>
    <w:tmpl w:val="5B7E1E76"/>
    <w:lvl w:ilvl="0" w:tentative="0">
      <w:start w:val="3"/>
      <w:numFmt w:val="decimal"/>
      <w:suff w:val="space"/>
      <w:lvlText w:val="%1."/>
      <w:lvlJc w:val="left"/>
    </w:lvl>
  </w:abstractNum>
  <w:abstractNum w:abstractNumId="8">
    <w:nsid w:val="62E9E60D"/>
    <w:multiLevelType w:val="singleLevel"/>
    <w:tmpl w:val="62E9E60D"/>
    <w:lvl w:ilvl="0" w:tentative="0">
      <w:start w:val="1"/>
      <w:numFmt w:val="chineseCounting"/>
      <w:suff w:val="nothing"/>
      <w:lvlText w:val="%1、"/>
      <w:lvlJc w:val="left"/>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WQ5NmYxMTZjZGRhOGE2MTg0YTI3ZTU4MDg0ZGNhYTEifQ=="/>
  </w:docVars>
  <w:rsids>
    <w:rsidRoot w:val="00967702"/>
    <w:rsid w:val="000004E6"/>
    <w:rsid w:val="000010FA"/>
    <w:rsid w:val="00001416"/>
    <w:rsid w:val="000034C1"/>
    <w:rsid w:val="000049FA"/>
    <w:rsid w:val="00004C5E"/>
    <w:rsid w:val="00022F89"/>
    <w:rsid w:val="00025717"/>
    <w:rsid w:val="000277D1"/>
    <w:rsid w:val="000367ED"/>
    <w:rsid w:val="00037D7F"/>
    <w:rsid w:val="0004223C"/>
    <w:rsid w:val="00052C0E"/>
    <w:rsid w:val="00057E4C"/>
    <w:rsid w:val="00060DB7"/>
    <w:rsid w:val="00065E22"/>
    <w:rsid w:val="000674E3"/>
    <w:rsid w:val="00074760"/>
    <w:rsid w:val="00075250"/>
    <w:rsid w:val="00085CA2"/>
    <w:rsid w:val="00092243"/>
    <w:rsid w:val="0009500D"/>
    <w:rsid w:val="000962C0"/>
    <w:rsid w:val="000A1C86"/>
    <w:rsid w:val="000A52A1"/>
    <w:rsid w:val="000A6182"/>
    <w:rsid w:val="000B0914"/>
    <w:rsid w:val="000C57EB"/>
    <w:rsid w:val="000C629C"/>
    <w:rsid w:val="000D0632"/>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517E"/>
    <w:rsid w:val="00146977"/>
    <w:rsid w:val="00147370"/>
    <w:rsid w:val="001507FD"/>
    <w:rsid w:val="00150CB0"/>
    <w:rsid w:val="00152366"/>
    <w:rsid w:val="001542CE"/>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34BA"/>
    <w:rsid w:val="002F755A"/>
    <w:rsid w:val="003053B9"/>
    <w:rsid w:val="003102D1"/>
    <w:rsid w:val="00311F21"/>
    <w:rsid w:val="003221F4"/>
    <w:rsid w:val="00322502"/>
    <w:rsid w:val="00322549"/>
    <w:rsid w:val="00331810"/>
    <w:rsid w:val="0033277A"/>
    <w:rsid w:val="003344D9"/>
    <w:rsid w:val="00336B6A"/>
    <w:rsid w:val="00342202"/>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F6B"/>
    <w:rsid w:val="003B6804"/>
    <w:rsid w:val="003B7CBD"/>
    <w:rsid w:val="003C1AF2"/>
    <w:rsid w:val="003E37C1"/>
    <w:rsid w:val="003F3600"/>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B5009"/>
    <w:rsid w:val="004C16AE"/>
    <w:rsid w:val="004C4437"/>
    <w:rsid w:val="004C4B54"/>
    <w:rsid w:val="004D6A19"/>
    <w:rsid w:val="004E645A"/>
    <w:rsid w:val="00500D74"/>
    <w:rsid w:val="00500DCE"/>
    <w:rsid w:val="00504EEE"/>
    <w:rsid w:val="00505560"/>
    <w:rsid w:val="005065C2"/>
    <w:rsid w:val="00513D5D"/>
    <w:rsid w:val="00514AFE"/>
    <w:rsid w:val="00526373"/>
    <w:rsid w:val="00533119"/>
    <w:rsid w:val="005339E0"/>
    <w:rsid w:val="005345C8"/>
    <w:rsid w:val="005369F4"/>
    <w:rsid w:val="00547AD0"/>
    <w:rsid w:val="00550EFE"/>
    <w:rsid w:val="005518F3"/>
    <w:rsid w:val="00555E59"/>
    <w:rsid w:val="00563D30"/>
    <w:rsid w:val="00565CF8"/>
    <w:rsid w:val="00576ADD"/>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58DE"/>
    <w:rsid w:val="00647B91"/>
    <w:rsid w:val="0065429C"/>
    <w:rsid w:val="00662168"/>
    <w:rsid w:val="006631EB"/>
    <w:rsid w:val="00664A57"/>
    <w:rsid w:val="00664E56"/>
    <w:rsid w:val="0067221B"/>
    <w:rsid w:val="00675961"/>
    <w:rsid w:val="0068543C"/>
    <w:rsid w:val="00693649"/>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56D13"/>
    <w:rsid w:val="007601EF"/>
    <w:rsid w:val="00760373"/>
    <w:rsid w:val="00764E2D"/>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40E3"/>
    <w:rsid w:val="007E67FB"/>
    <w:rsid w:val="007E6CD1"/>
    <w:rsid w:val="007F06B2"/>
    <w:rsid w:val="007F3EB5"/>
    <w:rsid w:val="007F61D0"/>
    <w:rsid w:val="00804A52"/>
    <w:rsid w:val="00811DBA"/>
    <w:rsid w:val="00812870"/>
    <w:rsid w:val="008147A7"/>
    <w:rsid w:val="008263B0"/>
    <w:rsid w:val="00826D77"/>
    <w:rsid w:val="008279D0"/>
    <w:rsid w:val="008367BA"/>
    <w:rsid w:val="0084007B"/>
    <w:rsid w:val="00840870"/>
    <w:rsid w:val="008433A6"/>
    <w:rsid w:val="00844E9A"/>
    <w:rsid w:val="0085290F"/>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E1769"/>
    <w:rsid w:val="008E1F3F"/>
    <w:rsid w:val="008E2155"/>
    <w:rsid w:val="008E5198"/>
    <w:rsid w:val="008F3559"/>
    <w:rsid w:val="008F70B7"/>
    <w:rsid w:val="009032FB"/>
    <w:rsid w:val="00916B19"/>
    <w:rsid w:val="00917368"/>
    <w:rsid w:val="00930487"/>
    <w:rsid w:val="009312CA"/>
    <w:rsid w:val="009353D9"/>
    <w:rsid w:val="00937414"/>
    <w:rsid w:val="009415BE"/>
    <w:rsid w:val="00947644"/>
    <w:rsid w:val="00951187"/>
    <w:rsid w:val="00952F8D"/>
    <w:rsid w:val="00955894"/>
    <w:rsid w:val="00955A6F"/>
    <w:rsid w:val="00957249"/>
    <w:rsid w:val="00964F96"/>
    <w:rsid w:val="009663D1"/>
    <w:rsid w:val="00967702"/>
    <w:rsid w:val="00971BD1"/>
    <w:rsid w:val="00974883"/>
    <w:rsid w:val="00975EAC"/>
    <w:rsid w:val="009873FF"/>
    <w:rsid w:val="009928C9"/>
    <w:rsid w:val="00992DC8"/>
    <w:rsid w:val="00994CE0"/>
    <w:rsid w:val="00995F84"/>
    <w:rsid w:val="0099730F"/>
    <w:rsid w:val="009A5755"/>
    <w:rsid w:val="009A5EA2"/>
    <w:rsid w:val="009A6DBD"/>
    <w:rsid w:val="009A6FD0"/>
    <w:rsid w:val="009B054A"/>
    <w:rsid w:val="009B1754"/>
    <w:rsid w:val="009B2DE5"/>
    <w:rsid w:val="009B34B8"/>
    <w:rsid w:val="009B734B"/>
    <w:rsid w:val="009D3F0E"/>
    <w:rsid w:val="009D49AE"/>
    <w:rsid w:val="009D501D"/>
    <w:rsid w:val="009D7449"/>
    <w:rsid w:val="009E1058"/>
    <w:rsid w:val="009E71FC"/>
    <w:rsid w:val="009F0778"/>
    <w:rsid w:val="009F6299"/>
    <w:rsid w:val="00A00BE5"/>
    <w:rsid w:val="00A13477"/>
    <w:rsid w:val="00A149E5"/>
    <w:rsid w:val="00A153FC"/>
    <w:rsid w:val="00A154A3"/>
    <w:rsid w:val="00A2542D"/>
    <w:rsid w:val="00A278D7"/>
    <w:rsid w:val="00A31B63"/>
    <w:rsid w:val="00A37693"/>
    <w:rsid w:val="00A42B82"/>
    <w:rsid w:val="00A4345F"/>
    <w:rsid w:val="00A45F18"/>
    <w:rsid w:val="00A50106"/>
    <w:rsid w:val="00A614C8"/>
    <w:rsid w:val="00A62247"/>
    <w:rsid w:val="00A6610B"/>
    <w:rsid w:val="00A70480"/>
    <w:rsid w:val="00A7270C"/>
    <w:rsid w:val="00A82B0B"/>
    <w:rsid w:val="00A854A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D749A"/>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5E"/>
    <w:rsid w:val="00B81287"/>
    <w:rsid w:val="00B84124"/>
    <w:rsid w:val="00B841E6"/>
    <w:rsid w:val="00B908A4"/>
    <w:rsid w:val="00B912C6"/>
    <w:rsid w:val="00B92794"/>
    <w:rsid w:val="00B92BAE"/>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111C"/>
    <w:rsid w:val="00C13082"/>
    <w:rsid w:val="00C13286"/>
    <w:rsid w:val="00C14D2D"/>
    <w:rsid w:val="00C15E1F"/>
    <w:rsid w:val="00C20605"/>
    <w:rsid w:val="00C257AE"/>
    <w:rsid w:val="00C267A5"/>
    <w:rsid w:val="00C31D86"/>
    <w:rsid w:val="00C36CCA"/>
    <w:rsid w:val="00C41EDF"/>
    <w:rsid w:val="00C51166"/>
    <w:rsid w:val="00C518F0"/>
    <w:rsid w:val="00C5267D"/>
    <w:rsid w:val="00C53E9A"/>
    <w:rsid w:val="00C6183F"/>
    <w:rsid w:val="00C66B1B"/>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80338"/>
    <w:rsid w:val="00F81A93"/>
    <w:rsid w:val="00F84F93"/>
    <w:rsid w:val="00F8501D"/>
    <w:rsid w:val="00FA12B9"/>
    <w:rsid w:val="00FB0C70"/>
    <w:rsid w:val="00FB1952"/>
    <w:rsid w:val="00FB7A38"/>
    <w:rsid w:val="00FC6A22"/>
    <w:rsid w:val="00FD0D54"/>
    <w:rsid w:val="00FD1B14"/>
    <w:rsid w:val="00FD1DC9"/>
    <w:rsid w:val="00FD29D5"/>
    <w:rsid w:val="00FE1531"/>
    <w:rsid w:val="00FE1DB9"/>
    <w:rsid w:val="00FE65F9"/>
    <w:rsid w:val="00FF0727"/>
    <w:rsid w:val="00FF49E8"/>
    <w:rsid w:val="00FF5F83"/>
    <w:rsid w:val="02154C9E"/>
    <w:rsid w:val="024803D1"/>
    <w:rsid w:val="02D81AA4"/>
    <w:rsid w:val="035D50A6"/>
    <w:rsid w:val="0367315B"/>
    <w:rsid w:val="03AC2208"/>
    <w:rsid w:val="03FC0ED3"/>
    <w:rsid w:val="049428BB"/>
    <w:rsid w:val="054002CE"/>
    <w:rsid w:val="060C619A"/>
    <w:rsid w:val="061139E5"/>
    <w:rsid w:val="06F50B00"/>
    <w:rsid w:val="076E1278"/>
    <w:rsid w:val="07F12E2A"/>
    <w:rsid w:val="08D1141D"/>
    <w:rsid w:val="08DB0BA8"/>
    <w:rsid w:val="09114AE3"/>
    <w:rsid w:val="0B296DE2"/>
    <w:rsid w:val="0C4D6E47"/>
    <w:rsid w:val="0CD75DDF"/>
    <w:rsid w:val="0E0D7F6B"/>
    <w:rsid w:val="0E4068AB"/>
    <w:rsid w:val="0E5F2B77"/>
    <w:rsid w:val="0E6154FA"/>
    <w:rsid w:val="0ECC0803"/>
    <w:rsid w:val="0EDD6CF0"/>
    <w:rsid w:val="0FB83347"/>
    <w:rsid w:val="0FCD10EE"/>
    <w:rsid w:val="10294AA3"/>
    <w:rsid w:val="10E40CA0"/>
    <w:rsid w:val="136130D9"/>
    <w:rsid w:val="13986DBC"/>
    <w:rsid w:val="13E5437F"/>
    <w:rsid w:val="14385447"/>
    <w:rsid w:val="1652774F"/>
    <w:rsid w:val="17691C63"/>
    <w:rsid w:val="17EA37D6"/>
    <w:rsid w:val="18796374"/>
    <w:rsid w:val="18DD4F7E"/>
    <w:rsid w:val="195B58A2"/>
    <w:rsid w:val="1A884225"/>
    <w:rsid w:val="1BDA6B7A"/>
    <w:rsid w:val="1C8231B4"/>
    <w:rsid w:val="1CF00A03"/>
    <w:rsid w:val="1D0A124D"/>
    <w:rsid w:val="1E085A14"/>
    <w:rsid w:val="1E2C2AA6"/>
    <w:rsid w:val="1E6D0F11"/>
    <w:rsid w:val="1EF1739F"/>
    <w:rsid w:val="1FA42F25"/>
    <w:rsid w:val="1FAB5EF7"/>
    <w:rsid w:val="1FCD58EA"/>
    <w:rsid w:val="1FF43DDB"/>
    <w:rsid w:val="200668C2"/>
    <w:rsid w:val="206C5804"/>
    <w:rsid w:val="21607D0F"/>
    <w:rsid w:val="21621E3B"/>
    <w:rsid w:val="21933AA2"/>
    <w:rsid w:val="22E07C1C"/>
    <w:rsid w:val="231F4B46"/>
    <w:rsid w:val="2471353F"/>
    <w:rsid w:val="24CB4AA9"/>
    <w:rsid w:val="24DF1F9D"/>
    <w:rsid w:val="25BF356F"/>
    <w:rsid w:val="25DB0C2D"/>
    <w:rsid w:val="264B3234"/>
    <w:rsid w:val="269469E7"/>
    <w:rsid w:val="27086DAF"/>
    <w:rsid w:val="28277887"/>
    <w:rsid w:val="282A5C72"/>
    <w:rsid w:val="289C2193"/>
    <w:rsid w:val="29FC3B14"/>
    <w:rsid w:val="2B1012B4"/>
    <w:rsid w:val="2B11792E"/>
    <w:rsid w:val="2CFD6B7D"/>
    <w:rsid w:val="2E850506"/>
    <w:rsid w:val="2EED603F"/>
    <w:rsid w:val="2F1F04AE"/>
    <w:rsid w:val="2F7360B6"/>
    <w:rsid w:val="2FBE0961"/>
    <w:rsid w:val="2FF879D1"/>
    <w:rsid w:val="304B3CEC"/>
    <w:rsid w:val="30BC10CE"/>
    <w:rsid w:val="312637DA"/>
    <w:rsid w:val="319643A2"/>
    <w:rsid w:val="319B3869"/>
    <w:rsid w:val="31C54755"/>
    <w:rsid w:val="3216608C"/>
    <w:rsid w:val="32202D37"/>
    <w:rsid w:val="32427997"/>
    <w:rsid w:val="32675B84"/>
    <w:rsid w:val="327B26AF"/>
    <w:rsid w:val="34CE14C6"/>
    <w:rsid w:val="34D84CEC"/>
    <w:rsid w:val="37356611"/>
    <w:rsid w:val="37A70A29"/>
    <w:rsid w:val="37AF5AB7"/>
    <w:rsid w:val="38A70432"/>
    <w:rsid w:val="39357DBD"/>
    <w:rsid w:val="3B1C3371"/>
    <w:rsid w:val="3BFB41F3"/>
    <w:rsid w:val="3C4B6065"/>
    <w:rsid w:val="3CC23198"/>
    <w:rsid w:val="3CD470C8"/>
    <w:rsid w:val="3D7342BE"/>
    <w:rsid w:val="3DDF4815"/>
    <w:rsid w:val="3FAB16C9"/>
    <w:rsid w:val="3FE669E5"/>
    <w:rsid w:val="41B704D4"/>
    <w:rsid w:val="41EA2AAD"/>
    <w:rsid w:val="434D2986"/>
    <w:rsid w:val="44816FD3"/>
    <w:rsid w:val="44AB6177"/>
    <w:rsid w:val="45694E50"/>
    <w:rsid w:val="46290CD2"/>
    <w:rsid w:val="466A240E"/>
    <w:rsid w:val="475C5076"/>
    <w:rsid w:val="4C6D0E78"/>
    <w:rsid w:val="4F107C42"/>
    <w:rsid w:val="506B7DE6"/>
    <w:rsid w:val="50E214FC"/>
    <w:rsid w:val="50F63E28"/>
    <w:rsid w:val="51E80BD1"/>
    <w:rsid w:val="5221007F"/>
    <w:rsid w:val="526E1F34"/>
    <w:rsid w:val="52926B5A"/>
    <w:rsid w:val="52E129FA"/>
    <w:rsid w:val="54431D94"/>
    <w:rsid w:val="545C5E51"/>
    <w:rsid w:val="5486175B"/>
    <w:rsid w:val="56341428"/>
    <w:rsid w:val="57667D24"/>
    <w:rsid w:val="57CE5BC3"/>
    <w:rsid w:val="58164413"/>
    <w:rsid w:val="58D10988"/>
    <w:rsid w:val="593D2B4E"/>
    <w:rsid w:val="5AE1516A"/>
    <w:rsid w:val="5B6A3A79"/>
    <w:rsid w:val="5B7C50AB"/>
    <w:rsid w:val="5BBE7DCA"/>
    <w:rsid w:val="5C1A5F7B"/>
    <w:rsid w:val="61315BEF"/>
    <w:rsid w:val="623E36E1"/>
    <w:rsid w:val="63945B4E"/>
    <w:rsid w:val="645771F8"/>
    <w:rsid w:val="64770716"/>
    <w:rsid w:val="64B0156D"/>
    <w:rsid w:val="64C97ABB"/>
    <w:rsid w:val="64FD4F7E"/>
    <w:rsid w:val="65034A49"/>
    <w:rsid w:val="666A7101"/>
    <w:rsid w:val="66EF2EB3"/>
    <w:rsid w:val="67302A7F"/>
    <w:rsid w:val="6A54112D"/>
    <w:rsid w:val="6AA035AE"/>
    <w:rsid w:val="6B7344E6"/>
    <w:rsid w:val="6BCC39D5"/>
    <w:rsid w:val="6C751931"/>
    <w:rsid w:val="6CD61942"/>
    <w:rsid w:val="6D432CA7"/>
    <w:rsid w:val="6E0F2E14"/>
    <w:rsid w:val="6E4F186F"/>
    <w:rsid w:val="6E8E00E1"/>
    <w:rsid w:val="6F14410F"/>
    <w:rsid w:val="6F1E141D"/>
    <w:rsid w:val="6F5354F8"/>
    <w:rsid w:val="6F724007"/>
    <w:rsid w:val="70223D7A"/>
    <w:rsid w:val="70347549"/>
    <w:rsid w:val="705A02D6"/>
    <w:rsid w:val="70D42570"/>
    <w:rsid w:val="7182273C"/>
    <w:rsid w:val="7277763E"/>
    <w:rsid w:val="73C7607E"/>
    <w:rsid w:val="73E31679"/>
    <w:rsid w:val="740A2BDE"/>
    <w:rsid w:val="746165A0"/>
    <w:rsid w:val="74ED6F82"/>
    <w:rsid w:val="751839E0"/>
    <w:rsid w:val="759040EF"/>
    <w:rsid w:val="76274F93"/>
    <w:rsid w:val="77172300"/>
    <w:rsid w:val="7772065D"/>
    <w:rsid w:val="77982409"/>
    <w:rsid w:val="77B140C1"/>
    <w:rsid w:val="78A80E8F"/>
    <w:rsid w:val="79EB3F2F"/>
    <w:rsid w:val="7AAB185F"/>
    <w:rsid w:val="7B11789E"/>
    <w:rsid w:val="7D815303"/>
    <w:rsid w:val="7DAA301D"/>
    <w:rsid w:val="7DC94A0A"/>
    <w:rsid w:val="7E203116"/>
    <w:rsid w:val="7E504736"/>
    <w:rsid w:val="7E5B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0"/>
    <w:pPr>
      <w:tabs>
        <w:tab w:val="center" w:pos="4153"/>
        <w:tab w:val="right" w:pos="8306"/>
      </w:tabs>
      <w:snapToGrid w:val="0"/>
    </w:pPr>
    <w:rPr>
      <w:sz w:val="18"/>
      <w:szCs w:val="18"/>
    </w:rPr>
  </w:style>
  <w:style w:type="paragraph" w:styleId="31">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none"/>
    </w:rPr>
  </w:style>
  <w:style w:type="character" w:styleId="52">
    <w:name w:val="Emphasis"/>
    <w:basedOn w:val="48"/>
    <w:qFormat/>
    <w:uiPriority w:val="0"/>
  </w:style>
  <w:style w:type="character" w:styleId="53">
    <w:name w:val="HTML Definition"/>
    <w:basedOn w:val="48"/>
    <w:unhideWhenUsed/>
    <w:qFormat/>
    <w:uiPriority w:val="0"/>
  </w:style>
  <w:style w:type="character" w:styleId="54">
    <w:name w:val="HTML Variable"/>
    <w:basedOn w:val="48"/>
    <w:unhideWhenUsed/>
    <w:qFormat/>
    <w:uiPriority w:val="0"/>
  </w:style>
  <w:style w:type="character" w:styleId="55">
    <w:name w:val="Hyperlink"/>
    <w:basedOn w:val="48"/>
    <w:qFormat/>
    <w:uiPriority w:val="0"/>
    <w:rPr>
      <w:color w:val="0000FF" w:themeColor="hyperlink"/>
      <w:u w:val="single"/>
    </w:rPr>
  </w:style>
  <w:style w:type="character" w:styleId="56">
    <w:name w:val="HTML Code"/>
    <w:basedOn w:val="48"/>
    <w:unhideWhenUsed/>
    <w:qFormat/>
    <w:uiPriority w:val="0"/>
    <w:rPr>
      <w:rFonts w:ascii="Courier New" w:hAnsi="Courier New"/>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0"/>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0"/>
    <w:rPr>
      <w:rFonts w:ascii="宋体" w:hAnsi="宋体" w:cs="宋体"/>
      <w:sz w:val="18"/>
      <w:szCs w:val="22"/>
      <w:lang w:eastAsia="en-US"/>
    </w:rPr>
  </w:style>
  <w:style w:type="table" w:customStyle="1" w:styleId="73">
    <w:name w:val="Table Normal"/>
    <w:unhideWhenUsed/>
    <w:qFormat/>
    <w:uiPriority w:val="2"/>
    <w:tblPr>
      <w:tblCellMar>
        <w:top w:w="0" w:type="dxa"/>
        <w:left w:w="0" w:type="dxa"/>
        <w:bottom w:w="0" w:type="dxa"/>
        <w:right w:w="0" w:type="dxa"/>
      </w:tblCellMar>
    </w:tblPr>
  </w:style>
  <w:style w:type="paragraph" w:customStyle="1" w:styleId="74">
    <w:name w:val="列出段落1"/>
    <w:basedOn w:val="1"/>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0"/>
    <w:rPr>
      <w:rFonts w:ascii="Calibri" w:hAnsi="Calibri"/>
      <w:sz w:val="22"/>
      <w:szCs w:val="22"/>
    </w:rPr>
  </w:style>
  <w:style w:type="paragraph" w:customStyle="1" w:styleId="84">
    <w:name w:val="无间隔1"/>
    <w:link w:val="83"/>
    <w:qFormat/>
    <w:uiPriority w:val="0"/>
    <w:rPr>
      <w:rFonts w:ascii="Calibri" w:hAnsi="Calibri" w:eastAsia="宋体" w:cs="Times New Roman"/>
      <w:sz w:val="22"/>
      <w:szCs w:val="22"/>
      <w:lang w:val="en-US" w:eastAsia="zh-CN" w:bidi="ar-SA"/>
    </w:rPr>
  </w:style>
  <w:style w:type="character" w:customStyle="1" w:styleId="85">
    <w:name w:val="批注文字 Char"/>
    <w:basedOn w:val="48"/>
    <w:link w:val="17"/>
    <w:qFormat/>
    <w:uiPriority w:val="0"/>
    <w:rPr>
      <w:kern w:val="2"/>
      <w:sz w:val="21"/>
    </w:rPr>
  </w:style>
  <w:style w:type="character" w:customStyle="1" w:styleId="86">
    <w:name w:val="批注框文本 Char"/>
    <w:basedOn w:val="48"/>
    <w:link w:val="29"/>
    <w:qFormat/>
    <w:uiPriority w:val="0"/>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0"/>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qFormat/>
    <w:uiPriority w:val="0"/>
    <w:rPr>
      <w:rFonts w:eastAsia="宋体"/>
      <w:sz w:val="21"/>
      <w:szCs w:val="21"/>
      <w:lang w:val="en-US" w:eastAsia="zh-CN" w:bidi="ar-SA"/>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qFormat/>
    <w:uiPriority w:val="0"/>
    <w:rPr>
      <w:rFonts w:ascii="宋体" w:hAnsi="宋体" w:cs="宋体"/>
      <w:sz w:val="22"/>
      <w:szCs w:val="22"/>
      <w:lang w:eastAsia="en-US"/>
    </w:rPr>
  </w:style>
  <w:style w:type="character" w:customStyle="1" w:styleId="129">
    <w:name w:val="标题 Char1"/>
    <w:basedOn w:val="48"/>
    <w:qFormat/>
    <w:uiPriority w:val="0"/>
    <w:rPr>
      <w:rFonts w:asciiTheme="majorHAnsi" w:hAnsiTheme="majorHAnsi" w:cstheme="majorBidi"/>
      <w:b/>
      <w:bCs/>
      <w:sz w:val="32"/>
      <w:szCs w:val="32"/>
      <w:lang w:eastAsia="en-US"/>
    </w:rPr>
  </w:style>
  <w:style w:type="character" w:customStyle="1" w:styleId="130">
    <w:name w:val="正文文本缩进 3 Char1"/>
    <w:basedOn w:val="48"/>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character" w:customStyle="1" w:styleId="208">
    <w:name w:val="xdrichtextbox"/>
    <w:basedOn w:val="48"/>
    <w:qFormat/>
    <w:uiPriority w:val="0"/>
  </w:style>
  <w:style w:type="paragraph" w:customStyle="1" w:styleId="209">
    <w:name w:val="表的标题"/>
    <w:basedOn w:val="1"/>
    <w:next w:val="210"/>
    <w:qFormat/>
    <w:uiPriority w:val="0"/>
    <w:pPr>
      <w:adjustRightInd w:val="0"/>
      <w:snapToGrid w:val="0"/>
      <w:jc w:val="center"/>
    </w:pPr>
    <w:rPr>
      <w:rFonts w:ascii="Arial" w:hAnsi="Arial"/>
      <w:sz w:val="24"/>
      <w:szCs w:val="20"/>
    </w:rPr>
  </w:style>
  <w:style w:type="paragraph" w:customStyle="1" w:styleId="210">
    <w:name w:val="表中正文"/>
    <w:basedOn w:val="1"/>
    <w:qFormat/>
    <w:uiPriority w:val="0"/>
    <w:pPr>
      <w:adjustRightInd w:val="0"/>
      <w:snapToGrid w:val="0"/>
      <w:spacing w:line="300" w:lineRule="exact"/>
      <w:jc w:val="center"/>
    </w:pPr>
    <w:rPr>
      <w:rFonts w:hAnsi="Times New Roman" w:cs="Times New Roman"/>
      <w:szCs w:val="21"/>
    </w:rPr>
  </w:style>
  <w:style w:type="character" w:customStyle="1" w:styleId="211">
    <w:name w:val="layui-layer-tabnow"/>
    <w:basedOn w:val="48"/>
    <w:qFormat/>
    <w:uiPriority w:val="0"/>
    <w:rPr>
      <w:bdr w:val="single" w:color="CCCCCC" w:sz="6" w:space="0"/>
      <w:shd w:val="clear" w:color="auto" w:fill="FFFFFF"/>
    </w:rPr>
  </w:style>
  <w:style w:type="character" w:customStyle="1" w:styleId="212">
    <w:name w:val="cdropleft"/>
    <w:basedOn w:val="48"/>
    <w:qFormat/>
    <w:uiPriority w:val="0"/>
  </w:style>
  <w:style w:type="character" w:customStyle="1" w:styleId="213">
    <w:name w:val="icontext2"/>
    <w:basedOn w:val="48"/>
    <w:qFormat/>
    <w:uiPriority w:val="0"/>
  </w:style>
  <w:style w:type="character" w:customStyle="1" w:styleId="214">
    <w:name w:val="icontext1"/>
    <w:basedOn w:val="48"/>
    <w:qFormat/>
    <w:uiPriority w:val="0"/>
  </w:style>
  <w:style w:type="character" w:customStyle="1" w:styleId="215">
    <w:name w:val="icontext11"/>
    <w:basedOn w:val="48"/>
    <w:qFormat/>
    <w:uiPriority w:val="0"/>
  </w:style>
  <w:style w:type="character" w:customStyle="1" w:styleId="216">
    <w:name w:val="icontext12"/>
    <w:basedOn w:val="48"/>
    <w:qFormat/>
    <w:uiPriority w:val="0"/>
  </w:style>
  <w:style w:type="character" w:customStyle="1" w:styleId="217">
    <w:name w:val="tmpztreemove_arrow"/>
    <w:basedOn w:val="48"/>
    <w:qFormat/>
    <w:uiPriority w:val="0"/>
  </w:style>
  <w:style w:type="character" w:customStyle="1" w:styleId="218">
    <w:name w:val="w32"/>
    <w:basedOn w:val="48"/>
    <w:qFormat/>
    <w:uiPriority w:val="0"/>
  </w:style>
  <w:style w:type="character" w:customStyle="1" w:styleId="219">
    <w:name w:val="button"/>
    <w:basedOn w:val="48"/>
    <w:qFormat/>
    <w:uiPriority w:val="0"/>
  </w:style>
  <w:style w:type="character" w:customStyle="1" w:styleId="220">
    <w:name w:val="iconline2"/>
    <w:basedOn w:val="48"/>
    <w:qFormat/>
    <w:uiPriority w:val="0"/>
  </w:style>
  <w:style w:type="character" w:customStyle="1" w:styleId="221">
    <w:name w:val="iconline21"/>
    <w:basedOn w:val="48"/>
    <w:qFormat/>
    <w:uiPriority w:val="0"/>
  </w:style>
  <w:style w:type="character" w:customStyle="1" w:styleId="222">
    <w:name w:val="icontext3"/>
    <w:basedOn w:val="48"/>
    <w:qFormat/>
    <w:uiPriority w:val="0"/>
  </w:style>
  <w:style w:type="character" w:customStyle="1" w:styleId="223">
    <w:name w:val="cy"/>
    <w:basedOn w:val="48"/>
    <w:qFormat/>
    <w:uiPriority w:val="0"/>
  </w:style>
  <w:style w:type="character" w:customStyle="1" w:styleId="224">
    <w:name w:val="first-child"/>
    <w:basedOn w:val="48"/>
    <w:qFormat/>
    <w:uiPriority w:val="0"/>
  </w:style>
  <w:style w:type="character" w:customStyle="1" w:styleId="225">
    <w:name w:val="choosename"/>
    <w:basedOn w:val="48"/>
    <w:qFormat/>
    <w:uiPriority w:val="0"/>
  </w:style>
  <w:style w:type="character" w:customStyle="1" w:styleId="226">
    <w:name w:val="design_class"/>
    <w:basedOn w:val="48"/>
    <w:qFormat/>
    <w:uiPriority w:val="0"/>
  </w:style>
  <w:style w:type="character" w:customStyle="1" w:styleId="227">
    <w:name w:val="hover39"/>
    <w:basedOn w:val="48"/>
    <w:qFormat/>
    <w:uiPriority w:val="0"/>
    <w:rPr>
      <w:color w:val="FFFFFF"/>
    </w:rPr>
  </w:style>
  <w:style w:type="character" w:customStyle="1" w:styleId="228">
    <w:name w:val="associateddata"/>
    <w:basedOn w:val="48"/>
    <w:qFormat/>
    <w:uiPriority w:val="0"/>
    <w:rPr>
      <w:shd w:val="clear" w:color="auto" w:fill="50A6F9"/>
    </w:rPr>
  </w:style>
  <w:style w:type="character" w:customStyle="1" w:styleId="229">
    <w:name w:val="pagechatarealistclose_box"/>
    <w:basedOn w:val="48"/>
    <w:qFormat/>
    <w:uiPriority w:val="0"/>
  </w:style>
  <w:style w:type="character" w:customStyle="1" w:styleId="230">
    <w:name w:val="pagechatarealistclose_box1"/>
    <w:basedOn w:val="48"/>
    <w:qFormat/>
    <w:uiPriority w:val="0"/>
  </w:style>
  <w:style w:type="character" w:customStyle="1" w:styleId="231">
    <w:name w:val="ico1653"/>
    <w:basedOn w:val="48"/>
    <w:qFormat/>
    <w:uiPriority w:val="0"/>
  </w:style>
  <w:style w:type="character" w:customStyle="1" w:styleId="232">
    <w:name w:val="ico1654"/>
    <w:basedOn w:val="48"/>
    <w:qFormat/>
    <w:uiPriority w:val="0"/>
  </w:style>
  <w:style w:type="character" w:customStyle="1" w:styleId="233">
    <w:name w:val="edit_class"/>
    <w:basedOn w:val="48"/>
    <w:qFormat/>
    <w:uiPriority w:val="0"/>
  </w:style>
  <w:style w:type="character" w:customStyle="1" w:styleId="234">
    <w:name w:val="biggerthanmax"/>
    <w:basedOn w:val="48"/>
    <w:qFormat/>
    <w:uiPriority w:val="0"/>
    <w:rPr>
      <w:shd w:val="clear" w:color="auto" w:fill="FFFF00"/>
    </w:rPr>
  </w:style>
  <w:style w:type="character" w:customStyle="1" w:styleId="235">
    <w:name w:val="after"/>
    <w:basedOn w:val="48"/>
    <w:qFormat/>
    <w:uiPriority w:val="0"/>
    <w:rPr>
      <w:sz w:val="0"/>
      <w:szCs w:val="0"/>
    </w:rPr>
  </w:style>
  <w:style w:type="character" w:customStyle="1" w:styleId="236">
    <w:name w:val="cdropright"/>
    <w:basedOn w:val="48"/>
    <w:qFormat/>
    <w:uiPriority w:val="0"/>
  </w:style>
  <w:style w:type="character" w:customStyle="1" w:styleId="237">
    <w:name w:val="drapbtn"/>
    <w:basedOn w:val="48"/>
    <w:qFormat/>
    <w:uiPriority w:val="0"/>
  </w:style>
  <w:style w:type="character" w:customStyle="1" w:styleId="238">
    <w:name w:val="hilite5"/>
    <w:basedOn w:val="48"/>
    <w:qFormat/>
    <w:uiPriority w:val="0"/>
    <w:rPr>
      <w:color w:val="FFFFFF"/>
      <w:shd w:val="clear" w:color="auto" w:fill="666666"/>
    </w:rPr>
  </w:style>
  <w:style w:type="character" w:customStyle="1" w:styleId="239">
    <w:name w:val="active5"/>
    <w:basedOn w:val="48"/>
    <w:qFormat/>
    <w:uiPriority w:val="0"/>
    <w:rPr>
      <w:color w:val="00FF00"/>
      <w:shd w:val="clear" w:color="auto" w:fill="111111"/>
    </w:rPr>
  </w:style>
  <w:style w:type="character" w:customStyle="1" w:styleId="240">
    <w:name w:val="active6"/>
    <w:basedOn w:val="48"/>
    <w:qFormat/>
    <w:uiPriority w:val="0"/>
    <w:rPr>
      <w:shd w:val="clear" w:color="auto" w:fill="EC3535"/>
    </w:rPr>
  </w:style>
  <w:style w:type="character" w:customStyle="1" w:styleId="241">
    <w:name w:val="xdrichtextbox4"/>
    <w:basedOn w:val="48"/>
    <w:qFormat/>
    <w:uiPriority w:val="0"/>
  </w:style>
  <w:style w:type="character" w:customStyle="1" w:styleId="242">
    <w:name w:val="button4"/>
    <w:basedOn w:val="48"/>
    <w:qFormat/>
    <w:uiPriority w:val="0"/>
  </w:style>
  <w:style w:type="character" w:customStyle="1" w:styleId="243">
    <w:name w:val="hilite6"/>
    <w:basedOn w:val="48"/>
    <w:qFormat/>
    <w:uiPriority w:val="0"/>
    <w:rPr>
      <w:color w:val="FFFFFF"/>
      <w:shd w:val="clear" w:color="auto" w:fill="666666"/>
    </w:rPr>
  </w:style>
  <w:style w:type="character" w:customStyle="1" w:styleId="244">
    <w:name w:val="active"/>
    <w:basedOn w:val="48"/>
    <w:qFormat/>
    <w:uiPriority w:val="0"/>
    <w:rPr>
      <w:color w:val="00FF00"/>
      <w:shd w:val="clear" w:color="auto" w:fill="111111"/>
    </w:rPr>
  </w:style>
  <w:style w:type="character" w:customStyle="1" w:styleId="245">
    <w:name w:val="active1"/>
    <w:basedOn w:val="48"/>
    <w:qFormat/>
    <w:uiPriority w:val="0"/>
    <w:rPr>
      <w:shd w:val="clear" w:color="auto" w:fill="EC3535"/>
    </w:rPr>
  </w:style>
  <w:style w:type="character" w:customStyle="1" w:styleId="246">
    <w:name w:val="hover41"/>
    <w:basedOn w:val="48"/>
    <w:qFormat/>
    <w:uiPriority w:val="0"/>
    <w:rPr>
      <w:color w:val="FFFFFF"/>
    </w:rPr>
  </w:style>
  <w:style w:type="character" w:customStyle="1" w:styleId="247">
    <w:name w:val="ico1655"/>
    <w:basedOn w:val="48"/>
    <w:qFormat/>
    <w:uiPriority w:val="0"/>
  </w:style>
  <w:style w:type="character" w:customStyle="1" w:styleId="248">
    <w:name w:val="active3"/>
    <w:basedOn w:val="48"/>
    <w:qFormat/>
    <w:uiPriority w:val="0"/>
    <w:rPr>
      <w:color w:val="00FF00"/>
      <w:shd w:val="clear" w:color="auto" w:fill="111111"/>
    </w:rPr>
  </w:style>
  <w:style w:type="character" w:customStyle="1" w:styleId="249">
    <w:name w:val="active4"/>
    <w:basedOn w:val="48"/>
    <w:qFormat/>
    <w:uiPriority w:val="0"/>
    <w:rPr>
      <w:shd w:val="clear" w:color="auto" w:fill="EC3535"/>
    </w:rPr>
  </w:style>
  <w:style w:type="character" w:customStyle="1" w:styleId="250">
    <w:name w:val="common_over_page_btn"/>
    <w:basedOn w:val="48"/>
    <w:qFormat/>
    <w:uiPriority w:val="0"/>
    <w:rPr>
      <w:color w:val="999999"/>
      <w:bdr w:val="single" w:color="D4D4D4" w:sz="6" w:space="0"/>
      <w:shd w:val="clear" w:color="auto" w:fill="FFFFFF"/>
    </w:rPr>
  </w:style>
  <w:style w:type="character" w:customStyle="1" w:styleId="251">
    <w:name w:val="common_over_page_btn1"/>
    <w:basedOn w:val="48"/>
    <w:qFormat/>
    <w:uiPriority w:val="0"/>
  </w:style>
  <w:style w:type="paragraph" w:customStyle="1" w:styleId="25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7D86E1-EA50-4DB5-ABEC-27453DFEDA87}">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14068</Words>
  <Characters>14533</Characters>
  <Lines>114</Lines>
  <Paragraphs>32</Paragraphs>
  <TotalTime>7</TotalTime>
  <ScaleCrop>false</ScaleCrop>
  <LinksUpToDate>false</LinksUpToDate>
  <CharactersWithSpaces>15581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chenjs</cp:lastModifiedBy>
  <dcterms:modified xsi:type="dcterms:W3CDTF">2022-09-26T01:20:46Z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2052-11.1.0.12358</vt:lpwstr>
  </property>
  <property fmtid="{D5CDD505-2E9C-101B-9397-08002B2CF9AE}" pid="6" name="ICV">
    <vt:lpwstr>FB810102974645B8B83075E49F73D9A7</vt:lpwstr>
  </property>
  <property fmtid="{D5CDD505-2E9C-101B-9397-08002B2CF9AE}" pid="7" name="commondata">
    <vt:lpwstr>eyJoZGlkIjoiNjgwMDRiZmZlZjU1MTM0YjVmMTZmYTU4Nzg2OGQ1ZjMifQ==</vt:lpwstr>
  </property>
</Properties>
</file>