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lang w:val="en-US" w:eastAsia="zh-CN"/>
        </w:rPr>
        <w:t>门岗联动报警装置采购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（文件编号：FHC-PTCG20220830002）</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hint="eastAsia" w:ascii="黑体" w:eastAsia="黑体"/>
          <w:sz w:val="32"/>
          <w:lang w:eastAsia="zh-CN"/>
        </w:r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default" w:ascii="宋体" w:hAnsi="宋体" w:eastAsia="宋体" w:cs="宋体"/>
          <w:sz w:val="24"/>
          <w:szCs w:val="24"/>
          <w:u w:val="single"/>
        </w:rPr>
        <w:t>消防安保团队</w:t>
      </w:r>
      <w:r>
        <w:rPr>
          <w:rFonts w:hint="default" w:ascii="Arial" w:hAnsi="Arial" w:eastAsia="宋体" w:cs="Arial"/>
          <w:sz w:val="24"/>
          <w:szCs w:val="24"/>
          <w:u w:val="single"/>
        </w:rPr>
        <w:t>门岗联动报警装置</w:t>
      </w:r>
      <w:r>
        <w:rPr>
          <w:rFonts w:hint="eastAsia" w:asciiTheme="majorEastAsia" w:hAnsiTheme="majorEastAsia" w:eastAsiaTheme="majorEastAsia"/>
          <w:u w:val="single"/>
          <w:lang w:eastAsia="zh-CN"/>
        </w:rPr>
        <w:t>采购项目（项目编号：FHC-PTCG20220830002）</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default" w:asciiTheme="majorEastAsia" w:hAnsiTheme="majorEastAsia" w:eastAsiaTheme="majorEastAsia"/>
          <w:bCs/>
          <w:sz w:val="24"/>
          <w:szCs w:val="24"/>
          <w:u w:val="single"/>
          <w:lang w:eastAsia="zh-CN"/>
        </w:rPr>
        <w:t>门岗联动报警装置</w:t>
      </w:r>
      <w:r>
        <w:rPr>
          <w:rFonts w:hint="eastAsia" w:asciiTheme="majorEastAsia" w:hAnsiTheme="majorEastAsia" w:eastAsiaTheme="majorEastAsia"/>
          <w:bCs/>
          <w:sz w:val="24"/>
          <w:szCs w:val="24"/>
          <w:u w:val="single"/>
          <w:lang w:eastAsia="zh-CN"/>
        </w:rPr>
        <w:t xml:space="preserve">采购 </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ind w:left="0" w:leftChars="0" w:right="0" w:rightChars="0" w:firstLine="480" w:firstLineChars="200"/>
        <w:jc w:val="left"/>
        <w:textAlignment w:val="auto"/>
        <w:outlineLvl w:val="9"/>
        <w:rPr>
          <w:rFonts w:hint="eastAsia" w:asciiTheme="majorEastAsia" w:hAnsiTheme="majorEastAsia" w:eastAsiaTheme="majorEastAsia"/>
          <w:bCs/>
          <w:sz w:val="24"/>
          <w:szCs w:val="24"/>
          <w:u w:val="none"/>
          <w:lang w:val="en-US" w:eastAsia="zh-CN"/>
        </w:rPr>
      </w:pPr>
      <w:r>
        <w:rPr>
          <w:rFonts w:hint="eastAsia" w:asciiTheme="majorEastAsia" w:hAnsiTheme="majorEastAsia" w:eastAsiaTheme="majorEastAsia"/>
          <w:bCs/>
          <w:sz w:val="24"/>
          <w:szCs w:val="24"/>
          <w:u w:val="none"/>
          <w:lang w:eastAsia="zh-CN"/>
        </w:rPr>
        <w:t>2.</w:t>
      </w:r>
      <w:r>
        <w:rPr>
          <w:rFonts w:hint="eastAsia" w:asciiTheme="majorEastAsia" w:hAnsiTheme="majorEastAsia" w:eastAsiaTheme="majorEastAsia"/>
          <w:b w:val="0"/>
          <w:u w:val="none"/>
          <w:lang w:eastAsia="zh-CN"/>
        </w:rPr>
        <w:t xml:space="preserve"> </w:t>
      </w:r>
      <w:r>
        <w:rPr>
          <w:rFonts w:hint="eastAsia" w:asciiTheme="majorEastAsia" w:hAnsiTheme="majorEastAsia" w:eastAsiaTheme="majorEastAsia"/>
          <w:bCs/>
          <w:sz w:val="24"/>
          <w:szCs w:val="24"/>
          <w:u w:val="none"/>
          <w:lang w:eastAsia="zh-CN"/>
        </w:rPr>
        <w:t>比选项目</w:t>
      </w:r>
      <w:r>
        <w:rPr>
          <w:rFonts w:hint="eastAsia" w:asciiTheme="majorEastAsia" w:hAnsiTheme="majorEastAsia" w:eastAsiaTheme="majorEastAsia"/>
          <w:bCs/>
          <w:sz w:val="24"/>
          <w:szCs w:val="24"/>
          <w:u w:val="none"/>
          <w:lang w:val="en-US" w:eastAsia="zh-CN"/>
        </w:rPr>
        <w:t>内容</w:t>
      </w:r>
      <w:r>
        <w:rPr>
          <w:rFonts w:hint="eastAsia" w:asciiTheme="majorEastAsia" w:hAnsiTheme="majorEastAsia" w:eastAsiaTheme="majorEastAsia"/>
          <w:bCs/>
          <w:sz w:val="24"/>
          <w:szCs w:val="24"/>
          <w:u w:val="none"/>
          <w:lang w:eastAsia="zh-CN"/>
        </w:rPr>
        <w:t>：</w:t>
      </w:r>
      <w:r>
        <w:rPr>
          <w:rFonts w:hint="default" w:ascii="宋体" w:hAnsi="宋体" w:eastAsia="宋体" w:cs="宋体"/>
          <w:sz w:val="24"/>
          <w:szCs w:val="24"/>
        </w:rPr>
        <w:t>内部联动紧急报警装置清单详见附件；</w:t>
      </w:r>
      <w:r>
        <w:rPr>
          <w:rFonts w:hint="eastAsia" w:asciiTheme="majorEastAsia" w:hAnsiTheme="majorEastAsia" w:eastAsiaTheme="majorEastAsia"/>
          <w:bCs/>
          <w:sz w:val="24"/>
          <w:szCs w:val="24"/>
          <w:u w:val="none"/>
          <w:lang w:val="en-US" w:eastAsia="zh-CN"/>
        </w:rPr>
        <w:t>《</w:t>
      </w:r>
      <w:r>
        <w:rPr>
          <w:rFonts w:hint="eastAsia" w:asciiTheme="majorEastAsia" w:hAnsiTheme="majorEastAsia" w:eastAsiaTheme="majorEastAsia"/>
          <w:bCs/>
          <w:sz w:val="24"/>
          <w:szCs w:val="24"/>
          <w:u w:val="none"/>
          <w:lang w:eastAsia="zh-CN"/>
        </w:rPr>
        <w:t>紧急一键报警系统配置清单</w:t>
      </w:r>
      <w:r>
        <w:rPr>
          <w:rFonts w:hint="eastAsia" w:asciiTheme="majorEastAsia" w:hAnsiTheme="majorEastAsia" w:eastAsiaTheme="majorEastAsia"/>
          <w:bCs/>
          <w:sz w:val="24"/>
          <w:szCs w:val="24"/>
          <w:u w:val="none"/>
          <w:lang w:val="en-US" w:eastAsia="zh-CN"/>
        </w:rPr>
        <w:t>》</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napToGrid/>
        <w:spacing w:line="360" w:lineRule="auto"/>
        <w:ind w:firstLine="480" w:firstLineChars="200"/>
        <w:jc w:val="both"/>
        <w:outlineLvl w:val="9"/>
        <w:rPr>
          <w:rFonts w:hint="eastAsia"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keepNext w:val="0"/>
        <w:keepLines w:val="0"/>
        <w:pageBreakBefore w:val="0"/>
        <w:kinsoku/>
        <w:wordWrap/>
        <w:overflowPunct/>
        <w:topLinePunct w:val="0"/>
        <w:bidi w:val="0"/>
        <w:snapToGrid/>
        <w:spacing w:line="360" w:lineRule="auto"/>
        <w:ind w:left="817" w:leftChars="209" w:hanging="357" w:hangingChars="149"/>
        <w:jc w:val="left"/>
        <w:outlineLvl w:val="9"/>
        <w:rPr>
          <w:rFonts w:asciiTheme="majorEastAsia" w:hAnsiTheme="majorEastAsia" w:eastAsiaTheme="majorEastAsia"/>
          <w:sz w:val="24"/>
          <w:szCs w:val="24"/>
          <w:lang w:eastAsia="zh-CN"/>
        </w:rPr>
      </w:pPr>
      <w:r>
        <w:rPr>
          <w:rFonts w:hint="eastAsia" w:cs="Times New Roman" w:asciiTheme="minorEastAsia" w:hAnsiTheme="minorEastAsia" w:eastAsiaTheme="minorEastAsia"/>
          <w:kern w:val="2"/>
          <w:sz w:val="24"/>
          <w:szCs w:val="24"/>
          <w:lang w:val="en-US"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7"/>
        <w:keepNext w:val="0"/>
        <w:keepLines w:val="0"/>
        <w:pageBreakBefore w:val="0"/>
        <w:kinsoku/>
        <w:wordWrap/>
        <w:overflowPunct/>
        <w:topLinePunct w:val="0"/>
        <w:autoSpaceDE/>
        <w:autoSpaceDN/>
        <w:bidi w:val="0"/>
        <w:snapToGrid/>
        <w:spacing w:before="0" w:line="360" w:lineRule="auto"/>
        <w:ind w:left="0"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kinsoku/>
        <w:wordWrap/>
        <w:overflowPunct/>
        <w:topLinePunct w:val="0"/>
        <w:bidi w:val="0"/>
        <w:snapToGrid/>
        <w:spacing w:line="360" w:lineRule="auto"/>
        <w:ind w:firstLine="480" w:firstLineChars="200"/>
        <w:outlineLvl w:val="9"/>
        <w:rPr>
          <w:sz w:val="24"/>
          <w:szCs w:val="24"/>
        </w:rPr>
      </w:pPr>
      <w:r>
        <w:rPr>
          <w:rFonts w:hint="eastAsia"/>
          <w:sz w:val="24"/>
          <w:szCs w:val="24"/>
          <w:lang w:val="en-US" w:eastAsia="zh-CN"/>
        </w:rPr>
        <w:t>4</w:t>
      </w:r>
      <w:r>
        <w:rPr>
          <w:rFonts w:hint="eastAsia"/>
          <w:sz w:val="24"/>
          <w:szCs w:val="24"/>
        </w:rPr>
        <w:t xml:space="preserve">. </w:t>
      </w:r>
      <w:r>
        <w:rPr>
          <w:rFonts w:hint="eastAsia" w:asciiTheme="majorEastAsia" w:hAnsiTheme="majorEastAsia" w:eastAsiaTheme="majorEastAsia"/>
          <w:sz w:val="24"/>
          <w:szCs w:val="24"/>
        </w:rPr>
        <w:t>本项目不接受联合体投标</w:t>
      </w:r>
      <w:r>
        <w:rPr>
          <w:rFonts w:hint="eastAsia"/>
          <w:sz w:val="24"/>
          <w:szCs w:val="24"/>
        </w:rPr>
        <w:t>。</w:t>
      </w:r>
    </w:p>
    <w:p>
      <w:pPr>
        <w:pStyle w:val="37"/>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09</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07</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13</w:t>
      </w:r>
      <w:r>
        <w:rPr>
          <w:rFonts w:hint="eastAsia" w:asciiTheme="majorEastAsia" w:hAnsiTheme="majorEastAsia" w:eastAsiaTheme="majorEastAsia"/>
          <w:sz w:val="24"/>
          <w:szCs w:val="24"/>
          <w:lang w:eastAsia="zh-CN"/>
        </w:rPr>
        <w:t>日</w:t>
      </w:r>
      <w:bookmarkStart w:id="10" w:name="_GoBack"/>
      <w:bookmarkEnd w:id="10"/>
    </w:p>
    <w:p>
      <w:pPr>
        <w:keepNext w:val="0"/>
        <w:keepLines w:val="0"/>
        <w:pageBreakBefore w:val="0"/>
        <w:widowControl w:val="0"/>
        <w:kinsoku/>
        <w:wordWrap/>
        <w:overflowPunct/>
        <w:topLinePunct w:val="0"/>
        <w:bidi w:val="0"/>
        <w:adjustRightInd/>
        <w:snapToGrid/>
        <w:spacing w:line="240" w:lineRule="auto"/>
        <w:ind w:left="817" w:leftChars="209" w:right="0" w:rightChars="0" w:hanging="357" w:hangingChars="149"/>
        <w:jc w:val="left"/>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报名方式：邮件报名（须同时提交盖公章的法定代表人授权书、营业执照扫描件，</w:t>
      </w:r>
      <w:r>
        <w:rPr>
          <w:rFonts w:hint="eastAsia" w:asciiTheme="minorEastAsia" w:hAnsiTheme="minorEastAsia"/>
          <w:sz w:val="24"/>
          <w:szCs w:val="24"/>
        </w:rPr>
        <w:t>报名厂家具有</w:t>
      </w:r>
      <w:r>
        <w:rPr>
          <w:rFonts w:hint="default" w:asciiTheme="majorEastAsia" w:hAnsiTheme="majorEastAsia" w:eastAsiaTheme="majorEastAsia"/>
          <w:b/>
          <w:bCs w:val="0"/>
          <w:sz w:val="24"/>
          <w:szCs w:val="24"/>
          <w:u w:val="single"/>
          <w:lang w:eastAsia="zh-CN"/>
        </w:rPr>
        <w:t>门岗联动报警装置</w:t>
      </w:r>
      <w:r>
        <w:rPr>
          <w:rFonts w:hint="eastAsia" w:asciiTheme="minorEastAsia" w:hAnsiTheme="minorEastAsia"/>
          <w:sz w:val="24"/>
          <w:szCs w:val="24"/>
        </w:rPr>
        <w:t>业绩（务必真实有效，福海创有权要求投标商提供相应佐证材料包括不限于合同和发票等复印件）</w:t>
      </w:r>
      <w:r>
        <w:rPr>
          <w:rFonts w:hint="eastAsia" w:asciiTheme="minorEastAsia" w:hAnsiTheme="minorEastAsia"/>
          <w:sz w:val="24"/>
          <w:szCs w:val="24"/>
          <w:lang w:eastAsia="zh-CN"/>
        </w:rPr>
        <w:t>，</w:t>
      </w:r>
      <w:r>
        <w:rPr>
          <w:rFonts w:hint="eastAsia" w:asciiTheme="majorEastAsia" w:hAnsiTheme="majorEastAsia" w:eastAsiaTheme="majorEastAsia"/>
          <w:bCs/>
          <w:sz w:val="24"/>
          <w:szCs w:val="24"/>
          <w:lang w:eastAsia="zh-CN"/>
        </w:rPr>
        <w:t>邮件发至：</w:t>
      </w:r>
      <w:r>
        <w:fldChar w:fldCharType="begin"/>
      </w:r>
      <w:r>
        <w:instrText xml:space="preserve"> HYPERLINK "mailto:hzji@fhcpec.com.cn" </w:instrText>
      </w:r>
      <w:r>
        <w:fldChar w:fldCharType="separate"/>
      </w:r>
      <w:r>
        <w:rPr>
          <w:rStyle w:val="31"/>
          <w:rFonts w:hint="eastAsia" w:asciiTheme="majorEastAsia" w:hAnsiTheme="majorEastAsia" w:eastAsiaTheme="majorEastAsia"/>
          <w:sz w:val="24"/>
          <w:szCs w:val="24"/>
          <w:lang w:val="en-US" w:eastAsia="zh-CN"/>
        </w:rPr>
        <w:t>huangmq</w:t>
      </w:r>
      <w:r>
        <w:rPr>
          <w:rStyle w:val="31"/>
          <w:rFonts w:hint="eastAsia" w:asciiTheme="majorEastAsia" w:hAnsiTheme="majorEastAsia" w:eastAsiaTheme="majorEastAsia"/>
          <w:sz w:val="24"/>
          <w:szCs w:val="24"/>
          <w:lang w:eastAsia="zh-CN"/>
        </w:rPr>
        <w:t>@f</w:t>
      </w:r>
      <w:r>
        <w:rPr>
          <w:rStyle w:val="31"/>
          <w:rFonts w:hint="eastAsia" w:asciiTheme="majorEastAsia" w:hAnsiTheme="majorEastAsia" w:eastAsiaTheme="majorEastAsia"/>
          <w:sz w:val="24"/>
          <w:szCs w:val="24"/>
          <w:lang w:val="en-US" w:eastAsia="zh-CN"/>
        </w:rPr>
        <w:t>j</w:t>
      </w:r>
      <w:r>
        <w:rPr>
          <w:rStyle w:val="31"/>
          <w:rFonts w:hint="eastAsia" w:asciiTheme="majorEastAsia" w:hAnsiTheme="majorEastAsia" w:eastAsiaTheme="majorEastAsia"/>
          <w:sz w:val="24"/>
          <w:szCs w:val="24"/>
          <w:lang w:eastAsia="zh-CN"/>
        </w:rPr>
        <w:t>pec.com.cn</w:t>
      </w:r>
      <w:r>
        <w:rPr>
          <w:rStyle w:val="3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line="240" w:lineRule="auto"/>
        <w:ind w:left="960" w:leftChars="218" w:right="0" w:rightChars="0" w:hanging="480" w:hanging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（工作日时间上午9:00～12:00，下午13:30～17:00。）将参选文件纸质原件密封送达比选人指定地点。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hint="eastAsia"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fldChar w:fldCharType="begin"/>
      </w:r>
      <w:r>
        <w:rPr>
          <w:rFonts w:hint="eastAsia" w:cs="宋体" w:asciiTheme="majorEastAsia" w:hAnsiTheme="majorEastAsia" w:eastAsiaTheme="majorEastAsia"/>
          <w:bCs/>
          <w:szCs w:val="24"/>
          <w:lang w:val="en-US" w:eastAsia="zh-CN"/>
        </w:rPr>
        <w:instrText xml:space="preserve"> HYPERLINK "mailto:huangmq@fjpec.com.cn" </w:instrText>
      </w:r>
      <w:r>
        <w:rPr>
          <w:rFonts w:hint="eastAsia" w:cs="宋体" w:asciiTheme="majorEastAsia" w:hAnsiTheme="majorEastAsia" w:eastAsiaTheme="majorEastAsia"/>
          <w:bCs/>
          <w:szCs w:val="24"/>
          <w:lang w:val="en-US" w:eastAsia="zh-CN"/>
        </w:rPr>
        <w:fldChar w:fldCharType="separate"/>
      </w:r>
      <w:r>
        <w:rPr>
          <w:rStyle w:val="31"/>
          <w:rFonts w:hint="eastAsia" w:cs="宋体" w:asciiTheme="majorEastAsia" w:hAnsiTheme="majorEastAsia" w:eastAsiaTheme="majorEastAsia"/>
          <w:bCs/>
          <w:szCs w:val="24"/>
          <w:lang w:val="en-US" w:eastAsia="zh-CN"/>
        </w:rPr>
        <w:t>huangmq</w:t>
      </w:r>
      <w:r>
        <w:rPr>
          <w:rStyle w:val="31"/>
          <w:rFonts w:hint="eastAsia" w:cs="宋体" w:asciiTheme="majorEastAsia" w:hAnsiTheme="majorEastAsia" w:eastAsiaTheme="majorEastAsia"/>
          <w:bCs/>
          <w:szCs w:val="24"/>
        </w:rPr>
        <w:t>@f</w:t>
      </w:r>
      <w:r>
        <w:rPr>
          <w:rStyle w:val="31"/>
          <w:rFonts w:hint="eastAsia" w:cs="宋体" w:asciiTheme="majorEastAsia" w:hAnsiTheme="majorEastAsia" w:eastAsiaTheme="majorEastAsia"/>
          <w:bCs/>
          <w:szCs w:val="24"/>
          <w:lang w:val="en-US" w:eastAsia="zh-CN"/>
        </w:rPr>
        <w:t>j</w:t>
      </w:r>
      <w:r>
        <w:rPr>
          <w:rStyle w:val="31"/>
          <w:rFonts w:hint="eastAsia" w:cs="宋体" w:asciiTheme="majorEastAsia" w:hAnsiTheme="majorEastAsia" w:eastAsiaTheme="majorEastAsia"/>
          <w:bCs/>
          <w:szCs w:val="24"/>
        </w:rPr>
        <w:t>pec</w:t>
      </w:r>
      <w:r>
        <w:rPr>
          <w:rStyle w:val="31"/>
          <w:rFonts w:hint="eastAsia" w:cs="宋体" w:asciiTheme="majorEastAsia" w:hAnsiTheme="majorEastAsia" w:eastAsiaTheme="majorEastAsia"/>
          <w:bCs/>
          <w:szCs w:val="24"/>
          <w:lang w:val="en-US" w:eastAsia="zh-CN"/>
        </w:rPr>
        <w:t>.</w:t>
      </w:r>
      <w:r>
        <w:rPr>
          <w:rStyle w:val="31"/>
          <w:rFonts w:hint="eastAsia" w:cs="宋体" w:asciiTheme="majorEastAsia" w:hAnsiTheme="majorEastAsia" w:eastAsiaTheme="majorEastAsia"/>
          <w:bCs/>
          <w:szCs w:val="24"/>
        </w:rPr>
        <w:t>com</w:t>
      </w:r>
      <w:r>
        <w:rPr>
          <w:rStyle w:val="31"/>
          <w:rFonts w:hint="eastAsia" w:cs="宋体" w:asciiTheme="majorEastAsia" w:hAnsiTheme="majorEastAsia" w:eastAsiaTheme="majorEastAsia"/>
          <w:bCs/>
          <w:szCs w:val="24"/>
          <w:lang w:val="en-US" w:eastAsia="zh-CN"/>
        </w:rPr>
        <w:t>.</w:t>
      </w:r>
      <w:r>
        <w:rPr>
          <w:rStyle w:val="31"/>
          <w:rFonts w:hint="eastAsia" w:cs="宋体" w:asciiTheme="majorEastAsia" w:hAnsiTheme="majorEastAsia" w:eastAsiaTheme="majorEastAsia"/>
          <w:bCs/>
          <w:szCs w:val="24"/>
        </w:rPr>
        <w:t>cn</w:t>
      </w:r>
      <w:r>
        <w:rPr>
          <w:rFonts w:hint="eastAsia" w:cs="宋体" w:asciiTheme="majorEastAsia" w:hAnsiTheme="majorEastAsia" w:eastAsiaTheme="majorEastAsia"/>
          <w:bCs/>
          <w:szCs w:val="24"/>
          <w:lang w:val="en-US" w:eastAsia="zh-CN"/>
        </w:rPr>
        <w:fldChar w:fldCharType="end"/>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lang w:val="en-US" w:eastAsia="zh-CN"/>
        </w:rPr>
        <w:t>技术经办：陶群13959711900</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.0</w:t>
      </w:r>
      <w:r>
        <w:rPr>
          <w:rFonts w:hint="eastAsia"/>
          <w:sz w:val="24"/>
          <w:szCs w:val="24"/>
          <w:lang w:val="en-US" w:eastAsia="zh-CN"/>
        </w:rPr>
        <w:t>9</w:t>
      </w:r>
      <w:r>
        <w:rPr>
          <w:rFonts w:hint="eastAsia"/>
          <w:sz w:val="24"/>
          <w:szCs w:val="24"/>
          <w:lang w:eastAsia="zh-CN"/>
        </w:rPr>
        <w:t>.</w:t>
      </w:r>
      <w:r>
        <w:rPr>
          <w:rFonts w:hint="eastAsia"/>
          <w:sz w:val="24"/>
          <w:szCs w:val="24"/>
          <w:lang w:val="en-US" w:eastAsia="zh-CN"/>
        </w:rPr>
        <w:t>02</w:t>
      </w:r>
    </w:p>
    <w:p>
      <w:pPr>
        <w:pStyle w:val="3"/>
        <w:tabs>
          <w:tab w:val="left" w:pos="1262"/>
        </w:tabs>
        <w:spacing w:line="355" w:lineRule="exact"/>
        <w:ind w:left="0" w:right="108"/>
        <w:jc w:val="center"/>
        <w:rPr>
          <w:lang w:eastAsia="zh-CN"/>
        </w:rPr>
        <w:sectPr>
          <w:footerReference r:id="rId3" w:type="default"/>
          <w:pgSz w:w="11910" w:h="16840"/>
          <w:pgMar w:top="106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autoSpaceDE/>
        <w:autoSpaceDN/>
        <w:spacing w:line="360" w:lineRule="auto"/>
        <w:ind w:left="0" w:leftChars="0" w:firstLine="499" w:firstLineChars="227"/>
        <w:jc w:val="both"/>
        <w:rPr>
          <w:rFonts w:hint="eastAsia" w:asciiTheme="majorEastAsia" w:hAnsiTheme="majorEastAsia" w:eastAsiaTheme="majorEastAsia"/>
          <w:bCs/>
          <w:sz w:val="24"/>
          <w:szCs w:val="24"/>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Cs/>
          <w:sz w:val="24"/>
          <w:szCs w:val="24"/>
          <w:u w:val="single"/>
          <w:lang w:eastAsia="zh-CN"/>
        </w:rPr>
        <w:t xml:space="preserve"> </w:t>
      </w:r>
      <w:r>
        <w:rPr>
          <w:rFonts w:hint="default" w:asciiTheme="majorEastAsia" w:hAnsiTheme="majorEastAsia" w:eastAsiaTheme="majorEastAsia"/>
          <w:bCs/>
          <w:sz w:val="24"/>
          <w:szCs w:val="24"/>
          <w:u w:val="single"/>
          <w:lang w:eastAsia="zh-CN"/>
        </w:rPr>
        <w:t>门岗联动报警装置</w:t>
      </w:r>
      <w:r>
        <w:rPr>
          <w:rFonts w:hint="eastAsia" w:asciiTheme="majorEastAsia" w:hAnsiTheme="majorEastAsia" w:eastAsiaTheme="majorEastAsia"/>
          <w:bCs/>
          <w:sz w:val="24"/>
          <w:szCs w:val="24"/>
          <w:u w:val="single"/>
          <w:lang w:eastAsia="zh-CN"/>
        </w:rPr>
        <w:t xml:space="preserve">采购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autoSpaceDE/>
        <w:autoSpaceDN/>
        <w:spacing w:line="360" w:lineRule="auto"/>
        <w:ind w:firstLine="480" w:firstLineChars="200"/>
        <w:jc w:val="both"/>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sz w:val="24"/>
          <w:szCs w:val="24"/>
          <w:highlight w:val="none"/>
          <w:u w:val="single"/>
          <w:lang w:val="en-US" w:eastAsia="zh-CN"/>
        </w:rPr>
        <w:t xml:space="preserve"> </w:t>
      </w:r>
      <w:r>
        <w:rPr>
          <w:rFonts w:hint="default" w:asciiTheme="majorEastAsia" w:hAnsiTheme="majorEastAsia" w:eastAsiaTheme="majorEastAsia"/>
          <w:bCs/>
          <w:sz w:val="24"/>
          <w:szCs w:val="24"/>
          <w:u w:val="single"/>
          <w:lang w:eastAsia="zh-CN"/>
        </w:rPr>
        <w:t>门岗联动报警装置</w:t>
      </w:r>
      <w:r>
        <w:rPr>
          <w:rFonts w:hint="eastAsia"/>
          <w:sz w:val="24"/>
          <w:szCs w:val="24"/>
          <w:highlight w:val="none"/>
          <w:u w:val="single"/>
          <w:lang w:val="en-US" w:eastAsia="zh-CN"/>
        </w:rPr>
        <w:t xml:space="preserve">采购 </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ind w:left="0" w:leftChars="0" w:right="0" w:rightChars="0" w:firstLine="480" w:firstLineChars="200"/>
        <w:jc w:val="left"/>
        <w:textAlignment w:val="auto"/>
        <w:outlineLvl w:val="9"/>
        <w:rPr>
          <w:rFonts w:hint="eastAsia" w:asciiTheme="majorEastAsia" w:hAnsiTheme="majorEastAsia" w:eastAsiaTheme="majorEastAsia"/>
          <w:u w:val="single"/>
          <w:lang w:eastAsia="zh-CN"/>
        </w:rPr>
      </w:pPr>
      <w:r>
        <w:rPr>
          <w:rFonts w:hint="eastAsia" w:asciiTheme="majorEastAsia" w:hAnsiTheme="majorEastAsia" w:eastAsiaTheme="majorEastAsia"/>
          <w:sz w:val="24"/>
          <w:szCs w:val="24"/>
          <w:highlight w:val="none"/>
          <w:lang w:eastAsia="zh-CN"/>
        </w:rPr>
        <w:t>2.项目范围及内容：</w:t>
      </w:r>
      <w:r>
        <w:rPr>
          <w:rFonts w:hint="eastAsia"/>
          <w:sz w:val="24"/>
          <w:szCs w:val="24"/>
          <w:highlight w:val="none"/>
          <w:lang w:val="en-US" w:eastAsia="zh-CN"/>
        </w:rPr>
        <w:t>详见附件《紧急一键报警系统配置清单》。</w:t>
      </w:r>
    </w:p>
    <w:p>
      <w:pPr>
        <w:spacing w:line="360" w:lineRule="auto"/>
        <w:ind w:left="720" w:leftChars="218" w:hanging="240" w:hangingChars="100"/>
        <w:rPr>
          <w:rFonts w:hint="eastAsia" w:asciiTheme="majorEastAsia" w:hAnsiTheme="majorEastAsia" w:eastAsiaTheme="majorEastAsia" w:cstheme="minorEastAsia"/>
          <w:kern w:val="59"/>
          <w:sz w:val="24"/>
          <w:szCs w:val="24"/>
          <w:highlight w:val="none"/>
          <w:u w:val="single"/>
          <w:lang w:val="en-US" w:eastAsia="zh-CN"/>
        </w:rPr>
      </w:pPr>
      <w:r>
        <w:rPr>
          <w:rFonts w:hint="eastAsia" w:asciiTheme="majorEastAsia" w:hAnsiTheme="majorEastAsia" w:eastAsiaTheme="majorEastAsia"/>
          <w:sz w:val="24"/>
          <w:szCs w:val="24"/>
          <w:highlight w:val="none"/>
          <w:lang w:eastAsia="zh-CN"/>
        </w:rPr>
        <w:t>3.相关要求标准、规范及规定：</w:t>
      </w:r>
      <w:r>
        <w:rPr>
          <w:rFonts w:hint="eastAsia"/>
          <w:sz w:val="24"/>
          <w:szCs w:val="24"/>
          <w:highlight w:val="none"/>
          <w:lang w:eastAsia="zh-CN"/>
        </w:rPr>
        <w:t>符合现行国家、地方及行业相关设计要求及发包说明书的要求，并通过有关部门验收合格，详见</w:t>
      </w:r>
      <w:r>
        <w:rPr>
          <w:rFonts w:hint="eastAsia"/>
          <w:sz w:val="24"/>
          <w:szCs w:val="24"/>
          <w:highlight w:val="none"/>
          <w:lang w:val="en-US" w:eastAsia="zh-CN"/>
        </w:rPr>
        <w:t>附件《</w:t>
      </w:r>
      <w:r>
        <w:rPr>
          <w:rFonts w:hint="eastAsia"/>
          <w:sz w:val="24"/>
          <w:szCs w:val="24"/>
          <w:highlight w:val="none"/>
          <w:lang w:eastAsia="zh-CN"/>
        </w:rPr>
        <w:t>紧急一键报警系统配置清单</w:t>
      </w:r>
      <w:r>
        <w:rPr>
          <w:rFonts w:hint="eastAsia"/>
          <w:sz w:val="24"/>
          <w:szCs w:val="24"/>
          <w:highlight w:val="none"/>
          <w:lang w:val="en-US" w:eastAsia="zh-CN"/>
        </w:rPr>
        <w:t>》。</w:t>
      </w:r>
    </w:p>
    <w:p>
      <w:pPr>
        <w:spacing w:line="360" w:lineRule="auto"/>
        <w:ind w:firstLine="480" w:firstLineChars="200"/>
        <w:rPr>
          <w:rFonts w:asciiTheme="majorEastAsia" w:hAnsiTheme="majorEastAsia" w:eastAsiaTheme="majorEastAsia"/>
          <w:sz w:val="24"/>
          <w:szCs w:val="24"/>
          <w:highlight w:val="none"/>
          <w:lang w:eastAsia="zh-CN"/>
        </w:rPr>
      </w:pPr>
      <w:r>
        <w:rPr>
          <w:rFonts w:hint="eastAsia" w:asciiTheme="majorEastAsia" w:hAnsiTheme="majorEastAsia" w:eastAsiaTheme="majorEastAsia" w:cstheme="minorEastAsia"/>
          <w:kern w:val="59"/>
          <w:sz w:val="24"/>
          <w:szCs w:val="24"/>
          <w:highlight w:val="none"/>
          <w:lang w:val="en-US" w:eastAsia="zh-CN"/>
        </w:rPr>
        <w:t>(五)产品质量：技术要求详见附件</w:t>
      </w:r>
      <w:r>
        <w:rPr>
          <w:rFonts w:hint="eastAsia"/>
          <w:sz w:val="24"/>
          <w:szCs w:val="24"/>
          <w:highlight w:val="none"/>
          <w:lang w:val="en-US" w:eastAsia="zh-CN"/>
        </w:rPr>
        <w:t>《紧急一键报警系统配置清单》。</w:t>
      </w:r>
    </w:p>
    <w:p>
      <w:pPr>
        <w:pStyle w:val="3"/>
        <w:spacing w:line="360" w:lineRule="auto"/>
        <w:rPr>
          <w:rFonts w:asciiTheme="majorEastAsia" w:hAnsiTheme="majorEastAsia" w:eastAsiaTheme="majorEastAsia"/>
          <w:sz w:val="30"/>
          <w:szCs w:val="30"/>
          <w:lang w:eastAsia="zh-CN"/>
        </w:rPr>
      </w:pPr>
      <w:r>
        <w:rPr>
          <w:rFonts w:asciiTheme="majorEastAsia" w:hAnsiTheme="majorEastAsia" w:eastAsiaTheme="majorEastAsia"/>
          <w:w w:val="95"/>
          <w:sz w:val="30"/>
          <w:szCs w:val="30"/>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534" w:firstLineChars="20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7"/>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七、参选保证金</w:t>
      </w:r>
    </w:p>
    <w:p>
      <w:pPr>
        <w:pStyle w:val="10"/>
        <w:spacing w:beforeLines="50" w:afterLines="50"/>
        <w:ind w:right="121" w:firstLine="960" w:firstLineChars="400"/>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hint="eastAsia" w:asciiTheme="majorEastAsia" w:hAnsiTheme="majorEastAsia" w:eastAsiaTheme="majorEastAsia"/>
          <w:spacing w:val="-4"/>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 xml:space="preserve">陶群  </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13959711900</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hint="eastAsia" w:asciiTheme="majorEastAsia" w:hAnsiTheme="majorEastAsia" w:eastAsiaTheme="majorEastAsia"/>
          <w:w w:val="95"/>
          <w:sz w:val="24"/>
          <w:szCs w:val="24"/>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eastAsia" w:asciiTheme="majorEastAsia" w:hAnsiTheme="majorEastAsia" w:eastAsiaTheme="majorEastAsia"/>
          <w:w w:val="95"/>
          <w:sz w:val="24"/>
          <w:szCs w:val="24"/>
          <w:lang w:eastAsia="zh-CN"/>
        </w:rPr>
      </w:pP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11000</w:t>
      </w:r>
      <w:r>
        <w:rPr>
          <w:rFonts w:hint="eastAsia" w:asciiTheme="majorEastAsia" w:hAnsiTheme="majorEastAsia" w:eastAsiaTheme="majorEastAsia"/>
          <w:b/>
          <w:bCs/>
          <w:sz w:val="24"/>
          <w:szCs w:val="24"/>
          <w:lang w:eastAsia="zh-CN"/>
        </w:rPr>
        <w:t>元</w:t>
      </w:r>
      <w:r>
        <w:rPr>
          <w:rFonts w:hint="eastAsia"/>
          <w:b/>
          <w:lang w:eastAsia="zh-CN"/>
        </w:rPr>
        <w:t>（</w:t>
      </w:r>
      <w:r>
        <w:rPr>
          <w:rFonts w:hint="eastAsia"/>
          <w:b/>
          <w:lang w:val="en-US" w:eastAsia="zh-CN"/>
        </w:rPr>
        <w:t>含</w:t>
      </w:r>
      <w:r>
        <w:rPr>
          <w:rFonts w:hint="eastAsia"/>
          <w:b/>
          <w:lang w:eastAsia="zh-CN"/>
        </w:rPr>
        <w:t>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eastAsia" w:asciiTheme="majorEastAsia" w:hAnsiTheme="majorEastAsia" w:eastAsiaTheme="majorEastAsia"/>
          <w:bCs/>
          <w:spacing w:val="-2"/>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15567504"/>
      <w:bookmarkStart w:id="2" w:name="_Toc430488651"/>
      <w:bookmarkStart w:id="3" w:name="_Toc430422420"/>
      <w:bookmarkStart w:id="4" w:name="_Toc430490619"/>
      <w:bookmarkStart w:id="5" w:name="_Toc177186249"/>
      <w:bookmarkStart w:id="6" w:name="_Toc430489126"/>
      <w:bookmarkStart w:id="7" w:name="_Toc430492133"/>
      <w:bookmarkStart w:id="8" w:name="_Toc430488858"/>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0" w:leftChars="0" w:firstLine="199" w:firstLineChars="83"/>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left="0" w:leftChars="0" w:firstLine="199" w:firstLineChars="83"/>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0" w:leftChars="0" w:firstLine="199" w:firstLineChars="83"/>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0" w:leftChars="0" w:firstLine="199" w:firstLineChars="83"/>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0" w:leftChars="0" w:right="226" w:firstLine="199" w:firstLineChars="83"/>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numPr>
          <w:ilvl w:val="0"/>
          <w:numId w:val="3"/>
        </w:numPr>
        <w:spacing w:line="360" w:lineRule="auto"/>
        <w:ind w:left="240" w:right="226" w:hanging="240" w:hangingChars="100"/>
        <w:jc w:val="both"/>
        <w:rPr>
          <w:rFonts w:hint="eastAsia"/>
          <w:lang w:eastAsia="zh-CN"/>
        </w:rPr>
      </w:pPr>
      <w:r>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pPr>
        <w:pStyle w:val="10"/>
        <w:numPr>
          <w:ilvl w:val="0"/>
          <w:numId w:val="3"/>
        </w:numPr>
        <w:spacing w:line="360" w:lineRule="auto"/>
        <w:ind w:left="240" w:right="226" w:hanging="240" w:hangingChars="10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110</w:t>
      </w:r>
      <w:r>
        <w:rPr>
          <w:rFonts w:hint="eastAsia"/>
          <w:b/>
          <w:bCs/>
          <w:lang w:eastAsia="zh-CN"/>
        </w:rPr>
        <w:t>0</w:t>
      </w:r>
      <w:r>
        <w:rPr>
          <w:rFonts w:hint="eastAsia"/>
          <w:b/>
          <w:lang w:eastAsia="zh-CN"/>
        </w:rPr>
        <w:t>0元（</w:t>
      </w:r>
      <w:r>
        <w:rPr>
          <w:rFonts w:hint="eastAsia"/>
          <w:b/>
          <w:lang w:val="en-US" w:eastAsia="zh-CN"/>
        </w:rPr>
        <w:t>未</w:t>
      </w:r>
      <w:r>
        <w:rPr>
          <w:rFonts w:hint="eastAsia"/>
          <w:b/>
          <w:lang w:eastAsia="zh-CN"/>
        </w:rPr>
        <w:t>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default" w:asciiTheme="majorEastAsia" w:hAnsiTheme="majorEastAsia" w:eastAsiaTheme="majorEastAsia"/>
          <w:b/>
          <w:bCs w:val="0"/>
          <w:sz w:val="24"/>
          <w:szCs w:val="24"/>
          <w:u w:val="single"/>
          <w:lang w:eastAsia="zh-CN"/>
        </w:rPr>
        <w:t>门岗联动报警装置</w:t>
      </w:r>
      <w:r>
        <w:rPr>
          <w:rFonts w:hint="eastAsia" w:asciiTheme="majorEastAsia" w:hAnsiTheme="majorEastAsia" w:eastAsiaTheme="majorEastAsia"/>
          <w:b/>
          <w:bCs w:val="0"/>
          <w:sz w:val="24"/>
          <w:szCs w:val="24"/>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spacing w:line="440" w:lineRule="exact"/>
        <w:jc w:val="left"/>
        <w:rPr>
          <w:rFonts w:hint="eastAsia" w:ascii="Times New Roman" w:hAnsi="Times New Roman" w:cs="Times New Roman"/>
          <w:b/>
          <w:sz w:val="32"/>
          <w:szCs w:val="32"/>
          <w:lang w:val="en-US" w:eastAsia="zh-CN"/>
        </w:rPr>
      </w:pPr>
      <w:bookmarkStart w:id="9" w:name="_Toc251742852"/>
      <w:r>
        <w:rPr>
          <w:rFonts w:hint="eastAsia" w:ascii="Times New Roman" w:hAnsi="Times New Roman" w:cs="Times New Roman"/>
          <w:b/>
          <w:sz w:val="32"/>
          <w:szCs w:val="32"/>
          <w:lang w:val="en-US" w:eastAsia="zh-CN"/>
        </w:rPr>
        <w:t>附件一</w:t>
      </w:r>
    </w:p>
    <w:p>
      <w:pPr>
        <w:spacing w:line="440" w:lineRule="exact"/>
        <w:jc w:val="center"/>
        <w:rPr>
          <w:rFonts w:hint="default" w:ascii="Times New Roman" w:hAnsi="Times New Roman" w:eastAsia="宋体" w:cs="Times New Roman"/>
          <w:b/>
          <w:sz w:val="32"/>
          <w:szCs w:val="32"/>
          <w:lang w:eastAsia="zh-CN"/>
        </w:rPr>
      </w:pPr>
      <w:r>
        <w:rPr>
          <w:rFonts w:hint="eastAsia" w:ascii="Times New Roman" w:hAnsi="Times New Roman" w:cs="Times New Roman"/>
          <w:b/>
          <w:sz w:val="32"/>
          <w:szCs w:val="32"/>
          <w:lang w:val="en-US" w:eastAsia="zh-CN"/>
        </w:rPr>
        <w:t>腾龙芳烃</w:t>
      </w:r>
      <w:r>
        <w:rPr>
          <w:rFonts w:hint="default" w:ascii="Times New Roman" w:hAnsi="Times New Roman" w:eastAsia="宋体" w:cs="Times New Roman"/>
          <w:b/>
          <w:sz w:val="32"/>
          <w:szCs w:val="32"/>
          <w:lang w:eastAsia="zh-CN"/>
        </w:rPr>
        <w:t>（漳州）有限公司</w:t>
      </w:r>
    </w:p>
    <w:p>
      <w:pPr>
        <w:pStyle w:val="2"/>
        <w:keepNext w:val="0"/>
        <w:keepLines w:val="0"/>
        <w:pageBreakBefore w:val="0"/>
        <w:widowControl w:val="0"/>
        <w:kinsoku/>
        <w:wordWrap/>
        <w:overflowPunct/>
        <w:topLinePunct w:val="0"/>
        <w:autoSpaceDE/>
        <w:autoSpaceDN/>
        <w:bidi w:val="0"/>
        <w:adjustRightInd w:val="0"/>
        <w:snapToGrid/>
        <w:spacing w:before="157" w:beforeLines="50" w:line="440" w:lineRule="exact"/>
        <w:ind w:left="0" w:leftChars="0" w:right="0" w:rightChars="0" w:firstLine="0" w:firstLineChars="0"/>
        <w:jc w:val="center"/>
        <w:textAlignment w:val="baseline"/>
        <w:outlineLvl w:val="9"/>
        <w:rPr>
          <w:rFonts w:hint="default" w:ascii="Times New Roman" w:hAnsi="Times New Roman" w:eastAsia="宋体" w:cs="Times New Roman"/>
          <w:b/>
          <w:bCs w:val="0"/>
          <w:sz w:val="30"/>
          <w:szCs w:val="30"/>
        </w:rPr>
      </w:pPr>
      <w:r>
        <w:rPr>
          <w:rFonts w:hint="default" w:ascii="Times New Roman" w:hAnsi="Times New Roman" w:eastAsia="宋体" w:cs="Times New Roman"/>
          <w:b/>
          <w:bCs w:val="0"/>
          <w:sz w:val="30"/>
          <w:szCs w:val="30"/>
          <w:lang w:eastAsia="zh-CN"/>
        </w:rPr>
        <w:t>门岗联动报警装置</w:t>
      </w:r>
      <w:r>
        <w:rPr>
          <w:rFonts w:hint="default" w:ascii="Times New Roman" w:hAnsi="Times New Roman" w:eastAsia="宋体" w:cs="Times New Roman"/>
          <w:b/>
          <w:bCs w:val="0"/>
          <w:sz w:val="30"/>
          <w:szCs w:val="30"/>
        </w:rPr>
        <w:t>采购合同</w:t>
      </w:r>
    </w:p>
    <w:p>
      <w:pPr>
        <w:pStyle w:val="2"/>
        <w:spacing w:line="440" w:lineRule="exact"/>
        <w:jc w:val="center"/>
        <w:rPr>
          <w:rFonts w:hint="default" w:ascii="Times New Roman" w:hAnsi="Times New Roman" w:eastAsia="宋体" w:cs="Times New Roman"/>
          <w:b/>
          <w:sz w:val="32"/>
          <w:szCs w:val="32"/>
        </w:rPr>
      </w:pPr>
    </w:p>
    <w:tbl>
      <w:tblPr>
        <w:tblStyle w:val="3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8"/>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sz w:val="24"/>
                <w:lang w:eastAsia="zh-CN"/>
              </w:rPr>
            </w:pP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合同编号：</w:t>
            </w:r>
          </w:p>
        </w:tc>
        <w:tc>
          <w:tcPr>
            <w:tcW w:w="3649" w:type="dxa"/>
          </w:tcPr>
          <w:p>
            <w:pPr>
              <w:spacing w:line="360" w:lineRule="auto"/>
              <w:jc w:val="both"/>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甲方（</w:t>
            </w:r>
            <w:r>
              <w:rPr>
                <w:rFonts w:hint="default" w:ascii="Times New Roman" w:hAnsi="Times New Roman" w:eastAsia="宋体" w:cs="Times New Roman"/>
                <w:b/>
                <w:bCs/>
                <w:sz w:val="24"/>
                <w:lang w:val="en-US" w:eastAsia="zh-CN"/>
              </w:rPr>
              <w:t>需方）</w:t>
            </w:r>
            <w:r>
              <w:rPr>
                <w:rFonts w:hint="default" w:ascii="Times New Roman" w:hAnsi="Times New Roman" w:eastAsia="宋体" w:cs="Times New Roman"/>
                <w:b/>
                <w:bCs/>
                <w:sz w:val="24"/>
                <w:lang w:eastAsia="zh-CN"/>
              </w:rPr>
              <w:t>：</w:t>
            </w:r>
            <w:r>
              <w:rPr>
                <w:rFonts w:hint="eastAsia" w:ascii="Times New Roman" w:hAnsi="Times New Roman" w:eastAsia="宋体" w:cs="Times New Roman"/>
                <w:b w:val="0"/>
                <w:bCs w:val="0"/>
                <w:sz w:val="24"/>
                <w:lang w:val="en-US" w:eastAsia="zh-CN"/>
              </w:rPr>
              <w:t>腾龙芳烃</w:t>
            </w:r>
            <w:r>
              <w:rPr>
                <w:rFonts w:hint="default" w:ascii="Times New Roman" w:hAnsi="Times New Roman" w:eastAsia="宋体" w:cs="Times New Roman"/>
                <w:b w:val="0"/>
                <w:bCs w:val="0"/>
                <w:sz w:val="24"/>
                <w:lang w:eastAsia="zh-CN"/>
              </w:rPr>
              <w:t>（漳州）有限公司</w:t>
            </w: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签订地点：</w:t>
            </w:r>
          </w:p>
        </w:tc>
        <w:tc>
          <w:tcPr>
            <w:tcW w:w="3649" w:type="dxa"/>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福建漳浦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乙方（</w:t>
            </w:r>
            <w:r>
              <w:rPr>
                <w:rFonts w:hint="default" w:ascii="Times New Roman" w:hAnsi="Times New Roman" w:eastAsia="宋体" w:cs="Times New Roman"/>
                <w:b/>
                <w:bCs/>
                <w:sz w:val="24"/>
                <w:lang w:val="en-US" w:eastAsia="zh-CN"/>
              </w:rPr>
              <w:t>供方）</w:t>
            </w:r>
            <w:r>
              <w:rPr>
                <w:rFonts w:hint="default" w:ascii="Times New Roman" w:hAnsi="Times New Roman" w:eastAsia="宋体" w:cs="Times New Roman"/>
                <w:b/>
                <w:bCs/>
                <w:sz w:val="24"/>
                <w:lang w:eastAsia="zh-CN"/>
              </w:rPr>
              <w:t>：</w:t>
            </w: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签订日期：</w:t>
            </w:r>
          </w:p>
        </w:tc>
        <w:tc>
          <w:tcPr>
            <w:tcW w:w="3649" w:type="dxa"/>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2022年  月   日  </w:t>
            </w:r>
          </w:p>
        </w:tc>
      </w:tr>
    </w:tbl>
    <w:p>
      <w:pPr>
        <w:spacing w:line="360" w:lineRule="auto"/>
        <w:ind w:firstLine="480" w:firstLineChars="200"/>
        <w:rPr>
          <w:rFonts w:hint="default" w:ascii="Times New Roman" w:hAnsi="Times New Roman" w:eastAsia="宋体" w:cs="Times New Roman"/>
          <w:sz w:val="24"/>
          <w:lang w:eastAsia="zh-CN"/>
        </w:rPr>
      </w:pP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4"/>
        <w:tblpPr w:leftFromText="180" w:rightFromText="180" w:vertAnchor="text" w:horzAnchor="margin" w:tblpXSpec="center" w:tblpY="377"/>
        <w:tblW w:w="9520" w:type="dxa"/>
        <w:tblInd w:w="-594" w:type="dxa"/>
        <w:tblLayout w:type="fixed"/>
        <w:tblCellMar>
          <w:top w:w="0" w:type="dxa"/>
          <w:left w:w="108" w:type="dxa"/>
          <w:bottom w:w="0" w:type="dxa"/>
          <w:right w:w="108" w:type="dxa"/>
        </w:tblCellMar>
      </w:tblPr>
      <w:tblGrid>
        <w:gridCol w:w="708"/>
        <w:gridCol w:w="2445"/>
        <w:gridCol w:w="1800"/>
        <w:gridCol w:w="926"/>
        <w:gridCol w:w="775"/>
        <w:gridCol w:w="729"/>
        <w:gridCol w:w="1034"/>
        <w:gridCol w:w="1103"/>
      </w:tblGrid>
      <w:tr>
        <w:tblPrEx>
          <w:tblLayout w:type="fixed"/>
          <w:tblCellMar>
            <w:top w:w="0" w:type="dxa"/>
            <w:left w:w="108" w:type="dxa"/>
            <w:bottom w:w="0" w:type="dxa"/>
            <w:right w:w="108" w:type="dxa"/>
          </w:tblCellMar>
        </w:tblPrEx>
        <w:trPr>
          <w:trHeight w:val="67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序号</w:t>
            </w:r>
          </w:p>
        </w:tc>
        <w:tc>
          <w:tcPr>
            <w:tcW w:w="244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存货</w:t>
            </w:r>
            <w:r>
              <w:rPr>
                <w:rFonts w:hint="default" w:ascii="Times New Roman" w:hAnsi="Times New Roman" w:eastAsia="宋体" w:cs="Times New Roman"/>
                <w:sz w:val="24"/>
                <w:lang w:eastAsia="zh-CN"/>
              </w:rPr>
              <w:t>名称</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规格</w:t>
            </w:r>
            <w:r>
              <w:rPr>
                <w:rFonts w:hint="default" w:ascii="Times New Roman" w:hAnsi="Times New Roman" w:eastAsia="宋体" w:cs="Times New Roman"/>
                <w:sz w:val="24"/>
                <w:lang w:val="en-US" w:eastAsia="zh-CN"/>
              </w:rPr>
              <w:t>与型号</w:t>
            </w:r>
          </w:p>
        </w:tc>
        <w:tc>
          <w:tcPr>
            <w:tcW w:w="92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单</w:t>
            </w:r>
            <w:r>
              <w:rPr>
                <w:rFonts w:hint="eastAsia" w:ascii="Times New Roman" w:hAnsi="Times New Roman" w:cs="Times New Roman"/>
                <w:sz w:val="24"/>
                <w:lang w:val="en-US" w:eastAsia="zh-CN"/>
              </w:rPr>
              <w:t>位</w:t>
            </w:r>
          </w:p>
        </w:tc>
        <w:tc>
          <w:tcPr>
            <w:tcW w:w="77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数量</w:t>
            </w:r>
          </w:p>
        </w:tc>
        <w:tc>
          <w:tcPr>
            <w:tcW w:w="72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含税</w:t>
            </w:r>
          </w:p>
          <w:p>
            <w:pPr>
              <w:spacing w:line="360" w:lineRule="auto"/>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单价</w:t>
            </w:r>
          </w:p>
        </w:tc>
        <w:tc>
          <w:tcPr>
            <w:tcW w:w="10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合计</w:t>
            </w:r>
          </w:p>
          <w:p>
            <w:pPr>
              <w:spacing w:line="360" w:lineRule="auto"/>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（元）</w:t>
            </w:r>
          </w:p>
        </w:tc>
        <w:tc>
          <w:tcPr>
            <w:tcW w:w="110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备注</w:t>
            </w:r>
          </w:p>
        </w:tc>
      </w:tr>
      <w:tr>
        <w:tblPrEx>
          <w:tblLayout w:type="fixed"/>
          <w:tblCellMar>
            <w:top w:w="0" w:type="dxa"/>
            <w:left w:w="108" w:type="dxa"/>
            <w:bottom w:w="0" w:type="dxa"/>
            <w:right w:w="108" w:type="dxa"/>
          </w:tblCellMar>
        </w:tblPrEx>
        <w:trPr>
          <w:trHeight w:val="69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p>
        </w:tc>
        <w:tc>
          <w:tcPr>
            <w:tcW w:w="244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门岗联动报警装置</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详见附件1</w:t>
            </w:r>
          </w:p>
        </w:tc>
        <w:tc>
          <w:tcPr>
            <w:tcW w:w="92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套</w:t>
            </w:r>
          </w:p>
        </w:tc>
        <w:tc>
          <w:tcPr>
            <w:tcW w:w="77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p>
        </w:tc>
        <w:tc>
          <w:tcPr>
            <w:tcW w:w="729"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hint="default" w:ascii="Times New Roman" w:hAnsi="Times New Roman" w:eastAsia="宋体" w:cs="Times New Roman"/>
                <w:sz w:val="24"/>
                <w:lang w:val="en-US" w:eastAsia="zh-CN"/>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hint="default" w:ascii="Times New Roman" w:hAnsi="Times New Roman" w:eastAsia="宋体" w:cs="Times New Roman"/>
                <w:sz w:val="24"/>
                <w:lang w:val="en-US" w:eastAsia="zh-CN"/>
              </w:rPr>
            </w:pPr>
          </w:p>
        </w:tc>
        <w:tc>
          <w:tcPr>
            <w:tcW w:w="110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hint="default" w:ascii="Times New Roman" w:hAnsi="Times New Roman" w:eastAsia="宋体" w:cs="Times New Roman"/>
                <w:sz w:val="24"/>
                <w:lang w:val="en-US" w:eastAsia="zh-CN"/>
              </w:rPr>
            </w:pPr>
          </w:p>
        </w:tc>
      </w:tr>
      <w:tr>
        <w:tblPrEx>
          <w:tblLayout w:type="fixed"/>
          <w:tblCellMar>
            <w:top w:w="0" w:type="dxa"/>
            <w:left w:w="108" w:type="dxa"/>
            <w:bottom w:w="0" w:type="dxa"/>
            <w:right w:w="108" w:type="dxa"/>
          </w:tblCellMar>
        </w:tblPrEx>
        <w:trPr>
          <w:trHeight w:val="524" w:hRule="atLeast"/>
        </w:trPr>
        <w:tc>
          <w:tcPr>
            <w:tcW w:w="49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合</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eastAsia="zh-CN"/>
              </w:rPr>
              <w:t>计</w:t>
            </w:r>
            <w:r>
              <w:rPr>
                <w:rFonts w:hint="default" w:ascii="Times New Roman" w:hAnsi="Times New Roman" w:eastAsia="宋体" w:cs="Times New Roman"/>
                <w:b/>
                <w:bCs/>
                <w:sz w:val="24"/>
                <w:szCs w:val="24"/>
                <w:lang w:val="en-US" w:eastAsia="zh-CN"/>
              </w:rPr>
              <w:t>(人民币</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元）</w:t>
            </w:r>
          </w:p>
        </w:tc>
        <w:tc>
          <w:tcPr>
            <w:tcW w:w="45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元整</w:t>
            </w:r>
          </w:p>
        </w:tc>
      </w:tr>
    </w:tbl>
    <w:p>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第一条 </w:t>
      </w:r>
      <w:r>
        <w:rPr>
          <w:rFonts w:hint="default" w:ascii="Times New Roman" w:hAnsi="Times New Roman" w:eastAsia="宋体" w:cs="Times New Roman"/>
          <w:b/>
          <w:bCs/>
          <w:sz w:val="24"/>
          <w:lang w:eastAsia="zh-CN"/>
        </w:rPr>
        <w:t>合同标的和合同价格</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合同价格为</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元整，含税价，税率</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上述金额包含了乙方提供本合同约定的产品及相应服务（如有）的全部价格，除非另有约定，甲方不再承担其他费用。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第二条 </w:t>
      </w:r>
      <w:r>
        <w:rPr>
          <w:rFonts w:hint="default" w:ascii="Times New Roman" w:hAnsi="Times New Roman" w:eastAsia="宋体" w:cs="Times New Roman"/>
          <w:b/>
          <w:bCs/>
          <w:sz w:val="24"/>
          <w:lang w:eastAsia="zh-CN"/>
        </w:rPr>
        <w:t>交货</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交货方式：</w:t>
      </w:r>
      <w:r>
        <w:rPr>
          <w:rFonts w:hint="default" w:ascii="Times New Roman" w:hAnsi="Times New Roman" w:eastAsia="宋体" w:cs="Times New Roman"/>
          <w:sz w:val="24"/>
          <w:u w:val="single"/>
          <w:lang w:eastAsia="zh-CN"/>
        </w:rPr>
        <w:t xml:space="preserve">送货到现场 </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2.2</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交货地点：</w:t>
      </w:r>
      <w:r>
        <w:rPr>
          <w:rFonts w:hint="eastAsia" w:ascii="Times New Roman" w:hAnsi="Times New Roman" w:cs="Times New Roman"/>
          <w:sz w:val="24"/>
          <w:lang w:val="en-US" w:eastAsia="zh-CN"/>
        </w:rPr>
        <w:t>货</w:t>
      </w:r>
      <w:r>
        <w:rPr>
          <w:rFonts w:hint="default" w:ascii="Times New Roman" w:hAnsi="Times New Roman" w:eastAsia="宋体" w:cs="Times New Roman"/>
          <w:sz w:val="24"/>
          <w:lang w:eastAsia="zh-CN"/>
        </w:rPr>
        <w:t>运送到</w:t>
      </w:r>
      <w:r>
        <w:rPr>
          <w:rFonts w:hint="default" w:ascii="Times New Roman" w:hAnsi="Times New Roman" w:eastAsia="宋体" w:cs="Times New Roman"/>
          <w:sz w:val="24"/>
          <w:u w:val="single"/>
          <w:lang w:eastAsia="zh-CN"/>
        </w:rPr>
        <w:t xml:space="preserve"> </w:t>
      </w:r>
      <w:r>
        <w:rPr>
          <w:rFonts w:hint="eastAsia" w:ascii="Times New Roman" w:hAnsi="Times New Roman" w:cs="Times New Roman"/>
          <w:sz w:val="24"/>
          <w:u w:val="single"/>
          <w:lang w:val="en-US" w:eastAsia="zh-CN"/>
        </w:rPr>
        <w:t>腾龙芳烃</w:t>
      </w:r>
      <w:r>
        <w:rPr>
          <w:rFonts w:hint="default" w:ascii="Times New Roman" w:hAnsi="Times New Roman" w:eastAsia="宋体" w:cs="Times New Roman"/>
          <w:sz w:val="24"/>
          <w:u w:val="single"/>
          <w:lang w:eastAsia="zh-CN"/>
        </w:rPr>
        <w:t xml:space="preserve">（漳州）有限公司 </w:t>
      </w:r>
    </w:p>
    <w:p>
      <w:pPr>
        <w:spacing w:line="288" w:lineRule="auto"/>
        <w:jc w:val="both"/>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sz w:val="24"/>
          <w:lang w:eastAsia="zh-CN"/>
        </w:rPr>
        <w:t>2.3</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交货时间：</w:t>
      </w:r>
      <w:r>
        <w:rPr>
          <w:rFonts w:hint="default" w:ascii="Times New Roman" w:hAnsi="Times New Roman" w:eastAsia="宋体" w:cs="Times New Roman"/>
          <w:sz w:val="24"/>
          <w:u w:val="single"/>
          <w:lang w:eastAsia="zh-CN"/>
        </w:rPr>
        <w:t>合同生效后</w:t>
      </w:r>
      <w:r>
        <w:rPr>
          <w:rFonts w:hint="eastAsia" w:ascii="Times New Roman" w:hAnsi="Times New Roman" w:cs="Times New Roman"/>
          <w:sz w:val="24"/>
          <w:u w:val="single"/>
          <w:lang w:val="en-US" w:eastAsia="zh-CN"/>
        </w:rPr>
        <w:t xml:space="preserve">      </w:t>
      </w:r>
      <w:r>
        <w:rPr>
          <w:rFonts w:hint="default" w:ascii="Times New Roman" w:hAnsi="Times New Roman" w:eastAsia="宋体" w:cs="Times New Roman"/>
          <w:sz w:val="24"/>
          <w:u w:val="single"/>
          <w:lang w:val="en-US" w:eastAsia="zh-CN"/>
        </w:rPr>
        <w:t>天</w:t>
      </w:r>
      <w:r>
        <w:rPr>
          <w:rFonts w:hint="default" w:ascii="Times New Roman" w:hAnsi="Times New Roman" w:eastAsia="宋体" w:cs="Times New Roman"/>
          <w:sz w:val="24"/>
          <w:u w:val="single"/>
          <w:lang w:eastAsia="zh-CN"/>
        </w:rPr>
        <w:t>内货到现</w:t>
      </w:r>
      <w:r>
        <w:rPr>
          <w:rFonts w:hint="default" w:ascii="Times New Roman" w:hAnsi="Times New Roman" w:eastAsia="宋体" w:cs="Times New Roman"/>
          <w:sz w:val="24"/>
          <w:highlight w:val="none"/>
          <w:u w:val="single"/>
          <w:lang w:eastAsia="zh-CN"/>
        </w:rPr>
        <w:t>场</w:t>
      </w:r>
      <w:r>
        <w:rPr>
          <w:rFonts w:hint="eastAsia" w:cs="宋体"/>
          <w:sz w:val="24"/>
          <w:szCs w:val="24"/>
          <w:u w:val="single"/>
          <w:lang w:val="en-US" w:eastAsia="zh-CN"/>
        </w:rPr>
        <w:t>且须按</w:t>
      </w:r>
      <w:r>
        <w:rPr>
          <w:rFonts w:hint="eastAsia" w:ascii="宋体" w:hAnsi="宋体" w:eastAsia="宋体" w:cs="宋体"/>
          <w:sz w:val="24"/>
          <w:szCs w:val="24"/>
          <w:u w:val="single"/>
        </w:rPr>
        <w:t>要求</w:t>
      </w:r>
      <w:r>
        <w:rPr>
          <w:rFonts w:hint="eastAsia" w:cs="宋体"/>
          <w:sz w:val="24"/>
          <w:szCs w:val="24"/>
          <w:u w:val="single"/>
          <w:lang w:val="en-US" w:eastAsia="zh-CN"/>
        </w:rPr>
        <w:t>安装调试完成。</w:t>
      </w:r>
    </w:p>
    <w:p>
      <w:pPr>
        <w:pStyle w:val="2"/>
        <w:ind w:left="379" w:leftChars="0" w:hanging="379" w:hangingChars="158"/>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2.4</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乙方提供产品</w:t>
      </w:r>
      <w:r>
        <w:rPr>
          <w:rFonts w:hint="eastAsia" w:ascii="Times New Roman" w:hAnsi="Times New Roman" w:cs="Times New Roman"/>
          <w:sz w:val="24"/>
          <w:lang w:val="en-US" w:eastAsia="zh-CN"/>
        </w:rPr>
        <w:t>及安装，</w:t>
      </w:r>
      <w:r>
        <w:rPr>
          <w:rFonts w:hint="default" w:ascii="Times New Roman" w:hAnsi="Times New Roman" w:eastAsia="宋体" w:cs="Times New Roman"/>
          <w:sz w:val="24"/>
          <w:lang w:eastAsia="zh-CN"/>
        </w:rPr>
        <w:t>并承担运输过程中发生的一切费用。在产品交付给甲方之前，相关的毁损、灭失等风险均由乙方自行承担。</w:t>
      </w:r>
    </w:p>
    <w:p>
      <w:pPr>
        <w:pStyle w:val="2"/>
        <w:ind w:left="720" w:hanging="720" w:hangingChars="3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2.5 技术要求及执行标准详见附件</w:t>
      </w:r>
      <w:r>
        <w:rPr>
          <w:rFonts w:hint="eastAsia"/>
          <w:sz w:val="24"/>
          <w:szCs w:val="24"/>
          <w:highlight w:val="none"/>
          <w:lang w:val="en-US" w:eastAsia="zh-CN"/>
        </w:rPr>
        <w:t>《紧急一键报警系统配置清单》</w:t>
      </w:r>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第三条 </w:t>
      </w:r>
      <w:r>
        <w:rPr>
          <w:rFonts w:hint="default" w:ascii="Times New Roman" w:hAnsi="Times New Roman" w:eastAsia="宋体" w:cs="Times New Roman"/>
          <w:b/>
          <w:bCs/>
          <w:sz w:val="24"/>
          <w:lang w:eastAsia="zh-CN"/>
        </w:rPr>
        <w:t>付款方式与条件</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3.1 预付款：无</w:t>
      </w:r>
    </w:p>
    <w:p>
      <w:pPr>
        <w:pStyle w:val="13"/>
        <w:spacing w:line="360" w:lineRule="auto"/>
        <w:ind w:left="480" w:hanging="480" w:hanging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3.2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验收款：货到现场</w:t>
      </w:r>
      <w:r>
        <w:rPr>
          <w:rFonts w:hint="eastAsia" w:ascii="Times New Roman" w:hAnsi="Times New Roman" w:cs="Times New Roman"/>
          <w:sz w:val="24"/>
          <w:lang w:val="en-US" w:eastAsia="zh-CN"/>
        </w:rPr>
        <w:t>并安装调试</w:t>
      </w:r>
      <w:r>
        <w:rPr>
          <w:rFonts w:hint="default" w:ascii="Times New Roman" w:hAnsi="Times New Roman" w:eastAsia="宋体" w:cs="Times New Roman"/>
          <w:sz w:val="24"/>
        </w:rPr>
        <w:t>，按合同约定标准经甲方验收合格，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3.3</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说明：如未来国家税率变动，应在不含税金额的基础上以新税率调整含税金额后进行付款。</w:t>
      </w:r>
    </w:p>
    <w:p>
      <w:pPr>
        <w:spacing w:line="360" w:lineRule="auto"/>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第四条 </w:t>
      </w:r>
      <w:r>
        <w:rPr>
          <w:rFonts w:hint="default" w:ascii="Times New Roman" w:hAnsi="Times New Roman" w:eastAsia="宋体" w:cs="Times New Roman"/>
          <w:b/>
          <w:bCs/>
          <w:sz w:val="24"/>
          <w:lang w:eastAsia="zh-CN"/>
        </w:rPr>
        <w:t>质量要求和技术标准</w:t>
      </w:r>
    </w:p>
    <w:p>
      <w:pPr>
        <w:spacing w:line="360" w:lineRule="auto"/>
        <w:ind w:left="715" w:leftChars="109" w:hanging="475" w:hangingChars="198"/>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left="715" w:leftChars="109" w:hanging="475" w:hangingChars="198"/>
        <w:rPr>
          <w:rFonts w:hint="default" w:ascii="Times New Roman" w:hAnsi="Times New Roman" w:eastAsia="宋体" w:cs="Times New Roman"/>
          <w:sz w:val="24"/>
        </w:rPr>
      </w:pPr>
      <w:r>
        <w:rPr>
          <w:rFonts w:hint="default" w:ascii="Times New Roman" w:hAnsi="Times New Roman" w:eastAsia="宋体" w:cs="Times New Roman"/>
          <w:sz w:val="24"/>
          <w:szCs w:val="24"/>
        </w:rPr>
        <w:t>4.2</w:t>
      </w:r>
      <w:r>
        <w:rPr>
          <w:rFonts w:hint="default" w:ascii="Times New Roman" w:hAnsi="Times New Roman" w:eastAsia="宋体" w:cs="Times New Roman"/>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default" w:ascii="Times New Roman" w:hAnsi="Times New Roman" w:eastAsia="宋体" w:cs="Times New Roman"/>
          <w:sz w:val="24"/>
          <w:u w:val="single"/>
        </w:rPr>
        <w:t>12个</w:t>
      </w:r>
      <w:r>
        <w:rPr>
          <w:rFonts w:hint="default" w:ascii="Times New Roman" w:hAnsi="Times New Roman" w:eastAsia="宋体" w:cs="Times New Roman"/>
          <w:sz w:val="24"/>
        </w:rPr>
        <w:t>月）内，乙方应当对其交付的产品承担质量保证责任，所需费用由乙方承担。</w:t>
      </w:r>
    </w:p>
    <w:p>
      <w:pPr>
        <w:spacing w:line="360" w:lineRule="auto"/>
        <w:ind w:left="679" w:leftChars="109" w:hanging="439" w:hangingChars="183"/>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ind w:left="679" w:leftChars="109" w:hanging="439" w:hangingChars="183"/>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4.4 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第五条 </w:t>
      </w:r>
      <w:r>
        <w:rPr>
          <w:rFonts w:hint="default" w:ascii="Times New Roman" w:hAnsi="Times New Roman" w:eastAsia="宋体" w:cs="Times New Roman"/>
          <w:b/>
          <w:bCs/>
          <w:sz w:val="24"/>
          <w:lang w:eastAsia="zh-CN"/>
        </w:rPr>
        <w:t>安装调试、技术服务、人员培训及技术资料</w:t>
      </w:r>
    </w:p>
    <w:p>
      <w:pPr>
        <w:spacing w:line="360" w:lineRule="auto"/>
        <w:ind w:firstLine="240" w:firstLineChars="1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5.1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乙方为甲方提供下列服务（具体以在□内打“√”为准）</w:t>
      </w:r>
    </w:p>
    <w:p>
      <w:pPr>
        <w:spacing w:line="360" w:lineRule="auto"/>
        <w:ind w:firstLine="480" w:firstLineChars="200"/>
        <w:rPr>
          <w:rFonts w:hint="default" w:ascii="Times New Roman" w:hAnsi="Times New Roman" w:eastAsia="宋体" w:cs="Times New Roman"/>
          <w:sz w:val="24"/>
          <w:u w:val="single"/>
          <w:lang w:eastAsia="zh-CN"/>
        </w:rPr>
      </w:pPr>
      <w:sdt>
        <w:sdtPr>
          <w:rPr>
            <w:rFonts w:hint="default" w:ascii="Times New Roman" w:hAnsi="Times New Roman" w:eastAsia="宋体" w:cs="Times New Roman"/>
            <w:sz w:val="24"/>
          </w:rPr>
          <w:id w:val="-22404436"/>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r>
        <w:rPr>
          <w:rFonts w:hint="default" w:ascii="Times New Roman" w:hAnsi="Times New Roman" w:eastAsia="宋体" w:cs="Times New Roman"/>
          <w:sz w:val="24"/>
          <w:lang w:eastAsia="zh-CN"/>
        </w:rPr>
        <w:t>安装调试：</w:t>
      </w:r>
      <w:r>
        <w:rPr>
          <w:rFonts w:hint="default" w:ascii="Times New Roman" w:hAnsi="Times New Roman" w:eastAsia="宋体" w:cs="Times New Roman"/>
          <w:sz w:val="24"/>
          <w:u w:val="single"/>
          <w:lang w:eastAsia="zh-CN"/>
        </w:rPr>
        <w:t xml:space="preserve">  </w:t>
      </w:r>
      <w:r>
        <w:rPr>
          <w:rFonts w:hint="eastAsia" w:ascii="Times New Roman" w:hAnsi="Times New Roman" w:cs="Times New Roman"/>
          <w:sz w:val="24"/>
          <w:u w:val="single"/>
          <w:lang w:val="en-US" w:eastAsia="zh-CN"/>
        </w:rPr>
        <w:t>有</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p>
    <w:p>
      <w:pPr>
        <w:spacing w:line="360" w:lineRule="auto"/>
        <w:ind w:firstLine="480" w:firstLineChars="200"/>
        <w:rPr>
          <w:rFonts w:hint="default" w:ascii="Times New Roman" w:hAnsi="Times New Roman" w:eastAsia="宋体" w:cs="Times New Roman"/>
          <w:sz w:val="24"/>
          <w:lang w:eastAsia="zh-CN"/>
        </w:rPr>
      </w:pPr>
      <w:sdt>
        <w:sdtPr>
          <w:rPr>
            <w:rFonts w:hint="default" w:ascii="Times New Roman" w:hAnsi="Times New Roman" w:eastAsia="宋体" w:cs="Times New Roman"/>
            <w:sz w:val="24"/>
          </w:rPr>
          <w:id w:val="-101954568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0"/>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技术服务：</w:t>
      </w:r>
      <w:r>
        <w:rPr>
          <w:rFonts w:hint="default" w:ascii="Times New Roman" w:hAnsi="Times New Roman" w:eastAsia="宋体" w:cs="Times New Roman"/>
          <w:sz w:val="24"/>
          <w:u w:val="single"/>
          <w:lang w:eastAsia="zh-CN"/>
        </w:rPr>
        <w:t xml:space="preserve">  </w:t>
      </w:r>
      <w:r>
        <w:rPr>
          <w:rFonts w:hint="eastAsia" w:ascii="Times New Roman" w:hAnsi="Times New Roman" w:cs="Times New Roman"/>
          <w:sz w:val="24"/>
          <w:u w:val="single"/>
          <w:lang w:val="en-US" w:eastAsia="zh-CN"/>
        </w:rPr>
        <w:t>有</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p>
    <w:p>
      <w:pPr>
        <w:spacing w:line="360" w:lineRule="auto"/>
        <w:ind w:firstLine="480" w:firstLineChars="200"/>
        <w:rPr>
          <w:rFonts w:hint="default" w:ascii="Times New Roman" w:hAnsi="Times New Roman" w:eastAsia="宋体" w:cs="Times New Roman"/>
          <w:sz w:val="24"/>
          <w:u w:val="single"/>
          <w:lang w:eastAsia="zh-CN"/>
        </w:rPr>
      </w:pPr>
      <w:sdt>
        <w:sdtPr>
          <w:rPr>
            <w:rFonts w:hint="default" w:ascii="Times New Roman" w:hAnsi="Times New Roman" w:eastAsia="宋体" w:cs="Times New Roman"/>
            <w:sz w:val="24"/>
          </w:rPr>
          <w:id w:val="142753769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1"/>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人员培训：</w:t>
      </w:r>
      <w:r>
        <w:rPr>
          <w:rFonts w:hint="default" w:ascii="Times New Roman" w:hAnsi="Times New Roman" w:eastAsia="宋体" w:cs="Times New Roman"/>
          <w:sz w:val="24"/>
          <w:u w:val="single"/>
          <w:lang w:eastAsia="zh-CN"/>
        </w:rPr>
        <w:t xml:space="preserve">  </w:t>
      </w:r>
      <w:r>
        <w:rPr>
          <w:rFonts w:hint="eastAsia" w:ascii="Times New Roman" w:hAnsi="Times New Roman" w:cs="Times New Roman"/>
          <w:sz w:val="24"/>
          <w:u w:val="single"/>
          <w:lang w:val="en-US" w:eastAsia="zh-CN"/>
        </w:rPr>
        <w:t>有</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p>
    <w:p>
      <w:pPr>
        <w:spacing w:line="360" w:lineRule="auto"/>
        <w:ind w:left="497" w:leftChars="226" w:firstLine="0" w:firstLineChars="0"/>
        <w:rPr>
          <w:rFonts w:hint="default" w:ascii="Times New Roman" w:hAnsi="Times New Roman" w:eastAsia="宋体" w:cs="Times New Roman"/>
          <w:sz w:val="24"/>
          <w:u w:val="none"/>
          <w:lang w:val="en-US" w:eastAsia="zh-CN"/>
        </w:rPr>
      </w:pPr>
      <w:sdt>
        <w:sdtPr>
          <w:rPr>
            <w:rFonts w:hint="default" w:ascii="Times New Roman" w:hAnsi="Times New Roman" w:eastAsia="宋体" w:cs="Times New Roman"/>
            <w:sz w:val="24"/>
          </w:rPr>
          <w:id w:val="-125273807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2"/>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技术资料：</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有 </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第六条 </w:t>
      </w:r>
      <w:r>
        <w:rPr>
          <w:rFonts w:hint="default" w:ascii="Times New Roman" w:hAnsi="Times New Roman" w:eastAsia="宋体" w:cs="Times New Roman"/>
          <w:b/>
          <w:bCs/>
          <w:sz w:val="24"/>
          <w:lang w:eastAsia="zh-CN"/>
        </w:rPr>
        <w:t>验收</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pPr>
        <w:spacing w:line="360" w:lineRule="auto"/>
        <w:ind w:left="388" w:leftChars="0" w:hanging="388" w:hangingChars="162"/>
        <w:rPr>
          <w:rFonts w:hint="default" w:ascii="Times New Roman" w:hAnsi="Times New Roman" w:eastAsia="宋体" w:cs="Times New Roman"/>
          <w:lang w:val="en-US" w:eastAsia="zh-CN"/>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第七条 </w:t>
      </w:r>
      <w:r>
        <w:rPr>
          <w:rFonts w:hint="default" w:ascii="Times New Roman" w:hAnsi="Times New Roman" w:eastAsia="宋体" w:cs="Times New Roman"/>
          <w:b/>
          <w:bCs/>
          <w:sz w:val="24"/>
          <w:lang w:eastAsia="zh-CN"/>
        </w:rPr>
        <w:t>质量保证</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lang w:eastAsia="zh-CN"/>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第八条 </w:t>
      </w:r>
      <w:r>
        <w:rPr>
          <w:rFonts w:hint="default" w:ascii="Times New Roman" w:hAnsi="Times New Roman" w:eastAsia="宋体" w:cs="Times New Roman"/>
          <w:b/>
          <w:bCs/>
          <w:sz w:val="24"/>
          <w:lang w:eastAsia="zh-CN"/>
        </w:rPr>
        <w:t>违约责任</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8.1 乙方逾期交货的，每日按照合同总额的</w:t>
      </w:r>
      <w:r>
        <w:rPr>
          <w:rFonts w:hint="default" w:ascii="Times New Roman" w:hAnsi="Times New Roman" w:eastAsia="宋体" w:cs="Times New Roman"/>
          <w:sz w:val="24"/>
          <w:u w:val="single"/>
          <w:lang w:eastAsia="zh-CN"/>
        </w:rPr>
        <w:t xml:space="preserve"> 0.1 </w:t>
      </w:r>
      <w:r>
        <w:rPr>
          <w:rFonts w:hint="default" w:ascii="Times New Roman" w:hAnsi="Times New Roman" w:eastAsia="宋体" w:cs="Times New Roman"/>
          <w:sz w:val="24"/>
          <w:lang w:eastAsia="zh-CN"/>
        </w:rPr>
        <w:t>%向甲方支付违约金，逾期超过</w:t>
      </w:r>
      <w:r>
        <w:rPr>
          <w:rFonts w:hint="default" w:ascii="Times New Roman" w:hAnsi="Times New Roman" w:eastAsia="宋体" w:cs="Times New Roman"/>
          <w:sz w:val="24"/>
          <w:u w:val="single"/>
          <w:lang w:eastAsia="zh-CN"/>
        </w:rPr>
        <w:t xml:space="preserve"> 20 </w:t>
      </w:r>
      <w:r>
        <w:rPr>
          <w:rFonts w:hint="default" w:ascii="Times New Roman" w:hAnsi="Times New Roman" w:eastAsia="宋体" w:cs="Times New Roman"/>
          <w:sz w:val="24"/>
          <w:lang w:eastAsia="zh-CN"/>
        </w:rPr>
        <w:t>日的，甲方还有权解除合同，并要求乙方一次性支付合同总额</w:t>
      </w:r>
      <w:r>
        <w:rPr>
          <w:rFonts w:hint="default" w:ascii="Times New Roman" w:hAnsi="Times New Roman" w:eastAsia="宋体" w:cs="Times New Roman"/>
          <w:sz w:val="24"/>
          <w:u w:val="single"/>
          <w:lang w:eastAsia="zh-CN"/>
        </w:rPr>
        <w:t xml:space="preserve"> 20 </w:t>
      </w:r>
      <w:r>
        <w:rPr>
          <w:rFonts w:hint="default" w:ascii="Times New Roman" w:hAnsi="Times New Roman" w:eastAsia="宋体" w:cs="Times New Roman"/>
          <w:sz w:val="24"/>
          <w:lang w:eastAsia="zh-CN"/>
        </w:rPr>
        <w:t>%的违约金。乙方部分交货不合格的，均按照逾期交货处理。</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8.2 乙方交付的产品经甲方验收不合格的，应根据甲方要求进行更换或采取其他补救措施。累计</w:t>
      </w:r>
      <w:r>
        <w:rPr>
          <w:rFonts w:hint="default" w:ascii="Times New Roman" w:hAnsi="Times New Roman" w:eastAsia="宋体" w:cs="Times New Roman"/>
          <w:sz w:val="24"/>
          <w:u w:val="single"/>
          <w:lang w:eastAsia="zh-CN"/>
        </w:rPr>
        <w:t xml:space="preserve"> 3 </w:t>
      </w:r>
      <w:r>
        <w:rPr>
          <w:rFonts w:hint="default" w:ascii="Times New Roman" w:hAnsi="Times New Roman" w:eastAsia="宋体" w:cs="Times New Roman"/>
          <w:sz w:val="24"/>
          <w:lang w:eastAsia="zh-CN"/>
        </w:rPr>
        <w:t>次验收不合格的，甲方还有权解除合同、拒绝支付任何费用。</w:t>
      </w:r>
    </w:p>
    <w:p>
      <w:pPr>
        <w:spacing w:line="360" w:lineRule="auto"/>
        <w:ind w:left="416" w:leftChars="9" w:hanging="396" w:hangingChars="165"/>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lang w:eastAsia="zh-CN"/>
        </w:rPr>
        <w:t xml:space="preserve">8.3 </w:t>
      </w:r>
      <w:r>
        <w:rPr>
          <w:rFonts w:hint="default" w:ascii="Times New Roman" w:hAnsi="Times New Roman" w:eastAsia="宋体" w:cs="Times New Roman"/>
          <w:sz w:val="24"/>
          <w:szCs w:val="24"/>
          <w:highlight w:val="none"/>
          <w:lang w:eastAsia="zh-CN"/>
        </w:rPr>
        <w:t>如甲方逾期付款，应按全国银行间同业拆借中心公布的贷款市场报价利率向乙方支付利息</w:t>
      </w:r>
      <w:r>
        <w:rPr>
          <w:rFonts w:hint="default" w:ascii="Times New Roman" w:hAnsi="Times New Roman" w:eastAsia="宋体" w:cs="Times New Roman"/>
          <w:sz w:val="24"/>
          <w:highlight w:val="none"/>
          <w:lang w:eastAsia="zh-CN"/>
        </w:rPr>
        <w:t>。</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8.4 一方的违约行为给对方造成的损失超过本合同约定的违约金数额的，超出部分，违约方应予以赔偿。</w:t>
      </w:r>
    </w:p>
    <w:p>
      <w:pPr>
        <w:pStyle w:val="2"/>
        <w:spacing w:line="360" w:lineRule="auto"/>
        <w:ind w:left="416" w:leftChars="9" w:hanging="396" w:hangingChars="16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8.5甲方已就本合同项下涉及乙方重大利害关系的条款向乙方作出详细说明，乙方充分理解上述条款含义，并自愿签订本合同。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val="en-US" w:eastAsia="zh-CN"/>
        </w:rPr>
        <w:t xml:space="preserve">第九条 </w:t>
      </w:r>
      <w:r>
        <w:rPr>
          <w:rFonts w:hint="default" w:ascii="Times New Roman" w:hAnsi="Times New Roman" w:eastAsia="宋体" w:cs="Times New Roman"/>
          <w:b/>
          <w:bCs/>
          <w:sz w:val="24"/>
          <w:lang w:eastAsia="zh-CN"/>
        </w:rPr>
        <w:t>法律的适用及争议解决方式</w:t>
      </w:r>
    </w:p>
    <w:p>
      <w:pPr>
        <w:spacing w:line="360" w:lineRule="auto"/>
        <w:ind w:left="329" w:leftChars="-18" w:hanging="369" w:hangingChars="154"/>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本合同的效力、解释及履行均适用中华人民共和国法律。</w:t>
      </w:r>
    </w:p>
    <w:p>
      <w:pPr>
        <w:spacing w:line="360" w:lineRule="auto"/>
        <w:ind w:left="329" w:leftChars="-18" w:hanging="369" w:hangingChars="154"/>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9.2</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第十条</w:t>
      </w:r>
      <w:r>
        <w:rPr>
          <w:rFonts w:hint="default" w:ascii="Times New Roman" w:hAnsi="Times New Roman" w:eastAsia="宋体" w:cs="Times New Roman"/>
          <w:b/>
          <w:bCs/>
          <w:sz w:val="24"/>
          <w:lang w:eastAsia="zh-CN"/>
        </w:rPr>
        <w:t xml:space="preserve"> 合同变更与解除 </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第十一条 </w:t>
      </w:r>
      <w:r>
        <w:rPr>
          <w:rFonts w:hint="default" w:ascii="Times New Roman" w:hAnsi="Times New Roman" w:eastAsia="宋体" w:cs="Times New Roman"/>
          <w:b/>
          <w:bCs/>
          <w:sz w:val="24"/>
          <w:lang w:eastAsia="zh-CN"/>
        </w:rPr>
        <w:t>通知</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val="en-US" w:eastAsia="zh-CN"/>
        </w:rPr>
        <w:t>第十二条</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本合同一式</w:t>
      </w:r>
      <w:r>
        <w:rPr>
          <w:rFonts w:hint="default" w:ascii="Times New Roman" w:hAnsi="Times New Roman" w:eastAsia="宋体" w:cs="Times New Roman"/>
          <w:b/>
          <w:bCs/>
          <w:sz w:val="24"/>
          <w:u w:val="single"/>
          <w:lang w:val="en-US" w:eastAsia="zh-CN"/>
        </w:rPr>
        <w:t xml:space="preserve"> 肆 </w:t>
      </w:r>
      <w:r>
        <w:rPr>
          <w:rFonts w:hint="default" w:ascii="Times New Roman" w:hAnsi="Times New Roman" w:eastAsia="宋体" w:cs="Times New Roman"/>
          <w:sz w:val="24"/>
          <w:lang w:eastAsia="zh-CN"/>
        </w:rPr>
        <w:t>份，经双方盖章后生效，甲方执</w:t>
      </w:r>
      <w:r>
        <w:rPr>
          <w:rFonts w:hint="default" w:ascii="Times New Roman" w:hAnsi="Times New Roman" w:eastAsia="宋体" w:cs="Times New Roman"/>
          <w:b/>
          <w:bCs/>
          <w:sz w:val="24"/>
          <w:u w:val="single"/>
          <w:lang w:val="en-US" w:eastAsia="zh-CN"/>
        </w:rPr>
        <w:t xml:space="preserve"> 叁 </w:t>
      </w:r>
      <w:r>
        <w:rPr>
          <w:rFonts w:hint="default" w:ascii="Times New Roman" w:hAnsi="Times New Roman" w:eastAsia="宋体" w:cs="Times New Roman"/>
          <w:sz w:val="24"/>
          <w:lang w:eastAsia="zh-CN"/>
        </w:rPr>
        <w:t>份、乙方执</w:t>
      </w:r>
      <w:r>
        <w:rPr>
          <w:rFonts w:hint="default" w:ascii="Times New Roman" w:hAnsi="Times New Roman" w:eastAsia="宋体" w:cs="Times New Roman"/>
          <w:b/>
          <w:bCs/>
          <w:sz w:val="24"/>
          <w:u w:val="single"/>
          <w:lang w:val="en-US" w:eastAsia="zh-CN"/>
        </w:rPr>
        <w:t xml:space="preserve"> 壹 </w:t>
      </w:r>
      <w:r>
        <w:rPr>
          <w:rFonts w:hint="default" w:ascii="Times New Roman" w:hAnsi="Times New Roman" w:eastAsia="宋体" w:cs="Times New Roman"/>
          <w:sz w:val="24"/>
          <w:lang w:eastAsia="zh-CN"/>
        </w:rPr>
        <w:t>份，合同与附件具有同等</w:t>
      </w:r>
      <w:r>
        <w:rPr>
          <w:rFonts w:hint="default" w:ascii="Times New Roman" w:hAnsi="Times New Roman" w:eastAsia="宋体" w:cs="Times New Roman"/>
          <w:sz w:val="24"/>
          <w:lang w:val="en-US" w:eastAsia="zh-CN"/>
        </w:rPr>
        <w:t>法律</w:t>
      </w:r>
      <w:r>
        <w:rPr>
          <w:rFonts w:hint="default" w:ascii="Times New Roman" w:hAnsi="Times New Roman" w:eastAsia="宋体" w:cs="Times New Roman"/>
          <w:sz w:val="24"/>
          <w:lang w:eastAsia="zh-CN"/>
        </w:rPr>
        <w:t>效力。</w:t>
      </w:r>
    </w:p>
    <w:p>
      <w:pPr>
        <w:pStyle w:val="2"/>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（本页为签署栏，无正文）</w:t>
      </w: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tbl>
      <w:tblPr>
        <w:tblStyle w:val="35"/>
        <w:tblW w:w="10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6"/>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甲方（</w:t>
            </w:r>
            <w:r>
              <w:rPr>
                <w:rFonts w:hint="default" w:ascii="Times New Roman" w:hAnsi="Times New Roman" w:eastAsia="宋体" w:cs="Times New Roman"/>
                <w:b/>
                <w:bCs/>
                <w:sz w:val="24"/>
                <w:lang w:val="en-US" w:eastAsia="zh-CN"/>
              </w:rPr>
              <w:t>需方）</w:t>
            </w:r>
            <w:r>
              <w:rPr>
                <w:rFonts w:hint="default" w:ascii="Times New Roman" w:hAnsi="Times New Roman" w:eastAsia="宋体" w:cs="Times New Roman"/>
                <w:b/>
                <w:bCs/>
                <w:sz w:val="24"/>
                <w:lang w:eastAsia="zh-CN"/>
              </w:rPr>
              <w:t>：</w:t>
            </w:r>
            <w:r>
              <w:rPr>
                <w:rFonts w:hint="eastAsia" w:ascii="Times New Roman" w:hAnsi="Times New Roman" w:cs="Times New Roman"/>
                <w:b/>
                <w:bCs/>
                <w:sz w:val="24"/>
                <w:lang w:val="en-US" w:eastAsia="zh-CN"/>
              </w:rPr>
              <w:t>腾龙芳烃</w:t>
            </w:r>
            <w:r>
              <w:rPr>
                <w:rFonts w:hint="default" w:ascii="Times New Roman" w:hAnsi="Times New Roman" w:eastAsia="宋体" w:cs="Times New Roman"/>
                <w:b/>
                <w:bCs/>
                <w:sz w:val="24"/>
                <w:lang w:eastAsia="zh-CN"/>
              </w:rPr>
              <w:t>（漳州）有限公司</w:t>
            </w:r>
          </w:p>
        </w:tc>
        <w:tc>
          <w:tcPr>
            <w:tcW w:w="4456"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乙方（</w:t>
            </w:r>
            <w:r>
              <w:rPr>
                <w:rFonts w:hint="default" w:ascii="Times New Roman" w:hAnsi="Times New Roman" w:eastAsia="宋体" w:cs="Times New Roman"/>
                <w:b/>
                <w:bCs/>
                <w:sz w:val="24"/>
                <w:lang w:val="en-US" w:eastAsia="zh-CN"/>
              </w:rPr>
              <w:t>供方）</w:t>
            </w:r>
            <w:r>
              <w:rPr>
                <w:rFonts w:hint="default" w:ascii="Times New Roman" w:hAnsi="Times New Roman" w:eastAsia="宋体" w:cs="Times New Roman"/>
                <w:b/>
                <w:bCs/>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地址：福建省漳州市古雷港经济开发区腾龙路8</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lang w:eastAsia="zh-CN"/>
              </w:rPr>
              <w:t>号</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电话：0596-63110</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lang w:eastAsia="zh-CN"/>
              </w:rPr>
              <w:t>3</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电话</w:t>
            </w:r>
            <w:r>
              <w:rPr>
                <w:rFonts w:hint="default" w:ascii="Times New Roman" w:hAnsi="Times New Roman" w:eastAsia="宋体" w:cs="Times New Roman"/>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联系人：黄梅钦</w:t>
            </w:r>
          </w:p>
        </w:tc>
        <w:tc>
          <w:tcPr>
            <w:tcW w:w="4456" w:type="dxa"/>
            <w:vAlign w:val="center"/>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开户银行：兴业银行漳州古雷支行</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账号：162070100100021585</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税号：913506006765392255</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税号：</w:t>
            </w:r>
          </w:p>
        </w:tc>
      </w:tr>
      <w:bookmarkEnd w:id="9"/>
    </w:tbl>
    <w:p>
      <w:pPr>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sectPr>
          <w:headerReference r:id="rId4" w:type="default"/>
          <w:footerReference r:id="rId5" w:type="default"/>
          <w:pgSz w:w="11910" w:h="16840"/>
          <w:pgMar w:top="1500" w:right="770" w:bottom="820" w:left="1240" w:header="0" w:footer="551" w:gutter="0"/>
          <w:pgNumType w:fmt="decimal"/>
          <w:cols w:space="720" w:num="1"/>
          <w:docGrid w:type="lines" w:linePitch="312" w:charSpace="0"/>
        </w:sectPr>
      </w:pPr>
    </w:p>
    <w:p>
      <w:pPr>
        <w:jc w:val="center"/>
        <w:rPr>
          <w:b/>
          <w:bCs/>
          <w:sz w:val="30"/>
          <w:szCs w:val="30"/>
        </w:rPr>
      </w:pPr>
      <w:r>
        <w:rPr>
          <w:rFonts w:hint="eastAsia" w:asciiTheme="majorEastAsia" w:hAnsiTheme="majorEastAsia" w:eastAsiaTheme="majorEastAsia"/>
          <w:b/>
          <w:bCs/>
          <w:sz w:val="30"/>
          <w:szCs w:val="30"/>
        </w:rPr>
        <w:t>紧急一键报警系统配置清单</w:t>
      </w:r>
      <w:r>
        <w:rPr>
          <w:rFonts w:hint="eastAsia" w:asciiTheme="majorEastAsia" w:hAnsiTheme="majorEastAsia" w:eastAsiaTheme="majorEastAsia"/>
          <w:b/>
          <w:bCs/>
          <w:sz w:val="30"/>
          <w:szCs w:val="30"/>
          <w:lang w:eastAsia="zh-CN"/>
        </w:rPr>
        <w:t>（</w:t>
      </w:r>
      <w:r>
        <w:rPr>
          <w:rFonts w:hint="eastAsia" w:asciiTheme="majorEastAsia" w:hAnsiTheme="majorEastAsia" w:eastAsiaTheme="majorEastAsia"/>
          <w:b/>
          <w:bCs/>
          <w:sz w:val="30"/>
          <w:szCs w:val="30"/>
          <w:lang w:val="en-US" w:eastAsia="zh-CN"/>
        </w:rPr>
        <w:t>1/2）</w:t>
      </w:r>
    </w:p>
    <w:tbl>
      <w:tblPr>
        <w:tblStyle w:val="35"/>
        <w:tblW w:w="151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08"/>
        <w:gridCol w:w="9042"/>
        <w:gridCol w:w="622"/>
        <w:gridCol w:w="622"/>
        <w:gridCol w:w="746"/>
        <w:gridCol w:w="101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17" w:type="dxa"/>
            <w:vAlign w:val="center"/>
          </w:tcPr>
          <w:p>
            <w:pPr>
              <w:ind w:left="-594" w:leftChars="-270"/>
              <w:jc w:val="right"/>
            </w:pPr>
            <w:r>
              <w:rPr>
                <w:rFonts w:hint="eastAsia"/>
              </w:rPr>
              <w:t>序号</w:t>
            </w:r>
          </w:p>
        </w:tc>
        <w:tc>
          <w:tcPr>
            <w:tcW w:w="1608" w:type="dxa"/>
            <w:vAlign w:val="center"/>
          </w:tcPr>
          <w:p>
            <w:pPr>
              <w:jc w:val="center"/>
            </w:pPr>
            <w:r>
              <w:rPr>
                <w:rFonts w:hint="eastAsia"/>
              </w:rPr>
              <w:t>需求设备</w:t>
            </w:r>
          </w:p>
        </w:tc>
        <w:tc>
          <w:tcPr>
            <w:tcW w:w="9042" w:type="dxa"/>
            <w:vAlign w:val="center"/>
          </w:tcPr>
          <w:p>
            <w:pPr>
              <w:jc w:val="center"/>
            </w:pPr>
            <w:r>
              <w:rPr>
                <w:rFonts w:hint="eastAsia"/>
              </w:rPr>
              <w:t>技术参数</w:t>
            </w:r>
          </w:p>
        </w:tc>
        <w:tc>
          <w:tcPr>
            <w:tcW w:w="622" w:type="dxa"/>
            <w:vAlign w:val="center"/>
          </w:tcPr>
          <w:p>
            <w:pPr>
              <w:jc w:val="center"/>
            </w:pPr>
            <w:r>
              <w:rPr>
                <w:rFonts w:hint="eastAsia"/>
              </w:rPr>
              <w:t>单位</w:t>
            </w:r>
          </w:p>
        </w:tc>
        <w:tc>
          <w:tcPr>
            <w:tcW w:w="622" w:type="dxa"/>
            <w:vAlign w:val="center"/>
          </w:tcPr>
          <w:p>
            <w:pPr>
              <w:jc w:val="center"/>
            </w:pPr>
            <w:r>
              <w:rPr>
                <w:rFonts w:hint="eastAsia"/>
              </w:rPr>
              <w:t>数量</w:t>
            </w:r>
          </w:p>
        </w:tc>
        <w:tc>
          <w:tcPr>
            <w:tcW w:w="746" w:type="dxa"/>
            <w:vAlign w:val="center"/>
          </w:tcPr>
          <w:p>
            <w:pPr>
              <w:jc w:val="center"/>
              <w:rPr>
                <w:rFonts w:hint="eastAsia" w:eastAsia="宋体"/>
                <w:lang w:val="en-US" w:eastAsia="zh-CN"/>
              </w:rPr>
            </w:pPr>
            <w:r>
              <w:rPr>
                <w:rFonts w:hint="eastAsia"/>
                <w:lang w:val="en-US" w:eastAsia="zh-CN"/>
              </w:rPr>
              <w:t>含税单价</w:t>
            </w:r>
          </w:p>
        </w:tc>
        <w:tc>
          <w:tcPr>
            <w:tcW w:w="1017" w:type="dxa"/>
            <w:vAlign w:val="center"/>
          </w:tcPr>
          <w:p>
            <w:pPr>
              <w:jc w:val="center"/>
              <w:rPr>
                <w:rFonts w:hint="eastAsia" w:eastAsia="宋体"/>
                <w:lang w:val="en-US" w:eastAsia="zh-CN"/>
              </w:rPr>
            </w:pPr>
            <w:r>
              <w:rPr>
                <w:rFonts w:hint="eastAsia"/>
                <w:lang w:val="en-US" w:eastAsia="zh-CN"/>
              </w:rPr>
              <w:t>小计</w:t>
            </w:r>
            <w:r>
              <w:rPr>
                <w:rFonts w:hint="eastAsia"/>
                <w:lang w:val="en-US" w:eastAsia="zh-CN"/>
              </w:rPr>
              <w:br w:type="textWrapping"/>
            </w:r>
            <w:r>
              <w:rPr>
                <w:rFonts w:hint="eastAsia"/>
                <w:lang w:val="en-US" w:eastAsia="zh-CN"/>
              </w:rPr>
              <w:t>（元）</w:t>
            </w:r>
          </w:p>
        </w:tc>
        <w:tc>
          <w:tcPr>
            <w:tcW w:w="746" w:type="dxa"/>
            <w:vAlign w:val="center"/>
          </w:tcPr>
          <w:p>
            <w:pPr>
              <w:jc w:val="center"/>
            </w:pPr>
            <w:r>
              <w:rPr>
                <w:rFonts w:hint="eastAsi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7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工业级视频混合报警主机</w:t>
            </w:r>
          </w:p>
        </w:tc>
        <w:tc>
          <w:tcPr>
            <w:tcW w:w="9042" w:type="dxa"/>
            <w:vAlign w:val="center"/>
          </w:tcPr>
          <w:p>
            <w:pPr>
              <w:jc w:val="both"/>
              <w:rPr>
                <w:rFonts w:cs="微软雅黑" w:asciiTheme="minorEastAsia" w:hAnsiTheme="minorEastAsia"/>
                <w:color w:val="666666"/>
                <w:szCs w:val="21"/>
                <w:shd w:val="clear" w:color="auto" w:fill="FFFFFF"/>
              </w:rPr>
            </w:pP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1、支持4/8路板载有线防区，最大可扩展到64路输入（有线/无线），板载2/4路有线输出，可扩展到64路输出（有线/无线），8个无线遥控器，2个中继器，1个有线警号，2个无线警号</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2、支持关联视频并将报警联动短视频推送给APP或发送邮件（DS-RHAXX-W4型号支持），报警时自动截取7S（5S +2S）事前和事后视频</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3、支持TCP/IP、3G/4G方式上传，支持冗余、可设置优先级</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支持ISAPI协议、萤石协议、标准Contact ID协议、NAL2300协议、ehome（5.0）协议</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4、支持1个安装员用户，1个制造商用户，1个管理员用户，多个普通用户（DS-RHA20-x 13个；DS-RHA64-x 45个）</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5、支持Web端、手机APP配置、支持IVMS4200配置</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6、支持平台远程布撤防、手机APP布撤防，支持键盘、遥控器、刷卡撤布防</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支持短信发送报警信息（可回控操作）</w:t>
            </w:r>
          </w:p>
          <w:p>
            <w:pPr>
              <w:jc w:val="both"/>
              <w:rPr>
                <w:rFonts w:cs="微软雅黑" w:asciiTheme="minorEastAsia" w:hAnsiTheme="minorEastAsia"/>
                <w:color w:val="666666"/>
                <w:szCs w:val="21"/>
                <w:shd w:val="clear" w:color="auto" w:fill="FFFFFF"/>
              </w:rPr>
            </w:pPr>
            <w:r>
              <w:rPr>
                <w:rFonts w:hint="eastAsia" w:cs="微软雅黑" w:asciiTheme="minorEastAsia" w:hAnsiTheme="minorEastAsia"/>
                <w:color w:val="auto"/>
                <w:szCs w:val="21"/>
                <w:shd w:val="clear" w:color="auto" w:fill="FFFFFF"/>
              </w:rPr>
              <w:t>远距离双向通信，数据AES-128加密，安全可靠子系统</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22" w:type="dxa"/>
            <w:vAlign w:val="center"/>
          </w:tcPr>
          <w:p>
            <w:pPr>
              <w:widowControl/>
              <w:ind w:firstLine="220" w:firstLineChars="10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746" w:type="dxa"/>
            <w:vAlign w:val="center"/>
          </w:tcPr>
          <w:p>
            <w:pPr>
              <w:jc w:val="both"/>
            </w:pPr>
          </w:p>
        </w:tc>
        <w:tc>
          <w:tcPr>
            <w:tcW w:w="1017" w:type="dxa"/>
            <w:vAlign w:val="center"/>
          </w:tcPr>
          <w:p>
            <w:pPr>
              <w:jc w:val="both"/>
            </w:pPr>
          </w:p>
        </w:tc>
        <w:tc>
          <w:tcPr>
            <w:tcW w:w="746" w:type="dxa"/>
            <w:vAlign w:val="center"/>
          </w:tcPr>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7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LCD液晶键盘</w:t>
            </w:r>
          </w:p>
        </w:tc>
        <w:tc>
          <w:tcPr>
            <w:tcW w:w="9042"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1、支持</w:t>
            </w:r>
            <w:r>
              <w:rPr>
                <w:rFonts w:ascii="宋体" w:hAnsi="宋体" w:cs="宋体"/>
                <w:color w:val="000000" w:themeColor="text1"/>
                <w:kern w:val="0"/>
                <w:szCs w:val="21"/>
                <w14:textFill>
                  <w14:solidFill>
                    <w14:schemeClr w14:val="tx1"/>
                  </w14:solidFill>
                </w14:textFill>
              </w:rPr>
              <w:t>80x25mm</w:t>
            </w:r>
            <w:r>
              <w:rPr>
                <w:rFonts w:hint="eastAsia" w:ascii="宋体" w:hAnsi="宋体" w:cs="宋体"/>
                <w:color w:val="000000" w:themeColor="text1"/>
                <w:kern w:val="0"/>
                <w:szCs w:val="21"/>
                <w14:textFill>
                  <w14:solidFill>
                    <w14:schemeClr w14:val="tx1"/>
                  </w14:solidFill>
                </w14:textFill>
              </w:rPr>
              <w:t>大屏显示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2、支持</w:t>
            </w:r>
            <w:r>
              <w:rPr>
                <w:rFonts w:ascii="宋体" w:hAnsi="宋体" w:cs="宋体"/>
                <w:color w:val="000000" w:themeColor="text1"/>
                <w:kern w:val="0"/>
                <w:szCs w:val="21"/>
                <w14:textFill>
                  <w14:solidFill>
                    <w14:schemeClr w14:val="tx1"/>
                  </w14:solidFill>
                </w14:textFill>
              </w:rPr>
              <w:t>LED</w:t>
            </w:r>
            <w:r>
              <w:rPr>
                <w:rFonts w:hint="eastAsia" w:ascii="宋体" w:hAnsi="宋体" w:cs="宋体"/>
                <w:color w:val="000000" w:themeColor="text1"/>
                <w:kern w:val="0"/>
                <w:szCs w:val="21"/>
                <w14:textFill>
                  <w14:solidFill>
                    <w14:schemeClr w14:val="tx1"/>
                  </w14:solidFill>
                </w14:textFill>
              </w:rPr>
              <w:t>显示系统实时状态，支持</w:t>
            </w:r>
            <w:r>
              <w:rPr>
                <w:rFonts w:ascii="宋体" w:hAnsi="宋体" w:cs="宋体"/>
                <w:color w:val="000000" w:themeColor="text1"/>
                <w:kern w:val="0"/>
                <w:szCs w:val="21"/>
                <w14:textFill>
                  <w14:solidFill>
                    <w14:schemeClr w14:val="tx1"/>
                  </w14:solidFill>
                </w14:textFill>
              </w:rPr>
              <w:t>LCD</w:t>
            </w:r>
            <w:r>
              <w:rPr>
                <w:rFonts w:hint="eastAsia" w:ascii="宋体" w:hAnsi="宋体" w:cs="宋体"/>
                <w:color w:val="000000" w:themeColor="text1"/>
                <w:kern w:val="0"/>
                <w:szCs w:val="21"/>
                <w14:textFill>
                  <w14:solidFill>
                    <w14:schemeClr w14:val="tx1"/>
                  </w14:solidFill>
                </w14:textFill>
              </w:rPr>
              <w:t>显示自定义防区名称，支持上下翻页查看事件信息，支持背壳双面防拆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3、支持刷卡布撤防，但刷卡不支持消警功能，卡片数量由主机限制，目前网络主机最大可添加</w:t>
            </w:r>
            <w:r>
              <w:rPr>
                <w:rFonts w:ascii="宋体" w:hAnsi="宋体" w:cs="宋体"/>
                <w:color w:val="000000" w:themeColor="text1"/>
                <w:kern w:val="0"/>
                <w:szCs w:val="21"/>
                <w14:textFill>
                  <w14:solidFill>
                    <w14:schemeClr w14:val="tx1"/>
                  </w14:solidFill>
                </w14:textFill>
              </w:rPr>
              <w:t>32</w:t>
            </w:r>
            <w:r>
              <w:rPr>
                <w:rFonts w:hint="eastAsia" w:ascii="宋体" w:hAnsi="宋体" w:cs="宋体"/>
                <w:color w:val="000000" w:themeColor="text1"/>
                <w:kern w:val="0"/>
                <w:szCs w:val="21"/>
                <w14:textFill>
                  <w14:solidFill>
                    <w14:schemeClr w14:val="tx1"/>
                  </w14:solidFill>
                </w14:textFill>
              </w:rPr>
              <w:t>张卡片。</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4、支持连接遥控器进行远程布撤防，键盘最多所能支持的无线遥控器数量由主机决定，最多支持</w:t>
            </w:r>
            <w:r>
              <w:rPr>
                <w:rFonts w:ascii="宋体" w:hAnsi="宋体" w:cs="宋体"/>
                <w:color w:val="000000" w:themeColor="text1"/>
                <w:kern w:val="0"/>
                <w:szCs w:val="21"/>
                <w14:textFill>
                  <w14:solidFill>
                    <w14:schemeClr w14:val="tx1"/>
                  </w14:solidFill>
                </w14:textFill>
              </w:rPr>
              <w:t>32</w:t>
            </w:r>
            <w:r>
              <w:rPr>
                <w:rFonts w:hint="eastAsia" w:ascii="宋体" w:hAnsi="宋体" w:cs="宋体"/>
                <w:color w:val="000000" w:themeColor="text1"/>
                <w:kern w:val="0"/>
                <w:szCs w:val="21"/>
                <w14:textFill>
                  <w14:solidFill>
                    <w14:schemeClr w14:val="tx1"/>
                  </w14:solidFill>
                </w14:textFill>
              </w:rPr>
              <w:t>个遥控器。</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5、通过单击键盘可实现对主机布防，撤防必须密码撤防，</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可针对单防区进行布撤防。通过操作命令，在键盘上可显示</w:t>
            </w:r>
            <w:r>
              <w:rPr>
                <w:rFonts w:ascii="宋体" w:hAnsi="宋体" w:cs="宋体"/>
                <w:color w:val="000000" w:themeColor="text1"/>
                <w:kern w:val="0"/>
                <w:szCs w:val="21"/>
                <w14:textFill>
                  <w14:solidFill>
                    <w14:schemeClr w14:val="tx1"/>
                  </w14:solidFill>
                </w14:textFill>
              </w:rPr>
              <w:t>GPRS</w:t>
            </w:r>
            <w:r>
              <w:rPr>
                <w:rFonts w:hint="eastAsia" w:ascii="宋体" w:hAnsi="宋体" w:cs="宋体"/>
                <w:color w:val="000000" w:themeColor="text1"/>
                <w:kern w:val="0"/>
                <w:szCs w:val="21"/>
                <w14:textFill>
                  <w14:solidFill>
                    <w14:schemeClr w14:val="tx1"/>
                  </w14:solidFill>
                </w14:textFill>
              </w:rPr>
              <w:t>信号强度。</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22"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46" w:type="dxa"/>
          </w:tcPr>
          <w:p>
            <w:pPr>
              <w:jc w:val="both"/>
            </w:pPr>
          </w:p>
        </w:tc>
        <w:tc>
          <w:tcPr>
            <w:tcW w:w="1017" w:type="dxa"/>
          </w:tcPr>
          <w:p>
            <w:pPr>
              <w:jc w:val="both"/>
            </w:pPr>
          </w:p>
        </w:tc>
        <w:tc>
          <w:tcPr>
            <w:tcW w:w="746" w:type="dxa"/>
          </w:tcPr>
          <w:p>
            <w:pPr>
              <w:jc w:val="center"/>
            </w:pPr>
          </w:p>
          <w:p>
            <w:pPr>
              <w:jc w:val="center"/>
            </w:pPr>
          </w:p>
          <w:p>
            <w:pPr>
              <w:jc w:val="center"/>
            </w:pPr>
          </w:p>
          <w:p>
            <w:pPr>
              <w:jc w:val="center"/>
            </w:pPr>
          </w:p>
          <w:p>
            <w:pPr>
              <w:jc w:val="center"/>
            </w:pPr>
          </w:p>
          <w:p>
            <w:pPr>
              <w:jc w:val="center"/>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室外声光喇叭</w:t>
            </w:r>
          </w:p>
        </w:tc>
        <w:tc>
          <w:tcPr>
            <w:tcW w:w="9042" w:type="dxa"/>
            <w:vAlign w:val="center"/>
          </w:tcPr>
          <w:p>
            <w:pPr>
              <w:widowControl/>
              <w:jc w:val="left"/>
            </w:pPr>
            <w:r>
              <w:rPr>
                <w:rFonts w:hint="eastAsia"/>
              </w:rPr>
              <w:t>报警音量: 105dB at 30cm防护等级：IP54，室外防水.内置水平仪，便于辅助安装，支持关闭报警声音输出，实现声光报警模式和光闪模式切换报警音量</w:t>
            </w:r>
            <w:r>
              <w:t>105dB/30cm</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22" w:type="dxa"/>
          </w:tcPr>
          <w:p>
            <w:pPr>
              <w:widowControl/>
              <w:jc w:val="center"/>
              <w:rPr>
                <w:rFonts w:hint="eastAsia" w:ascii="宋体" w:hAnsi="宋体" w:cs="宋体"/>
                <w:color w:val="000000" w:themeColor="text1"/>
                <w:kern w:val="0"/>
                <w:szCs w:val="21"/>
                <w14:textFill>
                  <w14:solidFill>
                    <w14:schemeClr w14:val="tx1"/>
                  </w14:solidFill>
                </w14:textFill>
              </w:rPr>
            </w:pPr>
          </w:p>
          <w:p>
            <w:pPr>
              <w:widowControl/>
              <w:jc w:val="center"/>
              <w:rPr>
                <w:rFonts w:hint="eastAsia"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46" w:type="dxa"/>
          </w:tcPr>
          <w:p>
            <w:pPr>
              <w:jc w:val="both"/>
            </w:pPr>
          </w:p>
        </w:tc>
        <w:tc>
          <w:tcPr>
            <w:tcW w:w="1017" w:type="dxa"/>
          </w:tcPr>
          <w:p>
            <w:pPr>
              <w:jc w:val="both"/>
            </w:pPr>
          </w:p>
        </w:tc>
        <w:tc>
          <w:tcPr>
            <w:tcW w:w="746" w:type="dxa"/>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5120" w:type="dxa"/>
            <w:gridSpan w:val="8"/>
            <w:vAlign w:val="center"/>
          </w:tcPr>
          <w:p>
            <w:pPr>
              <w:jc w:val="center"/>
              <w:rPr>
                <w:rFonts w:hint="eastAsia" w:eastAsia="宋体"/>
                <w:lang w:eastAsia="zh-CN"/>
              </w:rPr>
            </w:pPr>
            <w:r>
              <w:rPr>
                <w:rFonts w:hint="eastAsia"/>
                <w:b/>
                <w:bCs/>
                <w:sz w:val="30"/>
                <w:szCs w:val="30"/>
                <w:lang w:eastAsia="zh-CN"/>
              </w:rPr>
              <w:tab/>
            </w:r>
            <w:r>
              <w:rPr>
                <w:rFonts w:hint="eastAsia" w:asciiTheme="majorEastAsia" w:hAnsiTheme="majorEastAsia" w:eastAsiaTheme="majorEastAsia"/>
                <w:b/>
                <w:bCs/>
                <w:sz w:val="30"/>
                <w:szCs w:val="30"/>
              </w:rPr>
              <w:t>紧急一键报警系统配置清单</w:t>
            </w:r>
            <w:r>
              <w:rPr>
                <w:rFonts w:hint="eastAsia" w:asciiTheme="majorEastAsia" w:hAnsiTheme="majorEastAsia" w:eastAsiaTheme="majorEastAsia"/>
                <w:b/>
                <w:bCs/>
                <w:sz w:val="30"/>
                <w:szCs w:val="30"/>
                <w:lang w:eastAsia="zh-CN"/>
              </w:rPr>
              <w:t>（</w:t>
            </w:r>
            <w:r>
              <w:rPr>
                <w:rFonts w:hint="eastAsia" w:asciiTheme="majorEastAsia" w:hAnsiTheme="majorEastAsia" w:eastAsiaTheme="majorEastAsia"/>
                <w:b/>
                <w:bCs/>
                <w:sz w:val="30"/>
                <w:szCs w:val="3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17" w:type="dxa"/>
            <w:vAlign w:val="center"/>
          </w:tcPr>
          <w:p>
            <w:pPr>
              <w:ind w:left="-594" w:leftChars="-270"/>
              <w:jc w:val="right"/>
              <w:rPr>
                <w:rFonts w:hint="eastAsia" w:ascii="宋体" w:hAnsi="宋体" w:cs="宋体"/>
                <w:color w:val="000000" w:themeColor="text1"/>
                <w:kern w:val="0"/>
                <w:szCs w:val="21"/>
                <w14:textFill>
                  <w14:solidFill>
                    <w14:schemeClr w14:val="tx1"/>
                  </w14:solidFill>
                </w14:textFill>
              </w:rPr>
            </w:pPr>
            <w:r>
              <w:rPr>
                <w:rFonts w:hint="eastAsia"/>
              </w:rPr>
              <w:t>序号</w:t>
            </w:r>
          </w:p>
        </w:tc>
        <w:tc>
          <w:tcPr>
            <w:tcW w:w="1608" w:type="dxa"/>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rPr>
              <w:t>需求设备</w:t>
            </w:r>
          </w:p>
        </w:tc>
        <w:tc>
          <w:tcPr>
            <w:tcW w:w="9042" w:type="dxa"/>
            <w:vAlign w:val="center"/>
          </w:tcPr>
          <w:p>
            <w:pPr>
              <w:jc w:val="center"/>
              <w:rPr>
                <w:rFonts w:hint="eastAsia"/>
              </w:rPr>
            </w:pPr>
            <w:r>
              <w:rPr>
                <w:rFonts w:hint="eastAsia"/>
              </w:rPr>
              <w:t>技术参数</w:t>
            </w:r>
          </w:p>
        </w:tc>
        <w:tc>
          <w:tcPr>
            <w:tcW w:w="622" w:type="dxa"/>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rPr>
              <w:t>单位</w:t>
            </w:r>
          </w:p>
        </w:tc>
        <w:tc>
          <w:tcPr>
            <w:tcW w:w="622" w:type="dxa"/>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rPr>
              <w:t>数量</w:t>
            </w:r>
          </w:p>
        </w:tc>
        <w:tc>
          <w:tcPr>
            <w:tcW w:w="746" w:type="dxa"/>
            <w:vAlign w:val="center"/>
          </w:tcPr>
          <w:p>
            <w:pPr>
              <w:jc w:val="center"/>
              <w:rPr>
                <w:rFonts w:hint="eastAsia"/>
              </w:rPr>
            </w:pPr>
            <w:r>
              <w:rPr>
                <w:rFonts w:hint="eastAsia"/>
                <w:lang w:val="en-US" w:eastAsia="zh-CN"/>
              </w:rPr>
              <w:t>含税单价</w:t>
            </w:r>
          </w:p>
        </w:tc>
        <w:tc>
          <w:tcPr>
            <w:tcW w:w="1017" w:type="dxa"/>
            <w:vAlign w:val="center"/>
          </w:tcPr>
          <w:p>
            <w:pPr>
              <w:jc w:val="center"/>
              <w:rPr>
                <w:rFonts w:hint="eastAsia"/>
              </w:rPr>
            </w:pPr>
            <w:r>
              <w:rPr>
                <w:rFonts w:hint="eastAsia"/>
                <w:lang w:val="en-US" w:eastAsia="zh-CN"/>
              </w:rPr>
              <w:t>小计</w:t>
            </w:r>
            <w:r>
              <w:rPr>
                <w:rFonts w:hint="eastAsia"/>
                <w:lang w:val="en-US" w:eastAsia="zh-CN"/>
              </w:rPr>
              <w:br w:type="textWrapping"/>
            </w:r>
            <w:r>
              <w:rPr>
                <w:rFonts w:hint="eastAsia"/>
                <w:lang w:val="en-US" w:eastAsia="zh-CN"/>
              </w:rPr>
              <w:t>（元）</w:t>
            </w:r>
          </w:p>
        </w:tc>
        <w:tc>
          <w:tcPr>
            <w:tcW w:w="746" w:type="dxa"/>
            <w:vAlign w:val="center"/>
          </w:tcPr>
          <w:p>
            <w:pPr>
              <w:jc w:val="center"/>
            </w:pPr>
            <w:r>
              <w:rPr>
                <w:rFonts w:hint="eastAsi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网络防区模块</w:t>
            </w:r>
          </w:p>
        </w:tc>
        <w:tc>
          <w:tcPr>
            <w:tcW w:w="9042" w:type="dxa"/>
            <w:vAlign w:val="center"/>
          </w:tcPr>
          <w:p>
            <w:pPr>
              <w:widowControl/>
              <w:jc w:val="left"/>
            </w:pPr>
            <w:r>
              <w:rPr>
                <w:rFonts w:hint="eastAsia"/>
              </w:rPr>
              <w:t>1、支持TCP/IP方式搭配混合报警主机系列扩展防区输入</w:t>
            </w:r>
          </w:p>
          <w:p>
            <w:pPr>
              <w:widowControl/>
              <w:jc w:val="left"/>
            </w:pPr>
            <w:r>
              <w:rPr>
                <w:rFonts w:hint="eastAsia"/>
              </w:rPr>
              <w:t>2、支持DHCP功能，支持SADP激活，修改模块IP，模块无需参数配置</w:t>
            </w:r>
          </w:p>
          <w:p>
            <w:pPr>
              <w:widowControl/>
              <w:jc w:val="left"/>
            </w:pPr>
            <w:r>
              <w:rPr>
                <w:rFonts w:hint="eastAsia"/>
              </w:rPr>
              <w:t>3、支持主机通讯状态指示：红灯常亮表示与主机通讯正常，红灯闪烁表示与主机通讯异常</w:t>
            </w:r>
          </w:p>
          <w:p>
            <w:pPr>
              <w:widowControl/>
              <w:jc w:val="left"/>
            </w:pPr>
            <w:r>
              <w:rPr>
                <w:rFonts w:hint="eastAsia"/>
              </w:rPr>
              <w:t>4、支持防区状态指示：橙灯常亮表示防区正常，橙灯闪烁表示防区报警、故障或防拆触发</w:t>
            </w:r>
          </w:p>
          <w:p>
            <w:pPr>
              <w:widowControl/>
              <w:jc w:val="left"/>
            </w:pPr>
            <w:r>
              <w:rPr>
                <w:rFonts w:hint="eastAsia"/>
              </w:rPr>
              <w:t>5、支持网络状态指示：绿灯常亮表示网络连接正常，绿灯闪烁表示网络连接异常</w:t>
            </w:r>
          </w:p>
          <w:p>
            <w:pPr>
              <w:widowControl/>
              <w:jc w:val="left"/>
            </w:pPr>
            <w:r>
              <w:rPr>
                <w:rFonts w:hint="eastAsia"/>
              </w:rPr>
              <w:t>6、支持通过报警主机升级软件。</w:t>
            </w:r>
          </w:p>
          <w:p>
            <w:pPr>
              <w:widowControl/>
              <w:jc w:val="left"/>
            </w:pPr>
            <w:r>
              <w:rPr>
                <w:rFonts w:hint="eastAsia"/>
              </w:rPr>
              <w:t>7、支持硬件恢复出厂参数应用，支持TCP/IP方式搭配混合报警主机系列扩展防区输入</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622" w:type="dxa"/>
          </w:tcPr>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746" w:type="dxa"/>
          </w:tcPr>
          <w:p>
            <w:pPr>
              <w:jc w:val="both"/>
            </w:pPr>
          </w:p>
        </w:tc>
        <w:tc>
          <w:tcPr>
            <w:tcW w:w="1017" w:type="dxa"/>
          </w:tcPr>
          <w:p>
            <w:pPr>
              <w:jc w:val="both"/>
            </w:pPr>
          </w:p>
        </w:tc>
        <w:tc>
          <w:tcPr>
            <w:tcW w:w="746" w:type="dxa"/>
          </w:tcPr>
          <w:p>
            <w:pPr>
              <w:jc w:val="both"/>
            </w:pPr>
          </w:p>
          <w:p>
            <w:pPr>
              <w:jc w:val="both"/>
            </w:pPr>
          </w:p>
          <w:p>
            <w:pPr>
              <w:jc w:val="both"/>
            </w:pPr>
          </w:p>
          <w:p>
            <w:pPr>
              <w:jc w:val="both"/>
            </w:pPr>
          </w:p>
          <w:p>
            <w:pPr>
              <w:jc w:val="both"/>
            </w:pPr>
          </w:p>
          <w:p>
            <w:pPr>
              <w:jc w:val="both"/>
            </w:pPr>
          </w:p>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86盒紧急按钮（含</w:t>
            </w:r>
            <w:r>
              <w:rPr>
                <w:rFonts w:ascii="宋体" w:hAnsi="宋体" w:cs="宋体"/>
                <w:color w:val="000000" w:themeColor="text1"/>
                <w:kern w:val="0"/>
                <w:szCs w:val="21"/>
                <w14:textFill>
                  <w14:solidFill>
                    <w14:schemeClr w14:val="tx1"/>
                  </w14:solidFill>
                </w14:textFill>
              </w:rPr>
              <w:t>12V2A</w:t>
            </w:r>
            <w:r>
              <w:rPr>
                <w:rFonts w:hint="eastAsia" w:ascii="宋体" w:hAnsi="宋体" w:cs="宋体"/>
                <w:color w:val="000000" w:themeColor="text1"/>
                <w:kern w:val="0"/>
                <w:szCs w:val="21"/>
                <w14:textFill>
                  <w14:solidFill>
                    <w14:schemeClr w14:val="tx1"/>
                  </w14:solidFill>
                </w14:textFill>
              </w:rPr>
              <w:t>开关电源）</w:t>
            </w:r>
          </w:p>
        </w:tc>
        <w:tc>
          <w:tcPr>
            <w:tcW w:w="9042" w:type="dxa"/>
            <w:vAlign w:val="center"/>
          </w:tcPr>
          <w:p>
            <w:pPr>
              <w:widowControl/>
              <w:jc w:val="left"/>
              <w:rPr>
                <w:rFonts w:hint="eastAsia"/>
                <w:lang w:eastAsia="zh-CN"/>
              </w:rPr>
            </w:pPr>
            <w:r>
              <w:rPr>
                <w:rFonts w:hint="eastAsia"/>
              </w:rPr>
              <w:t>NO/NC可选报警输出，常闭;常开</w:t>
            </w:r>
            <w:r>
              <w:rPr>
                <w:rFonts w:hint="eastAsia"/>
                <w:lang w:eastAsia="zh-CN"/>
              </w:rPr>
              <w:t>；</w:t>
            </w:r>
            <w:r>
              <w:rPr>
                <w:rFonts w:hint="eastAsia"/>
              </w:rPr>
              <w:t>外壳材质：阻燃ABS</w:t>
            </w:r>
            <w:r>
              <w:rPr>
                <w:rFonts w:hint="eastAsia"/>
                <w:lang w:eastAsia="zh-CN"/>
              </w:rPr>
              <w:t>；</w:t>
            </w:r>
          </w:p>
          <w:p>
            <w:pPr>
              <w:widowControl/>
              <w:jc w:val="left"/>
            </w:pPr>
            <w:r>
              <w:rPr>
                <w:rFonts w:hint="eastAsia"/>
              </w:rPr>
              <w:t>尺寸(宽x高x深)</w:t>
            </w:r>
            <w:r>
              <w:rPr>
                <w:rFonts w:hint="eastAsia"/>
                <w:lang w:val="en-US" w:eastAsia="zh-CN"/>
              </w:rPr>
              <w:t>=</w:t>
            </w:r>
            <w:r>
              <w:t>86 mm × 86 mm × 32 mm</w:t>
            </w:r>
            <w:r>
              <w:rPr>
                <w:rFonts w:hint="eastAsia"/>
                <w:lang w:eastAsia="zh-CN"/>
              </w:rPr>
              <w:t>；</w:t>
            </w:r>
            <w:r>
              <w:rPr>
                <w:rFonts w:hint="eastAsia"/>
              </w:rPr>
              <w:t>重量：</w:t>
            </w:r>
            <w:r>
              <w:t>50g</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22" w:type="dxa"/>
          </w:tcPr>
          <w:p>
            <w:pPr>
              <w:widowControl/>
              <w:jc w:val="both"/>
              <w:rPr>
                <w:rFonts w:hint="eastAsia" w:ascii="宋体" w:hAnsi="宋体" w:cs="宋体"/>
                <w:color w:val="000000" w:themeColor="text1"/>
                <w:kern w:val="0"/>
                <w:szCs w:val="21"/>
                <w14:textFill>
                  <w14:solidFill>
                    <w14:schemeClr w14:val="tx1"/>
                  </w14:solidFill>
                </w14:textFill>
              </w:rPr>
            </w:pPr>
          </w:p>
          <w:p>
            <w:pPr>
              <w:widowControl/>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9</w:t>
            </w:r>
          </w:p>
        </w:tc>
        <w:tc>
          <w:tcPr>
            <w:tcW w:w="746" w:type="dxa"/>
          </w:tcPr>
          <w:p>
            <w:pPr>
              <w:jc w:val="both"/>
            </w:pPr>
          </w:p>
        </w:tc>
        <w:tc>
          <w:tcPr>
            <w:tcW w:w="1017" w:type="dxa"/>
          </w:tcPr>
          <w:p>
            <w:pPr>
              <w:jc w:val="both"/>
            </w:pPr>
          </w:p>
        </w:tc>
        <w:tc>
          <w:tcPr>
            <w:tcW w:w="746" w:type="dxa"/>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w:t>
            </w:r>
          </w:p>
        </w:tc>
        <w:tc>
          <w:tcPr>
            <w:tcW w:w="9042" w:type="dxa"/>
            <w:vAlign w:val="center"/>
          </w:tcPr>
          <w:p>
            <w:pPr>
              <w:widowControl/>
              <w:jc w:val="left"/>
            </w:pPr>
            <w:r>
              <w:rPr>
                <w:rFonts w:hint="eastAsia"/>
              </w:rPr>
              <w:t>含项目所需的各种线缆，管材及配件等，线缆布线，安装调试设备</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622"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46" w:type="dxa"/>
          </w:tcPr>
          <w:p>
            <w:pPr>
              <w:jc w:val="both"/>
            </w:pPr>
          </w:p>
        </w:tc>
        <w:tc>
          <w:tcPr>
            <w:tcW w:w="1017" w:type="dxa"/>
          </w:tcPr>
          <w:p>
            <w:pPr>
              <w:jc w:val="both"/>
            </w:pPr>
          </w:p>
        </w:tc>
        <w:tc>
          <w:tcPr>
            <w:tcW w:w="74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5120" w:type="dxa"/>
            <w:gridSpan w:val="8"/>
            <w:vAlign w:val="center"/>
          </w:tcPr>
          <w:p>
            <w:pPr>
              <w:widowControl/>
              <w:jc w:val="center"/>
              <w:textAlignment w:val="center"/>
              <w:rPr>
                <w:rStyle w:val="80"/>
                <w:rFonts w:hint="default" w:ascii="Times New Roman" w:hAnsi="Times New Roman" w:eastAsia="宋体" w:cs="Times New Roman"/>
                <w:b w:val="0"/>
                <w:bCs/>
                <w:sz w:val="21"/>
                <w:szCs w:val="21"/>
                <w:lang w:val="en-US" w:eastAsia="zh-CN" w:bidi="ar"/>
              </w:rPr>
            </w:pPr>
            <w:r>
              <w:rPr>
                <w:rStyle w:val="80"/>
                <w:rFonts w:hint="default" w:ascii="Times New Roman" w:hAnsi="Times New Roman" w:eastAsia="宋体" w:cs="Times New Roman"/>
                <w:b/>
                <w:bCs w:val="0"/>
                <w:sz w:val="21"/>
                <w:szCs w:val="21"/>
                <w:lang w:val="en-US" w:eastAsia="zh-CN" w:bidi="ar"/>
              </w:rPr>
              <w:t>交货地点：</w:t>
            </w:r>
            <w:r>
              <w:rPr>
                <w:rStyle w:val="80"/>
                <w:rFonts w:hint="default" w:ascii="Times New Roman" w:hAnsi="Times New Roman" w:eastAsia="宋体" w:cs="Times New Roman"/>
                <w:b w:val="0"/>
                <w:bCs/>
                <w:sz w:val="21"/>
                <w:szCs w:val="21"/>
                <w:lang w:val="en-US" w:eastAsia="zh-CN" w:bidi="ar"/>
              </w:rPr>
              <w:t xml:space="preserve">福建省漳州市漳浦县古雷开发区腾龙路（福海创石油化工有限公司 </w:t>
            </w:r>
            <w:r>
              <w:rPr>
                <w:rStyle w:val="80"/>
                <w:rFonts w:hint="eastAsia" w:ascii="Times New Roman" w:hAnsi="Times New Roman" w:cs="Times New Roman"/>
                <w:b w:val="0"/>
                <w:bCs/>
                <w:sz w:val="21"/>
                <w:szCs w:val="21"/>
                <w:lang w:val="en-US" w:eastAsia="zh-CN" w:bidi="ar"/>
              </w:rPr>
              <w:t>腾龙芳烃</w:t>
            </w:r>
            <w:r>
              <w:rPr>
                <w:rStyle w:val="80"/>
                <w:rFonts w:hint="default" w:ascii="Times New Roman" w:hAnsi="Times New Roman" w:eastAsia="宋体" w:cs="Times New Roman"/>
                <w:b w:val="0"/>
                <w:bCs/>
                <w:sz w:val="21"/>
                <w:szCs w:val="21"/>
                <w:lang w:val="en-US" w:eastAsia="zh-CN" w:bidi="ar"/>
              </w:rPr>
              <w:t>工厂）</w:t>
            </w:r>
          </w:p>
          <w:p>
            <w:pPr>
              <w:jc w:val="center"/>
            </w:pPr>
            <w:r>
              <w:rPr>
                <w:rFonts w:hint="default" w:ascii="Times New Roman" w:hAnsi="Times New Roman" w:eastAsia="宋体" w:cs="Times New Roman"/>
                <w:b/>
                <w:bCs/>
                <w:color w:val="auto"/>
                <w:kern w:val="0"/>
                <w:sz w:val="21"/>
                <w:szCs w:val="21"/>
                <w:lang w:bidi="ar"/>
              </w:rPr>
              <w:t>收货</w:t>
            </w:r>
            <w:r>
              <w:rPr>
                <w:rFonts w:hint="default" w:ascii="Times New Roman" w:hAnsi="Times New Roman" w:eastAsia="宋体" w:cs="Times New Roman"/>
                <w:b/>
                <w:bCs/>
                <w:color w:val="auto"/>
                <w:kern w:val="0"/>
                <w:sz w:val="21"/>
                <w:szCs w:val="21"/>
                <w:lang w:val="en-US" w:eastAsia="zh-CN" w:bidi="ar"/>
              </w:rPr>
              <w:t>联系人</w:t>
            </w:r>
            <w:r>
              <w:rPr>
                <w:rFonts w:hint="default" w:ascii="Times New Roman" w:hAnsi="Times New Roman" w:eastAsia="宋体" w:cs="Times New Roman"/>
                <w:b/>
                <w:bCs/>
                <w:color w:val="auto"/>
                <w:kern w:val="0"/>
                <w:sz w:val="21"/>
                <w:szCs w:val="21"/>
                <w:lang w:bidi="ar"/>
              </w:rPr>
              <w:t>：</w:t>
            </w:r>
            <w:r>
              <w:rPr>
                <w:rFonts w:hint="default" w:ascii="Times New Roman" w:hAnsi="Times New Roman" w:eastAsia="宋体" w:cs="Times New Roman"/>
                <w:b/>
                <w:bCs/>
                <w:color w:val="auto"/>
                <w:kern w:val="0"/>
                <w:sz w:val="21"/>
                <w:szCs w:val="21"/>
                <w:lang w:val="en-US" w:eastAsia="zh-CN" w:bidi="ar"/>
              </w:rPr>
              <w:t>赵靖辉</w:t>
            </w:r>
            <w:r>
              <w:rPr>
                <w:rFonts w:hint="default" w:ascii="Times New Roman" w:hAnsi="Times New Roman" w:eastAsia="宋体" w:cs="Times New Roman"/>
                <w:sz w:val="24"/>
                <w:szCs w:val="24"/>
              </w:rPr>
              <w:t>13235969578,0596-6311364</w:t>
            </w:r>
            <w:r>
              <w:rPr>
                <w:rFonts w:hint="default" w:ascii="Times New Roman" w:hAnsi="Times New Roman" w:eastAsia="宋体" w:cs="Times New Roman"/>
                <w:b w:val="0"/>
                <w:bCs w:val="0"/>
                <w:color w:val="auto"/>
                <w:kern w:val="0"/>
                <w:sz w:val="21"/>
                <w:szCs w:val="21"/>
                <w:lang w:val="en-US" w:eastAsia="zh-CN" w:bidi="ar"/>
              </w:rPr>
              <w:t xml:space="preserve"> </w:t>
            </w:r>
            <w:r>
              <w:rPr>
                <w:rStyle w:val="80"/>
                <w:rFonts w:hint="default" w:ascii="Times New Roman" w:hAnsi="Times New Roman" w:eastAsia="宋体" w:cs="Times New Roman"/>
                <w:b w:val="0"/>
                <w:bCs w:val="0"/>
                <w:color w:val="auto"/>
                <w:sz w:val="21"/>
                <w:szCs w:val="21"/>
                <w:lang w:val="en-US" w:eastAsia="zh-CN" w:bidi="ar"/>
              </w:rPr>
              <w:t>（厂内）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120" w:type="dxa"/>
            <w:gridSpan w:val="8"/>
            <w:vAlign w:val="center"/>
          </w:tcPr>
          <w:p>
            <w:pPr>
              <w:keepNext w:val="0"/>
              <w:keepLines w:val="0"/>
              <w:widowControl/>
              <w:suppressLineNumbers w:val="0"/>
              <w:jc w:val="center"/>
              <w:textAlignment w:val="center"/>
            </w:pPr>
            <w:r>
              <w:rPr>
                <w:rStyle w:val="80"/>
                <w:rFonts w:hint="default" w:ascii="Times New Roman" w:hAnsi="Times New Roman" w:eastAsia="宋体" w:cs="Times New Roman"/>
                <w:sz w:val="21"/>
                <w:szCs w:val="21"/>
                <w:lang w:val="en-US" w:eastAsia="zh-CN" w:bidi="ar"/>
              </w:rPr>
              <w:t>以上总价合计（含</w:t>
            </w:r>
            <w:r>
              <w:rPr>
                <w:rStyle w:val="80"/>
                <w:rFonts w:hint="eastAsia" w:ascii="Times New Roman" w:hAnsi="Times New Roman" w:cs="Times New Roman"/>
                <w:sz w:val="21"/>
                <w:szCs w:val="21"/>
                <w:lang w:val="en-US" w:eastAsia="zh-CN" w:bidi="ar"/>
              </w:rPr>
              <w:t xml:space="preserve">    </w:t>
            </w:r>
            <w:r>
              <w:rPr>
                <w:rStyle w:val="82"/>
                <w:rFonts w:hint="default" w:ascii="Times New Roman" w:hAnsi="Times New Roman" w:eastAsia="宋体" w:cs="Times New Roman"/>
                <w:sz w:val="21"/>
                <w:szCs w:val="21"/>
                <w:lang w:val="en-US" w:eastAsia="zh-CN" w:bidi="ar"/>
              </w:rPr>
              <w:t>%</w:t>
            </w:r>
            <w:r>
              <w:rPr>
                <w:rStyle w:val="82"/>
                <w:rFonts w:hint="default" w:ascii="Times New Roman" w:hAnsi="Times New Roman" w:eastAsia="宋体" w:cs="Times New Roman"/>
                <w:color w:val="auto"/>
                <w:sz w:val="21"/>
                <w:szCs w:val="21"/>
                <w:lang w:val="en-US" w:eastAsia="zh-CN" w:bidi="ar"/>
              </w:rPr>
              <w:t>VAT</w:t>
            </w:r>
            <w:r>
              <w:rPr>
                <w:rStyle w:val="80"/>
                <w:rFonts w:hint="default" w:ascii="Times New Roman" w:hAnsi="Times New Roman" w:eastAsia="宋体" w:cs="Times New Roman"/>
                <w:i w:val="0"/>
                <w:color w:val="auto"/>
                <w:sz w:val="21"/>
                <w:szCs w:val="21"/>
                <w:lang w:val="en-US" w:eastAsia="zh-CN" w:bidi="ar"/>
              </w:rPr>
              <w:t xml:space="preserve">）：  </w:t>
            </w:r>
            <w:r>
              <w:rPr>
                <w:rStyle w:val="80"/>
                <w:rFonts w:hint="eastAsia" w:ascii="Times New Roman" w:hAnsi="Times New Roman" w:cs="Times New Roman"/>
                <w:i w:val="0"/>
                <w:color w:val="auto"/>
                <w:sz w:val="21"/>
                <w:szCs w:val="21"/>
                <w:lang w:val="en-US" w:eastAsia="zh-CN" w:bidi="ar"/>
              </w:rPr>
              <w:t xml:space="preserve">   </w:t>
            </w:r>
            <w:r>
              <w:rPr>
                <w:rStyle w:val="80"/>
                <w:rFonts w:hint="default" w:ascii="Times New Roman" w:hAnsi="Times New Roman" w:eastAsia="宋体" w:cs="Times New Roman"/>
                <w:i w:val="0"/>
                <w:color w:val="auto"/>
                <w:sz w:val="21"/>
                <w:szCs w:val="21"/>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120" w:type="dxa"/>
            <w:gridSpan w:val="8"/>
            <w:vAlign w:val="center"/>
          </w:tcPr>
          <w:p>
            <w:pPr>
              <w:widowControl/>
              <w:jc w:val="center"/>
              <w:textAlignment w:val="center"/>
            </w:pPr>
            <w:r>
              <w:rPr>
                <w:rStyle w:val="80"/>
                <w:rFonts w:hint="default" w:ascii="Times New Roman" w:hAnsi="Times New Roman" w:eastAsia="宋体" w:cs="Times New Roman"/>
                <w:b w:val="0"/>
                <w:bCs/>
                <w:sz w:val="21"/>
                <w:szCs w:val="21"/>
                <w:lang w:val="en-US" w:eastAsia="zh-CN" w:bidi="ar"/>
              </w:rPr>
              <w:t>商务联系人</w:t>
            </w:r>
            <w:r>
              <w:rPr>
                <w:rStyle w:val="80"/>
                <w:rFonts w:hint="default" w:ascii="Times New Roman" w:hAnsi="Times New Roman" w:eastAsia="宋体" w:cs="Times New Roman"/>
                <w:b w:val="0"/>
                <w:bCs/>
                <w:sz w:val="21"/>
                <w:szCs w:val="21"/>
                <w:lang w:bidi="ar"/>
              </w:rPr>
              <w:t>及电话:  黄梅钦  0592-5229120  13806001925</w:t>
            </w:r>
            <w:r>
              <w:rPr>
                <w:rStyle w:val="80"/>
                <w:rFonts w:hint="default" w:ascii="Times New Roman" w:hAnsi="Times New Roman" w:eastAsia="宋体" w:cs="Times New Roman"/>
                <w:b w:val="0"/>
                <w:bCs/>
                <w:sz w:val="21"/>
                <w:szCs w:val="21"/>
                <w:lang w:val="en-US" w:eastAsia="zh-CN" w:bidi="ar"/>
              </w:rPr>
              <w:t xml:space="preserve">   (厂外）</w:t>
            </w:r>
          </w:p>
        </w:tc>
      </w:tr>
    </w:tbl>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sz w:val="28"/>
          <w:szCs w:val="28"/>
        </w:rPr>
        <w:sectPr>
          <w:pgSz w:w="16840" w:h="11910" w:orient="landscape"/>
          <w:pgMar w:top="1242" w:right="1500" w:bottom="992" w:left="1040" w:header="0" w:footer="550" w:gutter="0"/>
          <w:pgNumType w:fmt="decimal"/>
          <w:cols w:space="0" w:num="1"/>
          <w:rtlGutter w:val="0"/>
          <w:docGrid w:type="lines" w:linePitch="312" w:charSpace="0"/>
        </w:sect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default" w:ascii="Times New Roman" w:hAnsi="Times New Roman" w:cs="Times New Roman"/>
          <w:b/>
          <w:bCs/>
          <w:sz w:val="44"/>
          <w:szCs w:val="44"/>
          <w:lang w:val="en-US" w:eastAsia="zh-CN"/>
        </w:rPr>
        <w:t>门岗联动报警装置</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9</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default" w:ascii="Times New Roman" w:hAnsi="Times New Roman" w:eastAsia="宋体" w:cs="Times New Roman"/>
          <w:sz w:val="24"/>
          <w:u w:val="single"/>
          <w:lang w:val="en-US" w:eastAsia="zh-CN"/>
        </w:rPr>
        <w:t>门岗联动报警装置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default" w:ascii="Times New Roman" w:hAnsi="Times New Roman" w:eastAsia="宋体" w:cs="Times New Roman"/>
          <w:b/>
          <w:bCs/>
          <w:sz w:val="24"/>
          <w:u w:val="single"/>
          <w:lang w:val="en-US" w:eastAsia="zh-CN"/>
        </w:rPr>
        <w:t>门岗联动报警装置</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b/>
          <w:bCs/>
          <w:i w:val="0"/>
          <w:iCs w:val="0"/>
          <w:sz w:val="24"/>
          <w:szCs w:val="24"/>
          <w:u w:val="single"/>
          <w:lang w:eastAsia="zh-CN"/>
        </w:rPr>
        <w:t xml:space="preserve"> </w:t>
      </w:r>
      <w:r>
        <w:rPr>
          <w:rFonts w:hint="eastAsia"/>
          <w:b/>
          <w:bCs/>
          <w:i w:val="0"/>
          <w:iCs w:val="0"/>
          <w:sz w:val="24"/>
          <w:szCs w:val="24"/>
          <w:u w:val="single"/>
          <w:lang w:val="en-US" w:eastAsia="zh-CN"/>
        </w:rPr>
        <w:t xml:space="preserve"> </w:t>
      </w:r>
      <w:r>
        <w:rPr>
          <w:rFonts w:hint="default" w:ascii="Times New Roman" w:hAnsi="Times New Roman" w:eastAsia="宋体" w:cs="Times New Roman"/>
          <w:b/>
          <w:bCs/>
          <w:i w:val="0"/>
          <w:iCs w:val="0"/>
          <w:sz w:val="24"/>
          <w:u w:val="single"/>
          <w:lang w:val="en-US" w:eastAsia="zh-CN"/>
        </w:rPr>
        <w:t>门岗联动报警装置</w:t>
      </w:r>
      <w:r>
        <w:rPr>
          <w:rFonts w:hint="eastAsia" w:asciiTheme="majorEastAsia" w:hAnsiTheme="majorEastAsia" w:eastAsiaTheme="majorEastAsia"/>
          <w:b/>
          <w:bCs/>
          <w:i w:val="0"/>
          <w:iCs w:val="0"/>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w:t>
      </w:r>
      <w:r>
        <w:rPr>
          <w:rFonts w:hint="eastAsia"/>
          <w:sz w:val="24"/>
          <w:szCs w:val="24"/>
          <w:lang w:val="en-US" w:eastAsia="zh-CN"/>
        </w:rPr>
        <w:t>100</w:t>
      </w:r>
      <w:r>
        <w:rPr>
          <w:rFonts w:hint="eastAsia"/>
          <w:sz w:val="24"/>
          <w:szCs w:val="24"/>
        </w:rPr>
        <w:t>%</w:t>
      </w:r>
      <w:r>
        <w:rPr>
          <w:rFonts w:hint="eastAsia"/>
          <w:sz w:val="24"/>
          <w:szCs w:val="24"/>
          <w:lang w:eastAsia="zh-CN"/>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pStyle w:val="39"/>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val="en-US" w:eastAsia="zh-CN"/>
        </w:rPr>
      </w:pPr>
      <w:r>
        <w:rPr>
          <w:rFonts w:hint="eastAsia" w:cs="宋体"/>
          <w:sz w:val="24"/>
          <w:szCs w:val="24"/>
          <w:lang w:val="en-US" w:eastAsia="zh-CN"/>
        </w:rPr>
        <w:t>备注：详细报价详见附表</w:t>
      </w: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sectPr>
          <w:headerReference r:id="rId6" w:type="default"/>
          <w:pgSz w:w="11910" w:h="16840"/>
          <w:pgMar w:top="1500" w:right="1210" w:bottom="740" w:left="1460" w:header="0" w:footer="551" w:gutter="0"/>
          <w:cols w:space="720" w:num="1"/>
          <w:docGrid w:type="lines" w:linePitch="312" w:charSpace="0"/>
        </w:sectPr>
      </w:pPr>
    </w:p>
    <w:tbl>
      <w:tblPr>
        <w:tblStyle w:val="35"/>
        <w:tblW w:w="151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08"/>
        <w:gridCol w:w="9042"/>
        <w:gridCol w:w="622"/>
        <w:gridCol w:w="622"/>
        <w:gridCol w:w="746"/>
        <w:gridCol w:w="101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120" w:type="dxa"/>
            <w:gridSpan w:val="8"/>
            <w:vAlign w:val="center"/>
          </w:tcPr>
          <w:p>
            <w:pPr>
              <w:jc w:val="center"/>
            </w:pPr>
            <w:r>
              <w:rPr>
                <w:rFonts w:hint="eastAsia"/>
                <w:b/>
                <w:bCs/>
                <w:sz w:val="30"/>
                <w:szCs w:val="30"/>
                <w:lang w:eastAsia="zh-CN"/>
              </w:rPr>
              <w:tab/>
            </w:r>
            <w:r>
              <w:rPr>
                <w:rFonts w:hint="eastAsia" w:asciiTheme="majorEastAsia" w:hAnsiTheme="majorEastAsia" w:eastAsiaTheme="majorEastAsia"/>
                <w:b/>
                <w:bCs/>
                <w:sz w:val="30"/>
                <w:szCs w:val="30"/>
              </w:rPr>
              <w:t>紧急一键报警系统配置清单</w:t>
            </w:r>
            <w:r>
              <w:rPr>
                <w:rFonts w:hint="eastAsia" w:asciiTheme="majorEastAsia" w:hAnsiTheme="majorEastAsia" w:eastAsiaTheme="majorEastAsia"/>
                <w:b/>
                <w:bCs/>
                <w:sz w:val="30"/>
                <w:szCs w:val="30"/>
                <w:lang w:eastAsia="zh-CN"/>
              </w:rPr>
              <w:t>（</w:t>
            </w:r>
            <w:r>
              <w:rPr>
                <w:rFonts w:hint="eastAsia" w:asciiTheme="majorEastAsia" w:hAnsiTheme="majorEastAsia" w:eastAsiaTheme="majorEastAsia"/>
                <w:b/>
                <w:bCs/>
                <w:sz w:val="30"/>
                <w:szCs w:val="3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17" w:type="dxa"/>
            <w:vAlign w:val="center"/>
          </w:tcPr>
          <w:p>
            <w:pPr>
              <w:ind w:left="-594" w:leftChars="-270"/>
              <w:jc w:val="right"/>
              <w:rPr>
                <w:rFonts w:hint="eastAsia"/>
              </w:rPr>
            </w:pPr>
            <w:r>
              <w:rPr>
                <w:rFonts w:hint="eastAsia"/>
              </w:rPr>
              <w:t>序号</w:t>
            </w:r>
          </w:p>
        </w:tc>
        <w:tc>
          <w:tcPr>
            <w:tcW w:w="1608" w:type="dxa"/>
            <w:vAlign w:val="center"/>
          </w:tcPr>
          <w:p>
            <w:pPr>
              <w:jc w:val="center"/>
              <w:rPr>
                <w:rFonts w:hint="eastAsia"/>
              </w:rPr>
            </w:pPr>
            <w:r>
              <w:rPr>
                <w:rFonts w:hint="eastAsia"/>
              </w:rPr>
              <w:t>需求设备</w:t>
            </w:r>
          </w:p>
        </w:tc>
        <w:tc>
          <w:tcPr>
            <w:tcW w:w="9042" w:type="dxa"/>
            <w:vAlign w:val="center"/>
          </w:tcPr>
          <w:p>
            <w:pPr>
              <w:jc w:val="center"/>
              <w:rPr>
                <w:rFonts w:hint="eastAsia"/>
              </w:rPr>
            </w:pPr>
            <w:r>
              <w:rPr>
                <w:rFonts w:hint="eastAsia"/>
              </w:rPr>
              <w:t>技术参数</w:t>
            </w:r>
          </w:p>
        </w:tc>
        <w:tc>
          <w:tcPr>
            <w:tcW w:w="622" w:type="dxa"/>
            <w:vAlign w:val="center"/>
          </w:tcPr>
          <w:p>
            <w:pPr>
              <w:jc w:val="center"/>
              <w:rPr>
                <w:rFonts w:hint="eastAsia"/>
              </w:rPr>
            </w:pPr>
            <w:r>
              <w:rPr>
                <w:rFonts w:hint="eastAsia"/>
              </w:rPr>
              <w:t>单位</w:t>
            </w:r>
          </w:p>
        </w:tc>
        <w:tc>
          <w:tcPr>
            <w:tcW w:w="622" w:type="dxa"/>
            <w:vAlign w:val="center"/>
          </w:tcPr>
          <w:p>
            <w:pPr>
              <w:jc w:val="center"/>
              <w:rPr>
                <w:rFonts w:hint="eastAsia"/>
              </w:rPr>
            </w:pPr>
            <w:r>
              <w:rPr>
                <w:rFonts w:hint="eastAsia"/>
              </w:rPr>
              <w:t>数量</w:t>
            </w:r>
          </w:p>
        </w:tc>
        <w:tc>
          <w:tcPr>
            <w:tcW w:w="746" w:type="dxa"/>
            <w:vAlign w:val="center"/>
          </w:tcPr>
          <w:p>
            <w:pPr>
              <w:jc w:val="center"/>
              <w:rPr>
                <w:rFonts w:hint="eastAsia"/>
                <w:lang w:val="en-US" w:eastAsia="zh-CN"/>
              </w:rPr>
            </w:pPr>
            <w:r>
              <w:rPr>
                <w:rFonts w:hint="eastAsia"/>
                <w:lang w:val="en-US" w:eastAsia="zh-CN"/>
              </w:rPr>
              <w:t>含税单价</w:t>
            </w:r>
          </w:p>
        </w:tc>
        <w:tc>
          <w:tcPr>
            <w:tcW w:w="1017" w:type="dxa"/>
            <w:vAlign w:val="center"/>
          </w:tcPr>
          <w:p>
            <w:pPr>
              <w:jc w:val="center"/>
              <w:rPr>
                <w:rFonts w:hint="eastAsia"/>
                <w:lang w:val="en-US" w:eastAsia="zh-CN"/>
              </w:rPr>
            </w:pPr>
            <w:r>
              <w:rPr>
                <w:rFonts w:hint="eastAsia"/>
                <w:lang w:val="en-US" w:eastAsia="zh-CN"/>
              </w:rPr>
              <w:t>小计</w:t>
            </w:r>
            <w:r>
              <w:rPr>
                <w:rFonts w:hint="eastAsia"/>
                <w:lang w:val="en-US" w:eastAsia="zh-CN"/>
              </w:rPr>
              <w:br w:type="textWrapping"/>
            </w:r>
            <w:r>
              <w:rPr>
                <w:rFonts w:hint="eastAsia"/>
                <w:lang w:val="en-US" w:eastAsia="zh-CN"/>
              </w:rPr>
              <w:t>（元）</w:t>
            </w:r>
          </w:p>
        </w:tc>
        <w:tc>
          <w:tcPr>
            <w:tcW w:w="746" w:type="dxa"/>
            <w:vAlign w:val="center"/>
          </w:tcPr>
          <w:p>
            <w:pPr>
              <w:jc w:val="center"/>
              <w:rPr>
                <w:rFonts w:hint="eastAsia"/>
              </w:rPr>
            </w:pPr>
            <w:r>
              <w:rPr>
                <w:rFonts w:hint="eastAsi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7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工业级视频混合报警主机</w:t>
            </w:r>
          </w:p>
        </w:tc>
        <w:tc>
          <w:tcPr>
            <w:tcW w:w="9042" w:type="dxa"/>
            <w:vAlign w:val="center"/>
          </w:tcPr>
          <w:p>
            <w:pPr>
              <w:jc w:val="both"/>
              <w:rPr>
                <w:rFonts w:cs="微软雅黑" w:asciiTheme="minorEastAsia" w:hAnsiTheme="minorEastAsia"/>
                <w:color w:val="666666"/>
                <w:szCs w:val="21"/>
                <w:shd w:val="clear" w:color="auto" w:fill="FFFFFF"/>
              </w:rPr>
            </w:pP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1、支持4/8路板载有线防区，最大可扩展到64路输入（有线/无线），板载2/4路有线输出，可扩展到64路输出（有线/无线），8个无线遥控器，2个中继器，1个有线警号，2个无线警号</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2、支持关联视频并将报警联动短视频推送给APP或发送邮件（DS-RHAXX-W4型号支持），报警时自动截取7S（5S +2S）事前和事后视频</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3、支持TCP/IP、3G/4G方式上传，支持冗余、可设置优先级</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支持ISAPI协议、萤石协议、标准Contact ID协议、NAL2300协议、ehome（5.0）协议</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4、支持1个安装员用户，1个制造商用户，1个管理员用户，多个普通用户（DS-RHA20-x 13个；DS-RHA64-x 45个）</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5、支持Web端、手机APP配置、支持IVMS4200配置</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6、支持平台远程布撤防、手机APP布撤防，支持键盘、遥控器、刷卡撤布防</w:t>
            </w:r>
          </w:p>
          <w:p>
            <w:pPr>
              <w:jc w:val="both"/>
              <w:rPr>
                <w:rFonts w:cs="微软雅黑" w:asciiTheme="minorEastAsia" w:hAnsiTheme="minorEastAsia"/>
                <w:color w:val="auto"/>
                <w:szCs w:val="21"/>
                <w:shd w:val="clear" w:color="auto" w:fill="FFFFFF"/>
              </w:rPr>
            </w:pPr>
            <w:r>
              <w:rPr>
                <w:rFonts w:hint="eastAsia" w:cs="微软雅黑" w:asciiTheme="minorEastAsia" w:hAnsiTheme="minorEastAsia"/>
                <w:color w:val="auto"/>
                <w:szCs w:val="21"/>
                <w:shd w:val="clear" w:color="auto" w:fill="FFFFFF"/>
              </w:rPr>
              <w:t>支持短信发送报警信息（可回控操作）</w:t>
            </w:r>
          </w:p>
          <w:p>
            <w:pPr>
              <w:jc w:val="both"/>
              <w:rPr>
                <w:rFonts w:cs="微软雅黑" w:asciiTheme="minorEastAsia" w:hAnsiTheme="minorEastAsia"/>
                <w:color w:val="666666"/>
                <w:szCs w:val="21"/>
                <w:shd w:val="clear" w:color="auto" w:fill="FFFFFF"/>
              </w:rPr>
            </w:pPr>
            <w:r>
              <w:rPr>
                <w:rFonts w:hint="eastAsia" w:cs="微软雅黑" w:asciiTheme="minorEastAsia" w:hAnsiTheme="minorEastAsia"/>
                <w:color w:val="auto"/>
                <w:szCs w:val="21"/>
                <w:shd w:val="clear" w:color="auto" w:fill="FFFFFF"/>
              </w:rPr>
              <w:t>远距离双向通信，数据AES-128加密，安全可靠子系统</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22" w:type="dxa"/>
            <w:vAlign w:val="center"/>
          </w:tcPr>
          <w:p>
            <w:pPr>
              <w:widowControl/>
              <w:ind w:firstLine="220" w:firstLineChars="10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746" w:type="dxa"/>
            <w:vAlign w:val="center"/>
          </w:tcPr>
          <w:p>
            <w:pPr>
              <w:jc w:val="both"/>
            </w:pPr>
          </w:p>
        </w:tc>
        <w:tc>
          <w:tcPr>
            <w:tcW w:w="1017" w:type="dxa"/>
            <w:vAlign w:val="center"/>
          </w:tcPr>
          <w:p>
            <w:pPr>
              <w:jc w:val="both"/>
            </w:pPr>
          </w:p>
        </w:tc>
        <w:tc>
          <w:tcPr>
            <w:tcW w:w="746" w:type="dxa"/>
            <w:vAlign w:val="center"/>
          </w:tcPr>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717"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LCD液晶键盘</w:t>
            </w:r>
          </w:p>
        </w:tc>
        <w:tc>
          <w:tcPr>
            <w:tcW w:w="9042"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1、支持</w:t>
            </w:r>
            <w:r>
              <w:rPr>
                <w:rFonts w:ascii="宋体" w:hAnsi="宋体" w:cs="宋体"/>
                <w:color w:val="000000" w:themeColor="text1"/>
                <w:kern w:val="0"/>
                <w:szCs w:val="21"/>
                <w14:textFill>
                  <w14:solidFill>
                    <w14:schemeClr w14:val="tx1"/>
                  </w14:solidFill>
                </w14:textFill>
              </w:rPr>
              <w:t>80x25mm</w:t>
            </w:r>
            <w:r>
              <w:rPr>
                <w:rFonts w:hint="eastAsia" w:ascii="宋体" w:hAnsi="宋体" w:cs="宋体"/>
                <w:color w:val="000000" w:themeColor="text1"/>
                <w:kern w:val="0"/>
                <w:szCs w:val="21"/>
                <w14:textFill>
                  <w14:solidFill>
                    <w14:schemeClr w14:val="tx1"/>
                  </w14:solidFill>
                </w14:textFill>
              </w:rPr>
              <w:t>大屏显示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2、支持</w:t>
            </w:r>
            <w:r>
              <w:rPr>
                <w:rFonts w:ascii="宋体" w:hAnsi="宋体" w:cs="宋体"/>
                <w:color w:val="000000" w:themeColor="text1"/>
                <w:kern w:val="0"/>
                <w:szCs w:val="21"/>
                <w14:textFill>
                  <w14:solidFill>
                    <w14:schemeClr w14:val="tx1"/>
                  </w14:solidFill>
                </w14:textFill>
              </w:rPr>
              <w:t>LED</w:t>
            </w:r>
            <w:r>
              <w:rPr>
                <w:rFonts w:hint="eastAsia" w:ascii="宋体" w:hAnsi="宋体" w:cs="宋体"/>
                <w:color w:val="000000" w:themeColor="text1"/>
                <w:kern w:val="0"/>
                <w:szCs w:val="21"/>
                <w14:textFill>
                  <w14:solidFill>
                    <w14:schemeClr w14:val="tx1"/>
                  </w14:solidFill>
                </w14:textFill>
              </w:rPr>
              <w:t>显示系统实时状态，支持</w:t>
            </w:r>
            <w:r>
              <w:rPr>
                <w:rFonts w:ascii="宋体" w:hAnsi="宋体" w:cs="宋体"/>
                <w:color w:val="000000" w:themeColor="text1"/>
                <w:kern w:val="0"/>
                <w:szCs w:val="21"/>
                <w14:textFill>
                  <w14:solidFill>
                    <w14:schemeClr w14:val="tx1"/>
                  </w14:solidFill>
                </w14:textFill>
              </w:rPr>
              <w:t>LCD</w:t>
            </w:r>
            <w:r>
              <w:rPr>
                <w:rFonts w:hint="eastAsia" w:ascii="宋体" w:hAnsi="宋体" w:cs="宋体"/>
                <w:color w:val="000000" w:themeColor="text1"/>
                <w:kern w:val="0"/>
                <w:szCs w:val="21"/>
                <w14:textFill>
                  <w14:solidFill>
                    <w14:schemeClr w14:val="tx1"/>
                  </w14:solidFill>
                </w14:textFill>
              </w:rPr>
              <w:t>显示自定义防区名称，支持上下翻页查看事件信息，支持背壳双面防拆</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3、支持刷卡布撤防，但刷卡不支持消警功能，卡片数量由主机限制，目前网络主机最大可添加</w:t>
            </w:r>
            <w:r>
              <w:rPr>
                <w:rFonts w:ascii="宋体" w:hAnsi="宋体" w:cs="宋体"/>
                <w:color w:val="000000" w:themeColor="text1"/>
                <w:kern w:val="0"/>
                <w:szCs w:val="21"/>
                <w14:textFill>
                  <w14:solidFill>
                    <w14:schemeClr w14:val="tx1"/>
                  </w14:solidFill>
                </w14:textFill>
              </w:rPr>
              <w:t>32</w:t>
            </w:r>
            <w:r>
              <w:rPr>
                <w:rFonts w:hint="eastAsia" w:ascii="宋体" w:hAnsi="宋体" w:cs="宋体"/>
                <w:color w:val="000000" w:themeColor="text1"/>
                <w:kern w:val="0"/>
                <w:szCs w:val="21"/>
                <w14:textFill>
                  <w14:solidFill>
                    <w14:schemeClr w14:val="tx1"/>
                  </w14:solidFill>
                </w14:textFill>
              </w:rPr>
              <w:t>张卡片。</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4、支持连接遥控器进行远程布撤防，键盘最多所能支持的无线遥控器数量由主机决定，最多支持</w:t>
            </w:r>
            <w:r>
              <w:rPr>
                <w:rFonts w:ascii="宋体" w:hAnsi="宋体" w:cs="宋体"/>
                <w:color w:val="000000" w:themeColor="text1"/>
                <w:kern w:val="0"/>
                <w:szCs w:val="21"/>
                <w14:textFill>
                  <w14:solidFill>
                    <w14:schemeClr w14:val="tx1"/>
                  </w14:solidFill>
                </w14:textFill>
              </w:rPr>
              <w:t>32</w:t>
            </w:r>
            <w:r>
              <w:rPr>
                <w:rFonts w:hint="eastAsia" w:ascii="宋体" w:hAnsi="宋体" w:cs="宋体"/>
                <w:color w:val="000000" w:themeColor="text1"/>
                <w:kern w:val="0"/>
                <w:szCs w:val="21"/>
                <w14:textFill>
                  <w14:solidFill>
                    <w14:schemeClr w14:val="tx1"/>
                  </w14:solidFill>
                </w14:textFill>
              </w:rPr>
              <w:t>个遥控器。</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5、通过单击键盘可实现对主机布防，撤防必须密码撤防，</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可针对单防区进行布撤防。通过操作命令，在键盘上可显示</w:t>
            </w:r>
            <w:r>
              <w:rPr>
                <w:rFonts w:ascii="宋体" w:hAnsi="宋体" w:cs="宋体"/>
                <w:color w:val="000000" w:themeColor="text1"/>
                <w:kern w:val="0"/>
                <w:szCs w:val="21"/>
                <w14:textFill>
                  <w14:solidFill>
                    <w14:schemeClr w14:val="tx1"/>
                  </w14:solidFill>
                </w14:textFill>
              </w:rPr>
              <w:t>GPRS</w:t>
            </w:r>
            <w:r>
              <w:rPr>
                <w:rFonts w:hint="eastAsia" w:ascii="宋体" w:hAnsi="宋体" w:cs="宋体"/>
                <w:color w:val="000000" w:themeColor="text1"/>
                <w:kern w:val="0"/>
                <w:szCs w:val="21"/>
                <w14:textFill>
                  <w14:solidFill>
                    <w14:schemeClr w14:val="tx1"/>
                  </w14:solidFill>
                </w14:textFill>
              </w:rPr>
              <w:t>信号强度。</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22"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46" w:type="dxa"/>
          </w:tcPr>
          <w:p>
            <w:pPr>
              <w:jc w:val="both"/>
            </w:pPr>
          </w:p>
        </w:tc>
        <w:tc>
          <w:tcPr>
            <w:tcW w:w="1017" w:type="dxa"/>
          </w:tcPr>
          <w:p>
            <w:pPr>
              <w:jc w:val="both"/>
            </w:pPr>
          </w:p>
        </w:tc>
        <w:tc>
          <w:tcPr>
            <w:tcW w:w="746" w:type="dxa"/>
          </w:tcPr>
          <w:p>
            <w:pPr>
              <w:jc w:val="center"/>
            </w:pPr>
          </w:p>
          <w:p>
            <w:pPr>
              <w:jc w:val="center"/>
            </w:pPr>
          </w:p>
          <w:p>
            <w:pPr>
              <w:jc w:val="center"/>
            </w:pPr>
          </w:p>
          <w:p>
            <w:pPr>
              <w:jc w:val="center"/>
            </w:pPr>
          </w:p>
          <w:p>
            <w:pPr>
              <w:jc w:val="center"/>
            </w:pPr>
          </w:p>
          <w:p>
            <w:pPr>
              <w:jc w:val="center"/>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室外声光喇叭</w:t>
            </w:r>
          </w:p>
        </w:tc>
        <w:tc>
          <w:tcPr>
            <w:tcW w:w="9042" w:type="dxa"/>
            <w:vAlign w:val="center"/>
          </w:tcPr>
          <w:p>
            <w:pPr>
              <w:widowControl/>
              <w:jc w:val="left"/>
            </w:pPr>
            <w:r>
              <w:rPr>
                <w:rFonts w:hint="eastAsia"/>
              </w:rPr>
              <w:t>报警音量: 105dB at 30cm防护等级：IP54，室外防水.内置水平仪，便于辅助安装，支持关闭报警声音输出，实现声光报警模式和光闪模式切换报警音量</w:t>
            </w:r>
            <w:r>
              <w:t>105dB/30cm</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22" w:type="dxa"/>
          </w:tcPr>
          <w:p>
            <w:pPr>
              <w:widowControl/>
              <w:jc w:val="center"/>
              <w:rPr>
                <w:rFonts w:hint="eastAsia" w:ascii="宋体" w:hAnsi="宋体" w:cs="宋体"/>
                <w:color w:val="000000" w:themeColor="text1"/>
                <w:kern w:val="0"/>
                <w:szCs w:val="21"/>
                <w14:textFill>
                  <w14:solidFill>
                    <w14:schemeClr w14:val="tx1"/>
                  </w14:solidFill>
                </w14:textFill>
              </w:rPr>
            </w:pPr>
          </w:p>
          <w:p>
            <w:pPr>
              <w:widowControl/>
              <w:jc w:val="center"/>
              <w:rPr>
                <w:rFonts w:hint="eastAsia"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46" w:type="dxa"/>
          </w:tcPr>
          <w:p>
            <w:pPr>
              <w:jc w:val="both"/>
            </w:pPr>
          </w:p>
        </w:tc>
        <w:tc>
          <w:tcPr>
            <w:tcW w:w="1017" w:type="dxa"/>
          </w:tcPr>
          <w:p>
            <w:pPr>
              <w:jc w:val="both"/>
            </w:pPr>
          </w:p>
        </w:tc>
        <w:tc>
          <w:tcPr>
            <w:tcW w:w="746" w:type="dxa"/>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5120" w:type="dxa"/>
            <w:gridSpan w:val="8"/>
            <w:vAlign w:val="center"/>
          </w:tcPr>
          <w:p>
            <w:pPr>
              <w:jc w:val="center"/>
              <w:rPr>
                <w:rFonts w:hint="eastAsia" w:eastAsia="宋体"/>
                <w:lang w:eastAsia="zh-CN"/>
              </w:rPr>
            </w:pPr>
            <w:r>
              <w:rPr>
                <w:rFonts w:hint="eastAsia"/>
                <w:b/>
                <w:bCs/>
                <w:sz w:val="30"/>
                <w:szCs w:val="30"/>
                <w:lang w:eastAsia="zh-CN"/>
              </w:rPr>
              <w:tab/>
            </w:r>
            <w:r>
              <w:rPr>
                <w:rFonts w:hint="eastAsia" w:asciiTheme="majorEastAsia" w:hAnsiTheme="majorEastAsia" w:eastAsiaTheme="majorEastAsia"/>
                <w:b/>
                <w:bCs/>
                <w:sz w:val="30"/>
                <w:szCs w:val="30"/>
              </w:rPr>
              <w:t>紧急一键报警系统配置清单</w:t>
            </w:r>
            <w:r>
              <w:rPr>
                <w:rFonts w:hint="eastAsia" w:asciiTheme="majorEastAsia" w:hAnsiTheme="majorEastAsia" w:eastAsiaTheme="majorEastAsia"/>
                <w:b/>
                <w:bCs/>
                <w:sz w:val="30"/>
                <w:szCs w:val="30"/>
                <w:lang w:eastAsia="zh-CN"/>
              </w:rPr>
              <w:t>（</w:t>
            </w:r>
            <w:r>
              <w:rPr>
                <w:rFonts w:hint="eastAsia" w:asciiTheme="majorEastAsia" w:hAnsiTheme="majorEastAsia" w:eastAsiaTheme="majorEastAsia"/>
                <w:b/>
                <w:bCs/>
                <w:sz w:val="30"/>
                <w:szCs w:val="3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17" w:type="dxa"/>
            <w:vAlign w:val="center"/>
          </w:tcPr>
          <w:p>
            <w:pPr>
              <w:ind w:left="-594" w:leftChars="-270"/>
              <w:jc w:val="right"/>
              <w:rPr>
                <w:rFonts w:hint="eastAsia" w:ascii="宋体" w:hAnsi="宋体" w:cs="宋体"/>
                <w:color w:val="000000" w:themeColor="text1"/>
                <w:kern w:val="0"/>
                <w:szCs w:val="21"/>
                <w14:textFill>
                  <w14:solidFill>
                    <w14:schemeClr w14:val="tx1"/>
                  </w14:solidFill>
                </w14:textFill>
              </w:rPr>
            </w:pPr>
            <w:r>
              <w:rPr>
                <w:rFonts w:hint="eastAsia"/>
              </w:rPr>
              <w:t>序号</w:t>
            </w:r>
          </w:p>
        </w:tc>
        <w:tc>
          <w:tcPr>
            <w:tcW w:w="1608" w:type="dxa"/>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rPr>
              <w:t>需求设备</w:t>
            </w:r>
          </w:p>
        </w:tc>
        <w:tc>
          <w:tcPr>
            <w:tcW w:w="9042" w:type="dxa"/>
            <w:vAlign w:val="center"/>
          </w:tcPr>
          <w:p>
            <w:pPr>
              <w:jc w:val="center"/>
              <w:rPr>
                <w:rFonts w:hint="eastAsia"/>
              </w:rPr>
            </w:pPr>
            <w:r>
              <w:rPr>
                <w:rFonts w:hint="eastAsia"/>
              </w:rPr>
              <w:t>技术参数</w:t>
            </w:r>
          </w:p>
        </w:tc>
        <w:tc>
          <w:tcPr>
            <w:tcW w:w="622" w:type="dxa"/>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rPr>
              <w:t>单位</w:t>
            </w:r>
          </w:p>
        </w:tc>
        <w:tc>
          <w:tcPr>
            <w:tcW w:w="622" w:type="dxa"/>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rPr>
              <w:t>数量</w:t>
            </w:r>
          </w:p>
        </w:tc>
        <w:tc>
          <w:tcPr>
            <w:tcW w:w="746" w:type="dxa"/>
            <w:vAlign w:val="center"/>
          </w:tcPr>
          <w:p>
            <w:pPr>
              <w:jc w:val="center"/>
              <w:rPr>
                <w:rFonts w:hint="eastAsia"/>
              </w:rPr>
            </w:pPr>
            <w:r>
              <w:rPr>
                <w:rFonts w:hint="eastAsia"/>
                <w:lang w:val="en-US" w:eastAsia="zh-CN"/>
              </w:rPr>
              <w:t>含税单价</w:t>
            </w:r>
          </w:p>
        </w:tc>
        <w:tc>
          <w:tcPr>
            <w:tcW w:w="1017" w:type="dxa"/>
            <w:vAlign w:val="center"/>
          </w:tcPr>
          <w:p>
            <w:pPr>
              <w:jc w:val="center"/>
              <w:rPr>
                <w:rFonts w:hint="eastAsia"/>
              </w:rPr>
            </w:pPr>
            <w:r>
              <w:rPr>
                <w:rFonts w:hint="eastAsia"/>
                <w:lang w:val="en-US" w:eastAsia="zh-CN"/>
              </w:rPr>
              <w:t>小计</w:t>
            </w:r>
            <w:r>
              <w:rPr>
                <w:rFonts w:hint="eastAsia"/>
                <w:lang w:val="en-US" w:eastAsia="zh-CN"/>
              </w:rPr>
              <w:br w:type="textWrapping"/>
            </w:r>
            <w:r>
              <w:rPr>
                <w:rFonts w:hint="eastAsia"/>
                <w:lang w:val="en-US" w:eastAsia="zh-CN"/>
              </w:rPr>
              <w:t>（元）</w:t>
            </w:r>
          </w:p>
        </w:tc>
        <w:tc>
          <w:tcPr>
            <w:tcW w:w="746" w:type="dxa"/>
            <w:vAlign w:val="center"/>
          </w:tcPr>
          <w:p>
            <w:pPr>
              <w:jc w:val="center"/>
            </w:pPr>
            <w:r>
              <w:rPr>
                <w:rFonts w:hint="eastAsi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网络防区模块</w:t>
            </w:r>
          </w:p>
        </w:tc>
        <w:tc>
          <w:tcPr>
            <w:tcW w:w="9042" w:type="dxa"/>
            <w:vAlign w:val="center"/>
          </w:tcPr>
          <w:p>
            <w:pPr>
              <w:widowControl/>
              <w:jc w:val="left"/>
            </w:pPr>
            <w:r>
              <w:rPr>
                <w:rFonts w:hint="eastAsia"/>
              </w:rPr>
              <w:t>1、支持TCP/IP方式搭配混合报警主机系列扩展防区输入</w:t>
            </w:r>
          </w:p>
          <w:p>
            <w:pPr>
              <w:widowControl/>
              <w:jc w:val="left"/>
            </w:pPr>
            <w:r>
              <w:rPr>
                <w:rFonts w:hint="eastAsia"/>
              </w:rPr>
              <w:t>2、支持DHCP功能，支持SADP激活，修改模块IP，模块无需参数配置</w:t>
            </w:r>
          </w:p>
          <w:p>
            <w:pPr>
              <w:widowControl/>
              <w:jc w:val="left"/>
            </w:pPr>
            <w:r>
              <w:rPr>
                <w:rFonts w:hint="eastAsia"/>
              </w:rPr>
              <w:t>3、支持主机通讯状态指示：红灯常亮表示与主机通讯正常，红灯闪烁表示与主机通讯异常</w:t>
            </w:r>
          </w:p>
          <w:p>
            <w:pPr>
              <w:widowControl/>
              <w:jc w:val="left"/>
            </w:pPr>
            <w:r>
              <w:rPr>
                <w:rFonts w:hint="eastAsia"/>
              </w:rPr>
              <w:t>4、支持防区状态指示：橙灯常亮表示防区正常，橙灯闪烁表示防区报警、故障或防拆触发</w:t>
            </w:r>
          </w:p>
          <w:p>
            <w:pPr>
              <w:widowControl/>
              <w:jc w:val="left"/>
            </w:pPr>
            <w:r>
              <w:rPr>
                <w:rFonts w:hint="eastAsia"/>
              </w:rPr>
              <w:t>5、支持网络状态指示：绿灯常亮表示网络连接正常，绿灯闪烁表示网络连接异常</w:t>
            </w:r>
          </w:p>
          <w:p>
            <w:pPr>
              <w:widowControl/>
              <w:jc w:val="left"/>
            </w:pPr>
            <w:r>
              <w:rPr>
                <w:rFonts w:hint="eastAsia"/>
              </w:rPr>
              <w:t>6、支持通过报警主机升级软件。</w:t>
            </w:r>
          </w:p>
          <w:p>
            <w:pPr>
              <w:widowControl/>
              <w:jc w:val="left"/>
            </w:pPr>
            <w:r>
              <w:rPr>
                <w:rFonts w:hint="eastAsia"/>
              </w:rPr>
              <w:t>7、支持硬件恢复出厂参数应用，支持TCP/IP方式搭配混合报警主机系列扩展防区输入</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622" w:type="dxa"/>
          </w:tcPr>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p>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746" w:type="dxa"/>
          </w:tcPr>
          <w:p>
            <w:pPr>
              <w:jc w:val="both"/>
            </w:pPr>
          </w:p>
        </w:tc>
        <w:tc>
          <w:tcPr>
            <w:tcW w:w="1017" w:type="dxa"/>
          </w:tcPr>
          <w:p>
            <w:pPr>
              <w:jc w:val="both"/>
            </w:pPr>
          </w:p>
        </w:tc>
        <w:tc>
          <w:tcPr>
            <w:tcW w:w="746" w:type="dxa"/>
          </w:tcPr>
          <w:p>
            <w:pPr>
              <w:jc w:val="both"/>
            </w:pPr>
          </w:p>
          <w:p>
            <w:pPr>
              <w:jc w:val="both"/>
            </w:pPr>
          </w:p>
          <w:p>
            <w:pPr>
              <w:jc w:val="both"/>
            </w:pPr>
          </w:p>
          <w:p>
            <w:pPr>
              <w:jc w:val="both"/>
            </w:pPr>
          </w:p>
          <w:p>
            <w:pPr>
              <w:jc w:val="both"/>
            </w:pPr>
          </w:p>
          <w:p>
            <w:pPr>
              <w:jc w:val="both"/>
            </w:pPr>
          </w:p>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608"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86盒紧急按钮（含</w:t>
            </w:r>
            <w:r>
              <w:rPr>
                <w:rFonts w:ascii="宋体" w:hAnsi="宋体" w:cs="宋体"/>
                <w:color w:val="000000" w:themeColor="text1"/>
                <w:kern w:val="0"/>
                <w:szCs w:val="21"/>
                <w14:textFill>
                  <w14:solidFill>
                    <w14:schemeClr w14:val="tx1"/>
                  </w14:solidFill>
                </w14:textFill>
              </w:rPr>
              <w:t>12V2A</w:t>
            </w:r>
            <w:r>
              <w:rPr>
                <w:rFonts w:hint="eastAsia" w:ascii="宋体" w:hAnsi="宋体" w:cs="宋体"/>
                <w:color w:val="000000" w:themeColor="text1"/>
                <w:kern w:val="0"/>
                <w:szCs w:val="21"/>
                <w14:textFill>
                  <w14:solidFill>
                    <w14:schemeClr w14:val="tx1"/>
                  </w14:solidFill>
                </w14:textFill>
              </w:rPr>
              <w:t>开关电源）</w:t>
            </w:r>
          </w:p>
        </w:tc>
        <w:tc>
          <w:tcPr>
            <w:tcW w:w="9042" w:type="dxa"/>
            <w:vAlign w:val="center"/>
          </w:tcPr>
          <w:p>
            <w:pPr>
              <w:widowControl/>
              <w:jc w:val="left"/>
              <w:rPr>
                <w:rFonts w:hint="eastAsia"/>
                <w:lang w:eastAsia="zh-CN"/>
              </w:rPr>
            </w:pPr>
            <w:r>
              <w:rPr>
                <w:rFonts w:hint="eastAsia"/>
              </w:rPr>
              <w:t>NO/NC可选报警输出，常闭;常开</w:t>
            </w:r>
            <w:r>
              <w:rPr>
                <w:rFonts w:hint="eastAsia"/>
                <w:lang w:eastAsia="zh-CN"/>
              </w:rPr>
              <w:t>；</w:t>
            </w:r>
            <w:r>
              <w:rPr>
                <w:rFonts w:hint="eastAsia"/>
              </w:rPr>
              <w:t>外壳材质：阻燃ABS</w:t>
            </w:r>
            <w:r>
              <w:rPr>
                <w:rFonts w:hint="eastAsia"/>
                <w:lang w:eastAsia="zh-CN"/>
              </w:rPr>
              <w:t>；</w:t>
            </w:r>
          </w:p>
          <w:p>
            <w:pPr>
              <w:widowControl/>
              <w:jc w:val="left"/>
            </w:pPr>
            <w:r>
              <w:rPr>
                <w:rFonts w:hint="eastAsia"/>
              </w:rPr>
              <w:t>尺寸(宽x高x深)</w:t>
            </w:r>
            <w:r>
              <w:rPr>
                <w:rFonts w:hint="eastAsia"/>
                <w:lang w:val="en-US" w:eastAsia="zh-CN"/>
              </w:rPr>
              <w:t>=</w:t>
            </w:r>
            <w:r>
              <w:t>86 mm × 86 mm × 32 mm</w:t>
            </w:r>
            <w:r>
              <w:rPr>
                <w:rFonts w:hint="eastAsia"/>
                <w:lang w:eastAsia="zh-CN"/>
              </w:rPr>
              <w:t>；</w:t>
            </w:r>
            <w:r>
              <w:rPr>
                <w:rFonts w:hint="eastAsia"/>
              </w:rPr>
              <w:t>重量：</w:t>
            </w:r>
            <w:r>
              <w:t>50g</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22" w:type="dxa"/>
          </w:tcPr>
          <w:p>
            <w:pPr>
              <w:widowControl/>
              <w:jc w:val="both"/>
              <w:rPr>
                <w:rFonts w:hint="eastAsia" w:ascii="宋体" w:hAnsi="宋体" w:cs="宋体"/>
                <w:color w:val="000000" w:themeColor="text1"/>
                <w:kern w:val="0"/>
                <w:szCs w:val="21"/>
                <w14:textFill>
                  <w14:solidFill>
                    <w14:schemeClr w14:val="tx1"/>
                  </w14:solidFill>
                </w14:textFill>
              </w:rPr>
            </w:pPr>
          </w:p>
          <w:p>
            <w:pPr>
              <w:widowControl/>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9</w:t>
            </w:r>
          </w:p>
        </w:tc>
        <w:tc>
          <w:tcPr>
            <w:tcW w:w="746" w:type="dxa"/>
          </w:tcPr>
          <w:p>
            <w:pPr>
              <w:jc w:val="both"/>
            </w:pPr>
          </w:p>
        </w:tc>
        <w:tc>
          <w:tcPr>
            <w:tcW w:w="1017" w:type="dxa"/>
          </w:tcPr>
          <w:p>
            <w:pPr>
              <w:jc w:val="both"/>
            </w:pPr>
          </w:p>
        </w:tc>
        <w:tc>
          <w:tcPr>
            <w:tcW w:w="746" w:type="dxa"/>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17" w:type="dxa"/>
            <w:vAlign w:val="center"/>
          </w:tcPr>
          <w:p>
            <w:pPr>
              <w:widowControl/>
              <w:ind w:firstLine="220" w:firstLineChars="100"/>
              <w:jc w:val="both"/>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608"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w:t>
            </w:r>
          </w:p>
        </w:tc>
        <w:tc>
          <w:tcPr>
            <w:tcW w:w="9042" w:type="dxa"/>
            <w:vAlign w:val="center"/>
          </w:tcPr>
          <w:p>
            <w:pPr>
              <w:widowControl/>
              <w:jc w:val="left"/>
            </w:pPr>
            <w:r>
              <w:rPr>
                <w:rFonts w:hint="eastAsia"/>
              </w:rPr>
              <w:t>含项目所需的各种线缆，管材及配件等，线缆布线，安装调试设备</w:t>
            </w:r>
          </w:p>
        </w:tc>
        <w:tc>
          <w:tcPr>
            <w:tcW w:w="622"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622"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46" w:type="dxa"/>
          </w:tcPr>
          <w:p>
            <w:pPr>
              <w:jc w:val="both"/>
            </w:pPr>
          </w:p>
        </w:tc>
        <w:tc>
          <w:tcPr>
            <w:tcW w:w="1017" w:type="dxa"/>
          </w:tcPr>
          <w:p>
            <w:pPr>
              <w:jc w:val="both"/>
            </w:pPr>
          </w:p>
        </w:tc>
        <w:tc>
          <w:tcPr>
            <w:tcW w:w="74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5120" w:type="dxa"/>
            <w:gridSpan w:val="8"/>
            <w:vAlign w:val="center"/>
          </w:tcPr>
          <w:p>
            <w:pPr>
              <w:widowControl/>
              <w:jc w:val="center"/>
              <w:textAlignment w:val="center"/>
              <w:rPr>
                <w:rStyle w:val="80"/>
                <w:rFonts w:hint="default" w:ascii="Times New Roman" w:hAnsi="Times New Roman" w:eastAsia="宋体" w:cs="Times New Roman"/>
                <w:b w:val="0"/>
                <w:bCs/>
                <w:sz w:val="21"/>
                <w:szCs w:val="21"/>
                <w:lang w:val="en-US" w:eastAsia="zh-CN" w:bidi="ar"/>
              </w:rPr>
            </w:pPr>
            <w:r>
              <w:rPr>
                <w:rStyle w:val="80"/>
                <w:rFonts w:hint="default" w:ascii="Times New Roman" w:hAnsi="Times New Roman" w:eastAsia="宋体" w:cs="Times New Roman"/>
                <w:b/>
                <w:bCs w:val="0"/>
                <w:sz w:val="21"/>
                <w:szCs w:val="21"/>
                <w:lang w:val="en-US" w:eastAsia="zh-CN" w:bidi="ar"/>
              </w:rPr>
              <w:t>交货地点：</w:t>
            </w:r>
            <w:r>
              <w:rPr>
                <w:rStyle w:val="80"/>
                <w:rFonts w:hint="default" w:ascii="Times New Roman" w:hAnsi="Times New Roman" w:eastAsia="宋体" w:cs="Times New Roman"/>
                <w:b w:val="0"/>
                <w:bCs/>
                <w:sz w:val="21"/>
                <w:szCs w:val="21"/>
                <w:lang w:val="en-US" w:eastAsia="zh-CN" w:bidi="ar"/>
              </w:rPr>
              <w:t xml:space="preserve">福建省漳州市漳浦县古雷开发区腾龙路（福海创石油化工有限公司 </w:t>
            </w:r>
            <w:r>
              <w:rPr>
                <w:rStyle w:val="80"/>
                <w:rFonts w:hint="eastAsia" w:ascii="Times New Roman" w:hAnsi="Times New Roman" w:cs="Times New Roman"/>
                <w:b w:val="0"/>
                <w:bCs/>
                <w:sz w:val="21"/>
                <w:szCs w:val="21"/>
                <w:lang w:val="en-US" w:eastAsia="zh-CN" w:bidi="ar"/>
              </w:rPr>
              <w:t>腾龙芳烃</w:t>
            </w:r>
            <w:r>
              <w:rPr>
                <w:rStyle w:val="80"/>
                <w:rFonts w:hint="default" w:ascii="Times New Roman" w:hAnsi="Times New Roman" w:eastAsia="宋体" w:cs="Times New Roman"/>
                <w:b w:val="0"/>
                <w:bCs/>
                <w:sz w:val="21"/>
                <w:szCs w:val="21"/>
                <w:lang w:val="en-US" w:eastAsia="zh-CN" w:bidi="ar"/>
              </w:rPr>
              <w:t>工厂）</w:t>
            </w:r>
          </w:p>
          <w:p>
            <w:pPr>
              <w:jc w:val="center"/>
            </w:pPr>
            <w:r>
              <w:rPr>
                <w:rFonts w:hint="default" w:ascii="Times New Roman" w:hAnsi="Times New Roman" w:eastAsia="宋体" w:cs="Times New Roman"/>
                <w:b/>
                <w:bCs/>
                <w:color w:val="auto"/>
                <w:kern w:val="0"/>
                <w:sz w:val="21"/>
                <w:szCs w:val="21"/>
                <w:lang w:bidi="ar"/>
              </w:rPr>
              <w:t>收货</w:t>
            </w:r>
            <w:r>
              <w:rPr>
                <w:rFonts w:hint="default" w:ascii="Times New Roman" w:hAnsi="Times New Roman" w:eastAsia="宋体" w:cs="Times New Roman"/>
                <w:b/>
                <w:bCs/>
                <w:color w:val="auto"/>
                <w:kern w:val="0"/>
                <w:sz w:val="21"/>
                <w:szCs w:val="21"/>
                <w:lang w:val="en-US" w:eastAsia="zh-CN" w:bidi="ar"/>
              </w:rPr>
              <w:t>联系人</w:t>
            </w:r>
            <w:r>
              <w:rPr>
                <w:rFonts w:hint="default" w:ascii="Times New Roman" w:hAnsi="Times New Roman" w:eastAsia="宋体" w:cs="Times New Roman"/>
                <w:b/>
                <w:bCs/>
                <w:color w:val="auto"/>
                <w:kern w:val="0"/>
                <w:sz w:val="21"/>
                <w:szCs w:val="21"/>
                <w:lang w:bidi="ar"/>
              </w:rPr>
              <w:t>：</w:t>
            </w:r>
            <w:r>
              <w:rPr>
                <w:rFonts w:hint="default" w:ascii="Times New Roman" w:hAnsi="Times New Roman" w:eastAsia="宋体" w:cs="Times New Roman"/>
                <w:b/>
                <w:bCs/>
                <w:color w:val="auto"/>
                <w:kern w:val="0"/>
                <w:sz w:val="21"/>
                <w:szCs w:val="21"/>
                <w:lang w:val="en-US" w:eastAsia="zh-CN" w:bidi="ar"/>
              </w:rPr>
              <w:t>赵靖辉</w:t>
            </w:r>
            <w:r>
              <w:rPr>
                <w:rFonts w:hint="default" w:ascii="Times New Roman" w:hAnsi="Times New Roman" w:eastAsia="宋体" w:cs="Times New Roman"/>
                <w:sz w:val="24"/>
                <w:szCs w:val="24"/>
              </w:rPr>
              <w:t>13235969578,0596-6311364</w:t>
            </w:r>
            <w:r>
              <w:rPr>
                <w:rFonts w:hint="default" w:ascii="Times New Roman" w:hAnsi="Times New Roman" w:eastAsia="宋体" w:cs="Times New Roman"/>
                <w:b w:val="0"/>
                <w:bCs w:val="0"/>
                <w:color w:val="auto"/>
                <w:kern w:val="0"/>
                <w:sz w:val="21"/>
                <w:szCs w:val="21"/>
                <w:lang w:val="en-US" w:eastAsia="zh-CN" w:bidi="ar"/>
              </w:rPr>
              <w:t xml:space="preserve"> </w:t>
            </w:r>
            <w:r>
              <w:rPr>
                <w:rStyle w:val="80"/>
                <w:rFonts w:hint="default" w:ascii="Times New Roman" w:hAnsi="Times New Roman" w:eastAsia="宋体" w:cs="Times New Roman"/>
                <w:b w:val="0"/>
                <w:bCs w:val="0"/>
                <w:color w:val="auto"/>
                <w:sz w:val="21"/>
                <w:szCs w:val="21"/>
                <w:lang w:val="en-US" w:eastAsia="zh-CN" w:bidi="ar"/>
              </w:rPr>
              <w:t>（厂内）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120" w:type="dxa"/>
            <w:gridSpan w:val="8"/>
            <w:vAlign w:val="center"/>
          </w:tcPr>
          <w:p>
            <w:pPr>
              <w:keepNext w:val="0"/>
              <w:keepLines w:val="0"/>
              <w:widowControl/>
              <w:suppressLineNumbers w:val="0"/>
              <w:jc w:val="center"/>
              <w:textAlignment w:val="center"/>
            </w:pPr>
            <w:r>
              <w:rPr>
                <w:rStyle w:val="80"/>
                <w:rFonts w:hint="default" w:ascii="Times New Roman" w:hAnsi="Times New Roman" w:eastAsia="宋体" w:cs="Times New Roman"/>
                <w:sz w:val="21"/>
                <w:szCs w:val="21"/>
                <w:lang w:val="en-US" w:eastAsia="zh-CN" w:bidi="ar"/>
              </w:rPr>
              <w:t>以上总价合计（含</w:t>
            </w:r>
            <w:r>
              <w:rPr>
                <w:rStyle w:val="80"/>
                <w:rFonts w:hint="eastAsia" w:ascii="Times New Roman" w:hAnsi="Times New Roman" w:cs="Times New Roman"/>
                <w:sz w:val="21"/>
                <w:szCs w:val="21"/>
                <w:lang w:val="en-US" w:eastAsia="zh-CN" w:bidi="ar"/>
              </w:rPr>
              <w:t xml:space="preserve">    </w:t>
            </w:r>
            <w:r>
              <w:rPr>
                <w:rStyle w:val="82"/>
                <w:rFonts w:hint="default" w:ascii="Times New Roman" w:hAnsi="Times New Roman" w:eastAsia="宋体" w:cs="Times New Roman"/>
                <w:sz w:val="21"/>
                <w:szCs w:val="21"/>
                <w:lang w:val="en-US" w:eastAsia="zh-CN" w:bidi="ar"/>
              </w:rPr>
              <w:t>%</w:t>
            </w:r>
            <w:r>
              <w:rPr>
                <w:rStyle w:val="82"/>
                <w:rFonts w:hint="default" w:ascii="Times New Roman" w:hAnsi="Times New Roman" w:eastAsia="宋体" w:cs="Times New Roman"/>
                <w:color w:val="auto"/>
                <w:sz w:val="21"/>
                <w:szCs w:val="21"/>
                <w:lang w:val="en-US" w:eastAsia="zh-CN" w:bidi="ar"/>
              </w:rPr>
              <w:t>VAT</w:t>
            </w:r>
            <w:r>
              <w:rPr>
                <w:rStyle w:val="80"/>
                <w:rFonts w:hint="default" w:ascii="Times New Roman" w:hAnsi="Times New Roman" w:eastAsia="宋体" w:cs="Times New Roman"/>
                <w:i w:val="0"/>
                <w:color w:val="auto"/>
                <w:sz w:val="21"/>
                <w:szCs w:val="21"/>
                <w:lang w:val="en-US" w:eastAsia="zh-CN" w:bidi="ar"/>
              </w:rPr>
              <w:t xml:space="preserve">）：  </w:t>
            </w:r>
            <w:r>
              <w:rPr>
                <w:rStyle w:val="80"/>
                <w:rFonts w:hint="eastAsia" w:ascii="Times New Roman" w:hAnsi="Times New Roman" w:cs="Times New Roman"/>
                <w:i w:val="0"/>
                <w:color w:val="auto"/>
                <w:sz w:val="21"/>
                <w:szCs w:val="21"/>
                <w:lang w:val="en-US" w:eastAsia="zh-CN" w:bidi="ar"/>
              </w:rPr>
              <w:t xml:space="preserve">   </w:t>
            </w:r>
            <w:r>
              <w:rPr>
                <w:rStyle w:val="80"/>
                <w:rFonts w:hint="default" w:ascii="Times New Roman" w:hAnsi="Times New Roman" w:eastAsia="宋体" w:cs="Times New Roman"/>
                <w:i w:val="0"/>
                <w:color w:val="auto"/>
                <w:sz w:val="21"/>
                <w:szCs w:val="21"/>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120" w:type="dxa"/>
            <w:gridSpan w:val="8"/>
            <w:vAlign w:val="center"/>
          </w:tcPr>
          <w:p>
            <w:pPr>
              <w:widowControl/>
              <w:jc w:val="center"/>
              <w:textAlignment w:val="center"/>
            </w:pPr>
            <w:r>
              <w:rPr>
                <w:rStyle w:val="80"/>
                <w:rFonts w:hint="default" w:ascii="Times New Roman" w:hAnsi="Times New Roman" w:eastAsia="宋体" w:cs="Times New Roman"/>
                <w:b w:val="0"/>
                <w:bCs/>
                <w:sz w:val="21"/>
                <w:szCs w:val="21"/>
                <w:lang w:val="en-US" w:eastAsia="zh-CN" w:bidi="ar"/>
              </w:rPr>
              <w:t>商务联系人</w:t>
            </w:r>
            <w:r>
              <w:rPr>
                <w:rStyle w:val="80"/>
                <w:rFonts w:hint="default" w:ascii="Times New Roman" w:hAnsi="Times New Roman" w:eastAsia="宋体" w:cs="Times New Roman"/>
                <w:b w:val="0"/>
                <w:bCs/>
                <w:sz w:val="21"/>
                <w:szCs w:val="21"/>
                <w:lang w:bidi="ar"/>
              </w:rPr>
              <w:t>及电话:  黄梅钦  0592-5229120  13806001925</w:t>
            </w:r>
            <w:r>
              <w:rPr>
                <w:rStyle w:val="80"/>
                <w:rFonts w:hint="default" w:ascii="Times New Roman" w:hAnsi="Times New Roman" w:eastAsia="宋体" w:cs="Times New Roman"/>
                <w:b w:val="0"/>
                <w:bCs/>
                <w:sz w:val="21"/>
                <w:szCs w:val="21"/>
                <w:lang w:val="en-US" w:eastAsia="zh-CN" w:bidi="ar"/>
              </w:rPr>
              <w:t xml:space="preserve">   (厂外）</w:t>
            </w:r>
          </w:p>
        </w:tc>
      </w:tr>
    </w:tbl>
    <w:p>
      <w:pPr>
        <w:pStyle w:val="39"/>
        <w:spacing w:beforeLines="0" w:afterLines="0"/>
        <w:ind w:firstLine="0" w:firstLineChars="0"/>
        <w:rPr>
          <w:rFonts w:ascii="Times New Roman"/>
          <w:bCs w:val="0"/>
          <w:sz w:val="24"/>
          <w:szCs w:val="24"/>
          <w:lang w:eastAsia="zh-CN"/>
        </w:rPr>
      </w:pPr>
    </w:p>
    <w:sectPr>
      <w:pgSz w:w="16840" w:h="11910" w:orient="landscape"/>
      <w:pgMar w:top="1463" w:right="1500" w:bottom="1208" w:left="740" w:header="0" w:footer="550"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4144;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SDtOh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116CF6"/>
    <w:multiLevelType w:val="singleLevel"/>
    <w:tmpl w:val="63116CF6"/>
    <w:lvl w:ilvl="0" w:tentative="0">
      <w:start w:val="8"/>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1AF00DD"/>
    <w:rsid w:val="029D7B85"/>
    <w:rsid w:val="0367315B"/>
    <w:rsid w:val="03863E76"/>
    <w:rsid w:val="061139E5"/>
    <w:rsid w:val="06EF4F39"/>
    <w:rsid w:val="06F50B00"/>
    <w:rsid w:val="076E1278"/>
    <w:rsid w:val="08D1141D"/>
    <w:rsid w:val="0B296DE2"/>
    <w:rsid w:val="0B983CE8"/>
    <w:rsid w:val="0CEC2637"/>
    <w:rsid w:val="0D704EEE"/>
    <w:rsid w:val="0EEC5213"/>
    <w:rsid w:val="0FBB2AA9"/>
    <w:rsid w:val="10294AA3"/>
    <w:rsid w:val="10E40CA0"/>
    <w:rsid w:val="112E089C"/>
    <w:rsid w:val="136130D9"/>
    <w:rsid w:val="15342061"/>
    <w:rsid w:val="1571589E"/>
    <w:rsid w:val="164500FE"/>
    <w:rsid w:val="17415F60"/>
    <w:rsid w:val="18D85DB9"/>
    <w:rsid w:val="18DD4F7E"/>
    <w:rsid w:val="195B58A2"/>
    <w:rsid w:val="1AD26D88"/>
    <w:rsid w:val="1E085A14"/>
    <w:rsid w:val="1EB71B1C"/>
    <w:rsid w:val="1EE21CAD"/>
    <w:rsid w:val="1FA4685B"/>
    <w:rsid w:val="1FF43DDB"/>
    <w:rsid w:val="20E43EB1"/>
    <w:rsid w:val="21933AA2"/>
    <w:rsid w:val="22AA7317"/>
    <w:rsid w:val="252308C1"/>
    <w:rsid w:val="2564247D"/>
    <w:rsid w:val="25BF356F"/>
    <w:rsid w:val="25DB0C2D"/>
    <w:rsid w:val="269469E7"/>
    <w:rsid w:val="29886A00"/>
    <w:rsid w:val="29FC3B14"/>
    <w:rsid w:val="2B11792E"/>
    <w:rsid w:val="2CA57894"/>
    <w:rsid w:val="2F3936CE"/>
    <w:rsid w:val="2F6B5F0C"/>
    <w:rsid w:val="306C6CAE"/>
    <w:rsid w:val="31C54755"/>
    <w:rsid w:val="3216608C"/>
    <w:rsid w:val="34CE14C6"/>
    <w:rsid w:val="34D84CEC"/>
    <w:rsid w:val="37AF5AB7"/>
    <w:rsid w:val="3B1C3371"/>
    <w:rsid w:val="3B840B71"/>
    <w:rsid w:val="3CC23198"/>
    <w:rsid w:val="3CC5127A"/>
    <w:rsid w:val="3DDF4815"/>
    <w:rsid w:val="3E9E45D1"/>
    <w:rsid w:val="3FE669E5"/>
    <w:rsid w:val="44F473B8"/>
    <w:rsid w:val="46C04F53"/>
    <w:rsid w:val="471660FA"/>
    <w:rsid w:val="48862C99"/>
    <w:rsid w:val="49A31EDC"/>
    <w:rsid w:val="4F3A01F0"/>
    <w:rsid w:val="500F48EF"/>
    <w:rsid w:val="50F63E28"/>
    <w:rsid w:val="52105747"/>
    <w:rsid w:val="5221007F"/>
    <w:rsid w:val="52926B5A"/>
    <w:rsid w:val="545C5E51"/>
    <w:rsid w:val="5486175B"/>
    <w:rsid w:val="57667D24"/>
    <w:rsid w:val="57CE5BC3"/>
    <w:rsid w:val="59F5351B"/>
    <w:rsid w:val="5AE1516A"/>
    <w:rsid w:val="5B6A3A79"/>
    <w:rsid w:val="5B712E82"/>
    <w:rsid w:val="5C1A5F7B"/>
    <w:rsid w:val="5C8277EA"/>
    <w:rsid w:val="5E88034A"/>
    <w:rsid w:val="627C4924"/>
    <w:rsid w:val="645771F8"/>
    <w:rsid w:val="64E26B11"/>
    <w:rsid w:val="65585CE2"/>
    <w:rsid w:val="68B757AA"/>
    <w:rsid w:val="6A54112D"/>
    <w:rsid w:val="6AA035AE"/>
    <w:rsid w:val="6E0F2E14"/>
    <w:rsid w:val="6E1A1323"/>
    <w:rsid w:val="6F1E141D"/>
    <w:rsid w:val="6F5354F8"/>
    <w:rsid w:val="700D4495"/>
    <w:rsid w:val="740A2BDE"/>
    <w:rsid w:val="751839E0"/>
    <w:rsid w:val="76274F93"/>
    <w:rsid w:val="7684749F"/>
    <w:rsid w:val="778B1930"/>
    <w:rsid w:val="78DC4EE3"/>
    <w:rsid w:val="79EB3F2F"/>
    <w:rsid w:val="7A6B547E"/>
    <w:rsid w:val="7ABD761B"/>
    <w:rsid w:val="7B11789E"/>
    <w:rsid w:val="7BE61E03"/>
    <w:rsid w:val="7DC94A0A"/>
    <w:rsid w:val="7DE753CF"/>
    <w:rsid w:val="7E07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uiPriority w:val="0"/>
  </w:style>
  <w:style w:type="character" w:styleId="30">
    <w:name w:val="HTML Variable"/>
    <w:basedOn w:val="24"/>
    <w:uiPriority w:val="0"/>
  </w:style>
  <w:style w:type="character" w:styleId="31">
    <w:name w:val="Hyperlink"/>
    <w:basedOn w:val="24"/>
    <w:qFormat/>
    <w:uiPriority w:val="99"/>
    <w:rPr>
      <w:color w:val="0000FF"/>
      <w:u w:val="single"/>
    </w:rPr>
  </w:style>
  <w:style w:type="character" w:styleId="32">
    <w:name w:val="HTML Code"/>
    <w:basedOn w:val="24"/>
    <w:uiPriority w:val="0"/>
    <w:rPr>
      <w:rFonts w:ascii="Arial" w:hAnsi="Arial" w:cs="Arial"/>
      <w:sz w:val="20"/>
    </w:rPr>
  </w:style>
  <w:style w:type="character" w:styleId="33">
    <w:name w:val="HTML Cite"/>
    <w:basedOn w:val="24"/>
    <w:qFormat/>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qFormat/>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qFormat/>
    <w:uiPriority w:val="0"/>
    <w:rPr>
      <w:rFonts w:ascii="宋体" w:hAnsi="宋体" w:cs="宋体"/>
      <w:sz w:val="22"/>
      <w:szCs w:val="22"/>
      <w:lang w:eastAsia="en-US"/>
    </w:rPr>
  </w:style>
  <w:style w:type="character" w:customStyle="1" w:styleId="53">
    <w:name w:val="正文文本缩进 2 Char"/>
    <w:basedOn w:val="24"/>
    <w:link w:val="15"/>
    <w:qFormat/>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qFormat/>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qFormat/>
    <w:locked/>
    <w:uiPriority w:val="0"/>
    <w:rPr>
      <w:rFonts w:ascii="宋体" w:hAnsi="Calibri"/>
      <w:sz w:val="34"/>
      <w:szCs w:val="22"/>
    </w:rPr>
  </w:style>
  <w:style w:type="character" w:customStyle="1" w:styleId="62">
    <w:name w:val="正文文本缩进 Char"/>
    <w:basedOn w:val="24"/>
    <w:link w:val="11"/>
    <w:qFormat/>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font51"/>
    <w:basedOn w:val="24"/>
    <w:qFormat/>
    <w:uiPriority w:val="0"/>
    <w:rPr>
      <w:rFonts w:hint="default" w:ascii="Dialog" w:hAnsi="Dialog" w:eastAsia="Dialog" w:cs="Dialog"/>
      <w:color w:val="000000"/>
      <w:sz w:val="20"/>
      <w:szCs w:val="20"/>
      <w:u w:val="none"/>
    </w:rPr>
  </w:style>
  <w:style w:type="character" w:customStyle="1" w:styleId="77">
    <w:name w:val="font61"/>
    <w:basedOn w:val="24"/>
    <w:qFormat/>
    <w:uiPriority w:val="0"/>
    <w:rPr>
      <w:rFonts w:hint="eastAsia" w:ascii="宋体" w:hAnsi="宋体" w:eastAsia="宋体" w:cs="宋体"/>
      <w:color w:val="000000"/>
      <w:sz w:val="20"/>
      <w:szCs w:val="20"/>
      <w:u w:val="none"/>
    </w:rPr>
  </w:style>
  <w:style w:type="character" w:customStyle="1" w:styleId="78">
    <w:name w:val="font81"/>
    <w:basedOn w:val="24"/>
    <w:qFormat/>
    <w:uiPriority w:val="0"/>
    <w:rPr>
      <w:rFonts w:hint="eastAsia" w:ascii="宋体" w:hAnsi="宋体" w:eastAsia="宋体" w:cs="宋体"/>
      <w:color w:val="auto"/>
      <w:sz w:val="22"/>
      <w:szCs w:val="22"/>
      <w:u w:val="none"/>
    </w:rPr>
  </w:style>
  <w:style w:type="character" w:customStyle="1" w:styleId="79">
    <w:name w:val="font11"/>
    <w:basedOn w:val="24"/>
    <w:qFormat/>
    <w:uiPriority w:val="0"/>
    <w:rPr>
      <w:rFonts w:hint="eastAsia" w:ascii="宋体" w:hAnsi="宋体" w:eastAsia="宋体" w:cs="宋体"/>
      <w:color w:val="000000"/>
      <w:sz w:val="22"/>
      <w:szCs w:val="22"/>
      <w:u w:val="none"/>
    </w:rPr>
  </w:style>
  <w:style w:type="character" w:customStyle="1" w:styleId="80">
    <w:name w:val="font121"/>
    <w:basedOn w:val="24"/>
    <w:qFormat/>
    <w:uiPriority w:val="0"/>
    <w:rPr>
      <w:rFonts w:hint="eastAsia" w:ascii="宋体" w:hAnsi="宋体" w:eastAsia="宋体" w:cs="宋体"/>
      <w:b/>
      <w:color w:val="000000"/>
      <w:sz w:val="22"/>
      <w:szCs w:val="22"/>
      <w:u w:val="none"/>
    </w:rPr>
  </w:style>
  <w:style w:type="character" w:customStyle="1" w:styleId="81">
    <w:name w:val="font101"/>
    <w:basedOn w:val="24"/>
    <w:qFormat/>
    <w:uiPriority w:val="0"/>
    <w:rPr>
      <w:rFonts w:hint="eastAsia" w:ascii="宋体" w:hAnsi="宋体" w:eastAsia="宋体" w:cs="宋体"/>
      <w:color w:val="000000"/>
      <w:sz w:val="22"/>
      <w:szCs w:val="22"/>
      <w:u w:val="none"/>
    </w:rPr>
  </w:style>
  <w:style w:type="character" w:customStyle="1" w:styleId="82">
    <w:name w:val="font111"/>
    <w:basedOn w:val="24"/>
    <w:qFormat/>
    <w:uiPriority w:val="0"/>
    <w:rPr>
      <w:rFonts w:hint="default" w:ascii="Times New Roman" w:hAnsi="Times New Roman" w:cs="Times New Roman"/>
      <w:b/>
      <w:color w:val="000000"/>
      <w:sz w:val="22"/>
      <w:szCs w:val="22"/>
      <w:u w:val="none"/>
    </w:rPr>
  </w:style>
  <w:style w:type="character" w:customStyle="1" w:styleId="83">
    <w:name w:val="hilite6"/>
    <w:basedOn w:val="24"/>
    <w:uiPriority w:val="0"/>
    <w:rPr>
      <w:color w:val="FFFFFF"/>
      <w:shd w:val="clear" w:fill="666666"/>
    </w:rPr>
  </w:style>
  <w:style w:type="character" w:customStyle="1" w:styleId="84">
    <w:name w:val="w32"/>
    <w:basedOn w:val="24"/>
    <w:uiPriority w:val="0"/>
  </w:style>
  <w:style w:type="character" w:customStyle="1" w:styleId="85">
    <w:name w:val="hover41"/>
    <w:basedOn w:val="24"/>
    <w:qFormat/>
    <w:uiPriority w:val="0"/>
    <w:rPr>
      <w:color w:val="FFFFFF"/>
    </w:rPr>
  </w:style>
  <w:style w:type="character" w:customStyle="1" w:styleId="86">
    <w:name w:val="cdropright"/>
    <w:basedOn w:val="24"/>
    <w:qFormat/>
    <w:uiPriority w:val="0"/>
  </w:style>
  <w:style w:type="character" w:customStyle="1" w:styleId="87">
    <w:name w:val="xdrichtextbox4"/>
    <w:basedOn w:val="24"/>
    <w:qFormat/>
    <w:uiPriority w:val="0"/>
  </w:style>
  <w:style w:type="character" w:customStyle="1" w:styleId="88">
    <w:name w:val="drapbtn"/>
    <w:basedOn w:val="24"/>
    <w:qFormat/>
    <w:uiPriority w:val="0"/>
  </w:style>
  <w:style w:type="character" w:customStyle="1" w:styleId="89">
    <w:name w:val="cdropleft"/>
    <w:basedOn w:val="24"/>
    <w:qFormat/>
    <w:uiPriority w:val="0"/>
  </w:style>
  <w:style w:type="character" w:customStyle="1" w:styleId="90">
    <w:name w:val="button4"/>
    <w:basedOn w:val="24"/>
    <w:qFormat/>
    <w:uiPriority w:val="0"/>
  </w:style>
  <w:style w:type="character" w:customStyle="1" w:styleId="91">
    <w:name w:val="outspan"/>
    <w:basedOn w:val="24"/>
    <w:uiPriority w:val="0"/>
    <w:rPr>
      <w:color w:val="FFFFFF"/>
      <w:sz w:val="18"/>
      <w:szCs w:val="18"/>
      <w:bdr w:val="single" w:color="1F1F74" w:sz="6" w:space="0"/>
      <w:shd w:val="clear" w:fill="2929A6"/>
    </w:rPr>
  </w:style>
  <w:style w:type="character" w:customStyle="1" w:styleId="92">
    <w:name w:val="ico1653"/>
    <w:basedOn w:val="24"/>
    <w:uiPriority w:val="0"/>
  </w:style>
  <w:style w:type="character" w:customStyle="1" w:styleId="93">
    <w:name w:val="iconline2"/>
    <w:basedOn w:val="24"/>
    <w:uiPriority w:val="0"/>
  </w:style>
  <w:style w:type="character" w:customStyle="1" w:styleId="94">
    <w:name w:val="cy"/>
    <w:basedOn w:val="24"/>
    <w:qFormat/>
    <w:uiPriority w:val="0"/>
  </w:style>
  <w:style w:type="character" w:customStyle="1" w:styleId="95">
    <w:name w:val="pagechatarealistclose_box"/>
    <w:basedOn w:val="24"/>
    <w:qFormat/>
    <w:uiPriority w:val="0"/>
  </w:style>
  <w:style w:type="character" w:customStyle="1" w:styleId="96">
    <w:name w:val="pagechatarealistclose_box1"/>
    <w:basedOn w:val="24"/>
    <w:uiPriority w:val="0"/>
  </w:style>
  <w:style w:type="character" w:customStyle="1" w:styleId="97">
    <w:name w:val="edit_class"/>
    <w:basedOn w:val="24"/>
    <w:uiPriority w:val="0"/>
  </w:style>
  <w:style w:type="character" w:customStyle="1" w:styleId="98">
    <w:name w:val="design_class"/>
    <w:basedOn w:val="24"/>
    <w:qFormat/>
    <w:uiPriority w:val="0"/>
  </w:style>
  <w:style w:type="character" w:customStyle="1" w:styleId="99">
    <w:name w:val="icontext3"/>
    <w:basedOn w:val="24"/>
    <w:qFormat/>
    <w:uiPriority w:val="0"/>
  </w:style>
  <w:style w:type="character" w:customStyle="1" w:styleId="100">
    <w:name w:val="tmpztreemove_arrow"/>
    <w:basedOn w:val="24"/>
    <w:qFormat/>
    <w:uiPriority w:val="0"/>
  </w:style>
  <w:style w:type="character" w:customStyle="1" w:styleId="101">
    <w:name w:val="biggerthanmax"/>
    <w:basedOn w:val="24"/>
    <w:qFormat/>
    <w:uiPriority w:val="0"/>
    <w:rPr>
      <w:shd w:val="clear" w:fill="FFFF00"/>
    </w:rPr>
  </w:style>
  <w:style w:type="character" w:customStyle="1" w:styleId="102">
    <w:name w:val="after"/>
    <w:basedOn w:val="24"/>
    <w:qFormat/>
    <w:uiPriority w:val="0"/>
    <w:rPr>
      <w:sz w:val="0"/>
      <w:szCs w:val="0"/>
    </w:rPr>
  </w:style>
  <w:style w:type="character" w:customStyle="1" w:styleId="103">
    <w:name w:val="associateddata"/>
    <w:basedOn w:val="24"/>
    <w:qFormat/>
    <w:uiPriority w:val="0"/>
    <w:rPr>
      <w:shd w:val="clear" w:fill="50A6F9"/>
    </w:rPr>
  </w:style>
  <w:style w:type="character" w:customStyle="1" w:styleId="104">
    <w:name w:val="icontext1"/>
    <w:basedOn w:val="24"/>
    <w:qFormat/>
    <w:uiPriority w:val="0"/>
  </w:style>
  <w:style w:type="character" w:customStyle="1" w:styleId="105">
    <w:name w:val="icontext11"/>
    <w:basedOn w:val="24"/>
    <w:qFormat/>
    <w:uiPriority w:val="0"/>
  </w:style>
  <w:style w:type="character" w:customStyle="1" w:styleId="106">
    <w:name w:val="icontext12"/>
    <w:basedOn w:val="24"/>
    <w:qFormat/>
    <w:uiPriority w:val="0"/>
  </w:style>
  <w:style w:type="character" w:customStyle="1" w:styleId="107">
    <w:name w:val="icontext2"/>
    <w:basedOn w:val="24"/>
    <w:qFormat/>
    <w:uiPriority w:val="0"/>
  </w:style>
  <w:style w:type="character" w:customStyle="1" w:styleId="108">
    <w:name w:val="active7"/>
    <w:basedOn w:val="24"/>
    <w:qFormat/>
    <w:uiPriority w:val="0"/>
    <w:rPr>
      <w:color w:val="00FF00"/>
      <w:shd w:val="clear" w:fill="111111"/>
    </w:rPr>
  </w:style>
  <w:style w:type="character" w:customStyle="1" w:styleId="109">
    <w:name w:val="active8"/>
    <w:basedOn w:val="24"/>
    <w:qFormat/>
    <w:uiPriority w:val="0"/>
    <w:rPr>
      <w:shd w:val="clear" w:fill="EC3535"/>
    </w:rPr>
  </w:style>
  <w:style w:type="character" w:customStyle="1" w:styleId="110">
    <w:name w:val="layui-layer-tabnow"/>
    <w:basedOn w:val="24"/>
    <w:qFormat/>
    <w:uiPriority w:val="0"/>
    <w:rPr>
      <w:bdr w:val="single" w:color="CCCCCC" w:sz="6" w:space="0"/>
      <w:shd w:val="clear" w:fill="FFFFFF"/>
    </w:rPr>
  </w:style>
  <w:style w:type="character" w:customStyle="1" w:styleId="111">
    <w:name w:val="first-child"/>
    <w:basedOn w:val="24"/>
    <w:qFormat/>
    <w:uiPriority w:val="0"/>
  </w:style>
  <w:style w:type="character" w:customStyle="1" w:styleId="112">
    <w:name w:val="choosename"/>
    <w:basedOn w:val="24"/>
    <w:qFormat/>
    <w:uiPriority w:val="0"/>
  </w:style>
  <w:style w:type="character" w:customStyle="1" w:styleId="113">
    <w:name w:val="hilite"/>
    <w:basedOn w:val="24"/>
    <w:qFormat/>
    <w:uiPriority w:val="0"/>
    <w:rPr>
      <w:color w:val="FFFFFF"/>
      <w:shd w:val="clear" w:fill="666666"/>
    </w:rPr>
  </w:style>
  <w:style w:type="character" w:customStyle="1" w:styleId="114">
    <w:name w:val="ico1654"/>
    <w:basedOn w:val="24"/>
    <w:qFormat/>
    <w:uiPriority w:val="0"/>
  </w:style>
  <w:style w:type="character" w:customStyle="1" w:styleId="115">
    <w:name w:val="ico1655"/>
    <w:basedOn w:val="24"/>
    <w:qFormat/>
    <w:uiPriority w:val="0"/>
  </w:style>
  <w:style w:type="character" w:customStyle="1" w:styleId="116">
    <w:name w:val="hover40"/>
    <w:basedOn w:val="24"/>
    <w:qFormat/>
    <w:uiPriority w:val="0"/>
    <w:rPr>
      <w:color w:val="FFFFFF"/>
    </w:rPr>
  </w:style>
  <w:style w:type="character" w:customStyle="1" w:styleId="117">
    <w:name w:val="iconline21"/>
    <w:basedOn w:val="24"/>
    <w:qFormat/>
    <w:uiPriority w:val="0"/>
  </w:style>
  <w:style w:type="character" w:customStyle="1" w:styleId="118">
    <w:name w:val="button"/>
    <w:basedOn w:val="24"/>
    <w:uiPriority w:val="0"/>
  </w:style>
  <w:style w:type="character" w:customStyle="1" w:styleId="119">
    <w:name w:val="active"/>
    <w:basedOn w:val="24"/>
    <w:qFormat/>
    <w:uiPriority w:val="0"/>
    <w:rPr>
      <w:color w:val="00FF00"/>
      <w:shd w:val="clear" w:fill="111111"/>
    </w:rPr>
  </w:style>
  <w:style w:type="character" w:customStyle="1" w:styleId="120">
    <w:name w:val="active1"/>
    <w:basedOn w:val="24"/>
    <w:uiPriority w:val="0"/>
    <w:rPr>
      <w:shd w:val="clear" w:fill="EC3535"/>
    </w:rPr>
  </w:style>
  <w:style w:type="character" w:customStyle="1" w:styleId="121">
    <w:name w:val="active2"/>
    <w:basedOn w:val="24"/>
    <w:qFormat/>
    <w:uiPriority w:val="0"/>
    <w:rPr>
      <w:shd w:val="clear" w:fill="EC3535"/>
    </w:rPr>
  </w:style>
  <w:style w:type="character" w:customStyle="1" w:styleId="122">
    <w:name w:val="active3"/>
    <w:basedOn w:val="24"/>
    <w:uiPriority w:val="0"/>
    <w:rPr>
      <w:color w:val="00FF00"/>
      <w:shd w:val="clear" w:fill="111111"/>
    </w:rPr>
  </w:style>
  <w:style w:type="character" w:customStyle="1" w:styleId="123">
    <w:name w:val="hilite4"/>
    <w:basedOn w:val="24"/>
    <w:qFormat/>
    <w:uiPriority w:val="0"/>
    <w:rPr>
      <w:color w:val="FFFFFF"/>
      <w:shd w:val="clear" w:fill="666666"/>
    </w:rPr>
  </w:style>
  <w:style w:type="character" w:customStyle="1" w:styleId="124">
    <w:name w:val="hover11"/>
    <w:basedOn w:val="24"/>
    <w:qFormat/>
    <w:uiPriority w:val="0"/>
    <w:rPr>
      <w:color w:val="FFFFFF"/>
    </w:rPr>
  </w:style>
  <w:style w:type="character" w:customStyle="1" w:styleId="125">
    <w:name w:val="active4"/>
    <w:basedOn w:val="24"/>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27</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2022-09-06T02:43:29Z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