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工业用碳十粗芳烃的组分</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FHC-PTCG20220819001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二〇二二年九月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ind w:firstLine="300" w:firstLineChars="125"/>
        <w:rPr>
          <w:bCs/>
          <w:spacing w:val="-2"/>
          <w:sz w:val="24"/>
          <w:szCs w:val="24"/>
          <w:lang w:eastAsia="zh-CN"/>
        </w:rPr>
      </w:pPr>
      <w:r>
        <w:rPr>
          <w:rFonts w:hint="eastAsia"/>
          <w:bCs/>
          <w:sz w:val="24"/>
          <w:szCs w:val="24"/>
          <w:lang w:eastAsia="zh-CN"/>
        </w:rPr>
        <w:t>福建福海创石油化工有限公司拟对</w:t>
      </w:r>
      <w:r>
        <w:rPr>
          <w:sz w:val="24"/>
          <w:szCs w:val="24"/>
          <w:u w:val="single"/>
          <w:lang w:eastAsia="zh-CN"/>
        </w:rPr>
        <w:t>工业用碳十粗芳烃</w:t>
      </w:r>
      <w:r>
        <w:rPr>
          <w:rFonts w:hint="eastAsia"/>
          <w:sz w:val="24"/>
          <w:szCs w:val="24"/>
          <w:u w:val="single"/>
          <w:lang w:eastAsia="zh-CN"/>
        </w:rPr>
        <w:t>的组分分析</w:t>
      </w:r>
      <w:r>
        <w:rPr>
          <w:rFonts w:hint="eastAsia"/>
          <w:bCs/>
          <w:sz w:val="24"/>
          <w:szCs w:val="24"/>
          <w:lang w:eastAsia="zh-CN"/>
        </w:rPr>
        <w:t>项目进行国内公开比选，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名  称：</w:t>
      </w:r>
      <w:r>
        <w:rPr>
          <w:sz w:val="24"/>
          <w:szCs w:val="24"/>
          <w:u w:val="single"/>
          <w:lang w:eastAsia="zh-CN"/>
        </w:rPr>
        <w:t>工业用碳十粗芳烃</w:t>
      </w:r>
      <w:r>
        <w:rPr>
          <w:rFonts w:hint="eastAsia"/>
          <w:sz w:val="24"/>
          <w:szCs w:val="24"/>
          <w:u w:val="single"/>
          <w:lang w:eastAsia="zh-CN"/>
        </w:rPr>
        <w:t>的组分分析</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执行方式：采用总价包干方式</w:t>
      </w:r>
    </w:p>
    <w:p>
      <w:pPr>
        <w:snapToGrid w:val="0"/>
        <w:spacing w:line="360" w:lineRule="auto"/>
        <w:ind w:left="796" w:leftChars="218" w:hanging="316" w:hangingChars="132"/>
        <w:rPr>
          <w:rFonts w:asciiTheme="minorEastAsia" w:hAnsiTheme="minorEastAsia" w:eastAsiaTheme="minorEastAsia"/>
          <w:color w:val="000000" w:themeColor="text1"/>
          <w:sz w:val="24"/>
          <w:szCs w:val="24"/>
          <w:lang w:eastAsia="zh-CN"/>
        </w:rPr>
      </w:pPr>
      <w:r>
        <w:rPr>
          <w:rFonts w:hint="eastAsia" w:asciiTheme="majorEastAsia" w:hAnsiTheme="majorEastAsia" w:eastAsiaTheme="majorEastAsia"/>
          <w:sz w:val="24"/>
          <w:szCs w:val="24"/>
          <w:lang w:eastAsia="zh-CN"/>
        </w:rPr>
        <w:t>3. 主要招标及技术要求：</w:t>
      </w:r>
      <w:r>
        <w:rPr>
          <w:rFonts w:hint="eastAsia"/>
          <w:sz w:val="24"/>
          <w:szCs w:val="24"/>
          <w:lang w:eastAsia="zh-CN"/>
        </w:rPr>
        <w:t>分析工业用碳十粗芳烃的组分，并出具组分报告和按《国际散装运输危险化学品船舶构造和设备规则》（IBC规则）分类的报告。</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地  点：福建福海创石油化工有限公司</w:t>
      </w:r>
    </w:p>
    <w:p>
      <w:pPr>
        <w:spacing w:line="360" w:lineRule="auto"/>
        <w:rPr>
          <w:rFonts w:asciiTheme="minorEastAsia" w:hAnsiTheme="minorEastAsia" w:eastAsiaTheme="minorEastAsia"/>
          <w:color w:val="000000" w:themeColor="text1"/>
          <w:sz w:val="24"/>
          <w:szCs w:val="24"/>
          <w:lang w:eastAsia="zh-CN"/>
        </w:rPr>
      </w:pPr>
      <w:r>
        <w:rPr>
          <w:rFonts w:hint="eastAsia" w:asciiTheme="majorEastAsia" w:hAnsiTheme="majorEastAsia" w:eastAsiaTheme="majorEastAsia"/>
          <w:sz w:val="24"/>
          <w:szCs w:val="24"/>
          <w:lang w:eastAsia="zh-CN"/>
        </w:rPr>
        <w:t xml:space="preserve">    5. 工  期: </w:t>
      </w:r>
      <w:r>
        <w:rPr>
          <w:rFonts w:hint="eastAsia" w:asciiTheme="minorEastAsia" w:hAnsiTheme="minorEastAsia" w:eastAsiaTheme="minorEastAsia"/>
          <w:color w:val="000000" w:themeColor="text1"/>
          <w:sz w:val="24"/>
          <w:szCs w:val="24"/>
          <w:lang w:eastAsia="zh-CN"/>
        </w:rPr>
        <w:t>2022年10月1</w:t>
      </w:r>
      <w:r>
        <w:rPr>
          <w:rFonts w:asciiTheme="minorEastAsia" w:hAnsiTheme="minorEastAsia" w:eastAsiaTheme="minorEastAsia"/>
          <w:color w:val="000000" w:themeColor="text1"/>
          <w:sz w:val="24"/>
          <w:szCs w:val="24"/>
          <w:lang w:eastAsia="zh-CN"/>
        </w:rPr>
        <w:t>0</w:t>
      </w:r>
      <w:r>
        <w:rPr>
          <w:rFonts w:hint="eastAsia" w:asciiTheme="minorEastAsia" w:hAnsiTheme="minorEastAsia" w:eastAsiaTheme="minorEastAsia"/>
          <w:color w:val="000000" w:themeColor="text1"/>
          <w:sz w:val="24"/>
          <w:szCs w:val="24"/>
          <w:lang w:eastAsia="zh-CN"/>
        </w:rPr>
        <w:t>日前</w:t>
      </w:r>
      <w:r>
        <w:rPr>
          <w:rFonts w:asciiTheme="minorEastAsia" w:hAnsiTheme="minorEastAsia" w:eastAsiaTheme="minorEastAsia"/>
          <w:color w:val="000000" w:themeColor="text1"/>
          <w:sz w:val="24"/>
          <w:szCs w:val="24"/>
          <w:lang w:eastAsia="zh-CN"/>
        </w:rPr>
        <w:t>完成</w:t>
      </w:r>
      <w:r>
        <w:rPr>
          <w:rFonts w:hint="eastAsia" w:asciiTheme="minorEastAsia" w:hAnsiTheme="minorEastAsia" w:eastAsiaTheme="minorEastAsia"/>
          <w:color w:val="000000" w:themeColor="text1"/>
          <w:sz w:val="24"/>
          <w:szCs w:val="24"/>
          <w:lang w:eastAsia="zh-CN"/>
        </w:rPr>
        <w:t>。</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716" w:leftChars="223" w:hanging="225" w:hangingChars="94"/>
        <w:jc w:val="both"/>
        <w:rPr>
          <w:sz w:val="24"/>
          <w:szCs w:val="24"/>
          <w:lang w:eastAsia="zh-CN"/>
        </w:rPr>
      </w:pPr>
      <w:r>
        <w:rPr>
          <w:rFonts w:hint="eastAsia"/>
          <w:sz w:val="24"/>
          <w:szCs w:val="24"/>
          <w:lang w:eastAsia="zh-CN"/>
        </w:rPr>
        <w:t>2.检测机构实验室具有CNAS和CMA资质；</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hint="eastAsia"/>
          <w:sz w:val="24"/>
          <w:szCs w:val="24"/>
          <w:lang w:eastAsia="zh-CN"/>
        </w:rPr>
        <w:t>3.具备出具按《国际散装运输危险化学品船舶构造和设备规则》（IBC规则）分类报告的能力。</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w:t>
      </w:r>
      <w:r>
        <w:rPr>
          <w:b/>
          <w:color w:val="auto"/>
          <w:sz w:val="24"/>
          <w:szCs w:val="24"/>
          <w:lang w:eastAsia="zh-CN"/>
        </w:rPr>
        <w:t>202</w:t>
      </w:r>
      <w:r>
        <w:rPr>
          <w:rFonts w:hint="eastAsia"/>
          <w:b/>
          <w:color w:val="auto"/>
          <w:sz w:val="24"/>
          <w:szCs w:val="24"/>
          <w:lang w:eastAsia="zh-CN"/>
        </w:rPr>
        <w:t>2年9月</w:t>
      </w:r>
      <w:r>
        <w:rPr>
          <w:rFonts w:hint="eastAsia"/>
          <w:b/>
          <w:color w:val="auto"/>
          <w:sz w:val="24"/>
          <w:szCs w:val="24"/>
          <w:lang w:val="en-US" w:eastAsia="zh-CN"/>
        </w:rPr>
        <w:t>22</w:t>
      </w:r>
      <w:r>
        <w:rPr>
          <w:rFonts w:hint="eastAsia"/>
          <w:b/>
          <w:color w:val="auto"/>
          <w:sz w:val="24"/>
          <w:szCs w:val="24"/>
          <w:lang w:eastAsia="zh-CN"/>
        </w:rPr>
        <w:t>日</w:t>
      </w:r>
      <w:r>
        <w:rPr>
          <w:rFonts w:hint="eastAsia"/>
          <w:b/>
          <w:color w:val="auto"/>
          <w:sz w:val="24"/>
          <w:szCs w:val="24"/>
          <w:lang w:val="en-US" w:eastAsia="zh-CN"/>
        </w:rPr>
        <w:t>0</w:t>
      </w:r>
      <w:r>
        <w:rPr>
          <w:rFonts w:hint="eastAsia"/>
          <w:b/>
          <w:color w:val="auto"/>
          <w:sz w:val="24"/>
          <w:szCs w:val="24"/>
          <w:lang w:eastAsia="zh-CN"/>
        </w:rPr>
        <w:t>8时30分--</w:t>
      </w:r>
      <w:r>
        <w:rPr>
          <w:rFonts w:hint="eastAsia"/>
          <w:b/>
          <w:color w:val="auto"/>
          <w:sz w:val="24"/>
          <w:szCs w:val="24"/>
          <w:lang w:val="en-US" w:eastAsia="zh-CN"/>
        </w:rPr>
        <w:t>10</w:t>
      </w:r>
      <w:r>
        <w:rPr>
          <w:rFonts w:hint="eastAsia"/>
          <w:b/>
          <w:color w:val="auto"/>
          <w:sz w:val="24"/>
          <w:szCs w:val="24"/>
          <w:lang w:eastAsia="zh-CN"/>
        </w:rPr>
        <w:t>月</w:t>
      </w:r>
      <w:r>
        <w:rPr>
          <w:rFonts w:hint="eastAsia"/>
          <w:b/>
          <w:color w:val="auto"/>
          <w:sz w:val="24"/>
          <w:szCs w:val="24"/>
          <w:lang w:val="en-US" w:eastAsia="zh-CN"/>
        </w:rPr>
        <w:t>01</w:t>
      </w:r>
      <w:r>
        <w:rPr>
          <w:rFonts w:hint="eastAsia"/>
          <w:b/>
          <w:color w:val="auto"/>
          <w:sz w:val="24"/>
          <w:szCs w:val="24"/>
          <w:lang w:eastAsia="zh-CN"/>
        </w:rPr>
        <w:t>日17时30分（共10天）</w:t>
      </w:r>
      <w:r>
        <w:rPr>
          <w:rFonts w:hint="eastAsia"/>
          <w:b/>
          <w:snapToGrid w:val="0"/>
          <w:color w:val="auto"/>
          <w:spacing w:val="8"/>
          <w:sz w:val="24"/>
          <w:szCs w:val="24"/>
          <w:lang w:eastAsia="zh-CN"/>
        </w:rPr>
        <w:t>。</w:t>
      </w:r>
    </w:p>
    <w:p>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四、参选保证金：无</w:t>
      </w:r>
    </w:p>
    <w:p>
      <w:pPr>
        <w:tabs>
          <w:tab w:val="left" w:pos="709"/>
        </w:tabs>
        <w:spacing w:line="360" w:lineRule="auto"/>
        <w:rPr>
          <w:sz w:val="24"/>
          <w:szCs w:val="24"/>
          <w:lang w:eastAsia="zh-CN"/>
        </w:rPr>
      </w:pPr>
      <w:r>
        <w:rPr>
          <w:rFonts w:hint="eastAsia"/>
          <w:b/>
          <w:snapToGrid w:val="0"/>
          <w:color w:val="000000" w:themeColor="text1"/>
          <w:spacing w:val="8"/>
          <w:sz w:val="24"/>
          <w:szCs w:val="24"/>
          <w:lang w:eastAsia="zh-CN"/>
        </w:rPr>
        <w:t>五、</w:t>
      </w:r>
      <w:r>
        <w:rPr>
          <w:rFonts w:hint="eastAsia"/>
          <w:b/>
          <w:bCs/>
          <w:snapToGrid w:val="0"/>
          <w:color w:val="000000" w:themeColor="text1"/>
          <w:spacing w:val="8"/>
          <w:sz w:val="24"/>
          <w:szCs w:val="24"/>
          <w:lang w:eastAsia="zh-CN"/>
        </w:rPr>
        <w:t>本公开比选采用参选文件满足要求，商务报价最低者中选的评标办法。</w:t>
      </w:r>
    </w:p>
    <w:p>
      <w:pPr>
        <w:pStyle w:val="2"/>
        <w:spacing w:beforeLines="0" w:afterLines="0" w:line="360" w:lineRule="auto"/>
        <w:ind w:left="480" w:leftChars="218"/>
        <w:rPr>
          <w:lang w:eastAsia="zh-CN"/>
        </w:rPr>
      </w:pPr>
      <w:r>
        <w:rPr>
          <w:rFonts w:hint="eastAsia" w:ascii="宋体" w:hAnsi="宋体" w:eastAsia="宋体" w:cs="宋体"/>
          <w:kern w:val="0"/>
          <w:sz w:val="24"/>
          <w:szCs w:val="24"/>
          <w:lang w:val="en-US" w:eastAsia="zh-CN" w:bidi="ar-SA"/>
        </w:rPr>
        <w:t>商务联系人：黄梅钦 0596-6311073 huangmq@fjpec.com.cn</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技术联系人：</w:t>
      </w:r>
      <w:r>
        <w:rPr>
          <w:rFonts w:hint="eastAsia" w:hAnsi="宋体" w:cs="宋体"/>
          <w:sz w:val="24"/>
          <w:szCs w:val="24"/>
          <w:lang w:eastAsia="zh-CN"/>
        </w:rPr>
        <w:t xml:space="preserve">方婉玲19959614670   wlfang@fhcpec.com.cn </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纪检监察室电话：0596-6311774</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48"/>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2年09月15日</w:t>
      </w:r>
    </w:p>
    <w:p>
      <w:pPr>
        <w:pStyle w:val="3"/>
        <w:tabs>
          <w:tab w:val="left" w:pos="1262"/>
        </w:tabs>
        <w:spacing w:line="355" w:lineRule="exact"/>
        <w:ind w:left="0" w:right="108"/>
        <w:jc w:val="center"/>
        <w:rPr>
          <w:lang w:eastAsia="zh-CN"/>
        </w:rPr>
        <w:sectPr>
          <w:pgSz w:w="11910" w:h="16840"/>
          <w:pgMar w:top="1500" w:right="1020" w:bottom="740" w:left="10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4"/>
        <w:spacing w:before="3"/>
        <w:rPr>
          <w:b/>
          <w:sz w:val="26"/>
          <w:lang w:eastAsia="zh-CN"/>
        </w:rPr>
      </w:pPr>
    </w:p>
    <w:p>
      <w:pPr>
        <w:spacing w:after="240"/>
        <w:ind w:firstLine="534" w:firstLineChars="200"/>
        <w:rPr>
          <w:b/>
          <w:sz w:val="28"/>
          <w:lang w:eastAsia="zh-CN"/>
        </w:rPr>
      </w:pPr>
      <w:r>
        <w:rPr>
          <w:b/>
          <w:w w:val="95"/>
          <w:sz w:val="28"/>
          <w:lang w:eastAsia="zh-CN"/>
        </w:rPr>
        <w:t>一、比选内容</w:t>
      </w:r>
    </w:p>
    <w:p>
      <w:pPr>
        <w:widowControl/>
        <w:autoSpaceDE/>
        <w:autoSpaceDN/>
        <w:spacing w:line="360" w:lineRule="auto"/>
        <w:ind w:firstLine="496" w:firstLineChars="207"/>
        <w:jc w:val="both"/>
        <w:rPr>
          <w:lang w:eastAsia="zh-CN"/>
        </w:rPr>
      </w:pPr>
      <w:r>
        <w:rPr>
          <w:rFonts w:hint="eastAsia"/>
          <w:sz w:val="24"/>
          <w:szCs w:val="24"/>
          <w:lang w:eastAsia="zh-CN"/>
        </w:rPr>
        <w:t>1.项目名称：</w:t>
      </w:r>
      <w:r>
        <w:rPr>
          <w:sz w:val="24"/>
          <w:szCs w:val="24"/>
          <w:u w:val="single"/>
          <w:lang w:eastAsia="zh-CN"/>
        </w:rPr>
        <w:t>工业用碳十粗芳烃</w:t>
      </w:r>
      <w:r>
        <w:rPr>
          <w:rFonts w:hint="eastAsia"/>
          <w:sz w:val="24"/>
          <w:szCs w:val="24"/>
          <w:u w:val="single"/>
          <w:lang w:eastAsia="zh-CN"/>
        </w:rPr>
        <w:t>的组分分析</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项目工作范围及要求：分析工业用碳十粗芳烃的组分，并出具组分报告和按《国际散装运输危险化学品船舶构造和设备规则》（IBC规则）分类的报告。</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项目联系人</w:t>
      </w:r>
    </w:p>
    <w:p>
      <w:pPr>
        <w:pStyle w:val="14"/>
        <w:spacing w:line="360" w:lineRule="auto"/>
        <w:ind w:right="121" w:firstLine="465"/>
        <w:jc w:val="both"/>
        <w:rPr>
          <w:lang w:eastAsia="zh-CN"/>
        </w:rPr>
      </w:pPr>
      <w:r>
        <w:rPr>
          <w:rFonts w:hint="eastAsia"/>
          <w:lang w:eastAsia="zh-CN"/>
        </w:rPr>
        <w:t>技术联系人：</w:t>
      </w:r>
      <w:bookmarkStart w:id="11" w:name="_GoBack"/>
      <w:r>
        <w:rPr>
          <w:rFonts w:hint="eastAsia"/>
          <w:lang w:eastAsia="zh-CN"/>
        </w:rPr>
        <w:t xml:space="preserve">方婉玲19959614670   wlfang@fhcpec.com.cn </w:t>
      </w:r>
      <w:bookmarkEnd w:id="11"/>
      <w:r>
        <w:rPr>
          <w:rFonts w:hint="eastAsia"/>
          <w:lang w:eastAsia="zh-CN"/>
        </w:rPr>
        <w:t xml:space="preserve">           </w:t>
      </w:r>
    </w:p>
    <w:p>
      <w:pPr>
        <w:pStyle w:val="14"/>
        <w:spacing w:line="360" w:lineRule="auto"/>
        <w:ind w:right="121"/>
        <w:jc w:val="both"/>
        <w:rPr>
          <w:lang w:eastAsia="zh-CN"/>
        </w:rPr>
      </w:pPr>
      <w:r>
        <w:rPr>
          <w:rFonts w:hint="eastAsia"/>
          <w:lang w:eastAsia="zh-CN"/>
        </w:rPr>
        <w:t xml:space="preserve">    商务联系人：黄梅钦 0596-6311073  huangmq@fjpec.com.cn</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left="718" w:leftChars="200" w:right="226" w:hanging="278" w:hangingChars="11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left="718" w:leftChars="200" w:right="222" w:hanging="278" w:hangingChars="116"/>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left="718" w:leftChars="200" w:hanging="278" w:hangingChars="116"/>
        <w:rPr>
          <w:lang w:eastAsia="zh-CN"/>
        </w:rPr>
      </w:pPr>
      <w:r>
        <w:rPr>
          <w:lang w:eastAsia="zh-CN"/>
        </w:rPr>
        <w:t>3.比选文件的修改书将构成比选文件的一部分，对参选人具有约束作用。</w:t>
      </w:r>
    </w:p>
    <w:p>
      <w:pPr>
        <w:pStyle w:val="14"/>
        <w:spacing w:before="27" w:line="360" w:lineRule="auto"/>
        <w:ind w:left="718" w:leftChars="200" w:hanging="278" w:hangingChars="116"/>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758" w:leftChars="218" w:hanging="278" w:hangingChars="116"/>
        <w:jc w:val="both"/>
        <w:rPr>
          <w:sz w:val="24"/>
          <w:szCs w:val="24"/>
          <w:lang w:eastAsia="zh-CN"/>
        </w:rPr>
      </w:pPr>
      <w:r>
        <w:rPr>
          <w:rFonts w:asciiTheme="majorEastAsia" w:hAnsiTheme="majorEastAsia" w:eastAsiaTheme="majorEastAsia"/>
          <w:sz w:val="24"/>
          <w:szCs w:val="24"/>
          <w:lang w:eastAsia="zh-CN"/>
        </w:rPr>
        <w:t>2.</w:t>
      </w:r>
      <w:r>
        <w:rPr>
          <w:rFonts w:hint="eastAsia"/>
          <w:sz w:val="24"/>
          <w:szCs w:val="24"/>
          <w:lang w:eastAsia="zh-CN"/>
        </w:rPr>
        <w:t>检测机构实验室具有CNAS和CMA资质；</w:t>
      </w:r>
    </w:p>
    <w:p>
      <w:pPr>
        <w:spacing w:line="360" w:lineRule="auto"/>
        <w:ind w:left="758" w:leftChars="218" w:hanging="278" w:hangingChars="116"/>
        <w:jc w:val="both"/>
        <w:rPr>
          <w:sz w:val="24"/>
          <w:szCs w:val="24"/>
          <w:lang w:eastAsia="zh-CN"/>
        </w:rPr>
      </w:pPr>
      <w:r>
        <w:rPr>
          <w:rFonts w:hint="eastAsia"/>
          <w:sz w:val="24"/>
          <w:szCs w:val="24"/>
          <w:lang w:eastAsia="zh-CN"/>
        </w:rPr>
        <w:t>3.具备出具按《国际散装运输危险化学品船舶构造和设备规则》（IBC规则）分类报告的能力。</w:t>
      </w:r>
    </w:p>
    <w:p>
      <w:pPr>
        <w:spacing w:line="360" w:lineRule="auto"/>
        <w:ind w:left="758" w:leftChars="218" w:hanging="278" w:hangingChars="116"/>
        <w:jc w:val="both"/>
        <w:rPr>
          <w:rFonts w:asciiTheme="majorEastAsia" w:hAnsiTheme="majorEastAsia" w:eastAsiaTheme="majorEastAsia"/>
          <w:sz w:val="24"/>
          <w:szCs w:val="24"/>
          <w:lang w:eastAsia="zh-CN"/>
        </w:rPr>
      </w:pPr>
      <w:r>
        <w:rPr>
          <w:rFonts w:hint="eastAsia"/>
          <w:sz w:val="24"/>
          <w:szCs w:val="24"/>
          <w:lang w:eastAsia="zh-CN"/>
        </w:rPr>
        <w:t>4</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6.本项目不接受联合体投标</w:t>
      </w:r>
      <w:r>
        <w:rPr>
          <w:rFonts w:hint="eastAsia"/>
          <w:sz w:val="24"/>
          <w:szCs w:val="24"/>
          <w:lang w:eastAsia="zh-CN"/>
        </w:rPr>
        <w:t>。</w:t>
      </w:r>
    </w:p>
    <w:p>
      <w:pPr>
        <w:pStyle w:val="3"/>
        <w:spacing w:line="360" w:lineRule="auto"/>
        <w:ind w:left="0" w:firstLine="401" w:firstLineChars="150"/>
        <w:rPr>
          <w:b w:val="0"/>
          <w:sz w:val="24"/>
          <w:szCs w:val="24"/>
          <w:lang w:eastAsia="zh-CN"/>
        </w:rPr>
      </w:pPr>
      <w:r>
        <w:rPr>
          <w:w w:val="95"/>
          <w:lang w:eastAsia="zh-CN"/>
        </w:rPr>
        <w:t>七、参选保证金</w:t>
      </w:r>
      <w:r>
        <w:rPr>
          <w:rFonts w:hint="eastAsia"/>
          <w:w w:val="95"/>
          <w:lang w:eastAsia="zh-CN"/>
        </w:rPr>
        <w:t>：无</w:t>
      </w:r>
    </w:p>
    <w:p>
      <w:pPr>
        <w:pStyle w:val="3"/>
        <w:spacing w:line="360" w:lineRule="auto"/>
        <w:ind w:left="400"/>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2022年09月    日17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spacing w:val="-56"/>
          <w:lang w:eastAsia="zh-CN"/>
        </w:rPr>
        <w:t>黄梅钦</w:t>
      </w:r>
      <w:r>
        <w:rPr>
          <w:rFonts w:hint="eastAsia"/>
          <w:lang w:eastAsia="zh-CN"/>
        </w:rPr>
        <w:t xml:space="preserve">   </w:t>
      </w:r>
      <w:r>
        <w:rPr>
          <w:lang w:eastAsia="zh-CN"/>
        </w:rPr>
        <w:t>联系电话</w:t>
      </w:r>
      <w:r>
        <w:rPr>
          <w:spacing w:val="-4"/>
          <w:lang w:eastAsia="zh-CN"/>
        </w:rPr>
        <w:t>：</w:t>
      </w:r>
      <w:r>
        <w:rPr>
          <w:rFonts w:hint="eastAsia"/>
          <w:spacing w:val="-4"/>
          <w:lang w:eastAsia="zh-CN"/>
        </w:rPr>
        <w:t xml:space="preserve">0596-6311073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6500</w:t>
      </w:r>
      <w:r>
        <w:rPr>
          <w:rFonts w:hint="eastAsia"/>
          <w:b/>
          <w:bCs/>
          <w:sz w:val="24"/>
          <w:szCs w:val="24"/>
          <w:lang w:eastAsia="zh-CN"/>
        </w:rPr>
        <w:t>元（含税）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177186249"/>
      <w:bookmarkStart w:id="2" w:name="_Toc430492133"/>
      <w:bookmarkStart w:id="3" w:name="_Toc430422420"/>
      <w:bookmarkStart w:id="4" w:name="_Toc430490619"/>
      <w:bookmarkStart w:id="5" w:name="_Toc304357904"/>
      <w:bookmarkStart w:id="6" w:name="_Toc430488858"/>
      <w:bookmarkStart w:id="7" w:name="_Toc430488651"/>
      <w:bookmarkStart w:id="8" w:name="_Toc415567504"/>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4"/>
        <w:spacing w:line="360" w:lineRule="auto"/>
        <w:ind w:right="121" w:firstLine="480" w:firstLineChars="200"/>
        <w:rPr>
          <w:lang w:eastAsia="zh-CN"/>
        </w:rPr>
      </w:pPr>
      <w:r>
        <w:rPr>
          <w:rFonts w:hint="eastAsia"/>
          <w:lang w:eastAsia="zh-CN"/>
        </w:rPr>
        <w:t>本项目设置最高控制价人民币</w:t>
      </w:r>
      <w:r>
        <w:rPr>
          <w:rFonts w:hint="eastAsia"/>
          <w:b/>
          <w:bCs/>
          <w:lang w:eastAsia="zh-CN"/>
        </w:rPr>
        <w:t>6500</w:t>
      </w:r>
      <w:r>
        <w:rPr>
          <w:rFonts w:hint="eastAsia"/>
          <w:b/>
          <w:lang w:eastAsia="zh-CN"/>
        </w:rPr>
        <w:t>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pStyle w:val="14"/>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进行商务报价的评选，商务报价未税最低者中选。</w:t>
      </w:r>
    </w:p>
    <w:p>
      <w:pPr>
        <w:pStyle w:val="14"/>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14"/>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4"/>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9.9.福建福海创石油化工有限公司的权属子公司“腾龙芳烃（漳州）有限公司”作为合同执行主体，</w:t>
      </w:r>
      <w:r>
        <w:rPr>
          <w:rStyle w:val="29"/>
          <w:rFonts w:hint="eastAsia"/>
          <w:b w:val="0"/>
          <w:bCs w:val="0"/>
          <w:sz w:val="24"/>
          <w:szCs w:val="24"/>
        </w:rPr>
        <w:t>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left="238"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32" w:hanging="225" w:hangingChars="99"/>
        <w:rPr>
          <w:spacing w:val="-6"/>
          <w:sz w:val="24"/>
          <w:szCs w:val="24"/>
          <w:lang w:eastAsia="zh-CN"/>
        </w:rPr>
      </w:pPr>
      <w:r>
        <w:rPr>
          <w:spacing w:val="-6"/>
          <w:sz w:val="24"/>
          <w:szCs w:val="24"/>
          <w:lang w:eastAsia="zh-CN"/>
        </w:rPr>
        <w:t>2.中选单位必须严格执行</w:t>
      </w:r>
      <w:r>
        <w:rPr>
          <w:rFonts w:hint="eastAsia"/>
          <w:spacing w:val="-6"/>
          <w:sz w:val="24"/>
          <w:szCs w:val="24"/>
          <w:lang w:eastAsia="zh-CN"/>
        </w:rPr>
        <w:t xml:space="preserve">福建福海创石油化工有限公司热电资产重组项目分析 </w:t>
      </w:r>
      <w:r>
        <w:rPr>
          <w:spacing w:val="-6"/>
          <w:sz w:val="24"/>
          <w:szCs w:val="24"/>
          <w:lang w:eastAsia="zh-CN"/>
        </w:rPr>
        <w:t>合同（详见附件一）、《承诺函》（详见附件二）的规定。</w:t>
      </w:r>
    </w:p>
    <w:p>
      <w:pPr>
        <w:pStyle w:val="14"/>
        <w:spacing w:before="26" w:line="360" w:lineRule="auto"/>
        <w:ind w:left="238"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r>
        <w:rPr>
          <w:rFonts w:hint="eastAsia"/>
          <w:lang w:eastAsia="zh-CN"/>
        </w:rPr>
        <w:t>第</w:t>
      </w:r>
      <w:r>
        <w:rPr>
          <w:lang w:eastAsia="zh-CN"/>
        </w:rPr>
        <w:t>七章</w:t>
      </w:r>
      <w:r>
        <w:rPr>
          <w:lang w:eastAsia="zh-CN"/>
        </w:rPr>
        <w:tab/>
      </w:r>
      <w:r>
        <w:rPr>
          <w:spacing w:val="-1"/>
          <w:w w:val="95"/>
          <w:lang w:eastAsia="zh-CN"/>
        </w:rPr>
        <w:t>其</w:t>
      </w:r>
      <w:r>
        <w:rPr>
          <w:w w:val="95"/>
          <w:lang w:eastAsia="zh-CN"/>
        </w:rPr>
        <w:t>它</w:t>
      </w:r>
    </w:p>
    <w:p>
      <w:pPr>
        <w:pStyle w:val="14"/>
        <w:spacing w:line="360" w:lineRule="auto"/>
        <w:ind w:left="567"/>
        <w:rPr>
          <w:lang w:eastAsia="zh-CN"/>
        </w:rPr>
      </w:pPr>
    </w:p>
    <w:p>
      <w:pPr>
        <w:pStyle w:val="14"/>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14"/>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Theme="majorEastAsia" w:hAnsiTheme="majorEastAsia" w:eastAsiaTheme="majorEastAsia"/>
          <w:b/>
          <w:sz w:val="36"/>
          <w:szCs w:val="36"/>
          <w:lang w:eastAsia="zh-CN"/>
        </w:rPr>
      </w:pPr>
    </w:p>
    <w:p>
      <w:pPr>
        <w:spacing w:line="360" w:lineRule="auto"/>
        <w:jc w:val="center"/>
        <w:rPr>
          <w:b/>
          <w:sz w:val="36"/>
          <w:szCs w:val="36"/>
          <w:lang w:eastAsia="zh-CN"/>
        </w:rPr>
      </w:pPr>
    </w:p>
    <w:p>
      <w:pPr>
        <w:spacing w:line="360" w:lineRule="auto"/>
        <w:jc w:val="center"/>
        <w:rPr>
          <w:b/>
          <w:sz w:val="36"/>
          <w:szCs w:val="36"/>
          <w:lang w:eastAsia="zh-CN"/>
        </w:rPr>
      </w:pPr>
      <w:r>
        <w:rPr>
          <w:rFonts w:hint="eastAsia"/>
          <w:b/>
          <w:sz w:val="36"/>
          <w:szCs w:val="36"/>
          <w:lang w:eastAsia="zh-CN"/>
        </w:rPr>
        <w:t>腾龙芳烃（漳州）有限公司</w:t>
      </w:r>
    </w:p>
    <w:p>
      <w:pPr>
        <w:pStyle w:val="2"/>
      </w:pPr>
    </w:p>
    <w:p>
      <w:pPr>
        <w:spacing w:line="360" w:lineRule="auto"/>
        <w:jc w:val="center"/>
        <w:rPr>
          <w:b/>
          <w:sz w:val="36"/>
          <w:szCs w:val="36"/>
          <w:lang w:eastAsia="zh-CN"/>
        </w:rPr>
      </w:pPr>
      <w:r>
        <w:rPr>
          <w:rFonts w:hint="eastAsia"/>
          <w:b/>
          <w:sz w:val="36"/>
          <w:szCs w:val="36"/>
          <w:lang w:eastAsia="zh-CN"/>
        </w:rPr>
        <w:t>工业用碳十粗芳烃的组分分析服务合同</w:t>
      </w:r>
    </w:p>
    <w:p>
      <w:pPr>
        <w:spacing w:line="800" w:lineRule="exact"/>
        <w:ind w:firstLine="3640" w:firstLineChars="1300"/>
        <w:jc w:val="both"/>
        <w:rPr>
          <w:sz w:val="28"/>
          <w:szCs w:val="28"/>
          <w:lang w:eastAsia="zh-CN"/>
        </w:rPr>
      </w:pPr>
      <w:r>
        <w:rPr>
          <w:rFonts w:hint="eastAsia"/>
          <w:sz w:val="28"/>
          <w:szCs w:val="28"/>
          <w:lang w:eastAsia="zh-CN"/>
        </w:rPr>
        <w:t>合同编号：</w:t>
      </w:r>
    </w:p>
    <w:p>
      <w:pPr>
        <w:rPr>
          <w:sz w:val="48"/>
          <w:szCs w:val="48"/>
          <w:lang w:eastAsia="zh-CN"/>
        </w:rPr>
      </w:pPr>
    </w:p>
    <w:p>
      <w:pPr>
        <w:pStyle w:val="2"/>
      </w:pPr>
    </w:p>
    <w:p>
      <w:pPr>
        <w:pStyle w:val="2"/>
      </w:pPr>
    </w:p>
    <w:p>
      <w:pPr>
        <w:pStyle w:val="2"/>
      </w:pPr>
    </w:p>
    <w:p>
      <w:pPr>
        <w:spacing w:line="520" w:lineRule="exact"/>
        <w:ind w:firstLine="280" w:firstLineChars="10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腾龙芳烃（漳州）有限公司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方婉玲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19959614670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wlfang@fhcpec.com.cn</w:t>
      </w:r>
    </w:p>
    <w:p>
      <w:pPr>
        <w:pStyle w:val="2"/>
        <w:rPr>
          <w:sz w:val="28"/>
          <w:szCs w:val="28"/>
          <w:u w:val="single"/>
        </w:rPr>
      </w:pPr>
    </w:p>
    <w:p>
      <w:pPr>
        <w:spacing w:line="520" w:lineRule="exact"/>
        <w:ind w:firstLine="280" w:firstLineChars="100"/>
        <w:rPr>
          <w:sz w:val="28"/>
          <w:szCs w:val="28"/>
          <w:lang w:eastAsia="zh-CN"/>
        </w:rPr>
      </w:pPr>
    </w:p>
    <w:p>
      <w:pPr>
        <w:spacing w:line="52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360" w:lineRule="auto"/>
        <w:ind w:firstLine="480" w:firstLineChars="200"/>
        <w:rPr>
          <w:sz w:val="24"/>
          <w:lang w:eastAsia="zh-CN"/>
        </w:rPr>
      </w:pPr>
    </w:p>
    <w:p>
      <w:pPr>
        <w:snapToGrid w:val="0"/>
        <w:spacing w:line="360" w:lineRule="auto"/>
        <w:ind w:firstLine="480" w:firstLineChars="200"/>
        <w:rPr>
          <w:sz w:val="24"/>
          <w:u w:val="single"/>
          <w:lang w:eastAsia="zh-CN"/>
        </w:rPr>
      </w:pPr>
      <w:r>
        <w:rPr>
          <w:rFonts w:hint="eastAsia"/>
          <w:sz w:val="24"/>
          <w:lang w:eastAsia="zh-CN"/>
        </w:rPr>
        <w:t>本合同甲方委托乙方就</w:t>
      </w:r>
      <w:r>
        <w:rPr>
          <w:sz w:val="24"/>
          <w:szCs w:val="24"/>
          <w:u w:val="single"/>
          <w:lang w:eastAsia="zh-CN"/>
        </w:rPr>
        <w:t>工业用碳十粗芳烃</w:t>
      </w:r>
      <w:r>
        <w:rPr>
          <w:rFonts w:hint="eastAsia"/>
          <w:sz w:val="24"/>
          <w:szCs w:val="24"/>
          <w:u w:val="single"/>
          <w:lang w:eastAsia="zh-CN"/>
        </w:rPr>
        <w:t>的组分</w:t>
      </w:r>
      <w:r>
        <w:rPr>
          <w:rFonts w:hint="eastAsia" w:asciiTheme="minorEastAsia" w:hAnsiTheme="minorEastAsia" w:eastAsiaTheme="minorEastAsia"/>
          <w:color w:val="000000" w:themeColor="text1"/>
          <w:sz w:val="24"/>
          <w:szCs w:val="24"/>
          <w:u w:val="single"/>
          <w:lang w:eastAsia="zh-CN"/>
        </w:rPr>
        <w:t>分析</w:t>
      </w:r>
      <w:r>
        <w:rPr>
          <w:rFonts w:hint="eastAsia"/>
          <w:sz w:val="24"/>
          <w:lang w:eastAsia="zh-CN"/>
        </w:rPr>
        <w:t>项目进行有偿的专项技术服务，并支付相应的技术服务报酬。双方经过平等协商，在真实、充分地表达各自意愿的基础上，根据《中华人民共和国合同法》的规定，达成如下协议，并由双方共同恪守。</w:t>
      </w:r>
    </w:p>
    <w:p>
      <w:pPr>
        <w:numPr>
          <w:ilvl w:val="0"/>
          <w:numId w:val="4"/>
        </w:numPr>
        <w:tabs>
          <w:tab w:val="left" w:pos="0"/>
          <w:tab w:val="clear" w:pos="1215"/>
        </w:tabs>
        <w:autoSpaceDE/>
        <w:autoSpaceDN/>
        <w:spacing w:line="360" w:lineRule="auto"/>
        <w:ind w:hanging="1215"/>
        <w:jc w:val="both"/>
        <w:rPr>
          <w:sz w:val="24"/>
          <w:lang w:eastAsia="zh-CN"/>
        </w:rPr>
      </w:pPr>
      <w:r>
        <w:rPr>
          <w:rFonts w:hint="eastAsia"/>
          <w:sz w:val="24"/>
          <w:lang w:eastAsia="zh-CN"/>
        </w:rPr>
        <w:t>甲方委托乙方进行技术服务的内容如下：</w:t>
      </w:r>
    </w:p>
    <w:p>
      <w:pPr>
        <w:spacing w:line="360" w:lineRule="auto"/>
        <w:rPr>
          <w:sz w:val="24"/>
          <w:lang w:eastAsia="zh-CN"/>
        </w:rPr>
      </w:pPr>
      <w:r>
        <w:rPr>
          <w:rFonts w:hint="eastAsia"/>
          <w:sz w:val="24"/>
          <w:lang w:eastAsia="zh-CN"/>
        </w:rPr>
        <w:t>1、技术服务的目标及内容：</w:t>
      </w:r>
      <w:r>
        <w:rPr>
          <w:rFonts w:hint="eastAsia"/>
          <w:sz w:val="24"/>
          <w:szCs w:val="24"/>
          <w:lang w:eastAsia="zh-CN"/>
        </w:rPr>
        <w:t>甲方正在办理工业用碳十粗芳烃船舶载运散装液体货物分类评估事宜，现需要委托乙方分析工业用碳十粗芳烃的组分，并出具组分报告和按《国际散装运输危险化学品船舶构造和设备规则》（IBC规则）分类的报告。</w:t>
      </w:r>
      <w:r>
        <w:rPr>
          <w:rFonts w:hint="eastAsia"/>
          <w:sz w:val="24"/>
          <w:szCs w:val="24"/>
          <w:lang w:eastAsia="zh-CN"/>
        </w:rPr>
        <w:br w:type="textWrapping"/>
      </w:r>
      <w:r>
        <w:rPr>
          <w:rFonts w:hint="eastAsia"/>
          <w:sz w:val="24"/>
          <w:lang w:eastAsia="zh-CN"/>
        </w:rPr>
        <w:t>2、技术服务的方式：</w:t>
      </w:r>
      <w:r>
        <w:rPr>
          <w:rFonts w:hint="eastAsia"/>
          <w:sz w:val="24"/>
          <w:u w:val="single"/>
          <w:lang w:eastAsia="zh-CN"/>
        </w:rPr>
        <w:t xml:space="preserve"> 技术服务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asciiTheme="minorEastAsia" w:hAnsiTheme="minorEastAsia" w:eastAsiaTheme="minorEastAsia"/>
          <w:color w:val="000000" w:themeColor="text1"/>
          <w:sz w:val="24"/>
          <w:szCs w:val="24"/>
          <w:u w:val="single"/>
          <w:lang w:eastAsia="zh-CN"/>
        </w:rPr>
        <w:t>腾龙芳烃(漳州）有限公司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2、技术服务期限：</w:t>
      </w:r>
      <w:r>
        <w:rPr>
          <w:rFonts w:hint="eastAsia"/>
          <w:sz w:val="24"/>
          <w:u w:val="single"/>
          <w:lang w:eastAsia="zh-CN"/>
        </w:rPr>
        <w:t xml:space="preserve"> 要求2022年10月10日前完成</w:t>
      </w:r>
      <w:r>
        <w:rPr>
          <w:rFonts w:hint="eastAsia" w:asciiTheme="minorEastAsia" w:hAnsiTheme="minorEastAsia" w:eastAsiaTheme="minorEastAsia"/>
          <w:color w:val="000000" w:themeColor="text1"/>
          <w:sz w:val="24"/>
          <w:szCs w:val="24"/>
          <w:u w:val="single"/>
          <w:lang w:eastAsia="zh-CN"/>
        </w:rPr>
        <w:t>。</w:t>
      </w:r>
    </w:p>
    <w:p>
      <w:pPr>
        <w:spacing w:line="360" w:lineRule="auto"/>
        <w:ind w:left="240" w:hanging="240" w:hangingChars="100"/>
        <w:rPr>
          <w:sz w:val="24"/>
          <w:szCs w:val="24"/>
          <w:lang w:eastAsia="zh-CN"/>
        </w:rPr>
      </w:pPr>
      <w:r>
        <w:rPr>
          <w:rFonts w:hint="eastAsia"/>
          <w:sz w:val="24"/>
          <w:lang w:eastAsia="zh-CN"/>
        </w:rPr>
        <w:t>3、技术服务质量要求：</w:t>
      </w:r>
      <w:r>
        <w:rPr>
          <w:rFonts w:hint="eastAsia"/>
          <w:sz w:val="24"/>
          <w:szCs w:val="24"/>
          <w:u w:val="single"/>
          <w:lang w:eastAsia="zh-CN"/>
        </w:rPr>
        <w:t>检测机构实验室具有CNAS和CMA资质；且具备</w:t>
      </w:r>
      <w:r>
        <w:rPr>
          <w:rFonts w:hint="eastAsia"/>
          <w:sz w:val="24"/>
          <w:u w:val="single"/>
          <w:lang w:eastAsia="zh-CN"/>
        </w:rPr>
        <w:t>出具</w:t>
      </w:r>
      <w:r>
        <w:rPr>
          <w:rFonts w:hint="eastAsia"/>
          <w:sz w:val="24"/>
          <w:szCs w:val="24"/>
          <w:u w:val="single"/>
          <w:lang w:eastAsia="zh-CN"/>
        </w:rPr>
        <w:t>按《国际散装运输危险化学品船舶构造和设备规则》（IBC规则）分类报告。</w:t>
      </w:r>
    </w:p>
    <w:p>
      <w:pPr>
        <w:spacing w:line="360"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1</w:t>
      </w:r>
      <w:r>
        <w:rPr>
          <w:rFonts w:hint="eastAsia" w:asciiTheme="minorEastAsia" w:hAnsiTheme="minorEastAsia" w:eastAsiaTheme="minorEastAsia"/>
          <w:color w:val="000000" w:themeColor="text1"/>
          <w:sz w:val="24"/>
          <w:szCs w:val="24"/>
          <w:lang w:eastAsia="zh-CN"/>
        </w:rPr>
        <w:t>、该项目内容应符合其他相关法律法规和标准规范。</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eastAsia="zh-CN"/>
        </w:rPr>
        <w:t>、发包费用包含咨询、分析、及报告编制等一切相关费用。</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rPr>
          <w:sz w:val="24"/>
          <w:lang w:eastAsia="zh-CN"/>
        </w:rPr>
      </w:pPr>
      <w:r>
        <w:rPr>
          <w:rFonts w:hint="eastAsia"/>
          <w:sz w:val="24"/>
          <w:lang w:eastAsia="zh-CN"/>
        </w:rPr>
        <w:t>1、技术服务费总额为：</w:t>
      </w:r>
      <w:r>
        <w:rPr>
          <w:rFonts w:hint="eastAsia"/>
          <w:sz w:val="24"/>
          <w:u w:val="single"/>
          <w:lang w:eastAsia="zh-CN"/>
        </w:rPr>
        <w:t>人民币                （即大写：              ）</w:t>
      </w:r>
      <w:r>
        <w:rPr>
          <w:rFonts w:hint="eastAsia"/>
          <w:sz w:val="24"/>
          <w:lang w:eastAsia="zh-CN"/>
        </w:rPr>
        <w:t>；</w:t>
      </w:r>
    </w:p>
    <w:p>
      <w:pPr>
        <w:spacing w:line="360" w:lineRule="auto"/>
        <w:rPr>
          <w:b/>
          <w:bCs/>
          <w:sz w:val="24"/>
          <w:u w:val="single"/>
          <w:lang w:eastAsia="zh-CN"/>
        </w:rPr>
      </w:pPr>
      <w:r>
        <w:rPr>
          <w:rFonts w:hint="eastAsia"/>
          <w:sz w:val="24"/>
          <w:lang w:eastAsia="zh-CN"/>
        </w:rPr>
        <w:t>2、技术服务费</w:t>
      </w:r>
      <w:r>
        <w:rPr>
          <w:rFonts w:hint="eastAsia"/>
          <w:b/>
          <w:bCs/>
          <w:sz w:val="24"/>
          <w:u w:val="single"/>
          <w:lang w:eastAsia="zh-CN"/>
        </w:rPr>
        <w:t>由甲方一次性支付给乙方。</w:t>
      </w:r>
    </w:p>
    <w:p>
      <w:pPr>
        <w:spacing w:line="360" w:lineRule="auto"/>
        <w:ind w:left="360" w:hanging="360" w:hangingChars="150"/>
        <w:rPr>
          <w:b/>
          <w:bCs/>
          <w:sz w:val="24"/>
          <w:lang w:eastAsia="zh-CN"/>
        </w:rPr>
      </w:pPr>
      <w:r>
        <w:rPr>
          <w:rFonts w:hint="eastAsia"/>
          <w:sz w:val="24"/>
          <w:lang w:eastAsia="zh-CN"/>
        </w:rPr>
        <w:t>3、付款方式：乙方按合同约定完成相应工作，提交热电重组分析报告，并经过甲方审核通过后，甲方收到全额</w:t>
      </w:r>
      <w:r>
        <w:rPr>
          <w:rFonts w:hint="eastAsia"/>
          <w:sz w:val="24"/>
          <w:u w:val="single"/>
          <w:lang w:eastAsia="zh-CN"/>
        </w:rPr>
        <w:t xml:space="preserve">    %</w:t>
      </w:r>
      <w:r>
        <w:rPr>
          <w:rFonts w:hint="eastAsia"/>
          <w:sz w:val="24"/>
          <w:lang w:eastAsia="zh-CN"/>
        </w:rPr>
        <w:t>增值税专用发票原件后60日内付清合同约定总费用100%。乙方开具增值税专用发票之前应与甲方确认好相应开票金额及方案后方可开具。</w:t>
      </w: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ind w:left="338" w:hanging="338" w:hangingChars="141"/>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szCs w:val="24"/>
          <w:u w:val="single"/>
          <w:lang w:eastAsia="zh-CN"/>
        </w:rPr>
        <w:t>分析工业用碳十粗芳烃的组分，并出具组分报告和按《国际散装运输危险化学品船舶构造和设备规则》（IBC规则）分类的报告。</w:t>
      </w:r>
      <w:r>
        <w:rPr>
          <w:rFonts w:hint="eastAsia"/>
          <w:sz w:val="24"/>
          <w:u w:val="single"/>
          <w:lang w:eastAsia="zh-CN"/>
        </w:rPr>
        <w:t xml:space="preserve"> </w:t>
      </w:r>
    </w:p>
    <w:p>
      <w:pPr>
        <w:spacing w:line="360" w:lineRule="auto"/>
        <w:ind w:left="338" w:hanging="338" w:hangingChars="141"/>
        <w:rPr>
          <w:sz w:val="24"/>
          <w:u w:val="single"/>
          <w:lang w:eastAsia="zh-CN"/>
        </w:rPr>
      </w:pPr>
      <w:r>
        <w:rPr>
          <w:rFonts w:hint="eastAsia"/>
          <w:sz w:val="24"/>
          <w:lang w:eastAsia="zh-CN"/>
        </w:rPr>
        <w:t>2、技术服务工作成果的验收标准</w:t>
      </w:r>
      <w:r>
        <w:rPr>
          <w:rFonts w:hint="eastAsia"/>
          <w:sz w:val="24"/>
          <w:u w:val="single"/>
          <w:lang w:eastAsia="zh-CN"/>
        </w:rPr>
        <w:t>按国标</w:t>
      </w:r>
      <w:r>
        <w:rPr>
          <w:rFonts w:hint="eastAsia"/>
          <w:sz w:val="24"/>
          <w:szCs w:val="24"/>
          <w:u w:val="single"/>
          <w:lang w:eastAsia="zh-CN"/>
        </w:rPr>
        <w:t>并出具组分报告和按《国际散装运输危险化学品船舶构造和设备规则》（IBC规则）分类的报告。</w:t>
      </w:r>
    </w:p>
    <w:p>
      <w:pPr>
        <w:spacing w:line="360" w:lineRule="auto"/>
        <w:ind w:left="338" w:hanging="338" w:hangingChars="141"/>
        <w:rPr>
          <w:sz w:val="24"/>
          <w:lang w:eastAsia="zh-CN"/>
        </w:rPr>
      </w:pPr>
      <w:r>
        <w:rPr>
          <w:rFonts w:hint="eastAsia"/>
          <w:sz w:val="24"/>
          <w:lang w:eastAsia="zh-CN"/>
        </w:rPr>
        <w:t>3、技术服务工作成果的验收方法：按国标或行业标准并符合技术说明要求规定达到甲方需求目的。</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甲</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3.甲方延迟付款，按按照全国银行间同业拆借中心公布的</w:t>
      </w:r>
      <w:r>
        <w:rPr>
          <w:sz w:val="24"/>
          <w:lang w:eastAsia="zh-CN"/>
        </w:rPr>
        <w:t>1年期贷款市场报价利率支付利息</w:t>
      </w:r>
      <w:r>
        <w:rPr>
          <w:rFonts w:hint="eastAsia"/>
          <w:sz w:val="24"/>
          <w:lang w:eastAsia="zh-CN"/>
        </w:rPr>
        <w:t>。</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szCs w:val="24"/>
          <w:u w:val="single"/>
          <w:lang w:eastAsia="zh-CN"/>
        </w:rPr>
        <w:t xml:space="preserve">方婉玲19959614670 </w:t>
      </w:r>
      <w:r>
        <w:rPr>
          <w:rFonts w:hint="eastAsia"/>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本合同一式肆份，甲方持叁份，乙方持壹份，具有同等法律效力。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bookmarkStart w:id="9" w:name="OLE_LINK3"/>
      <w:r>
        <w:rPr>
          <w:rFonts w:hint="eastAsia"/>
          <w:color w:val="000000"/>
          <w:sz w:val="24"/>
          <w:lang w:eastAsia="zh-CN"/>
        </w:rPr>
        <w:t>1</w:t>
      </w:r>
      <w:bookmarkEnd w:id="9"/>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rFonts w:cs="Arial"/>
          <w:b/>
          <w:sz w:val="24"/>
          <w:lang w:eastAsia="zh-CN"/>
        </w:rPr>
      </w:pPr>
      <w:r>
        <w:rPr>
          <w:rFonts w:hint="eastAsia"/>
          <w:sz w:val="24"/>
          <w:lang w:eastAsia="zh-CN"/>
        </w:rPr>
        <w:t xml:space="preserve">  </w:t>
      </w: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腾龙芳烃（漳州）有限公司           乙方：</w:t>
      </w:r>
      <w:r>
        <w:rPr>
          <w:rFonts w:cs="Arial"/>
          <w:b/>
          <w:sz w:val="24"/>
          <w:lang w:eastAsia="zh-CN"/>
        </w:rPr>
        <w:t xml:space="preserve"> </w:t>
      </w:r>
    </w:p>
    <w:p>
      <w:pPr>
        <w:spacing w:line="360" w:lineRule="auto"/>
        <w:ind w:left="832" w:right="-147" w:rightChars="-67" w:hanging="831" w:hangingChars="378"/>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 </w:t>
      </w:r>
      <w:r>
        <w:rPr>
          <w:rFonts w:hint="eastAsia" w:hAnsi="Courier New" w:cs="Courier New"/>
          <w:szCs w:val="21"/>
          <w:lang w:eastAsia="zh-CN"/>
        </w:rPr>
        <w:t xml:space="preserve">                                    </w:t>
      </w:r>
    </w:p>
    <w:p>
      <w:pPr>
        <w:spacing w:line="360" w:lineRule="auto"/>
        <w:ind w:left="1038" w:right="-147" w:rightChars="-67" w:hanging="1038" w:hangingChars="472"/>
        <w:rPr>
          <w:lang w:eastAsia="zh-CN"/>
        </w:rPr>
      </w:pPr>
      <w:r>
        <w:rPr>
          <w:rFonts w:hint="eastAsia"/>
          <w:szCs w:val="21"/>
          <w:lang w:eastAsia="zh-CN"/>
        </w:rPr>
        <w:t>开户行：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电</w:t>
      </w:r>
      <w:r>
        <w:rPr>
          <w:szCs w:val="21"/>
          <w:lang w:eastAsia="zh-CN"/>
        </w:rPr>
        <w:t xml:space="preserve">  </w:t>
      </w:r>
      <w:r>
        <w:rPr>
          <w:rFonts w:hint="eastAsia"/>
          <w:szCs w:val="21"/>
          <w:lang w:eastAsia="zh-CN"/>
        </w:rPr>
        <w:t>话：</w:t>
      </w:r>
    </w:p>
    <w:p>
      <w:pPr>
        <w:pStyle w:val="2"/>
        <w:rPr>
          <w:b/>
          <w:bCs/>
          <w:sz w:val="24"/>
          <w:szCs w:val="24"/>
        </w:rPr>
      </w:pPr>
      <w:bookmarkStart w:id="10" w:name="_Toc251742852"/>
    </w:p>
    <w:p>
      <w:pPr>
        <w:pStyle w:val="2"/>
        <w:rPr>
          <w:b/>
          <w:bCs/>
          <w:sz w:val="24"/>
          <w:szCs w:val="24"/>
        </w:rPr>
      </w:pPr>
    </w:p>
    <w:p>
      <w:pPr>
        <w:pStyle w:val="2"/>
        <w:rPr>
          <w:b/>
          <w:bCs/>
          <w:sz w:val="24"/>
          <w:szCs w:val="24"/>
        </w:rPr>
      </w:pPr>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工业用碳十粗芳烃的组分分析</w:t>
      </w:r>
      <w:r>
        <w:rPr>
          <w:rFonts w:hint="eastAsia" w:ascii="微软雅黑" w:eastAsia="微软雅黑"/>
          <w:b/>
          <w:sz w:val="36"/>
          <w:szCs w:val="36"/>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5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5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5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bookmarkEnd w:id="10"/>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960" w:firstLineChars="16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r>
        <w:rPr>
          <w:rFonts w:hint="eastAsia"/>
        </w:rPr>
        <w:t xml:space="preserve"> </w:t>
      </w: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color w:val="000000" w:themeColor="text1"/>
          <w:sz w:val="28"/>
          <w:szCs w:val="28"/>
          <w:u w:val="single"/>
          <w:lang w:eastAsia="zh-CN"/>
        </w:rPr>
        <w:t>工业用碳十粗芳烃的组分分析</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2022年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5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我公司对贵司</w:t>
      </w:r>
      <w:r>
        <w:rPr>
          <w:rFonts w:hint="eastAsia"/>
          <w:b/>
          <w:bCs/>
          <w:sz w:val="24"/>
          <w:u w:val="single"/>
          <w:lang w:eastAsia="zh-CN"/>
        </w:rPr>
        <w:t>工业用碳十粗芳烃的组分分析</w:t>
      </w:r>
      <w:r>
        <w:rPr>
          <w:rFonts w:hint="eastAsia" w:asciiTheme="majorEastAsia" w:hAnsiTheme="majorEastAsia" w:eastAsiaTheme="major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p>
    <w:p>
      <w:pPr>
        <w:spacing w:line="500" w:lineRule="exact"/>
        <w:jc w:val="both"/>
        <w:rPr>
          <w:sz w:val="24"/>
          <w:szCs w:val="24"/>
          <w:lang w:eastAsia="zh-CN"/>
        </w:rPr>
      </w:pPr>
      <w:r>
        <w:rPr>
          <w:rFonts w:hint="eastAsia"/>
          <w:sz w:val="24"/>
          <w:szCs w:val="24"/>
          <w:lang w:eastAsia="zh-CN"/>
        </w:rPr>
        <w:t>附件6、</w:t>
      </w:r>
    </w:p>
    <w:p>
      <w:pPr>
        <w:pStyle w:val="5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5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5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sz w:val="24"/>
          <w:szCs w:val="24"/>
          <w:u w:val="single"/>
          <w:lang w:eastAsia="zh-CN"/>
        </w:rPr>
        <w:t>工业用碳十粗芳烃</w:t>
      </w:r>
      <w:r>
        <w:rPr>
          <w:rFonts w:hint="eastAsia"/>
          <w:sz w:val="24"/>
          <w:szCs w:val="24"/>
          <w:u w:val="single"/>
          <w:lang w:eastAsia="zh-CN"/>
        </w:rPr>
        <w:t xml:space="preserve">的组分分析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，发票类型：       </w:t>
      </w:r>
      <w:r>
        <w:rPr>
          <w:rFonts w:hint="eastAsia"/>
          <w:sz w:val="24"/>
          <w:szCs w:val="24"/>
          <w:lang w:eastAsia="zh-CN"/>
        </w:rPr>
        <w:t>；</w:t>
      </w:r>
    </w:p>
    <w:p>
      <w:pPr>
        <w:spacing w:line="360" w:lineRule="auto"/>
        <w:ind w:left="1680" w:hanging="1680" w:hangingChars="70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工作完成且提交报告后，经甲方验收合格且收到乙方合同全额增值税专用发票60日内一次性支付合同全款</w:t>
      </w:r>
      <w:r>
        <w:rPr>
          <w:rFonts w:hint="eastAsia"/>
          <w:b/>
          <w:bCs/>
          <w:sz w:val="24"/>
          <w:szCs w:val="24"/>
          <w:u w:val="single"/>
          <w:lang w:eastAsia="zh-CN"/>
        </w:rPr>
        <w:t xml:space="preserve"> </w:t>
      </w:r>
      <w:r>
        <w:rPr>
          <w:rFonts w:hint="eastAsia"/>
          <w:b/>
          <w:bCs/>
          <w:sz w:val="24"/>
          <w:szCs w:val="24"/>
          <w:lang w:eastAsia="zh-CN"/>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sectPr>
      <w:headerReference r:id="rId5" w:type="default"/>
      <w:footerReference r:id="rId6" w:type="default"/>
      <w:pgSz w:w="11910" w:h="16840"/>
      <w:pgMar w:top="1500" w:right="121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1">
    <w:nsid w:val="63227D6E"/>
    <w:multiLevelType w:val="singleLevel"/>
    <w:tmpl w:val="63227D6E"/>
    <w:lvl w:ilvl="0" w:tentative="0">
      <w:start w:val="1"/>
      <w:numFmt w:val="chineseCounting"/>
      <w:lvlText w:val="第%1章"/>
      <w:lvlJc w:val="left"/>
    </w:lvl>
  </w:abstractNum>
  <w:abstractNum w:abstractNumId="2">
    <w:nsid w:val="632280E3"/>
    <w:multiLevelType w:val="singleLevel"/>
    <w:tmpl w:val="632280E3"/>
    <w:lvl w:ilvl="0" w:tentative="0">
      <w:start w:val="4"/>
      <w:numFmt w:val="decimal"/>
      <w:suff w:val="nothing"/>
      <w:lvlText w:val="%1."/>
      <w:lvlJc w:val="left"/>
    </w:lvl>
  </w:abstractNum>
  <w:abstractNum w:abstractNumId="3">
    <w:nsid w:val="63228A70"/>
    <w:multiLevelType w:val="singleLevel"/>
    <w:tmpl w:val="63228A70"/>
    <w:lvl w:ilvl="0" w:tentative="0">
      <w:start w:val="6"/>
      <w:numFmt w:val="chineseCounting"/>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46CCE"/>
    <w:rsid w:val="00053167"/>
    <w:rsid w:val="000539A9"/>
    <w:rsid w:val="000566C1"/>
    <w:rsid w:val="000574D8"/>
    <w:rsid w:val="00057B80"/>
    <w:rsid w:val="00061920"/>
    <w:rsid w:val="00065211"/>
    <w:rsid w:val="0007163D"/>
    <w:rsid w:val="00074021"/>
    <w:rsid w:val="00077B9D"/>
    <w:rsid w:val="00082CB7"/>
    <w:rsid w:val="00083E6F"/>
    <w:rsid w:val="00092A16"/>
    <w:rsid w:val="00094444"/>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2E80"/>
    <w:rsid w:val="001030CD"/>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367315B"/>
    <w:rsid w:val="047C4414"/>
    <w:rsid w:val="04AE4958"/>
    <w:rsid w:val="061139E5"/>
    <w:rsid w:val="06F50B00"/>
    <w:rsid w:val="072B17F5"/>
    <w:rsid w:val="076E1278"/>
    <w:rsid w:val="08D1141D"/>
    <w:rsid w:val="0B296DE2"/>
    <w:rsid w:val="0B96754C"/>
    <w:rsid w:val="0C2922AC"/>
    <w:rsid w:val="0FAD7681"/>
    <w:rsid w:val="10294AA3"/>
    <w:rsid w:val="10E40CA0"/>
    <w:rsid w:val="136130D9"/>
    <w:rsid w:val="16AE5342"/>
    <w:rsid w:val="180F649F"/>
    <w:rsid w:val="18DD4F7E"/>
    <w:rsid w:val="195B58A2"/>
    <w:rsid w:val="19C96DB4"/>
    <w:rsid w:val="1D7F0BBC"/>
    <w:rsid w:val="1E085A14"/>
    <w:rsid w:val="1FF43DDB"/>
    <w:rsid w:val="213E7005"/>
    <w:rsid w:val="21933AA2"/>
    <w:rsid w:val="23C6604C"/>
    <w:rsid w:val="244D30D9"/>
    <w:rsid w:val="25BF356F"/>
    <w:rsid w:val="25DB0C2D"/>
    <w:rsid w:val="269469E7"/>
    <w:rsid w:val="269E2889"/>
    <w:rsid w:val="29FC3B14"/>
    <w:rsid w:val="2AE9294B"/>
    <w:rsid w:val="2B11792E"/>
    <w:rsid w:val="2D245839"/>
    <w:rsid w:val="31C54755"/>
    <w:rsid w:val="3216608C"/>
    <w:rsid w:val="333714CE"/>
    <w:rsid w:val="33D17E30"/>
    <w:rsid w:val="34CE14C6"/>
    <w:rsid w:val="34D84CEC"/>
    <w:rsid w:val="37AF5AB7"/>
    <w:rsid w:val="3B1C3371"/>
    <w:rsid w:val="3CAD6FC5"/>
    <w:rsid w:val="3CC23198"/>
    <w:rsid w:val="3DDF4815"/>
    <w:rsid w:val="3FE669E5"/>
    <w:rsid w:val="4E3B540D"/>
    <w:rsid w:val="4FFC0877"/>
    <w:rsid w:val="50F63E28"/>
    <w:rsid w:val="5188200C"/>
    <w:rsid w:val="5221007F"/>
    <w:rsid w:val="52926B5A"/>
    <w:rsid w:val="539217B5"/>
    <w:rsid w:val="54311F38"/>
    <w:rsid w:val="545C5E51"/>
    <w:rsid w:val="5486175B"/>
    <w:rsid w:val="57667D24"/>
    <w:rsid w:val="57CE5BC3"/>
    <w:rsid w:val="580A05EC"/>
    <w:rsid w:val="5AE1516A"/>
    <w:rsid w:val="5B5F0F7C"/>
    <w:rsid w:val="5B6A3A79"/>
    <w:rsid w:val="5C1A5F7B"/>
    <w:rsid w:val="5D9147FC"/>
    <w:rsid w:val="5DAF76E9"/>
    <w:rsid w:val="5FB16285"/>
    <w:rsid w:val="61F824E1"/>
    <w:rsid w:val="63A46689"/>
    <w:rsid w:val="645771F8"/>
    <w:rsid w:val="6A54112D"/>
    <w:rsid w:val="6AA035AE"/>
    <w:rsid w:val="6E0F2E14"/>
    <w:rsid w:val="6ED521FE"/>
    <w:rsid w:val="6F1E141D"/>
    <w:rsid w:val="6F5354F8"/>
    <w:rsid w:val="740A2BDE"/>
    <w:rsid w:val="751839E0"/>
    <w:rsid w:val="76274F93"/>
    <w:rsid w:val="77171B2F"/>
    <w:rsid w:val="774F6AAC"/>
    <w:rsid w:val="78D50BA7"/>
    <w:rsid w:val="798E325D"/>
    <w:rsid w:val="79C2137C"/>
    <w:rsid w:val="79EB3F2F"/>
    <w:rsid w:val="7B11789E"/>
    <w:rsid w:val="7C2217CE"/>
    <w:rsid w:val="7CD2740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9"/>
    <w:qFormat/>
    <w:uiPriority w:val="0"/>
    <w:pPr>
      <w:ind w:left="538"/>
      <w:outlineLvl w:val="0"/>
    </w:pPr>
    <w:rPr>
      <w:b/>
      <w:bCs/>
      <w:sz w:val="28"/>
      <w:szCs w:val="28"/>
    </w:rPr>
  </w:style>
  <w:style w:type="paragraph" w:styleId="4">
    <w:name w:val="heading 2"/>
    <w:basedOn w:val="1"/>
    <w:next w:val="1"/>
    <w:link w:val="40"/>
    <w:qFormat/>
    <w:uiPriority w:val="0"/>
    <w:pPr>
      <w:ind w:left="629"/>
      <w:outlineLvl w:val="1"/>
    </w:pPr>
    <w:rPr>
      <w:b/>
      <w:bCs/>
      <w:sz w:val="24"/>
      <w:szCs w:val="24"/>
    </w:rPr>
  </w:style>
  <w:style w:type="paragraph" w:styleId="5">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annotation subject"/>
    <w:basedOn w:val="8"/>
    <w:next w:val="8"/>
    <w:link w:val="64"/>
    <w:qFormat/>
    <w:uiPriority w:val="0"/>
    <w:pPr>
      <w:adjustRightInd w:val="0"/>
      <w:spacing w:line="360" w:lineRule="atLeast"/>
      <w:jc w:val="left"/>
      <w:textAlignment w:val="baseline"/>
    </w:pPr>
    <w:rPr>
      <w:b/>
      <w:bCs/>
      <w:kern w:val="0"/>
      <w:sz w:val="20"/>
    </w:rPr>
  </w:style>
  <w:style w:type="paragraph" w:styleId="8">
    <w:name w:val="annotation text"/>
    <w:basedOn w:val="1"/>
    <w:link w:val="59"/>
    <w:qFormat/>
    <w:uiPriority w:val="0"/>
    <w:pPr>
      <w:autoSpaceDE/>
      <w:autoSpaceDN/>
      <w:jc w:val="both"/>
    </w:pPr>
    <w:rPr>
      <w:rFonts w:ascii="Times New Roman" w:hAnsi="Times New Roman" w:cs="Times New Roman"/>
      <w:kern w:val="2"/>
      <w:sz w:val="21"/>
      <w:szCs w:val="20"/>
      <w:lang w:eastAsia="zh-CN"/>
    </w:rPr>
  </w:style>
  <w:style w:type="paragraph" w:styleId="9">
    <w:name w:val="toc 7"/>
    <w:basedOn w:val="1"/>
    <w:next w:val="1"/>
    <w:qFormat/>
    <w:uiPriority w:val="0"/>
    <w:pPr>
      <w:ind w:left="2520" w:leftChars="1200"/>
    </w:pPr>
  </w:style>
  <w:style w:type="paragraph" w:styleId="10">
    <w:name w:val="Normal Indent"/>
    <w:basedOn w:val="1"/>
    <w:next w:val="1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1">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Document Map"/>
    <w:basedOn w:val="1"/>
    <w:link w:val="67"/>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3">
    <w:name w:val="Closing"/>
    <w:basedOn w:val="1"/>
    <w:link w:val="6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3"/>
    <w:qFormat/>
    <w:uiPriority w:val="1"/>
    <w:rPr>
      <w:sz w:val="24"/>
      <w:szCs w:val="24"/>
    </w:rPr>
  </w:style>
  <w:style w:type="paragraph" w:styleId="15">
    <w:name w:val="Body Text Indent"/>
    <w:basedOn w:val="1"/>
    <w:link w:val="63"/>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4"/>
    <w:qFormat/>
    <w:uiPriority w:val="0"/>
    <w:rPr>
      <w:rFonts w:hAnsi="Courier New" w:cs="Courier New"/>
      <w:szCs w:val="21"/>
    </w:rPr>
  </w:style>
  <w:style w:type="paragraph" w:styleId="18">
    <w:name w:val="Date"/>
    <w:basedOn w:val="1"/>
    <w:next w:val="1"/>
    <w:link w:val="51"/>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61"/>
    <w:qFormat/>
    <w:uiPriority w:val="0"/>
    <w:pPr>
      <w:spacing w:after="120" w:line="480" w:lineRule="auto"/>
      <w:ind w:left="420" w:leftChars="200"/>
    </w:pPr>
  </w:style>
  <w:style w:type="paragraph" w:styleId="20">
    <w:name w:val="Balloon Text"/>
    <w:basedOn w:val="1"/>
    <w:link w:val="55"/>
    <w:qFormat/>
    <w:uiPriority w:val="0"/>
    <w:rPr>
      <w:sz w:val="18"/>
      <w:szCs w:val="18"/>
    </w:rPr>
  </w:style>
  <w:style w:type="paragraph" w:styleId="21">
    <w:name w:val="footer"/>
    <w:basedOn w:val="1"/>
    <w:link w:val="45"/>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5"/>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basedOn w:val="28"/>
    <w:qFormat/>
    <w:uiPriority w:val="99"/>
    <w:rPr>
      <w:color w:val="0000FF"/>
      <w:u w:val="none"/>
    </w:rPr>
  </w:style>
  <w:style w:type="character" w:styleId="35">
    <w:name w:val="HTML Code"/>
    <w:basedOn w:val="28"/>
    <w:qFormat/>
    <w:uiPriority w:val="0"/>
    <w:rPr>
      <w:rFonts w:ascii="Courier New" w:hAnsi="Courier New"/>
      <w:sz w:val="20"/>
    </w:rPr>
  </w:style>
  <w:style w:type="character" w:styleId="36">
    <w:name w:val="HTML Cite"/>
    <w:basedOn w:val="28"/>
    <w:qFormat/>
    <w:uiPriority w:val="0"/>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1 Char"/>
    <w:link w:val="3"/>
    <w:qFormat/>
    <w:uiPriority w:val="0"/>
    <w:rPr>
      <w:rFonts w:ascii="宋体" w:hAnsi="宋体" w:cs="宋体"/>
      <w:b/>
      <w:bCs/>
      <w:sz w:val="28"/>
      <w:szCs w:val="28"/>
      <w:lang w:eastAsia="en-US"/>
    </w:rPr>
  </w:style>
  <w:style w:type="character" w:customStyle="1" w:styleId="40">
    <w:name w:val="标题 2 Char"/>
    <w:basedOn w:val="28"/>
    <w:link w:val="4"/>
    <w:qFormat/>
    <w:uiPriority w:val="0"/>
    <w:rPr>
      <w:rFonts w:ascii="宋体" w:hAnsi="宋体" w:cs="宋体"/>
      <w:b/>
      <w:bCs/>
      <w:sz w:val="24"/>
      <w:szCs w:val="24"/>
      <w:lang w:eastAsia="en-US"/>
    </w:rPr>
  </w:style>
  <w:style w:type="character" w:customStyle="1" w:styleId="41">
    <w:name w:val="标题 3 Char"/>
    <w:basedOn w:val="28"/>
    <w:link w:val="5"/>
    <w:qFormat/>
    <w:uiPriority w:val="0"/>
    <w:rPr>
      <w:rFonts w:ascii="宋体" w:hAnsi="宋体" w:cs="宋体"/>
      <w:b/>
      <w:bCs/>
      <w:sz w:val="32"/>
      <w:szCs w:val="32"/>
      <w:lang w:eastAsia="en-US"/>
    </w:rPr>
  </w:style>
  <w:style w:type="character" w:customStyle="1" w:styleId="42">
    <w:name w:val="标题 4 Char"/>
    <w:basedOn w:val="28"/>
    <w:link w:val="6"/>
    <w:semiHidden/>
    <w:qFormat/>
    <w:uiPriority w:val="0"/>
    <w:rPr>
      <w:rFonts w:asciiTheme="majorHAnsi" w:hAnsiTheme="majorHAnsi" w:eastAsiaTheme="majorEastAsia" w:cstheme="majorBidi"/>
      <w:b/>
      <w:bCs/>
      <w:sz w:val="28"/>
      <w:szCs w:val="28"/>
      <w:lang w:eastAsia="en-US"/>
    </w:rPr>
  </w:style>
  <w:style w:type="character" w:customStyle="1" w:styleId="43">
    <w:name w:val="正文文本 Char"/>
    <w:basedOn w:val="28"/>
    <w:link w:val="14"/>
    <w:qFormat/>
    <w:uiPriority w:val="0"/>
    <w:rPr>
      <w:rFonts w:ascii="宋体" w:hAnsi="宋体" w:cs="宋体"/>
      <w:sz w:val="24"/>
      <w:szCs w:val="24"/>
      <w:lang w:eastAsia="en-US"/>
    </w:rPr>
  </w:style>
  <w:style w:type="character" w:customStyle="1" w:styleId="44">
    <w:name w:val="纯文本 Char"/>
    <w:link w:val="17"/>
    <w:qFormat/>
    <w:uiPriority w:val="0"/>
    <w:rPr>
      <w:rFonts w:ascii="宋体" w:hAnsi="Courier New" w:cs="Courier New"/>
      <w:sz w:val="22"/>
      <w:szCs w:val="21"/>
      <w:lang w:eastAsia="en-US"/>
    </w:rPr>
  </w:style>
  <w:style w:type="character" w:customStyle="1" w:styleId="45">
    <w:name w:val="页脚 Char"/>
    <w:basedOn w:val="28"/>
    <w:link w:val="21"/>
    <w:qFormat/>
    <w:uiPriority w:val="99"/>
    <w:rPr>
      <w:rFonts w:ascii="宋体" w:hAnsi="宋体" w:cs="宋体"/>
      <w:sz w:val="18"/>
      <w:szCs w:val="18"/>
      <w:lang w:eastAsia="en-US"/>
    </w:rPr>
  </w:style>
  <w:style w:type="character" w:customStyle="1" w:styleId="46">
    <w:name w:val="页眉 Char"/>
    <w:basedOn w:val="28"/>
    <w:link w:val="11"/>
    <w:qFormat/>
    <w:uiPriority w:val="0"/>
    <w:rPr>
      <w:rFonts w:ascii="宋体" w:hAnsi="宋体" w:cs="宋体"/>
      <w:sz w:val="18"/>
      <w:szCs w:val="22"/>
      <w:lang w:eastAsia="en-US"/>
    </w:rPr>
  </w:style>
  <w:style w:type="table" w:customStyle="1" w:styleId="47">
    <w:name w:val="Table Normal"/>
    <w:unhideWhenUsed/>
    <w:qFormat/>
    <w:uiPriority w:val="2"/>
    <w:tblPr>
      <w:tblLayout w:type="fixed"/>
      <w:tblCellMar>
        <w:top w:w="0" w:type="dxa"/>
        <w:left w:w="0" w:type="dxa"/>
        <w:bottom w:w="0" w:type="dxa"/>
        <w:right w:w="0" w:type="dxa"/>
      </w:tblCellMar>
    </w:tblPr>
  </w:style>
  <w:style w:type="paragraph" w:customStyle="1" w:styleId="48">
    <w:name w:val="列出段落1"/>
    <w:basedOn w:val="1"/>
    <w:qFormat/>
    <w:uiPriority w:val="34"/>
    <w:pPr>
      <w:spacing w:before="206"/>
      <w:ind w:left="959" w:hanging="361"/>
    </w:pPr>
  </w:style>
  <w:style w:type="paragraph" w:customStyle="1" w:styleId="49">
    <w:name w:val="Table Paragraph"/>
    <w:basedOn w:val="1"/>
    <w:qFormat/>
    <w:uiPriority w:val="1"/>
  </w:style>
  <w:style w:type="paragraph" w:customStyle="1" w:styleId="5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1">
    <w:name w:val="日期 Char"/>
    <w:basedOn w:val="28"/>
    <w:link w:val="18"/>
    <w:qFormat/>
    <w:uiPriority w:val="0"/>
    <w:rPr>
      <w:rFonts w:asciiTheme="minorHAnsi" w:hAnsiTheme="minorHAnsi" w:eastAsiaTheme="minorEastAsia" w:cstheme="minorBidi"/>
      <w:kern w:val="2"/>
      <w:sz w:val="21"/>
      <w:szCs w:val="22"/>
    </w:rPr>
  </w:style>
  <w:style w:type="paragraph" w:customStyle="1" w:styleId="5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4">
    <w:name w:val="xdrichtextbox2"/>
    <w:basedOn w:val="28"/>
    <w:qFormat/>
    <w:uiPriority w:val="0"/>
    <w:rPr>
      <w:color w:val="0000FF"/>
      <w:sz w:val="18"/>
      <w:szCs w:val="18"/>
      <w:u w:val="none"/>
      <w:bdr w:val="single" w:color="DCDCDC" w:sz="8" w:space="0"/>
      <w:shd w:val="clear" w:color="auto" w:fill="FFFFFF"/>
    </w:rPr>
  </w:style>
  <w:style w:type="character" w:customStyle="1" w:styleId="55">
    <w:name w:val="批注框文本 Char"/>
    <w:basedOn w:val="28"/>
    <w:link w:val="20"/>
    <w:qFormat/>
    <w:uiPriority w:val="0"/>
    <w:rPr>
      <w:rFonts w:ascii="宋体" w:hAnsi="宋体" w:cs="宋体"/>
      <w:sz w:val="18"/>
      <w:szCs w:val="18"/>
      <w:lang w:eastAsia="en-US"/>
    </w:rPr>
  </w:style>
  <w:style w:type="paragraph" w:customStyle="1" w:styleId="5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7">
    <w:name w:val="apple-converted-space"/>
    <w:basedOn w:val="28"/>
    <w:qFormat/>
    <w:uiPriority w:val="0"/>
  </w:style>
  <w:style w:type="paragraph" w:customStyle="1" w:styleId="5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9">
    <w:name w:val="批注文字 Char"/>
    <w:basedOn w:val="28"/>
    <w:link w:val="8"/>
    <w:qFormat/>
    <w:uiPriority w:val="0"/>
    <w:rPr>
      <w:kern w:val="2"/>
      <w:sz w:val="21"/>
    </w:rPr>
  </w:style>
  <w:style w:type="paragraph" w:customStyle="1" w:styleId="6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1">
    <w:name w:val="正文文本缩进 2 Char"/>
    <w:basedOn w:val="28"/>
    <w:link w:val="19"/>
    <w:qFormat/>
    <w:uiPriority w:val="0"/>
    <w:rPr>
      <w:rFonts w:ascii="宋体" w:hAnsi="宋体" w:cs="宋体"/>
      <w:sz w:val="22"/>
      <w:szCs w:val="22"/>
      <w:lang w:eastAsia="en-US"/>
    </w:rPr>
  </w:style>
  <w:style w:type="character" w:customStyle="1" w:styleId="62">
    <w:name w:val="结束语 Char"/>
    <w:basedOn w:val="28"/>
    <w:link w:val="13"/>
    <w:qFormat/>
    <w:uiPriority w:val="99"/>
    <w:rPr>
      <w:b/>
      <w:kern w:val="2"/>
      <w:sz w:val="21"/>
    </w:rPr>
  </w:style>
  <w:style w:type="character" w:customStyle="1" w:styleId="63">
    <w:name w:val="正文文本缩进 Char"/>
    <w:basedOn w:val="28"/>
    <w:link w:val="15"/>
    <w:qFormat/>
    <w:uiPriority w:val="0"/>
    <w:rPr>
      <w:rFonts w:ascii="宋体" w:hAnsi="宋体" w:cs="宋体"/>
      <w:sz w:val="22"/>
      <w:szCs w:val="22"/>
      <w:lang w:eastAsia="en-US"/>
    </w:rPr>
  </w:style>
  <w:style w:type="character" w:customStyle="1" w:styleId="64">
    <w:name w:val="批注主题 Char"/>
    <w:basedOn w:val="59"/>
    <w:link w:val="7"/>
    <w:qFormat/>
    <w:uiPriority w:val="0"/>
    <w:rPr>
      <w:b/>
      <w:bCs/>
    </w:rPr>
  </w:style>
  <w:style w:type="character" w:customStyle="1" w:styleId="65">
    <w:name w:val="书籍标题1"/>
    <w:basedOn w:val="28"/>
    <w:qFormat/>
    <w:uiPriority w:val="33"/>
    <w:rPr>
      <w:b/>
      <w:bCs/>
      <w:smallCaps/>
      <w:spacing w:val="5"/>
    </w:rPr>
  </w:style>
  <w:style w:type="paragraph" w:customStyle="1" w:styleId="66">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7">
    <w:name w:val="文档结构图 Char"/>
    <w:basedOn w:val="28"/>
    <w:link w:val="12"/>
    <w:qFormat/>
    <w:uiPriority w:val="0"/>
    <w:rPr>
      <w:kern w:val="2"/>
      <w:sz w:val="21"/>
      <w:szCs w:val="24"/>
      <w:shd w:val="clear" w:color="auto" w:fill="000080"/>
    </w:rPr>
  </w:style>
  <w:style w:type="paragraph" w:customStyle="1" w:styleId="68">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9">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70">
    <w:name w:val="TOC 标题1"/>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1">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72">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5">
    <w:name w:val="正文文本缩进 3 Char"/>
    <w:basedOn w:val="28"/>
    <w:link w:val="24"/>
    <w:qFormat/>
    <w:uiPriority w:val="0"/>
    <w:rPr>
      <w:rFonts w:ascii="宋体" w:hAnsi="宋体"/>
      <w:kern w:val="2"/>
      <w:sz w:val="24"/>
      <w:szCs w:val="24"/>
    </w:rPr>
  </w:style>
  <w:style w:type="paragraph" w:customStyle="1" w:styleId="76">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font01"/>
    <w:basedOn w:val="28"/>
    <w:qFormat/>
    <w:uiPriority w:val="0"/>
    <w:rPr>
      <w:rFonts w:hint="eastAsia" w:ascii="宋体" w:hAnsi="宋体" w:eastAsia="宋体" w:cs="宋体"/>
      <w:color w:val="000000"/>
      <w:sz w:val="24"/>
      <w:szCs w:val="24"/>
      <w:u w:val="single"/>
    </w:rPr>
  </w:style>
  <w:style w:type="character" w:customStyle="1" w:styleId="79">
    <w:name w:val="普通文字 Char2"/>
    <w:basedOn w:val="28"/>
    <w:qFormat/>
    <w:uiPriority w:val="99"/>
    <w:rPr>
      <w:rFonts w:ascii="宋体" w:hAnsi="Courier New" w:cs="Courier New"/>
      <w:sz w:val="22"/>
      <w:szCs w:val="21"/>
      <w:lang w:eastAsia="en-US"/>
    </w:rPr>
  </w:style>
  <w:style w:type="character" w:customStyle="1" w:styleId="80">
    <w:name w:val="正文文本 Char1"/>
    <w:basedOn w:val="28"/>
    <w:qFormat/>
    <w:uiPriority w:val="0"/>
    <w:rPr>
      <w:rFonts w:ascii="宋体" w:hAnsi="宋体" w:cs="宋体"/>
      <w:sz w:val="24"/>
      <w:szCs w:val="24"/>
      <w:lang w:eastAsia="en-US"/>
    </w:rPr>
  </w:style>
  <w:style w:type="paragraph" w:customStyle="1" w:styleId="81">
    <w:name w:val="列出段落11"/>
    <w:basedOn w:val="1"/>
    <w:qFormat/>
    <w:uiPriority w:val="0"/>
    <w:pPr>
      <w:ind w:firstLine="420" w:firstLineChars="200"/>
      <w:jc w:val="both"/>
    </w:pPr>
    <w:rPr>
      <w:rFonts w:ascii="Calibri" w:hAnsi="Calibri" w:cs="Calibri"/>
      <w:kern w:val="2"/>
      <w:sz w:val="21"/>
      <w:szCs w:val="21"/>
    </w:rPr>
  </w:style>
  <w:style w:type="character" w:customStyle="1" w:styleId="82">
    <w:name w:val="edit_class"/>
    <w:basedOn w:val="28"/>
    <w:qFormat/>
    <w:uiPriority w:val="0"/>
  </w:style>
  <w:style w:type="character" w:customStyle="1" w:styleId="83">
    <w:name w:val="design_class"/>
    <w:basedOn w:val="28"/>
    <w:qFormat/>
    <w:uiPriority w:val="0"/>
  </w:style>
  <w:style w:type="character" w:customStyle="1" w:styleId="84">
    <w:name w:val="choosename"/>
    <w:basedOn w:val="28"/>
    <w:qFormat/>
    <w:uiPriority w:val="0"/>
  </w:style>
  <w:style w:type="character" w:customStyle="1" w:styleId="85">
    <w:name w:val="hover4"/>
    <w:basedOn w:val="28"/>
    <w:qFormat/>
    <w:uiPriority w:val="0"/>
    <w:rPr>
      <w:color w:val="FFFFFF"/>
    </w:rPr>
  </w:style>
  <w:style w:type="character" w:customStyle="1" w:styleId="86">
    <w:name w:val="biggerthanmax"/>
    <w:basedOn w:val="28"/>
    <w:qFormat/>
    <w:uiPriority w:val="0"/>
    <w:rPr>
      <w:shd w:val="clear" w:color="auto" w:fill="FFFF00"/>
    </w:rPr>
  </w:style>
  <w:style w:type="character" w:customStyle="1" w:styleId="87">
    <w:name w:val="xdrichtextbox4"/>
    <w:basedOn w:val="28"/>
    <w:qFormat/>
    <w:uiPriority w:val="0"/>
  </w:style>
  <w:style w:type="character" w:customStyle="1" w:styleId="88">
    <w:name w:val="active"/>
    <w:basedOn w:val="28"/>
    <w:qFormat/>
    <w:uiPriority w:val="0"/>
    <w:rPr>
      <w:shd w:val="clear" w:color="auto"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81F63-2CDF-430B-BEB1-CB14F453C3D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1897</Words>
  <Characters>10813</Characters>
  <Lines>90</Lines>
  <Paragraphs>25</Paragraphs>
  <TotalTime>1</TotalTime>
  <ScaleCrop>false</ScaleCrop>
  <LinksUpToDate>false</LinksUpToDate>
  <CharactersWithSpaces>12685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mqhuang</cp:lastModifiedBy>
  <dcterms:modified xsi:type="dcterms:W3CDTF">2022-09-21T07:23:07Z</dcterms:modified>
  <dc:title>公开招标文件（货物服务类）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