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楷体" w:hAnsi="楷体" w:eastAsia="楷体" w:cs="宋体"/>
          <w:b/>
          <w:bCs w:val="0"/>
          <w:kern w:val="0"/>
          <w:sz w:val="48"/>
          <w:szCs w:val="48"/>
        </w:rPr>
      </w:pPr>
    </w:p>
    <w:p>
      <w:pPr>
        <w:keepNext w:val="0"/>
        <w:keepLines w:val="0"/>
        <w:widowControl w:val="0"/>
        <w:suppressLineNumbers w:val="0"/>
        <w:spacing w:before="0" w:beforeAutospacing="0" w:after="0" w:afterAutospacing="0"/>
        <w:ind w:left="0" w:right="0"/>
        <w:jc w:val="center"/>
        <w:rPr>
          <w:rFonts w:hint="eastAsia" w:ascii="楷体" w:hAnsi="楷体" w:eastAsia="楷体" w:cs="宋体"/>
          <w:b/>
          <w:bCs w:val="0"/>
          <w:kern w:val="0"/>
          <w:sz w:val="48"/>
          <w:szCs w:val="48"/>
        </w:rPr>
      </w:pPr>
      <w:r>
        <w:rPr>
          <w:rFonts w:hint="eastAsia" w:ascii="楷体" w:hAnsi="楷体" w:eastAsia="楷体" w:cs="楷体"/>
          <w:b/>
          <w:bCs w:val="0"/>
          <w:kern w:val="0"/>
          <w:sz w:val="48"/>
          <w:szCs w:val="48"/>
          <w:lang w:val="en-US" w:eastAsia="zh-CN" w:bidi="ar"/>
        </w:rPr>
        <w:t>福建福海创石油化工有限公司</w:t>
      </w:r>
    </w:p>
    <w:p>
      <w:pPr>
        <w:pStyle w:val="8"/>
        <w:widowControl/>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PTA装置废热锅炉水处理药剂供应及服务</w:t>
      </w:r>
    </w:p>
    <w:p>
      <w:pPr>
        <w:pStyle w:val="8"/>
        <w:widowControl/>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 xml:space="preserve"> </w:t>
      </w:r>
    </w:p>
    <w:p>
      <w:pPr>
        <w:pStyle w:val="8"/>
        <w:widowControl/>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 xml:space="preserve"> </w:t>
      </w:r>
    </w:p>
    <w:p>
      <w:pPr>
        <w:pStyle w:val="8"/>
        <w:widowControl/>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 xml:space="preserve"> </w:t>
      </w:r>
    </w:p>
    <w:p>
      <w:pPr>
        <w:pStyle w:val="8"/>
        <w:widowControl/>
        <w:spacing w:line="360" w:lineRule="auto"/>
        <w:jc w:val="center"/>
        <w:rPr>
          <w:rFonts w:hint="eastAsia" w:ascii="新宋体" w:hAnsi="新宋体" w:eastAsia="新宋体" w:cs="新宋体"/>
          <w:b/>
          <w:bCs/>
          <w:color w:val="000000"/>
          <w:sz w:val="72"/>
          <w:szCs w:val="72"/>
          <w:lang w:val="en-US" w:eastAsia="zh-CN"/>
        </w:rPr>
      </w:pPr>
      <w:r>
        <w:rPr>
          <w:rFonts w:hint="eastAsia" w:ascii="新宋体" w:hAnsi="新宋体" w:eastAsia="新宋体" w:cs="新宋体"/>
          <w:b/>
          <w:bCs/>
          <w:color w:val="000000"/>
          <w:sz w:val="72"/>
          <w:szCs w:val="72"/>
          <w:lang w:val="en-US" w:eastAsia="zh-CN"/>
        </w:rPr>
        <w:t>发</w:t>
      </w:r>
    </w:p>
    <w:p>
      <w:pPr>
        <w:pStyle w:val="8"/>
        <w:widowControl/>
        <w:spacing w:line="360" w:lineRule="auto"/>
        <w:jc w:val="center"/>
        <w:rPr>
          <w:rFonts w:hint="eastAsia" w:ascii="新宋体" w:hAnsi="新宋体" w:eastAsia="新宋体" w:cs="宋体"/>
          <w:b/>
          <w:bCs/>
          <w:color w:val="000000"/>
          <w:sz w:val="72"/>
          <w:szCs w:val="72"/>
          <w:lang w:eastAsia="zh-CN"/>
        </w:rPr>
      </w:pPr>
      <w:r>
        <w:rPr>
          <w:rFonts w:hint="eastAsia" w:ascii="新宋体" w:hAnsi="新宋体" w:eastAsia="新宋体" w:cs="新宋体"/>
          <w:b/>
          <w:bCs/>
          <w:color w:val="000000"/>
          <w:sz w:val="72"/>
          <w:szCs w:val="72"/>
          <w:lang w:val="en-US" w:eastAsia="zh-CN"/>
        </w:rPr>
        <w:t>包</w:t>
      </w:r>
    </w:p>
    <w:p>
      <w:pPr>
        <w:pStyle w:val="8"/>
        <w:widowControl/>
        <w:spacing w:line="360" w:lineRule="auto"/>
        <w:jc w:val="center"/>
        <w:rPr>
          <w:rFonts w:hint="eastAsia" w:ascii="新宋体" w:hAnsi="新宋体" w:eastAsia="新宋体" w:cs="新宋体"/>
          <w:b/>
          <w:bCs/>
          <w:color w:val="000000"/>
          <w:sz w:val="72"/>
          <w:szCs w:val="72"/>
          <w:lang w:val="en-US" w:eastAsia="zh-CN"/>
        </w:rPr>
      </w:pPr>
      <w:r>
        <w:rPr>
          <w:rFonts w:hint="eastAsia" w:ascii="新宋体" w:hAnsi="新宋体" w:eastAsia="新宋体" w:cs="新宋体"/>
          <w:b/>
          <w:bCs/>
          <w:color w:val="000000"/>
          <w:sz w:val="72"/>
          <w:szCs w:val="72"/>
          <w:lang w:val="en-US" w:eastAsia="zh-CN"/>
        </w:rPr>
        <w:t>要</w:t>
      </w:r>
    </w:p>
    <w:p>
      <w:pPr>
        <w:pStyle w:val="8"/>
        <w:widowControl/>
        <w:spacing w:line="360" w:lineRule="auto"/>
        <w:jc w:val="center"/>
        <w:rPr>
          <w:rFonts w:hint="eastAsia" w:ascii="新宋体" w:hAnsi="新宋体" w:eastAsia="新宋体" w:cs="宋体"/>
          <w:b/>
          <w:bCs/>
          <w:color w:val="000000"/>
          <w:sz w:val="72"/>
          <w:szCs w:val="72"/>
        </w:rPr>
      </w:pPr>
      <w:r>
        <w:rPr>
          <w:rFonts w:hint="eastAsia" w:ascii="新宋体" w:hAnsi="新宋体" w:eastAsia="新宋体" w:cs="新宋体"/>
          <w:b/>
          <w:bCs/>
          <w:color w:val="000000"/>
          <w:sz w:val="72"/>
          <w:szCs w:val="72"/>
          <w:lang w:val="en-US" w:eastAsia="zh-CN"/>
        </w:rPr>
        <w:t>求</w:t>
      </w:r>
    </w:p>
    <w:p>
      <w:pPr>
        <w:pStyle w:val="8"/>
        <w:widowControl/>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 xml:space="preserve"> </w:t>
      </w:r>
    </w:p>
    <w:p>
      <w:pPr>
        <w:pStyle w:val="8"/>
        <w:widowControl/>
        <w:spacing w:line="360" w:lineRule="auto"/>
        <w:jc w:val="center"/>
        <w:rPr>
          <w:rFonts w:hint="eastAsia" w:ascii="宋体" w:hAnsi="宋体" w:eastAsia="宋体" w:cs="华文中宋"/>
          <w:sz w:val="44"/>
          <w:szCs w:val="44"/>
        </w:rPr>
      </w:pPr>
      <w:r>
        <w:rPr>
          <w:rFonts w:hint="eastAsia" w:ascii="宋体" w:hAnsi="宋体" w:eastAsia="宋体" w:cs="华文中宋"/>
          <w:sz w:val="44"/>
          <w:szCs w:val="44"/>
        </w:rPr>
        <w:t xml:space="preserve"> </w:t>
      </w:r>
    </w:p>
    <w:p>
      <w:pPr>
        <w:pStyle w:val="8"/>
        <w:widowControl/>
        <w:spacing w:line="360" w:lineRule="auto"/>
        <w:jc w:val="center"/>
        <w:rPr>
          <w:rFonts w:hint="eastAsia" w:ascii="宋体" w:hAnsi="宋体" w:eastAsia="宋体" w:cs="华文中宋"/>
          <w:sz w:val="44"/>
          <w:szCs w:val="44"/>
        </w:rPr>
      </w:pPr>
      <w:r>
        <w:rPr>
          <w:rFonts w:hint="eastAsia" w:ascii="宋体" w:hAnsi="宋体" w:eastAsia="宋体" w:cs="华文中宋"/>
          <w:sz w:val="44"/>
          <w:szCs w:val="44"/>
        </w:rPr>
        <w:t xml:space="preserve"> </w:t>
      </w:r>
    </w:p>
    <w:p>
      <w:pPr>
        <w:keepNext w:val="0"/>
        <w:keepLines w:val="0"/>
        <w:widowControl w:val="0"/>
        <w:suppressLineNumbers w:val="0"/>
        <w:spacing w:before="0" w:beforeAutospacing="0" w:after="0" w:afterAutospacing="0"/>
        <w:ind w:left="0" w:right="0" w:firstLine="1355" w:firstLineChars="450"/>
        <w:jc w:val="both"/>
        <w:rPr>
          <w:rFonts w:hint="eastAsia" w:ascii="楷体" w:hAnsi="楷体" w:eastAsia="楷体" w:cs="宋体"/>
          <w:b/>
          <w:bCs w:val="0"/>
          <w:kern w:val="2"/>
          <w:sz w:val="30"/>
          <w:szCs w:val="30"/>
        </w:rPr>
      </w:pPr>
      <w:r>
        <w:rPr>
          <w:rFonts w:hint="eastAsia" w:ascii="楷体" w:hAnsi="楷体" w:eastAsia="楷体" w:cs="楷体"/>
          <w:b/>
          <w:bCs w:val="0"/>
          <w:kern w:val="2"/>
          <w:sz w:val="30"/>
          <w:szCs w:val="30"/>
          <w:lang w:val="en-US" w:eastAsia="zh-CN" w:bidi="ar"/>
        </w:rPr>
        <w:t>甲方：福建福海创石油化工有限公司</w:t>
      </w:r>
    </w:p>
    <w:p>
      <w:pPr>
        <w:keepNext w:val="0"/>
        <w:keepLines w:val="0"/>
        <w:widowControl w:val="0"/>
        <w:suppressLineNumbers w:val="0"/>
        <w:spacing w:before="0" w:beforeAutospacing="0" w:after="0" w:afterAutospacing="0" w:line="360" w:lineRule="auto"/>
        <w:ind w:left="0" w:right="0" w:firstLine="1355" w:firstLineChars="450"/>
        <w:jc w:val="left"/>
        <w:rPr>
          <w:rFonts w:hint="eastAsia" w:ascii="楷体" w:hAnsi="楷体" w:eastAsia="楷体" w:cs="楷体"/>
          <w:b/>
          <w:bCs w:val="0"/>
          <w:kern w:val="2"/>
          <w:sz w:val="32"/>
          <w:szCs w:val="32"/>
          <w:u w:val="single"/>
        </w:rPr>
      </w:pPr>
      <w:r>
        <w:rPr>
          <w:rFonts w:hint="eastAsia" w:ascii="楷体" w:hAnsi="楷体" w:eastAsia="楷体" w:cs="楷体"/>
          <w:b/>
          <w:bCs w:val="0"/>
          <w:kern w:val="2"/>
          <w:sz w:val="30"/>
          <w:szCs w:val="30"/>
          <w:lang w:val="en-US" w:eastAsia="zh-CN" w:bidi="ar"/>
        </w:rPr>
        <w:t>乙方：</w:t>
      </w:r>
    </w:p>
    <w:p>
      <w:pPr>
        <w:keepNext w:val="0"/>
        <w:keepLines w:val="0"/>
        <w:widowControl w:val="0"/>
        <w:suppressLineNumbers w:val="0"/>
        <w:spacing w:before="0" w:beforeAutospacing="0" w:after="0" w:afterAutospacing="0" w:line="360" w:lineRule="auto"/>
        <w:ind w:left="0" w:right="0" w:firstLine="1446" w:firstLineChars="450"/>
        <w:jc w:val="left"/>
        <w:rPr>
          <w:rFonts w:hint="eastAsia" w:ascii="宋体" w:hAnsi="宋体" w:eastAsia="宋体" w:cs="宋体"/>
          <w:b/>
          <w:bCs w:val="0"/>
          <w:kern w:val="2"/>
          <w:sz w:val="32"/>
          <w:szCs w:val="32"/>
          <w:u w:val="single"/>
        </w:rPr>
      </w:pPr>
      <w:r>
        <w:rPr>
          <w:rFonts w:hint="eastAsia" w:ascii="宋体" w:hAnsi="宋体" w:eastAsia="宋体" w:cs="宋体"/>
          <w:b/>
          <w:bCs w:val="0"/>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32"/>
          <w:szCs w:val="32"/>
          <w:u w:val="single"/>
        </w:rPr>
      </w:pPr>
      <w:r>
        <w:rPr>
          <w:rFonts w:hint="eastAsia" w:ascii="宋体" w:hAnsi="宋体" w:eastAsia="宋体" w:cs="宋体"/>
          <w:b/>
          <w:bCs w:val="0"/>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32"/>
          <w:szCs w:val="32"/>
          <w:u w:val="single"/>
        </w:rPr>
      </w:pPr>
      <w:r>
        <w:rPr>
          <w:rFonts w:hint="eastAsia" w:ascii="宋体" w:hAnsi="宋体" w:eastAsia="宋体" w:cs="宋体"/>
          <w:b/>
          <w:bCs w:val="0"/>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8"/>
          <w:szCs w:val="28"/>
        </w:rPr>
      </w:pPr>
      <w:r>
        <w:rPr>
          <w:rFonts w:hint="default" w:ascii="Calibri" w:hAnsi="Calibri" w:eastAsia="宋体" w:cs="Calibri"/>
          <w:b/>
          <w:bCs w:val="0"/>
          <w:kern w:val="2"/>
          <w:sz w:val="28"/>
          <w:szCs w:val="28"/>
          <w:lang w:val="en-US" w:eastAsia="zh-CN" w:bidi="ar"/>
        </w:rPr>
        <w:t>2022</w:t>
      </w:r>
      <w:r>
        <w:rPr>
          <w:rFonts w:hint="eastAsia" w:ascii="宋体" w:hAnsi="宋体" w:eastAsia="宋体" w:cs="宋体"/>
          <w:b/>
          <w:bCs w:val="0"/>
          <w:kern w:val="2"/>
          <w:sz w:val="28"/>
          <w:szCs w:val="28"/>
          <w:lang w:val="en-US" w:eastAsia="zh-CN" w:bidi="ar"/>
        </w:rPr>
        <w:t>年  月  日</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 xml:space="preserve"> </w:t>
      </w:r>
    </w:p>
    <w:p>
      <w:pPr>
        <w:pStyle w:val="7"/>
        <w:widowControl/>
        <w:numPr>
          <w:ilvl w:val="0"/>
          <w:numId w:val="1"/>
        </w:numPr>
        <w:ind w:left="720" w:hanging="720" w:firstLineChars="0"/>
        <w:rPr>
          <w:rFonts w:hint="eastAsia" w:ascii="Times New Roman" w:hAnsi="Times New Roman" w:eastAsia="宋体" w:cs="Times New Roman"/>
          <w:b/>
          <w:bCs w:val="0"/>
          <w:kern w:val="2"/>
          <w:sz w:val="32"/>
          <w:szCs w:val="32"/>
        </w:rPr>
      </w:pPr>
      <w:r>
        <w:rPr>
          <w:rFonts w:hint="eastAsia" w:ascii="宋体" w:hAnsi="宋体" w:eastAsia="宋体" w:cs="宋体"/>
          <w:b/>
          <w:bCs w:val="0"/>
          <w:kern w:val="2"/>
          <w:sz w:val="32"/>
          <w:szCs w:val="32"/>
        </w:rPr>
        <w:t>总则</w:t>
      </w:r>
    </w:p>
    <w:p>
      <w:pPr>
        <w:pStyle w:val="2"/>
        <w:widowControl/>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通过投加锅炉水处理药剂，抑制系统设备的腐蚀、结垢等问题，保证系统稳定运行。采用总包形式，合同期为合同期限：</w:t>
      </w:r>
      <w:bookmarkStart w:id="0" w:name="_GoBack"/>
      <w:r>
        <w:rPr>
          <w:rFonts w:hint="eastAsia" w:ascii="宋体" w:hAnsi="宋体" w:eastAsia="宋体" w:cs="宋体"/>
          <w:b w:val="0"/>
          <w:bCs w:val="0"/>
          <w:color w:val="auto"/>
          <w:kern w:val="2"/>
          <w:sz w:val="24"/>
          <w:szCs w:val="24"/>
          <w:lang w:val="en-US" w:eastAsia="zh-CN" w:bidi="ar"/>
        </w:rPr>
        <w:t>2022年11月18日至202</w:t>
      </w:r>
      <w:r>
        <w:rPr>
          <w:rFonts w:hint="eastAsia" w:cs="宋体"/>
          <w:b w:val="0"/>
          <w:bCs w:val="0"/>
          <w:color w:val="auto"/>
          <w:kern w:val="2"/>
          <w:sz w:val="24"/>
          <w:szCs w:val="24"/>
          <w:lang w:val="en-US" w:eastAsia="zh-CN" w:bidi="ar"/>
        </w:rPr>
        <w:t>4</w:t>
      </w:r>
      <w:r>
        <w:rPr>
          <w:rFonts w:hint="eastAsia" w:ascii="宋体" w:hAnsi="宋体" w:eastAsia="宋体" w:cs="宋体"/>
          <w:b w:val="0"/>
          <w:bCs w:val="0"/>
          <w:color w:val="auto"/>
          <w:kern w:val="2"/>
          <w:sz w:val="24"/>
          <w:szCs w:val="24"/>
          <w:lang w:val="en-US" w:eastAsia="zh-CN" w:bidi="ar"/>
        </w:rPr>
        <w:t>年11月17日。</w:t>
      </w:r>
    </w:p>
    <w:bookmarkEnd w:id="0"/>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投标厂商需要提供相应水处理药剂、稳定水质方案和系统运营服务，具体说明见本技术要求细则。</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7"/>
        <w:widowControl/>
        <w:numPr>
          <w:ilvl w:val="0"/>
          <w:numId w:val="1"/>
        </w:numPr>
        <w:ind w:left="720" w:hanging="720" w:firstLineChars="0"/>
        <w:rPr>
          <w:rFonts w:hint="eastAsia" w:ascii="Times New Roman" w:hAnsi="Times New Roman" w:eastAsia="宋体" w:cs="Times New Roman"/>
          <w:b/>
          <w:bCs w:val="0"/>
          <w:kern w:val="2"/>
          <w:sz w:val="32"/>
          <w:szCs w:val="32"/>
        </w:rPr>
      </w:pPr>
      <w:r>
        <w:rPr>
          <w:rFonts w:hint="eastAsia" w:ascii="宋体" w:hAnsi="宋体" w:eastAsia="宋体" w:cs="宋体"/>
          <w:b/>
          <w:bCs w:val="0"/>
          <w:kern w:val="2"/>
          <w:sz w:val="32"/>
          <w:szCs w:val="32"/>
        </w:rPr>
        <w:t>供货方资质及业绩要求</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 通过质量管理体系ISO9001、环境管理体系ISO14001、职业健康安全管理体系的公司或企业。</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 厂商近3年内须至少有一套PTA厂单系统蒸汽产量不低于500t/h的氧化装置副产蒸汽凝液系统水处理业绩，签约服务的厂家数量不少于3家，且业绩应为投标厂商单独处理完成的业绩，不接受“联合体”投标，禁止中标单位拆包、转包。</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 因行业工艺和设备特点，锅炉水系统存在偶发醋酸、TA等事故隐患，厂商需对此类异常事故有必要的了解与协助应急处置能力，并配备有此经验的现场常驻技术人员。</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2.4 厂商无自身原因造成的不良服务记录和客户投诉。</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7"/>
        <w:widowControl/>
        <w:numPr>
          <w:ilvl w:val="0"/>
          <w:numId w:val="1"/>
        </w:numPr>
        <w:ind w:left="720" w:hanging="720" w:firstLineChars="0"/>
        <w:rPr>
          <w:rFonts w:hint="eastAsia" w:ascii="Times New Roman" w:hAnsi="Times New Roman" w:eastAsia="宋体" w:cs="Times New Roman"/>
          <w:b/>
          <w:bCs w:val="0"/>
          <w:kern w:val="2"/>
          <w:sz w:val="32"/>
          <w:szCs w:val="32"/>
        </w:rPr>
      </w:pPr>
      <w:r>
        <w:rPr>
          <w:rFonts w:hint="eastAsia" w:ascii="宋体" w:hAnsi="宋体" w:eastAsia="宋体" w:cs="宋体"/>
          <w:b/>
          <w:bCs w:val="0"/>
          <w:kern w:val="2"/>
          <w:sz w:val="32"/>
          <w:szCs w:val="32"/>
        </w:rPr>
        <w:t>技术简介、原料及技术参数说明</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福建福海创石油化工有限公司PTA装置废热锅炉系统为氧化装置余热回收，设计参数依450 万吨/年产能PTA计，共13 台余热锅炉，含三个压力级别的蒸汽：0.45MPa、0.2MPa</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、0.05MPa，合计补水量：1966.1t/h，产汽量：1897.2t/h，补充水以制程回收的蒸汽凝液为主，不足的部份以除盐水补入，系统设有加药系统V-781/782：V-781的容积10m</w:t>
      </w:r>
      <w:r>
        <w:rPr>
          <w:rFonts w:hint="eastAsia" w:ascii="宋体" w:hAnsi="宋体" w:eastAsia="宋体" w:cs="宋体"/>
          <w:kern w:val="2"/>
          <w:sz w:val="24"/>
          <w:szCs w:val="24"/>
          <w:vertAlign w:val="superscript"/>
          <w:lang w:val="en-US" w:eastAsia="zh-CN" w:bidi="ar"/>
        </w:rPr>
        <w:t>3</w:t>
      </w:r>
      <w:r>
        <w:rPr>
          <w:rFonts w:hint="eastAsia" w:ascii="宋体" w:hAnsi="宋体" w:eastAsia="宋体" w:cs="宋体"/>
          <w:kern w:val="2"/>
          <w:sz w:val="24"/>
          <w:szCs w:val="24"/>
          <w:lang w:val="en-US" w:eastAsia="zh-CN" w:bidi="ar"/>
        </w:rPr>
        <w:t xml:space="preserve"> ,配备搅拌机一台，供中和胺、清锅剂的配料加入，配备5台加药泵，可互供。V-782的容积6m</w:t>
      </w:r>
      <w:r>
        <w:rPr>
          <w:rFonts w:hint="eastAsia" w:ascii="宋体" w:hAnsi="宋体" w:eastAsia="宋体" w:cs="宋体"/>
          <w:kern w:val="2"/>
          <w:sz w:val="24"/>
          <w:szCs w:val="24"/>
          <w:vertAlign w:val="superscript"/>
          <w:lang w:val="en-US" w:eastAsia="zh-CN" w:bidi="ar"/>
        </w:rPr>
        <w:t>3</w:t>
      </w:r>
      <w:r>
        <w:rPr>
          <w:rFonts w:hint="eastAsia" w:ascii="宋体" w:hAnsi="宋体" w:eastAsia="宋体" w:cs="宋体"/>
          <w:kern w:val="2"/>
          <w:sz w:val="24"/>
          <w:szCs w:val="24"/>
          <w:lang w:val="en-US" w:eastAsia="zh-CN" w:bidi="ar"/>
        </w:rPr>
        <w:t xml:space="preserve"> ,配备搅拌机一台，供脱氧剂的配料加入，配备3台加药泵。</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center"/>
        <w:rPr>
          <w:rFonts w:hint="eastAsia"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表一 废热锅炉设计参数（450万吨/年产能）</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0"/>
        <w:gridCol w:w="1254"/>
        <w:gridCol w:w="6"/>
        <w:gridCol w:w="1253"/>
        <w:gridCol w:w="7"/>
        <w:gridCol w:w="1255"/>
        <w:gridCol w:w="123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设备位号</w:t>
            </w:r>
          </w:p>
        </w:tc>
        <w:tc>
          <w:tcPr>
            <w:tcW w:w="6610"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补水量t/h</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排放量</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t/h</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蒸汽产量t/h</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浓缩倍数</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产汽压力</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E-201A-1</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E-201B-1</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E-201A-2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E-201B-2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E-201A-3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E-201B-3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E-202-1</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123.4</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117.5</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20.6</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E-202-2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123.4</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117.5</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20.6</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E-202-3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123.4</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117.5</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20.6</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E-203A-1</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57.1</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53.1</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14.3</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E-203A-2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57.1</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53.1</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14.3</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E-203A-3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57.1</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53.1</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14.3</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E-205</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60.8</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55.8</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bl>
    <w:p>
      <w:pPr>
        <w:pStyle w:val="7"/>
        <w:widowControl/>
        <w:ind w:left="0" w:firstLine="0" w:firstLineChars="0"/>
        <w:rPr>
          <w:rFonts w:hint="eastAsia" w:ascii="Times New Roman" w:hAnsi="Times New Roman" w:eastAsia="宋体" w:cs="Times New Roman"/>
          <w:b/>
          <w:bCs w:val="0"/>
          <w:kern w:val="2"/>
          <w:sz w:val="32"/>
          <w:szCs w:val="32"/>
        </w:rPr>
      </w:pPr>
      <w:r>
        <w:rPr>
          <w:rFonts w:hint="eastAsia" w:ascii="Times New Roman" w:hAnsi="Times New Roman" w:eastAsia="宋体" w:cs="Times New Roman"/>
          <w:b/>
          <w:bCs w:val="0"/>
          <w:kern w:val="2"/>
          <w:sz w:val="32"/>
          <w:szCs w:val="32"/>
        </w:rPr>
        <w:t xml:space="preserve"> </w:t>
      </w:r>
    </w:p>
    <w:p>
      <w:pPr>
        <w:pStyle w:val="7"/>
        <w:widowControl/>
        <w:numPr>
          <w:ilvl w:val="0"/>
          <w:numId w:val="1"/>
        </w:numPr>
        <w:ind w:left="720" w:hanging="720" w:firstLineChars="0"/>
        <w:rPr>
          <w:rFonts w:hint="default" w:ascii="Times New Roman" w:hAnsi="Times New Roman" w:eastAsia="宋体" w:cs="Times New Roman"/>
          <w:b/>
          <w:bCs w:val="0"/>
          <w:kern w:val="2"/>
          <w:sz w:val="32"/>
          <w:szCs w:val="32"/>
        </w:rPr>
      </w:pPr>
      <w:r>
        <w:rPr>
          <w:rFonts w:hint="eastAsia" w:ascii="宋体" w:hAnsi="宋体" w:eastAsia="宋体" w:cs="宋体"/>
          <w:b/>
          <w:bCs w:val="0"/>
          <w:kern w:val="2"/>
          <w:sz w:val="32"/>
          <w:szCs w:val="32"/>
        </w:rPr>
        <w:t>产品质量指标</w:t>
      </w:r>
    </w:p>
    <w:p>
      <w:pPr>
        <w:pStyle w:val="7"/>
        <w:widowControl/>
        <w:ind w:left="720" w:firstLine="0" w:firstLineChars="0"/>
        <w:jc w:val="center"/>
        <w:rPr>
          <w:rFonts w:hint="eastAsia" w:ascii="Times New Roman" w:hAnsi="Times New Roman" w:eastAsia="宋体" w:cs="Times New Roman"/>
          <w:b/>
          <w:bCs w:val="0"/>
          <w:kern w:val="2"/>
          <w:sz w:val="32"/>
          <w:szCs w:val="32"/>
        </w:rPr>
      </w:pPr>
      <w:r>
        <w:rPr>
          <w:rFonts w:hint="eastAsia" w:ascii="宋体" w:hAnsi="宋体" w:eastAsia="宋体" w:cs="宋体"/>
          <w:kern w:val="2"/>
          <w:sz w:val="24"/>
          <w:szCs w:val="24"/>
        </w:rPr>
        <w:t>表二</w:t>
      </w:r>
      <w:r>
        <w:rPr>
          <w:rFonts w:hint="eastAsia" w:ascii="宋体" w:hAnsi="宋体" w:eastAsia="宋体" w:cs="Times New Roman"/>
          <w:kern w:val="2"/>
          <w:sz w:val="24"/>
          <w:szCs w:val="24"/>
        </w:rPr>
        <w:t xml:space="preserve"> </w:t>
      </w:r>
      <w:r>
        <w:rPr>
          <w:rFonts w:hint="eastAsia" w:ascii="宋体" w:hAnsi="宋体" w:eastAsia="宋体" w:cs="宋体"/>
          <w:kern w:val="2"/>
          <w:sz w:val="24"/>
          <w:szCs w:val="24"/>
        </w:rPr>
        <w:t>废热锅炉水质指标要求</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2260"/>
        <w:gridCol w:w="2238"/>
        <w:gridCol w:w="3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内容</w:t>
            </w:r>
          </w:p>
        </w:tc>
        <w:tc>
          <w:tcPr>
            <w:tcW w:w="132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控制项目</w:t>
            </w:r>
          </w:p>
        </w:tc>
        <w:tc>
          <w:tcPr>
            <w:tcW w:w="1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单位</w:t>
            </w:r>
          </w:p>
        </w:tc>
        <w:tc>
          <w:tcPr>
            <w:tcW w:w="1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控制范围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pH</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Cond.</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μs/cm</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SiO</w:t>
            </w:r>
            <w:r>
              <w:rPr>
                <w:rFonts w:hint="eastAsia" w:ascii="宋体" w:hAnsi="宋体" w:eastAsia="宋体" w:cs="宋体"/>
                <w:kern w:val="0"/>
                <w:sz w:val="24"/>
                <w:szCs w:val="24"/>
                <w:vertAlign w:val="subscript"/>
                <w:lang w:val="en-US" w:eastAsia="zh-CN" w:bidi="ar"/>
              </w:rPr>
              <w:t>2</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μ</w:t>
            </w:r>
            <w:r>
              <w:rPr>
                <w:rFonts w:hint="default" w:ascii="Arial" w:hAnsi="Arial" w:eastAsia="宋体" w:cs="Arial"/>
                <w:color w:val="333333"/>
                <w:kern w:val="2"/>
                <w:sz w:val="20"/>
                <w:szCs w:val="20"/>
                <w:lang w:val="en-US" w:eastAsia="zh-CN" w:bidi="ar"/>
              </w:rPr>
              <w:t>g</w:t>
            </w:r>
            <w:r>
              <w:rPr>
                <w:rFonts w:hint="eastAsia" w:ascii="宋体" w:hAnsi="宋体" w:eastAsia="宋体" w:cs="宋体"/>
                <w:kern w:val="0"/>
                <w:sz w:val="24"/>
                <w:szCs w:val="24"/>
                <w:lang w:val="en-US" w:eastAsia="zh-CN" w:bidi="ar"/>
              </w:rPr>
              <w:t>/L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&lt;150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Fe</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(PO</w:t>
            </w:r>
            <w:r>
              <w:rPr>
                <w:rFonts w:hint="eastAsia" w:ascii="宋体" w:hAnsi="宋体" w:eastAsia="宋体" w:cs="宋体"/>
                <w:kern w:val="0"/>
                <w:sz w:val="24"/>
                <w:szCs w:val="24"/>
                <w:vertAlign w:val="subscript"/>
                <w:lang w:val="en-US" w:eastAsia="zh-CN" w:bidi="ar"/>
              </w:rPr>
              <w:t>4</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vertAlign w:val="superscript"/>
                <w:lang w:val="en-US" w:eastAsia="zh-CN" w:bidi="ar"/>
              </w:rPr>
              <w:t>3-</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T-H</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mgCaCO</w:t>
            </w:r>
            <w:r>
              <w:rPr>
                <w:rFonts w:hint="eastAsia" w:ascii="宋体" w:hAnsi="宋体" w:eastAsia="宋体" w:cs="宋体"/>
                <w:kern w:val="0"/>
                <w:sz w:val="24"/>
                <w:szCs w:val="24"/>
                <w:vertAlign w:val="subscript"/>
                <w:lang w:val="en-US" w:eastAsia="zh-CN" w:bidi="ar"/>
              </w:rPr>
              <w:t>3</w:t>
            </w:r>
            <w:r>
              <w:rPr>
                <w:rFonts w:hint="eastAsia" w:ascii="宋体" w:hAnsi="宋体" w:eastAsia="宋体" w:cs="宋体"/>
                <w:kern w:val="0"/>
                <w:sz w:val="24"/>
                <w:szCs w:val="24"/>
                <w:lang w:val="en-US" w:eastAsia="zh-CN" w:bidi="ar"/>
              </w:rPr>
              <w:t>/L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w:t>
            </w:r>
          </w:p>
        </w:tc>
        <w:tc>
          <w:tcPr>
            <w:tcW w:w="132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AC</w:t>
            </w:r>
            <w:r>
              <w:rPr>
                <w:rFonts w:hint="eastAsia" w:ascii="宋体" w:hAnsi="宋体" w:eastAsia="宋体" w:cs="宋体"/>
                <w:kern w:val="0"/>
                <w:sz w:val="24"/>
                <w:szCs w:val="24"/>
                <w:vertAlign w:val="superscript"/>
                <w:lang w:val="en-US" w:eastAsia="zh-CN" w:bidi="ar"/>
              </w:rPr>
              <w:t>-</w:t>
            </w:r>
          </w:p>
        </w:tc>
        <w:tc>
          <w:tcPr>
            <w:tcW w:w="1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c>
          <w:tcPr>
            <w:tcW w:w="1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w:t>
            </w:r>
          </w:p>
        </w:tc>
      </w:tr>
    </w:tbl>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表三 V-950回收凝结水指标要求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91"/>
        <w:gridCol w:w="1757"/>
        <w:gridCol w:w="1757"/>
        <w:gridCol w:w="1759"/>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pH</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Cond.</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SiO2</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钠</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总铁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default" w:ascii="Arial" w:hAnsi="Arial" w:eastAsia="宋体" w:cs="Arial"/>
                <w:color w:val="333333"/>
                <w:kern w:val="2"/>
                <w:sz w:val="20"/>
                <w:szCs w:val="20"/>
                <w:lang w:val="en-US" w:eastAsia="zh-CN" w:bidi="ar"/>
              </w:rPr>
              <w:t>u</w:t>
            </w:r>
            <w:r>
              <w:rPr>
                <w:rFonts w:hint="eastAsia" w:ascii="宋体" w:hAnsi="宋体" w:eastAsia="宋体" w:cs="宋体"/>
                <w:kern w:val="0"/>
                <w:sz w:val="24"/>
                <w:szCs w:val="24"/>
                <w:lang w:val="en-US" w:eastAsia="zh-CN" w:bidi="ar"/>
              </w:rPr>
              <w:t>s/cm</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default" w:ascii="Arial" w:hAnsi="Arial" w:eastAsia="宋体" w:cs="Arial"/>
                <w:color w:val="333333"/>
                <w:kern w:val="2"/>
                <w:sz w:val="20"/>
                <w:szCs w:val="20"/>
                <w:lang w:val="en-US" w:eastAsia="zh-CN" w:bidi="ar"/>
              </w:rPr>
              <w:t>ug</w:t>
            </w:r>
            <w:r>
              <w:rPr>
                <w:rFonts w:hint="eastAsia" w:ascii="宋体" w:hAnsi="宋体" w:eastAsia="宋体" w:cs="宋体"/>
                <w:kern w:val="0"/>
                <w:sz w:val="24"/>
                <w:szCs w:val="24"/>
                <w:lang w:val="en-US" w:eastAsia="zh-CN" w:bidi="ar"/>
              </w:rPr>
              <w:t>/L</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default" w:ascii="Arial" w:hAnsi="Arial" w:eastAsia="宋体" w:cs="Arial"/>
                <w:color w:val="333333"/>
                <w:kern w:val="2"/>
                <w:sz w:val="20"/>
                <w:szCs w:val="20"/>
                <w:lang w:val="en-US" w:eastAsia="zh-CN" w:bidi="ar"/>
              </w:rPr>
              <w:t>ug</w:t>
            </w:r>
            <w:r>
              <w:rPr>
                <w:rFonts w:hint="eastAsia" w:ascii="宋体" w:hAnsi="宋体" w:eastAsia="宋体" w:cs="宋体"/>
                <w:kern w:val="0"/>
                <w:sz w:val="24"/>
                <w:szCs w:val="24"/>
                <w:lang w:val="en-US" w:eastAsia="zh-CN" w:bidi="ar"/>
              </w:rPr>
              <w:t>/L</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8.8-9.3</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≤10</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r>
    </w:tbl>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1.以上的水质指标和处理成效必须达成，且列入对乙方的重点考核。</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 2.表二中</w:t>
      </w:r>
      <w:r>
        <w:rPr>
          <w:rFonts w:hint="eastAsia" w:ascii="宋体" w:hAnsi="宋体" w:eastAsia="宋体" w:cs="宋体"/>
          <w:kern w:val="0"/>
          <w:sz w:val="24"/>
          <w:szCs w:val="24"/>
          <w:lang w:val="en-US" w:eastAsia="zh-CN" w:bidi="ar"/>
        </w:rPr>
        <w:t>AC</w:t>
      </w:r>
      <w:r>
        <w:rPr>
          <w:rFonts w:hint="eastAsia" w:ascii="宋体" w:hAnsi="宋体" w:eastAsia="宋体" w:cs="宋体"/>
          <w:kern w:val="0"/>
          <w:sz w:val="24"/>
          <w:szCs w:val="24"/>
          <w:vertAlign w:val="superscript"/>
          <w:lang w:val="en-US" w:eastAsia="zh-CN" w:bidi="ar"/>
        </w:rPr>
        <w:t>-</w:t>
      </w:r>
      <w:r>
        <w:rPr>
          <w:rFonts w:hint="eastAsia" w:ascii="宋体" w:hAnsi="宋体" w:eastAsia="宋体" w:cs="宋体"/>
          <w:kern w:val="0"/>
          <w:sz w:val="24"/>
          <w:szCs w:val="24"/>
          <w:lang w:val="en-US" w:eastAsia="zh-CN" w:bidi="ar"/>
        </w:rPr>
        <w:t>的指标控制作为我司PTA装置锅炉水水质控制指标，不作为乙方考核项目。</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7"/>
        <w:widowControl/>
        <w:numPr>
          <w:ilvl w:val="0"/>
          <w:numId w:val="1"/>
        </w:numPr>
        <w:ind w:left="720" w:hanging="720" w:firstLineChars="0"/>
        <w:rPr>
          <w:rFonts w:hint="eastAsia" w:ascii="Times New Roman" w:hAnsi="Times New Roman" w:eastAsia="宋体" w:cs="Times New Roman"/>
          <w:b/>
          <w:bCs w:val="0"/>
          <w:kern w:val="2"/>
          <w:sz w:val="32"/>
          <w:szCs w:val="32"/>
        </w:rPr>
      </w:pPr>
      <w:r>
        <w:rPr>
          <w:rFonts w:hint="eastAsia" w:ascii="宋体" w:hAnsi="宋体" w:eastAsia="宋体" w:cs="宋体"/>
          <w:b/>
          <w:bCs w:val="0"/>
          <w:kern w:val="2"/>
          <w:sz w:val="32"/>
          <w:szCs w:val="32"/>
        </w:rPr>
        <w:t>验收结算</w:t>
      </w:r>
    </w:p>
    <w:p>
      <w:pPr>
        <w:pStyle w:val="2"/>
        <w:widowControl/>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5.1 结算方式：合约中预估药剂添加量只作为合约报价的依据，不作为最后费用结算依据。在甲方正常操作、稳定及补充水质、AC-（≤15 mg/L）等指标控制范围内，乙方每月请款费用依据为：合同总价÷</w:t>
      </w:r>
      <w:r>
        <w:rPr>
          <w:rFonts w:hint="eastAsia" w:cs="宋体"/>
          <w:b w:val="0"/>
          <w:bCs w:val="0"/>
          <w:color w:val="auto"/>
          <w:kern w:val="0"/>
          <w:sz w:val="24"/>
          <w:szCs w:val="24"/>
          <w:lang w:val="en-US" w:eastAsia="zh-CN" w:bidi="ar"/>
        </w:rPr>
        <w:t>24</w:t>
      </w:r>
      <w:r>
        <w:rPr>
          <w:rFonts w:hint="eastAsia" w:ascii="宋体" w:hAnsi="宋体" w:eastAsia="宋体" w:cs="宋体"/>
          <w:b w:val="0"/>
          <w:bCs w:val="0"/>
          <w:color w:val="auto"/>
          <w:kern w:val="0"/>
          <w:sz w:val="24"/>
          <w:szCs w:val="24"/>
          <w:lang w:val="en-US" w:eastAsia="zh-CN" w:bidi="ar"/>
        </w:rPr>
        <w:t>个月×当月考核系数，且每月请款总额不得超过该费用。结算总价不超过合约中双方约定的总价，超出部分的相关费用由乙方自行承担。若装置出现15天以上停车，停车期间甲方以乙方实际服务天数为结算依据支付当月货款：(合同总价÷</w:t>
      </w:r>
      <w:r>
        <w:rPr>
          <w:rFonts w:hint="eastAsia" w:cs="宋体"/>
          <w:b w:val="0"/>
          <w:bCs w:val="0"/>
          <w:color w:val="auto"/>
          <w:kern w:val="0"/>
          <w:sz w:val="24"/>
          <w:szCs w:val="24"/>
          <w:lang w:val="en-US" w:eastAsia="zh-CN" w:bidi="ar"/>
        </w:rPr>
        <w:t>24</w:t>
      </w:r>
      <w:r>
        <w:rPr>
          <w:rFonts w:hint="eastAsia" w:ascii="宋体" w:hAnsi="宋体" w:eastAsia="宋体" w:cs="宋体"/>
          <w:b w:val="0"/>
          <w:bCs w:val="0"/>
          <w:color w:val="auto"/>
          <w:kern w:val="0"/>
          <w:sz w:val="24"/>
          <w:szCs w:val="24"/>
          <w:lang w:val="en-US" w:eastAsia="zh-CN" w:bidi="ar"/>
        </w:rPr>
        <w:t>个月×当月考核系数) ÷自然月天数×服务天数。</w:t>
      </w:r>
    </w:p>
    <w:p>
      <w:pPr>
        <w:pStyle w:val="2"/>
        <w:widowControl/>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 当月考核系数计算</w:t>
      </w:r>
    </w:p>
    <w:p>
      <w:pPr>
        <w:pStyle w:val="2"/>
        <w:widowControl/>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当月考核系数由售后服务考核和技术服务考核两部份组成，其中售后服务考核权重占比20%，技术服务考核权重占比80%。</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当月考核系数=售后服务考核系数×20%+技术服务考核系数×80%</w:t>
      </w:r>
    </w:p>
    <w:p>
      <w:pPr>
        <w:pStyle w:val="2"/>
        <w:widowControl/>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5.2.1 售后服务考核：甲方根据合约售后服务内容对乙方执行情况进行服务评分，考评结果由甲乙双方共同签字确认，作为售后服务考核的依据。售后服务当月考评≥90分，考核系数为1；80分≤售后服务当月考评＜90分，考核系数为0.9；70分≤售后服务当月考评＜80分，考核系数为0.8；60分≤售后服务当月考评＜70分，考核系数为0.7；50分≤售后服务当月考评＜60分，考核系数为0.6；售后服务当月考评＜50分，考核系数为0。</w:t>
      </w:r>
    </w:p>
    <w:p>
      <w:pPr>
        <w:pStyle w:val="2"/>
        <w:widowControl/>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5.2.2 技术服务考核：按PTA团队氧化装置分析频率表核算废热锅炉水处理质量合格率，当月指标合格率≥90%，考核系数为1；80%≤合格率＜90%，考核系数为0.9；70%≤合格率＜80%，考核系数为0.8；60%≤合格率＜70%，考核系数为0.7；50%≤合格率＜60%，考核系数为0.6；合格率＜50%，考核系数为0，不支付货款，且甲方有权解除合约。</w:t>
      </w:r>
    </w:p>
    <w:p>
      <w:pPr>
        <w:pStyle w:val="2"/>
        <w:widowControl/>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5.2.3 合格率的判定：若当天取样分析数据合格，则判定为当天处理合格；若数据不合格进行加样确认，二次加样数据合格，则判定当天处理合格，二次加样仍不合格，则判定当天处理不合格。异常处理期间频繁加样数据不计入考核范围，合格率按照以下公式计算。</w:t>
      </w:r>
    </w:p>
    <w:p>
      <w:pPr>
        <w:pStyle w:val="2"/>
        <w:widowControl/>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drawing>
          <wp:inline distT="0" distB="0" distL="114300" distR="114300">
            <wp:extent cx="2800350" cy="44767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5"/>
                    <a:stretch>
                      <a:fillRect/>
                    </a:stretch>
                  </pic:blipFill>
                  <pic:spPr>
                    <a:xfrm>
                      <a:off x="0" y="0"/>
                      <a:ext cx="2800350" cy="447675"/>
                    </a:xfrm>
                    <a:prstGeom prst="rect">
                      <a:avLst/>
                    </a:prstGeom>
                    <a:noFill/>
                    <a:ln w="9525">
                      <a:noFill/>
                    </a:ln>
                  </pic:spPr>
                </pic:pic>
              </a:graphicData>
            </a:graphic>
          </wp:inline>
        </w:drawing>
      </w:r>
      <w:r>
        <w:rPr>
          <w:rFonts w:hint="eastAsia" w:ascii="宋体" w:hAnsi="宋体" w:eastAsia="宋体" w:cs="宋体"/>
          <w:b w:val="0"/>
          <w:bCs w:val="0"/>
          <w:color w:val="auto"/>
          <w:kern w:val="0"/>
          <w:sz w:val="24"/>
          <w:szCs w:val="24"/>
          <w:lang w:val="en-US" w:eastAsia="zh-CN" w:bidi="ar"/>
        </w:rPr>
        <w:t xml:space="preserve"> </w:t>
      </w:r>
    </w:p>
    <w:p>
      <w:pPr>
        <w:pStyle w:val="2"/>
        <w:widowControl/>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*锅炉水质分析频率为：pH每天一次，Fe每周三次，SiO2每周三次，Cond. 每周三次， (PO4)</w:t>
      </w:r>
      <w:r>
        <w:rPr>
          <w:rFonts w:hint="eastAsia" w:ascii="宋体" w:hAnsi="宋体" w:eastAsia="宋体" w:cs="宋体"/>
          <w:b w:val="0"/>
          <w:bCs w:val="0"/>
          <w:color w:val="auto"/>
          <w:kern w:val="0"/>
          <w:sz w:val="24"/>
          <w:szCs w:val="24"/>
          <w:vertAlign w:val="superscript"/>
          <w:lang w:val="en-US" w:eastAsia="zh-CN" w:bidi="ar"/>
        </w:rPr>
        <w:t>3-</w:t>
      </w:r>
      <w:r>
        <w:rPr>
          <w:rFonts w:hint="eastAsia" w:ascii="宋体" w:hAnsi="宋体" w:eastAsia="宋体" w:cs="宋体"/>
          <w:b w:val="0"/>
          <w:bCs w:val="0"/>
          <w:color w:val="auto"/>
          <w:kern w:val="0"/>
          <w:sz w:val="24"/>
          <w:szCs w:val="24"/>
          <w:lang w:val="en-US" w:eastAsia="zh-CN" w:bidi="ar"/>
        </w:rPr>
        <w:t>每周三次。</w:t>
      </w:r>
    </w:p>
    <w:p>
      <w:pPr>
        <w:pStyle w:val="2"/>
        <w:widowControl/>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5.3 赔偿：未得到甲方认可前乙方不得单方面不执行合约，乙方单方面不执行合约应按合约总额赔偿甲方，如造成甲方生产事故或设备受损，甲方有权追加相应赔偿。</w:t>
      </w:r>
    </w:p>
    <w:p>
      <w:pPr>
        <w:pStyle w:val="2"/>
        <w:widowControl/>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5.4 若样品连续一周合格率无法达到90%以上要求，甲方有权利要求试用其他厂家助剂，乙方不得有异议。</w:t>
      </w:r>
    </w:p>
    <w:p>
      <w:pPr>
        <w:pStyle w:val="2"/>
        <w:widowControl/>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5.5 合约到期或终止后，合约外多余的药剂及药剂空桶由乙方负责清理处置，产生的相关费用由乙方承担。</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7"/>
        <w:widowControl/>
        <w:numPr>
          <w:ilvl w:val="0"/>
          <w:numId w:val="1"/>
        </w:numPr>
        <w:ind w:left="720" w:hanging="720" w:firstLineChars="0"/>
        <w:rPr>
          <w:rFonts w:hint="eastAsia" w:ascii="Times New Roman" w:hAnsi="Times New Roman" w:eastAsia="宋体" w:cs="Times New Roman"/>
          <w:b/>
          <w:bCs w:val="0"/>
          <w:kern w:val="2"/>
          <w:sz w:val="32"/>
          <w:szCs w:val="32"/>
        </w:rPr>
      </w:pPr>
      <w:r>
        <w:rPr>
          <w:rFonts w:hint="eastAsia" w:ascii="宋体" w:hAnsi="宋体" w:eastAsia="宋体" w:cs="宋体"/>
          <w:b/>
          <w:bCs w:val="0"/>
          <w:kern w:val="2"/>
          <w:sz w:val="32"/>
          <w:szCs w:val="32"/>
        </w:rPr>
        <w:t>包装及运输</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6.1 乙方负责提供产品的运输至甲方指定仓库，甲方负责现场卸货。</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6.2 包装需满足长途陆路运输的要求，避免产品运输过程中日晒、雨淋及其它可能对产品造成损害的情况出现。</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6.3 产品的包装和运输应满足交通运输部门及行业协会所规定要求。</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6.4 计量称重：甲方在厂区复核药剂的重量，药剂的计量以甲方计量数据为结算依据。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7"/>
        <w:widowControl/>
        <w:numPr>
          <w:ilvl w:val="0"/>
          <w:numId w:val="1"/>
        </w:numPr>
        <w:ind w:left="720" w:hanging="720" w:firstLineChars="0"/>
        <w:rPr>
          <w:rFonts w:hint="eastAsia" w:ascii="Times New Roman" w:hAnsi="Times New Roman" w:eastAsia="宋体" w:cs="Times New Roman"/>
          <w:b/>
          <w:bCs w:val="0"/>
          <w:kern w:val="2"/>
          <w:sz w:val="32"/>
          <w:szCs w:val="32"/>
        </w:rPr>
      </w:pPr>
      <w:r>
        <w:rPr>
          <w:rFonts w:hint="eastAsia" w:ascii="宋体" w:hAnsi="宋体" w:eastAsia="宋体" w:cs="宋体"/>
          <w:b/>
          <w:bCs w:val="0"/>
          <w:kern w:val="2"/>
          <w:sz w:val="32"/>
          <w:szCs w:val="32"/>
        </w:rPr>
        <w:t>技术服务及售后</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7.1 服务时间、地点</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时间：2022年11月18日至202</w:t>
      </w:r>
      <w:r>
        <w:rPr>
          <w:rFonts w:hint="eastAsia" w:cs="宋体"/>
          <w:b w:val="0"/>
          <w:bCs w:val="0"/>
          <w:color w:val="auto"/>
          <w:kern w:val="0"/>
          <w:sz w:val="24"/>
          <w:szCs w:val="24"/>
          <w:lang w:val="en-US" w:eastAsia="zh-CN" w:bidi="ar"/>
        </w:rPr>
        <w:t>4</w:t>
      </w:r>
      <w:r>
        <w:rPr>
          <w:rFonts w:hint="eastAsia" w:ascii="宋体" w:hAnsi="宋体" w:eastAsia="宋体" w:cs="宋体"/>
          <w:b w:val="0"/>
          <w:bCs w:val="0"/>
          <w:color w:val="auto"/>
          <w:kern w:val="0"/>
          <w:sz w:val="24"/>
          <w:szCs w:val="24"/>
          <w:lang w:val="en-US" w:eastAsia="zh-CN" w:bidi="ar"/>
        </w:rPr>
        <w:t>年11月17日，共计</w:t>
      </w:r>
      <w:r>
        <w:rPr>
          <w:rFonts w:hint="eastAsia" w:cs="宋体"/>
          <w:b w:val="0"/>
          <w:bCs w:val="0"/>
          <w:color w:val="auto"/>
          <w:kern w:val="0"/>
          <w:sz w:val="24"/>
          <w:szCs w:val="24"/>
          <w:lang w:val="en-US" w:eastAsia="zh-CN" w:bidi="ar"/>
        </w:rPr>
        <w:t>24</w:t>
      </w:r>
      <w:r>
        <w:rPr>
          <w:rFonts w:hint="eastAsia" w:ascii="宋体" w:hAnsi="宋体" w:eastAsia="宋体" w:cs="宋体"/>
          <w:b w:val="0"/>
          <w:bCs w:val="0"/>
          <w:color w:val="auto"/>
          <w:kern w:val="0"/>
          <w:sz w:val="24"/>
          <w:szCs w:val="24"/>
          <w:lang w:val="en-US" w:eastAsia="zh-CN" w:bidi="ar"/>
        </w:rPr>
        <w:t>个月。</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地点：福建省漳州市漳浦县古雷开发区腾龙路86号福海创石油化工有限公司</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 日常服务要求</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7.2.1 定期提供服务报告（含系统评估、水质处理评价和操作建议）。初步设定为周报、月报、季报和年报形式，系统异常期间据情增加频次。</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7.2.2 要求投标厂商在我司附近设置水处理分析设备和实验室，并派驻有资质的技术服务人员，保证至少每周3次的现场服务，包括且不限于药剂罐补充药剂、系统加药及调整、水质改善方案建议、现场药剂库存盘点等，如遇系统异常期间还应据实际情况增加现场服务次数。</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7.2.3 乙方必须配置1名专业服务人员（具有3年以上的PTA装置锅炉水处理经验），提供现场调试和运行的技术服务，包括产品介绍、技术咨询、操作技术培训等内容。</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7.2.4 如系统发生异常，服务人员接到通知2小时内至现场协助处理，采取应急措施及提供必要设施，处理完成后提供异常处理过程说明书面报告。</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7.2.5 锅炉停用期间，供应商需派项目技术人员协助装置编制锅炉停用保养方案、开停车方案，并在检修期间对设备内部检视，1周内提供书面检视报告。</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7.2.6 药剂到货，需甲方员工在场监督、核实到货数量，乙方应出具药剂清单及药剂合格证明。</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7.2.7 到货药剂的搬运，各储罐日常药剂的添加，由乙方负责，并保持药剂摆放区域的整理、整洁，并负责回收药剂空桶。</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7.2.8 药剂清点：乙方应对现场剩余药剂数量、使用药剂数量等定期统计，务必保证现场药剂量充足。若药剂使用量异常时，应及时反馈甲方并商讨解决方案。</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7.2.9 乙方根据每日水质分析情况，及时对药剂的添加量进行调整。</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7.2.10 协助装置技术人员对生产操作人员进行锅炉水药剂操作及相关知识的培训工作。</w:t>
      </w:r>
    </w:p>
    <w:p>
      <w:pPr>
        <w:rPr>
          <w:rFonts w:hint="default"/>
          <w:lang w:val="en-US" w:eastAsia="zh-CN"/>
        </w:rPr>
      </w:pPr>
      <w:r>
        <w:rPr>
          <w:rFonts w:hint="eastAsia" w:ascii="宋体" w:hAnsi="宋体" w:eastAsia="宋体" w:cs="宋体"/>
          <w:b w:val="0"/>
          <w:bCs w:val="0"/>
          <w:color w:val="auto"/>
          <w:kern w:val="0"/>
          <w:sz w:val="24"/>
          <w:szCs w:val="24"/>
          <w:lang w:val="en-US" w:eastAsia="zh-CN" w:bidi="ar"/>
        </w:rPr>
        <w:t xml:space="preserve">    7.2.11甲方有权利要求试用其他厂家助剂</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 </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双方责任</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 通则</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8.1.1 本</w:t>
      </w:r>
      <w:r>
        <w:rPr>
          <w:rFonts w:hint="eastAsia" w:cs="宋体"/>
          <w:b w:val="0"/>
          <w:bCs w:val="0"/>
          <w:color w:val="auto"/>
          <w:kern w:val="0"/>
          <w:sz w:val="24"/>
          <w:szCs w:val="24"/>
          <w:lang w:val="en-US" w:eastAsia="zh-CN" w:bidi="ar"/>
        </w:rPr>
        <w:t>要求</w:t>
      </w:r>
      <w:r>
        <w:rPr>
          <w:rFonts w:hint="eastAsia" w:ascii="宋体" w:hAnsi="宋体" w:eastAsia="宋体" w:cs="宋体"/>
          <w:b w:val="0"/>
          <w:bCs w:val="0"/>
          <w:color w:val="auto"/>
          <w:kern w:val="0"/>
          <w:sz w:val="24"/>
          <w:szCs w:val="24"/>
          <w:lang w:val="en-US" w:eastAsia="zh-CN" w:bidi="ar"/>
        </w:rPr>
        <w:t>提出的是最低限度的技术要求，并未对一切技术要求作出详细规定，也未充分的引述有关标准及规范的条文。乙方应保证提供符合本规范书和相关的国际、国内工业标准的优质产品及其相应服务。</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8.1.2 本</w:t>
      </w:r>
      <w:r>
        <w:rPr>
          <w:rFonts w:hint="eastAsia" w:cs="宋体"/>
          <w:b w:val="0"/>
          <w:bCs w:val="0"/>
          <w:color w:val="auto"/>
          <w:kern w:val="0"/>
          <w:sz w:val="24"/>
          <w:szCs w:val="24"/>
          <w:lang w:val="en-US" w:eastAsia="zh-CN" w:bidi="ar"/>
        </w:rPr>
        <w:t>要求</w:t>
      </w:r>
      <w:r>
        <w:rPr>
          <w:rFonts w:hint="eastAsia" w:ascii="宋体" w:hAnsi="宋体" w:eastAsia="宋体" w:cs="宋体"/>
          <w:b w:val="0"/>
          <w:bCs w:val="0"/>
          <w:color w:val="auto"/>
          <w:kern w:val="0"/>
          <w:sz w:val="24"/>
          <w:szCs w:val="24"/>
          <w:lang w:val="en-US" w:eastAsia="zh-CN" w:bidi="ar"/>
        </w:rPr>
        <w:t>所使用的标准如遇与乙方、国家所执行的标准发生矛盾时，按较高标准执行。乙方确保供货完整以能满足用户系统要求为原则。</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8.1.3 乙方若对本协议和招标文件的要求有不同的见解，以及工艺参数与合同要求有偏差时，</w:t>
      </w:r>
      <w:r>
        <w:rPr>
          <w:rFonts w:hint="eastAsia" w:cs="宋体"/>
          <w:b w:val="0"/>
          <w:bCs w:val="0"/>
          <w:color w:val="auto"/>
          <w:kern w:val="0"/>
          <w:sz w:val="24"/>
          <w:szCs w:val="24"/>
          <w:lang w:val="en-US" w:eastAsia="zh-CN" w:bidi="ar"/>
        </w:rPr>
        <w:t>应及时</w:t>
      </w:r>
      <w:r>
        <w:rPr>
          <w:rFonts w:hint="eastAsia" w:ascii="宋体" w:hAnsi="宋体" w:eastAsia="宋体" w:cs="宋体"/>
          <w:b w:val="0"/>
          <w:bCs w:val="0"/>
          <w:color w:val="auto"/>
          <w:kern w:val="0"/>
          <w:sz w:val="24"/>
          <w:szCs w:val="24"/>
          <w:lang w:val="en-US" w:eastAsia="zh-CN" w:bidi="ar"/>
        </w:rPr>
        <w:t>提出以供甲方确认。如乙方没有提出此类偏差文件，则乙方所提供的产品和服务将被认为完全符合甲方文件提出的要求。</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8.1.4 本</w:t>
      </w:r>
      <w:r>
        <w:rPr>
          <w:rFonts w:hint="eastAsia" w:cs="宋体"/>
          <w:b w:val="0"/>
          <w:bCs w:val="0"/>
          <w:color w:val="auto"/>
          <w:kern w:val="0"/>
          <w:sz w:val="24"/>
          <w:szCs w:val="24"/>
          <w:lang w:val="en-US" w:eastAsia="zh-CN" w:bidi="ar"/>
        </w:rPr>
        <w:t>发包要求</w:t>
      </w:r>
      <w:r>
        <w:rPr>
          <w:rFonts w:hint="eastAsia" w:ascii="宋体" w:hAnsi="宋体" w:eastAsia="宋体" w:cs="宋体"/>
          <w:b w:val="0"/>
          <w:bCs w:val="0"/>
          <w:color w:val="auto"/>
          <w:kern w:val="0"/>
          <w:sz w:val="24"/>
          <w:szCs w:val="24"/>
          <w:lang w:val="en-US" w:eastAsia="zh-CN" w:bidi="ar"/>
        </w:rPr>
        <w:t>作为药剂采购和技术服务合同的附件，是该合同不可分割的一部分，作为一个整体，具有相同的法律效力。</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 甲方责任</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8.2.1 负责日常的水质取样、指标分析。</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8.2.2 甲方根据乙方提供的上述产品质量指标进行验收。</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8.2.3 甲方应保证系统补水水质指标符合技术协议要求。</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8.2.4 甲方与乙方约定的药剂使用量是以确保处理后的水质指标满足甲方要求为依据，如约定的药剂数量无法达到甲方要求的水质指标，乙方应通过增加药剂用量或调整药剂配方等手段使水质尽快达标，由此所增加的费用乙方不得向甲方追偿。如因甲方的原因（发生设备或工艺异常）造成药剂使用量超过约定，双方应共同对异常药剂量使用的原因进行分析，统计、核对异常工况产生的药剂使用量，在合约条款规范内，甲方向乙方支付超出合约药剂量的货款。超出合约货款支付金额计算：</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超出合约货款支付金额=超出合约药剂使用数量×药剂合约单价</w:t>
      </w:r>
    </w:p>
    <w:p>
      <w:pPr>
        <w:pStyle w:val="2"/>
        <w:widowControl/>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 乙方责任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Arial" w:hAnsi="Arial" w:eastAsia="宋体" w:cs="宋体"/>
          <w:color w:val="000000"/>
          <w:kern w:val="2"/>
          <w:sz w:val="24"/>
          <w:szCs w:val="24"/>
        </w:rPr>
      </w:pPr>
      <w:r>
        <w:rPr>
          <w:rFonts w:hint="eastAsia" w:ascii="宋体" w:hAnsi="宋体" w:eastAsia="宋体" w:cs="宋体"/>
          <w:color w:val="000000"/>
          <w:kern w:val="0"/>
          <w:sz w:val="24"/>
          <w:szCs w:val="24"/>
          <w:lang w:val="en-US" w:eastAsia="zh-CN" w:bidi="ar"/>
        </w:rPr>
        <w:t xml:space="preserve">8.3.1 </w:t>
      </w:r>
      <w:r>
        <w:rPr>
          <w:rFonts w:hint="eastAsia" w:ascii="宋体" w:hAnsi="宋体" w:eastAsia="宋体" w:cs="宋体"/>
          <w:color w:val="000000"/>
          <w:kern w:val="2"/>
          <w:sz w:val="24"/>
          <w:szCs w:val="24"/>
          <w:lang w:val="en-US" w:eastAsia="zh-CN" w:bidi="ar"/>
        </w:rPr>
        <w:t>乙方需在规定的时间内向我司提供投标技术方案、资质材料和真实的业绩证明，供我司考察和技术澄清。厂商须提交下列资料和技术方案：</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①提供企业法人营业执照</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②公司的主要业绩</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③锅炉水系统加药处理技术方案</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④药剂质量标准、化学成分表及分析方法、MSDS材料安全数据表</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⑤锅炉水系统泄漏事故的应急处理方案</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⑥甲方要求的其它与本项目有关的证明材料</w:t>
      </w:r>
    </w:p>
    <w:p>
      <w:pPr>
        <w:pStyle w:val="2"/>
        <w:widowControl/>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kern w:val="2"/>
          <w:sz w:val="24"/>
          <w:szCs w:val="24"/>
          <w:lang w:val="en-US" w:eastAsia="zh-CN" w:bidi="ar"/>
        </w:rPr>
        <w:t>8.3.2通过药剂注入量的调整以保证各种指标达到本技术协议中“水质控制指标”所规定的指标。</w:t>
      </w:r>
    </w:p>
    <w:p>
      <w:pPr>
        <w:pStyle w:val="2"/>
        <w:widowControl/>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kern w:val="2"/>
          <w:sz w:val="24"/>
          <w:szCs w:val="24"/>
          <w:lang w:val="en-US" w:eastAsia="zh-CN" w:bidi="ar"/>
        </w:rPr>
        <w:t>8.3.3根据生产需要，经甲方书面通知，乙方应15日内将货物运输至现场，并送到甲方指定点。保证在合同期内不得中断药剂供应。</w:t>
      </w:r>
    </w:p>
    <w:p>
      <w:pPr>
        <w:pStyle w:val="2"/>
        <w:widowControl/>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kern w:val="2"/>
          <w:sz w:val="24"/>
          <w:szCs w:val="24"/>
          <w:lang w:val="en-US" w:eastAsia="zh-CN" w:bidi="ar"/>
        </w:rPr>
        <w:t>8.3.4参与标定方案的编写与审核，配合标定的各项工作。</w:t>
      </w:r>
    </w:p>
    <w:p>
      <w:pPr>
        <w:pStyle w:val="2"/>
        <w:widowControl/>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kern w:val="2"/>
          <w:sz w:val="24"/>
          <w:szCs w:val="24"/>
          <w:lang w:val="en-US" w:eastAsia="zh-CN" w:bidi="ar"/>
        </w:rPr>
        <w:t>8.3.5乙方应在每一批次产品送至甲方指定地点的同时提供该批次产品的质检单、合格证、安全技术说明书（MSDS）等相关资料。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Arial" w:hAnsi="Arial" w:eastAsia="宋体" w:cs="宋体"/>
          <w:color w:val="000000"/>
          <w:kern w:val="2"/>
          <w:sz w:val="24"/>
          <w:szCs w:val="24"/>
        </w:rPr>
      </w:pPr>
      <w:r>
        <w:rPr>
          <w:rFonts w:hint="eastAsia" w:ascii="宋体" w:hAnsi="宋体" w:eastAsia="宋体" w:cs="宋体"/>
          <w:color w:val="000000"/>
          <w:kern w:val="0"/>
          <w:sz w:val="24"/>
          <w:szCs w:val="24"/>
          <w:lang w:val="en-US" w:eastAsia="zh-CN" w:bidi="ar"/>
        </w:rPr>
        <w:t>8.3.6</w:t>
      </w:r>
      <w:r>
        <w:rPr>
          <w:rFonts w:hint="eastAsia" w:ascii="宋体" w:hAnsi="宋体" w:eastAsia="宋体" w:cs="宋体"/>
          <w:color w:val="000000"/>
          <w:kern w:val="2"/>
          <w:sz w:val="24"/>
          <w:szCs w:val="24"/>
          <w:lang w:val="en-US" w:eastAsia="zh-CN" w:bidi="ar"/>
        </w:rPr>
        <w:t>合约签订后水质处理方案不可变更。如因不可抗拒力或其它必要原因乙方要求调整或更换药剂配方和种类，必须书面通知甲方，并提供相应的方案变更说明、可行性分析报告和相应的成功案例经验等资料，经甲方各相关部门审核同意后方可实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color w:val="000000"/>
          <w:kern w:val="0"/>
          <w:sz w:val="24"/>
          <w:szCs w:val="24"/>
          <w:lang w:val="en-US" w:eastAsia="zh-CN" w:bidi="ar"/>
        </w:rPr>
        <w:t>8.3.7</w:t>
      </w:r>
      <w:r>
        <w:rPr>
          <w:rFonts w:hint="eastAsia" w:ascii="宋体" w:hAnsi="宋体" w:eastAsia="宋体" w:cs="宋体"/>
          <w:color w:val="000000"/>
          <w:kern w:val="2"/>
          <w:sz w:val="24"/>
          <w:szCs w:val="24"/>
          <w:lang w:val="en-US" w:eastAsia="zh-CN" w:bidi="ar"/>
        </w:rPr>
        <w:t>与本项目有关的所有资料非经甲方同意，乙方不得泄露给任何第三方，否则乙方须承担由此带来的一</w:t>
      </w:r>
      <w:r>
        <w:rPr>
          <w:rFonts w:hint="eastAsia" w:ascii="宋体" w:hAnsi="宋体" w:eastAsia="宋体" w:cs="宋体"/>
          <w:bCs/>
          <w:kern w:val="2"/>
          <w:sz w:val="24"/>
          <w:szCs w:val="24"/>
          <w:lang w:val="en-US" w:eastAsia="zh-CN" w:bidi="ar"/>
        </w:rPr>
        <w:t>切后果。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Arial" w:hAnsi="Arial" w:eastAsia="宋体" w:cs="宋体"/>
          <w:color w:val="000000"/>
          <w:kern w:val="2"/>
          <w:sz w:val="24"/>
          <w:szCs w:val="24"/>
        </w:rPr>
      </w:pPr>
      <w:r>
        <w:rPr>
          <w:rFonts w:hint="eastAsia" w:ascii="宋体" w:hAnsi="宋体" w:eastAsia="宋体" w:cs="宋体"/>
          <w:color w:val="000000"/>
          <w:kern w:val="0"/>
          <w:sz w:val="24"/>
          <w:szCs w:val="24"/>
          <w:lang w:val="en-US" w:eastAsia="zh-CN" w:bidi="ar"/>
        </w:rPr>
        <w:t>8.3.8</w:t>
      </w:r>
      <w:r>
        <w:rPr>
          <w:rFonts w:hint="eastAsia" w:ascii="宋体" w:hAnsi="宋体" w:eastAsia="宋体" w:cs="宋体"/>
          <w:color w:val="000000"/>
          <w:kern w:val="2"/>
          <w:sz w:val="24"/>
          <w:szCs w:val="24"/>
          <w:lang w:val="en-US" w:eastAsia="zh-CN" w:bidi="ar"/>
        </w:rPr>
        <w:t>乙方承诺的售后服务范围应按照协议要求实施，并计入考核内容。乙方的技术人员现场服务由甲乙双方共同签字确认，作为服务依据。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Arial" w:hAnsi="Arial" w:cs="Arial"/>
          <w:color w:val="000000"/>
          <w:kern w:val="2"/>
          <w:sz w:val="24"/>
          <w:szCs w:val="24"/>
        </w:rPr>
      </w:pPr>
      <w:r>
        <w:rPr>
          <w:rFonts w:hint="eastAsia" w:ascii="宋体" w:hAnsi="宋体" w:eastAsia="宋体" w:cs="宋体"/>
          <w:color w:val="000000"/>
          <w:kern w:val="0"/>
          <w:sz w:val="24"/>
          <w:szCs w:val="24"/>
          <w:lang w:val="en-US" w:eastAsia="zh-CN" w:bidi="ar"/>
        </w:rPr>
        <w:t>8.3.9</w:t>
      </w:r>
      <w:r>
        <w:rPr>
          <w:rFonts w:hint="eastAsia" w:ascii="宋体" w:hAnsi="宋体" w:eastAsia="宋体" w:cs="宋体"/>
          <w:color w:val="000000"/>
          <w:kern w:val="2"/>
          <w:sz w:val="24"/>
          <w:szCs w:val="24"/>
          <w:lang w:val="en-US" w:eastAsia="zh-CN" w:bidi="ar"/>
        </w:rPr>
        <w:t>乙方应在确认中标后第一时间到我司现场，与我司确认药剂过渡方案和备货情况，以保证系统的稳定运行和不发生水质波动。药剂供应及服务以甲方的正式通知（包括书面、电话或邮件）为准，药剂依乙方方案总量按月供应，并保证预留有</w:t>
      </w:r>
      <w:r>
        <w:rPr>
          <w:rFonts w:hint="default" w:ascii="Arial" w:hAnsi="Arial" w:eastAsia="宋体" w:cs="Arial"/>
          <w:color w:val="000000"/>
          <w:kern w:val="2"/>
          <w:sz w:val="24"/>
          <w:szCs w:val="24"/>
          <w:lang w:val="en-US" w:eastAsia="zh-CN" w:bidi="ar"/>
        </w:rPr>
        <w:t>1-3</w:t>
      </w:r>
      <w:r>
        <w:rPr>
          <w:rFonts w:hint="eastAsia" w:ascii="宋体" w:hAnsi="宋体" w:eastAsia="宋体" w:cs="宋体"/>
          <w:color w:val="000000"/>
          <w:kern w:val="2"/>
          <w:sz w:val="24"/>
          <w:szCs w:val="24"/>
          <w:lang w:val="en-US" w:eastAsia="zh-CN" w:bidi="ar"/>
        </w:rPr>
        <w:t>月的安全库存，</w:t>
      </w:r>
      <w:r>
        <w:rPr>
          <w:rFonts w:hint="eastAsia" w:ascii="Arial" w:hAnsi="Arial" w:eastAsia="宋体" w:cs="Arial"/>
          <w:color w:val="000000"/>
          <w:kern w:val="2"/>
          <w:sz w:val="24"/>
          <w:szCs w:val="24"/>
          <w:lang w:val="en-US" w:eastAsia="zh-CN" w:bidi="ar"/>
        </w:rPr>
        <w:t>24</w:t>
      </w:r>
      <w:r>
        <w:rPr>
          <w:rFonts w:hint="eastAsia" w:ascii="宋体" w:hAnsi="宋体" w:eastAsia="宋体" w:cs="宋体"/>
          <w:color w:val="000000"/>
          <w:kern w:val="2"/>
          <w:sz w:val="24"/>
          <w:szCs w:val="24"/>
          <w:lang w:val="en-US" w:eastAsia="zh-CN" w:bidi="ar"/>
        </w:rPr>
        <w:t xml:space="preserve">个月内全部交齐。乙方需按甲方指定地点存放药剂，甲方不负责对现场存放药剂的保管责任。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8.3.10乙方在合约期内未得到甲方认可不得中断药剂供应。</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 </w:t>
      </w:r>
    </w:p>
    <w:p>
      <w:pPr>
        <w:pStyle w:val="7"/>
        <w:widowControl/>
        <w:numPr>
          <w:ilvl w:val="0"/>
          <w:numId w:val="1"/>
        </w:numPr>
        <w:ind w:left="720" w:hanging="720" w:firstLineChars="0"/>
        <w:rPr>
          <w:rFonts w:hint="eastAsia" w:ascii="Times New Roman" w:hAnsi="Times New Roman" w:eastAsia="宋体" w:cs="Times New Roman"/>
          <w:b/>
          <w:bCs w:val="0"/>
          <w:kern w:val="2"/>
          <w:sz w:val="32"/>
          <w:szCs w:val="32"/>
        </w:rPr>
      </w:pPr>
      <w:r>
        <w:rPr>
          <w:rFonts w:hint="eastAsia" w:ascii="宋体" w:hAnsi="宋体" w:eastAsia="宋体" w:cs="宋体"/>
          <w:b/>
          <w:bCs w:val="0"/>
          <w:kern w:val="2"/>
          <w:sz w:val="32"/>
          <w:szCs w:val="32"/>
        </w:rPr>
        <w:t>其他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9.1竞标厂商需满足招标文件中相关的资质、业绩条件，并确保所提供的药剂、方案、和服务可满足上述技术要求后，方可参与竞标。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9.2甲方安装的水质自动在线监测只作为加药和水质辅助监测，具体水质指标以甲方分析实验室化验数据报告为准；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kern w:val="2"/>
          <w:sz w:val="24"/>
          <w:szCs w:val="24"/>
          <w:lang w:val="en-US" w:eastAsia="zh-CN" w:bidi="ar"/>
        </w:rPr>
        <w:t>9.3</w:t>
      </w:r>
      <w:r>
        <w:rPr>
          <w:rFonts w:hint="eastAsia" w:ascii="宋体" w:hAnsi="宋体" w:eastAsia="宋体" w:cs="宋体"/>
          <w:bCs/>
          <w:kern w:val="2"/>
          <w:sz w:val="24"/>
          <w:szCs w:val="24"/>
          <w:lang w:val="en-US" w:eastAsia="zh-CN" w:bidi="ar"/>
        </w:rPr>
        <w:t>合约履行期间，甲方可随时对药剂等进厂材料进行查验检测，乙方应予配合；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9.4</w:t>
      </w:r>
      <w:r>
        <w:rPr>
          <w:rFonts w:hint="eastAsia" w:ascii="宋体" w:hAnsi="宋体" w:eastAsia="宋体" w:cs="宋体"/>
          <w:kern w:val="2"/>
          <w:sz w:val="24"/>
          <w:szCs w:val="24"/>
          <w:lang w:val="en-US" w:eastAsia="zh-CN" w:bidi="ar"/>
        </w:rPr>
        <w:t>对于本招标技术文件中未尽事宜，可继续向招标方咨询了解，对于双方同意的新增或修改事项可另附文说明并作为合同附件。</w:t>
      </w:r>
    </w:p>
    <w:p>
      <w:pPr>
        <w:pStyle w:val="7"/>
        <w:widowControl/>
        <w:numPr>
          <w:ilvl w:val="0"/>
          <w:numId w:val="1"/>
        </w:numPr>
        <w:ind w:left="720" w:hanging="720" w:firstLineChars="0"/>
        <w:rPr>
          <w:rFonts w:hint="eastAsia" w:ascii="Times New Roman" w:hAnsi="Times New Roman" w:eastAsia="宋体" w:cs="Times New Roman"/>
          <w:b/>
          <w:bCs w:val="0"/>
          <w:kern w:val="2"/>
          <w:sz w:val="32"/>
          <w:szCs w:val="32"/>
        </w:rPr>
      </w:pPr>
      <w:r>
        <w:rPr>
          <w:rFonts w:hint="eastAsia" w:ascii="宋体" w:hAnsi="宋体" w:eastAsia="宋体" w:cs="宋体"/>
          <w:b/>
          <w:bCs w:val="0"/>
          <w:kern w:val="2"/>
          <w:sz w:val="32"/>
          <w:szCs w:val="32"/>
        </w:rPr>
        <w:t>联系方式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69" w:hRule="atLeast"/>
        </w:trPr>
        <w:tc>
          <w:tcPr>
            <w:tcW w:w="42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 xml:space="preserve">甲方：福建福海创石油化工有限公司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 xml:space="preserve">甲方代表（签字）：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邮 箱：</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日 期：</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乙方：</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乙方代表（签字）：</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邮 箱：</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日 期：</w:t>
            </w:r>
          </w:p>
        </w:tc>
      </w:tr>
    </w:tbl>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drawing>
        <wp:inline distT="0" distB="0" distL="114300" distR="114300">
          <wp:extent cx="2526665" cy="326390"/>
          <wp:effectExtent l="0" t="0" r="6985" b="16510"/>
          <wp:docPr id="8" name="图片 8" descr="849596255e67963440bc071a3d6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49596255e67963440bc071a3d63242"/>
                  <pic:cNvPicPr>
                    <a:picLocks noChangeAspect="1"/>
                  </pic:cNvPicPr>
                </pic:nvPicPr>
                <pic:blipFill>
                  <a:blip r:embed="rId1"/>
                  <a:stretch>
                    <a:fillRect/>
                  </a:stretch>
                </pic:blipFill>
                <pic:spPr>
                  <a:xfrm>
                    <a:off x="0" y="0"/>
                    <a:ext cx="2526665" cy="326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AFA2B"/>
    <w:multiLevelType w:val="multilevel"/>
    <w:tmpl w:val="D42AFA2B"/>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zU5MzU0ZGIwM2NmYjE1M2I3ZjU1NGQ1ZDllYzEifQ=="/>
  </w:docVars>
  <w:rsids>
    <w:rsidRoot w:val="00172A27"/>
    <w:rsid w:val="0CC87976"/>
    <w:rsid w:val="22ED5A3E"/>
    <w:rsid w:val="295D47C7"/>
    <w:rsid w:val="33AA20FF"/>
    <w:rsid w:val="40FF1009"/>
    <w:rsid w:val="47F74754"/>
    <w:rsid w:val="7B44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val="0"/>
      <w:keepLines w:val="0"/>
      <w:widowControl w:val="0"/>
      <w:suppressLineNumbers w:val="0"/>
      <w:spacing w:before="0" w:beforeAutospacing="0" w:after="0" w:afterAutospacing="0" w:line="360" w:lineRule="auto"/>
      <w:ind w:left="0" w:right="0" w:firstLine="480" w:firstLineChars="200"/>
      <w:jc w:val="left"/>
      <w:outlineLvl w:val="1"/>
    </w:pPr>
    <w:rPr>
      <w:rFonts w:hint="eastAsia" w:ascii="宋体" w:hAnsi="宋体" w:eastAsia="宋体" w:cs="宋体"/>
      <w:b/>
      <w:bCs/>
      <w:color w:val="000000"/>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8">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华文中宋" w:hAnsi="Times New Roman" w:eastAsia="华文中宋" w:cs="华文中宋"/>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4319</Words>
  <Characters>5084</Characters>
  <Lines>1</Lines>
  <Paragraphs>1</Paragraphs>
  <TotalTime>7</TotalTime>
  <ScaleCrop>false</ScaleCrop>
  <LinksUpToDate>false</LinksUpToDate>
  <CharactersWithSpaces>5173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2022-08-25T07:44:00Z</dcterms:created>
  <dc:creator>cqpeng</dc:creator>
  <cp:lastModifiedBy>戴小玉</cp:lastModifiedBy>
  <dcterms:modified xsi:type="dcterms:W3CDTF">2022-09-02T08:04:46Z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98A81CB2672D4E78A70F3E2DDC3E367F</vt:lpwstr>
  </property>
</Properties>
</file>