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eastAsia" w:ascii="宋体" w:hAnsi="宋体" w:cs="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PTA干燥剂2</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项目编号：2022-</w:t>
      </w:r>
      <w:r>
        <w:rPr>
          <w:rFonts w:hint="eastAsia" w:ascii="宋体" w:hAnsi="宋体" w:cs="宋体"/>
          <w:kern w:val="0"/>
          <w:sz w:val="36"/>
          <w:szCs w:val="36"/>
          <w:shd w:val="clear" w:color="auto" w:fill="FFFFFF"/>
          <w:lang w:val="en-US" w:eastAsia="zh-CN"/>
        </w:rPr>
        <w:t>FHC</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val="en-US" w:eastAsia="zh-CN"/>
        </w:rPr>
        <w:t>PTA干燥剂2</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eastAsia="zh-CN"/>
        </w:rPr>
        <w:t>0</w:t>
      </w:r>
      <w:r>
        <w:rPr>
          <w:rFonts w:hint="eastAsia" w:ascii="宋体" w:hAnsi="宋体" w:cs="宋体"/>
          <w:kern w:val="0"/>
          <w:sz w:val="36"/>
          <w:szCs w:val="36"/>
          <w:shd w:val="clear" w:color="auto" w:fill="FFFFFF"/>
          <w:lang w:val="en-US" w:eastAsia="zh-CN"/>
        </w:rPr>
        <w:t>804</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val="en-US" w:eastAsia="zh-CN"/>
        </w:rPr>
        <w:t>翔鹭石化（漳州）有限公司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2022年</w:t>
      </w:r>
      <w:r>
        <w:rPr>
          <w:rFonts w:hint="eastAsia" w:asciiTheme="minorEastAsia" w:hAnsiTheme="minorEastAsia" w:eastAsiaTheme="minorEastAsia" w:cstheme="minorEastAsia"/>
          <w:kern w:val="0"/>
          <w:sz w:val="28"/>
          <w:szCs w:val="28"/>
          <w:shd w:val="clear" w:color="auto" w:fill="FFFFFF"/>
          <w:lang w:val="en-US" w:eastAsia="zh-CN"/>
        </w:rPr>
        <w:t>8</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9</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eastAsia="宋体"/>
          <w:b/>
          <w:bCs/>
          <w:sz w:val="32"/>
          <w:lang w:eastAsia="zh-CN"/>
        </w:rPr>
      </w:pPr>
      <w:r>
        <w:rPr>
          <w:rFonts w:hint="eastAsia"/>
          <w:b/>
          <w:bCs/>
          <w:sz w:val="32"/>
          <w:lang w:eastAsia="zh-CN"/>
        </w:rPr>
        <w:t>翔鹭石化（漳州）有限公司 </w:t>
      </w:r>
    </w:p>
    <w:p>
      <w:pPr>
        <w:spacing w:line="300" w:lineRule="auto"/>
        <w:jc w:val="center"/>
        <w:rPr>
          <w:bCs/>
          <w:szCs w:val="21"/>
        </w:rPr>
      </w:pPr>
      <w:r>
        <w:rPr>
          <w:rFonts w:hint="eastAsia"/>
          <w:b/>
          <w:bCs/>
          <w:sz w:val="32"/>
          <w:lang w:val="en-US" w:eastAsia="zh-CN"/>
        </w:rPr>
        <w:t>PTA干燥剂2</w:t>
      </w: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翔鹭石化（漳州）有限公司 </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PTA干燥剂2</w:t>
      </w:r>
      <w:r>
        <w:rPr>
          <w:rFonts w:hint="eastAsia" w:asciiTheme="minorEastAsia" w:hAnsiTheme="minorEastAsia" w:eastAsiaTheme="minorEastAsia"/>
          <w:bCs/>
          <w:sz w:val="24"/>
          <w:u w:val="single"/>
        </w:rPr>
        <w:t>（项目编号：2022-</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PTA干燥剂2</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0804</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PTA干燥剂2</w:t>
      </w:r>
      <w:r>
        <w:rPr>
          <w:rFonts w:hint="eastAsia" w:ascii="宋体" w:hAnsi="宋体" w:cs="宋体" w:eastAsiaTheme="minorEastAsia"/>
          <w:sz w:val="24"/>
        </w:rPr>
        <w:t>。</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PTA干燥剂2</w:t>
      </w:r>
      <w:r>
        <w:rPr>
          <w:rFonts w:hint="eastAsia" w:asciiTheme="minorEastAsia" w:hAnsiTheme="minorEastAsia" w:eastAsiaTheme="minorEastAsia"/>
          <w:bCs/>
          <w:sz w:val="24"/>
        </w:rPr>
        <w:t>采购数量、质量、货期、服务等要求详见比选文件。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具备经营资质，提供业绩证明</w:t>
      </w:r>
      <w:r>
        <w:rPr>
          <w:rFonts w:hint="eastAsia" w:asciiTheme="minorEastAsia" w:hAnsiTheme="minorEastAsia" w:eastAsiaTheme="minorEastAsia"/>
          <w:bCs/>
          <w:sz w:val="24"/>
          <w:lang w:eastAsia="zh-CN"/>
        </w:rPr>
        <w:t>。</w:t>
      </w:r>
    </w:p>
    <w:p>
      <w:pPr>
        <w:pStyle w:val="13"/>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柒仟</w:t>
      </w:r>
      <w:r>
        <w:rPr>
          <w:rFonts w:hint="eastAsia" w:asciiTheme="minorEastAsia" w:hAnsiTheme="minorEastAsia" w:eastAsiaTheme="minorEastAsia"/>
          <w:bCs/>
          <w:sz w:val="24"/>
          <w:highlight w:val="yellow"/>
        </w:rPr>
        <w:t>元整。</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3"/>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8月19</w:t>
      </w:r>
      <w:bookmarkStart w:id="2" w:name="_GoBack"/>
      <w:bookmarkEnd w:id="2"/>
      <w:r>
        <w:rPr>
          <w:rFonts w:hint="eastAsia" w:asciiTheme="majorEastAsia" w:hAnsiTheme="majorEastAsia" w:eastAsiaTheme="majorEastAsia"/>
          <w:sz w:val="24"/>
        </w:rPr>
        <w:t>日（含当日）</w:t>
      </w:r>
    </w:p>
    <w:p>
      <w:pPr>
        <w:pStyle w:val="13"/>
        <w:numPr>
          <w:ilvl w:val="255"/>
          <w:numId w:val="0"/>
        </w:numPr>
        <w:spacing w:before="0" w:line="300" w:lineRule="auto"/>
        <w:ind w:left="832"/>
        <w:rPr>
          <w:rFonts w:hint="eastAsia"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3"/>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公司经营业绩证明（合同或发票）</w:t>
      </w:r>
      <w:r>
        <w:rPr>
          <w:rFonts w:hint="eastAsia" w:asciiTheme="minorEastAsia" w:hAnsiTheme="minorEastAsia" w:eastAsiaTheme="minorEastAsia"/>
          <w:sz w:val="24"/>
          <w:lang w:eastAsia="zh-CN"/>
        </w:rPr>
        <w:t>。</w:t>
      </w:r>
    </w:p>
    <w:p>
      <w:pPr>
        <w:pStyle w:val="13"/>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柒仟</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w:t>
      </w:r>
      <w:r>
        <w:rPr>
          <w:rFonts w:hint="eastAsia" w:asciiTheme="minorEastAsia" w:hAnsiTheme="minorEastAsia" w:eastAsiaTheme="minorEastAsia"/>
          <w:bCs/>
          <w:sz w:val="24"/>
          <w:lang w:val="en-US" w:eastAsia="zh-CN"/>
        </w:rPr>
        <w:t>并作为合同质保金</w:t>
      </w:r>
      <w:r>
        <w:rPr>
          <w:rFonts w:hint="eastAsia" w:asciiTheme="minorEastAsia" w:hAnsiTheme="minorEastAsia" w:eastAsiaTheme="minorEastAsia"/>
          <w:bCs/>
          <w:sz w:val="24"/>
        </w:rPr>
        <w:t>，如不中选，在比选结束后请联系商务联系人办理无息等额退款。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3"/>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福建福海创石油化工有限公司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3"/>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3"/>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如遇新型冠状病毒疫情影响导致无法保证物流配送时间，需邮件说明原因并在标书递交截止时间前邮件加密发送标书至：wzcgb@fjpec.com.cn（邮件标题备注标书项目名称）。开标当日将由业务员联系获取加密密码。</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 xml:space="preserve"> 谢凯杰</w:t>
      </w:r>
      <w:r>
        <w:rPr>
          <w:rFonts w:hint="eastAsia" w:asciiTheme="minorEastAsia" w:hAnsiTheme="minorEastAsia" w:eastAsiaTheme="minorEastAsia"/>
          <w:bCs/>
          <w:sz w:val="24"/>
        </w:rPr>
        <w:t xml:space="preserve"> 电话：</w:t>
      </w:r>
      <w:r>
        <w:rPr>
          <w:rFonts w:hint="eastAsia" w:cs="宋体" w:asciiTheme="minorEastAsia" w:hAnsiTheme="minorEastAsia"/>
          <w:bCs/>
          <w:sz w:val="24"/>
        </w:rPr>
        <w:t>1</w:t>
      </w:r>
      <w:r>
        <w:rPr>
          <w:rFonts w:hint="eastAsia" w:cs="宋体" w:asciiTheme="minorEastAsia" w:hAnsiTheme="minorEastAsia"/>
          <w:bCs/>
          <w:sz w:val="24"/>
          <w:lang w:val="en-US" w:eastAsia="zh-CN"/>
        </w:rPr>
        <w:t>8259236628</w:t>
      </w:r>
      <w:r>
        <w:rPr>
          <w:rFonts w:hint="eastAsia" w:cs="宋体" w:asciiTheme="minorEastAsia" w:hAnsiTheme="minorEastAsia"/>
          <w:bCs/>
          <w:sz w:val="24"/>
        </w:rPr>
        <w:t xml:space="preserve"> </w:t>
      </w:r>
      <w:r>
        <w:rPr>
          <w:rFonts w:hint="eastAsia" w:asciiTheme="minorEastAsia" w:hAnsiTheme="minorEastAsia" w:eastAsiaTheme="minorEastAsia"/>
          <w:bCs/>
          <w:sz w:val="24"/>
        </w:rPr>
        <w:t xml:space="preserve"> 邮箱：</w:t>
      </w:r>
      <w:r>
        <w:rPr>
          <w:rFonts w:hint="eastAsia" w:asciiTheme="minorEastAsia" w:hAnsiTheme="minorEastAsia" w:eastAsiaTheme="minorEastAsia"/>
          <w:bCs/>
          <w:sz w:val="24"/>
          <w:lang w:val="en-US" w:eastAsia="zh-CN"/>
        </w:rPr>
        <w:t>kjxie</w:t>
      </w:r>
      <w:r>
        <w:rPr>
          <w:rFonts w:hint="eastAsia" w:asciiTheme="minorEastAsia" w:hAnsiTheme="minorEastAsia" w:eastAsiaTheme="minorEastAsia"/>
          <w:bCs/>
          <w:sz w:val="24"/>
        </w:rPr>
        <w:t>@fhcpec.com.cn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翔鹭石化（漳州）有限公司 </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2022年</w:t>
      </w:r>
      <w:r>
        <w:rPr>
          <w:rFonts w:hint="eastAsia" w:asciiTheme="minorEastAsia" w:hAnsiTheme="minorEastAsia" w:eastAsiaTheme="minorEastAsia"/>
          <w:bCs/>
          <w:sz w:val="24"/>
          <w:lang w:val="en-US" w:eastAsia="zh-CN"/>
        </w:rPr>
        <w:t>8</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9</w:t>
      </w:r>
      <w:r>
        <w:rPr>
          <w:rFonts w:hint="eastAsia" w:asciiTheme="minorEastAsia" w:hAnsiTheme="minorEastAsia" w:eastAsiaTheme="minorEastAsia"/>
          <w:bCs/>
          <w:sz w:val="24"/>
        </w:rPr>
        <w:t>日</w:t>
      </w:r>
    </w:p>
    <w:p>
      <w:pPr>
        <w:spacing w:line="360" w:lineRule="auto"/>
        <w:ind w:firstLine="5280" w:firstLineChars="2200"/>
        <w:rPr>
          <w:rFonts w:hint="eastAsia" w:asciiTheme="minorEastAsia" w:hAnsiTheme="minorEastAsia" w:eastAsiaTheme="minorEastAsia"/>
          <w:bCs/>
          <w:sz w:val="24"/>
        </w:rPr>
      </w:pPr>
    </w:p>
    <w:p>
      <w:pPr>
        <w:spacing w:line="360" w:lineRule="auto"/>
        <w:ind w:firstLine="5280" w:firstLineChars="2200"/>
        <w:rPr>
          <w:rFonts w:hint="eastAsia" w:asciiTheme="minorEastAsia" w:hAnsiTheme="minorEastAsia" w:eastAsiaTheme="minorEastAsia"/>
          <w:bCs/>
          <w:sz w:val="24"/>
        </w:rPr>
      </w:pPr>
    </w:p>
    <w:p>
      <w:pPr>
        <w:spacing w:line="360" w:lineRule="auto"/>
        <w:ind w:firstLine="5280" w:firstLineChars="2200"/>
        <w:rPr>
          <w:rFonts w:hint="eastAsia" w:asciiTheme="minorEastAsia" w:hAnsiTheme="minorEastAsia" w:eastAsiaTheme="minorEastAsia"/>
          <w:bCs/>
          <w:sz w:val="24"/>
        </w:rPr>
      </w:pPr>
    </w:p>
    <w:p>
      <w:pPr>
        <w:spacing w:line="360" w:lineRule="auto"/>
        <w:ind w:firstLine="5280" w:firstLineChars="2200"/>
        <w:rPr>
          <w:rFonts w:hint="eastAsia" w:asciiTheme="minorEastAsia" w:hAnsiTheme="minorEastAsia" w:eastAsiaTheme="minorEastAsia"/>
          <w:bCs/>
          <w:sz w:val="24"/>
        </w:rPr>
      </w:pPr>
    </w:p>
    <w:p>
      <w:pPr>
        <w:spacing w:line="360" w:lineRule="auto"/>
        <w:rPr>
          <w:rFonts w:hint="eastAsia" w:asciiTheme="minorEastAsia" w:hAnsiTheme="minorEastAsia" w:eastAsiaTheme="minorEastAsia"/>
          <w:bCs/>
          <w:sz w:val="24"/>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PTA干燥剂2</w:t>
      </w:r>
      <w:r>
        <w:rPr>
          <w:rFonts w:hint="eastAsia" w:ascii="宋体" w:hAnsi="宋体"/>
          <w:sz w:val="18"/>
          <w:szCs w:val="18"/>
          <w:u w:val="single"/>
        </w:rPr>
        <w:t>。</w:t>
      </w:r>
    </w:p>
    <w:p>
      <w:pPr>
        <w:pStyle w:val="16"/>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w:t>
      </w:r>
      <w:r>
        <w:rPr>
          <w:rFonts w:hint="eastAsia" w:ascii="宋体"/>
          <w:sz w:val="18"/>
          <w:szCs w:val="18"/>
          <w:lang w:val="en-US" w:eastAsia="zh-CN"/>
        </w:rPr>
        <w:t>具备经营资质，提供业绩证明</w:t>
      </w:r>
      <w:r>
        <w:rPr>
          <w:rFonts w:hint="eastAsia" w:ascii="宋体"/>
          <w:sz w:val="18"/>
          <w:szCs w:val="18"/>
        </w:rPr>
        <w:t>。</w:t>
      </w:r>
    </w:p>
    <w:p>
      <w:pPr>
        <w:spacing w:line="320" w:lineRule="exact"/>
        <w:rPr>
          <w:rFonts w:ascii="宋体"/>
          <w:sz w:val="18"/>
          <w:szCs w:val="18"/>
          <w:highlight w:val="none"/>
        </w:rPr>
      </w:pPr>
      <w:r>
        <w:rPr>
          <w:rFonts w:hint="eastAsia" w:ascii="宋体"/>
          <w:sz w:val="18"/>
          <w:szCs w:val="18"/>
          <w:highlight w:val="none"/>
        </w:rPr>
        <w:t>（</w:t>
      </w:r>
      <w:r>
        <w:rPr>
          <w:rFonts w:hint="eastAsia" w:ascii="宋体"/>
          <w:sz w:val="18"/>
          <w:szCs w:val="18"/>
          <w:highlight w:val="none"/>
          <w:lang w:val="en-US" w:eastAsia="zh-CN"/>
        </w:rPr>
        <w:t>6</w:t>
      </w:r>
      <w:r>
        <w:rPr>
          <w:rFonts w:hint="eastAsia" w:ascii="宋体"/>
          <w:sz w:val="18"/>
          <w:szCs w:val="18"/>
          <w:highlight w:val="none"/>
        </w:rPr>
        <w:t>）参选保证金：</w:t>
      </w:r>
      <w:r>
        <w:rPr>
          <w:rFonts w:hint="eastAsia" w:ascii="宋体"/>
          <w:sz w:val="18"/>
          <w:szCs w:val="18"/>
          <w:highlight w:val="none"/>
          <w:lang w:val="en-US" w:eastAsia="zh-CN"/>
        </w:rPr>
        <w:t>柒仟</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PTA干燥剂2</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hint="eastAsia"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翔鹭石化（漳州）有限公司</w:t>
      </w:r>
      <w:r>
        <w:rPr>
          <w:rFonts w:hint="eastAsia" w:ascii="宋体" w:hAnsi="宋体" w:cs="宋体"/>
          <w:b/>
          <w:kern w:val="0"/>
          <w:sz w:val="24"/>
        </w:rPr>
        <w:t>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PTA干燥剂2</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0804</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加氢裂化装置PTA干燥剂2</w:t>
      </w:r>
      <w:r>
        <w:rPr>
          <w:rFonts w:hint="eastAsia" w:ascii="宋体" w:hAnsi="宋体"/>
          <w:sz w:val="24"/>
          <w:szCs w:val="24"/>
        </w:rPr>
        <w:t>，具体要求如下</w:t>
      </w:r>
      <w:r>
        <w:rPr>
          <w:rFonts w:ascii="宋体"/>
          <w:sz w:val="24"/>
          <w:szCs w:val="24"/>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PTA干燥剂2</w:t>
      </w:r>
      <w:r>
        <w:rPr>
          <w:rFonts w:hint="eastAsia" w:ascii="宋体" w:cs="宋体"/>
          <w:sz w:val="24"/>
        </w:rPr>
        <w:t>数量：</w:t>
      </w:r>
      <w:r>
        <w:rPr>
          <w:rFonts w:hint="eastAsia" w:ascii="宋体" w:cs="宋体"/>
          <w:sz w:val="24"/>
          <w:lang w:val="en-US" w:eastAsia="zh-CN"/>
        </w:rPr>
        <w:t>36吨。</w:t>
      </w:r>
    </w:p>
    <w:p>
      <w:pPr>
        <w:numPr>
          <w:ilvl w:val="0"/>
          <w:numId w:val="5"/>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产品性能指标要求：见附件PTA干燥剂质量规范。</w:t>
      </w:r>
    </w:p>
    <w:p>
      <w:pPr>
        <w:numPr>
          <w:ilvl w:val="0"/>
          <w:numId w:val="5"/>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吨袋包装，编织袋</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到货时间：货物</w:t>
      </w:r>
      <w:r>
        <w:rPr>
          <w:rFonts w:hint="eastAsia" w:ascii="宋体" w:hAnsi="宋体"/>
          <w:sz w:val="24"/>
          <w:lang w:val="en-US" w:eastAsia="zh-CN"/>
        </w:rPr>
        <w:t>需于2022年9月份具备到货条件，具体到货时间以需方通知为准</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PTA干燥剂2</w:t>
      </w:r>
      <w:r>
        <w:rPr>
          <w:rFonts w:hint="eastAsia" w:asciiTheme="minorEastAsia" w:hAnsiTheme="minorEastAsia" w:eastAsiaTheme="minorEastAsia"/>
          <w:bCs/>
          <w:kern w:val="0"/>
          <w:sz w:val="24"/>
        </w:rPr>
        <w:t>为</w:t>
      </w:r>
      <w:r>
        <w:rPr>
          <w:rFonts w:hint="eastAsia" w:ascii="宋体" w:hAnsi="宋体" w:cs="宋体"/>
          <w:sz w:val="24"/>
        </w:rPr>
        <w:t>含税送到价。</w:t>
      </w:r>
      <w:r>
        <w:rPr>
          <w:rFonts w:hint="eastAsia" w:ascii="宋体" w:hAnsi="宋体" w:cs="宋体"/>
          <w:sz w:val="24"/>
          <w:u w:val="single"/>
          <w:lang w:val="en-US" w:eastAsia="zh-CN"/>
        </w:rPr>
        <w:t>干燥剂入厂后需取样委托第三方检测，检测费用由供货方承担。</w:t>
      </w:r>
      <w:r>
        <w:rPr>
          <w:rFonts w:hint="eastAsia" w:ascii="宋体" w:hAnsi="宋体" w:cs="宋体"/>
          <w:sz w:val="24"/>
        </w:rPr>
        <w:t>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val="en-US" w:eastAsia="zh-CN"/>
        </w:rPr>
        <w:t>一次性到货</w:t>
      </w:r>
      <w:r>
        <w:rPr>
          <w:rFonts w:hint="eastAsia" w:ascii="宋体" w:hAnsi="宋体" w:cs="宋体"/>
          <w:sz w:val="24"/>
        </w:rPr>
        <w:t>。</w:t>
      </w:r>
      <w:r>
        <w:rPr>
          <w:rFonts w:hint="eastAsia" w:ascii="宋体" w:hAnsi="宋体" w:cs="宋体"/>
          <w:sz w:val="24"/>
          <w:lang w:val="en-US" w:eastAsia="zh-CN"/>
        </w:rPr>
        <w:t>全部</w:t>
      </w:r>
      <w:r>
        <w:rPr>
          <w:rFonts w:hint="eastAsia" w:ascii="宋体" w:hAnsi="宋体" w:cs="宋体"/>
          <w:sz w:val="24"/>
          <w:highlight w:val="none"/>
        </w:rPr>
        <w:t>产品到货验收合格后</w:t>
      </w:r>
      <w:r>
        <w:rPr>
          <w:rFonts w:hint="eastAsia" w:ascii="宋体" w:hAnsi="宋体" w:cs="宋体"/>
          <w:sz w:val="24"/>
          <w:highlight w:val="none"/>
          <w:lang w:val="en-US" w:eastAsia="zh-CN"/>
        </w:rPr>
        <w:t>付款。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8.2参选文件应密封，包含比选公告、参选规定及说明、公开比选文件、参选书、法定代表人授权书、报价单上述</w:t>
      </w:r>
      <w:r>
        <w:rPr>
          <w:rFonts w:hint="eastAsia" w:ascii="宋体" w:hAnsi="宋体" w:cs="宋体"/>
          <w:sz w:val="24"/>
          <w:lang w:val="en-US" w:eastAsia="zh-CN"/>
        </w:rPr>
        <w:t>六</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福建福海创石油化工有限公司 </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翔鹭石化（漳州）有限公司 </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PTA干燥剂2</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0804</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PTA干燥剂2</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0804</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翔鹭石化（漳州）有限公司 </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PTA干燥剂2</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0804</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PTA干燥剂2</w:t>
      </w:r>
      <w:r>
        <w:rPr>
          <w:rFonts w:hint="eastAsia" w:ascii="宋体" w:hAnsi="宋体"/>
          <w:sz w:val="24"/>
        </w:rPr>
        <w:t>：</w:t>
      </w:r>
    </w:p>
    <w:p>
      <w:pPr>
        <w:numPr>
          <w:ilvl w:val="0"/>
          <w:numId w:val="7"/>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36吨。</w:t>
      </w:r>
    </w:p>
    <w:p>
      <w:pPr>
        <w:numPr>
          <w:ilvl w:val="0"/>
          <w:numId w:val="7"/>
        </w:numPr>
        <w:spacing w:line="312" w:lineRule="auto"/>
        <w:rPr>
          <w:rFonts w:hint="eastAsia" w:ascii="宋体" w:hAnsi="宋体"/>
          <w:sz w:val="24"/>
          <w:lang w:val="en-US" w:eastAsia="zh-CN"/>
        </w:rPr>
      </w:pPr>
      <w:r>
        <w:rPr>
          <w:rFonts w:hint="eastAsia" w:ascii="宋体" w:hAnsi="宋体"/>
          <w:sz w:val="24"/>
          <w:lang w:val="en-US" w:eastAsia="zh-CN"/>
        </w:rPr>
        <w:t>含税单价：________元/吨；含税总价：________元，税率；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eastAsia" w:ascii="宋体" w:hAnsi="宋体"/>
          <w:sz w:val="24"/>
          <w:lang w:val="en-US" w:eastAsia="zh-CN"/>
        </w:rPr>
      </w:pPr>
      <w:r>
        <w:rPr>
          <w:rFonts w:hint="eastAsia" w:ascii="宋体" w:hAnsi="宋体"/>
          <w:sz w:val="24"/>
          <w:u w:val="single"/>
          <w:lang w:val="en-US" w:eastAsia="zh-CN"/>
        </w:rPr>
        <w:t>（备注：干燥剂入厂后需取样委托第三方检测，检测费用由供方承担。）</w:t>
      </w:r>
    </w:p>
    <w:p>
      <w:pPr>
        <w:numPr>
          <w:ilvl w:val="0"/>
          <w:numId w:val="0"/>
        </w:numPr>
        <w:spacing w:line="312" w:lineRule="auto"/>
        <w:rPr>
          <w:rFonts w:hint="eastAsia" w:ascii="宋体" w:hAnsi="宋体" w:eastAsia="宋体" w:cs="宋体"/>
          <w:sz w:val="24"/>
          <w:lang w:eastAsia="zh-CN"/>
        </w:rPr>
      </w:pPr>
      <w:r>
        <w:rPr>
          <w:rFonts w:hint="eastAsia" w:ascii="宋体" w:hAnsi="宋体"/>
          <w:sz w:val="24"/>
          <w:lang w:val="en-US" w:eastAsia="zh-CN"/>
        </w:rPr>
        <w:t>4、PTA干燥剂2</w:t>
      </w:r>
      <w:r>
        <w:rPr>
          <w:rFonts w:hint="eastAsia" w:ascii="宋体" w:hAnsi="宋体" w:cs="宋体"/>
          <w:sz w:val="24"/>
          <w:lang w:val="en-US" w:eastAsia="zh-CN"/>
        </w:rPr>
        <w:t>性能指标要求</w:t>
      </w:r>
      <w:r>
        <w:rPr>
          <w:rFonts w:hint="eastAsia" w:ascii="宋体" w:hAnsi="宋体"/>
          <w:sz w:val="24"/>
          <w:lang w:val="en-US" w:eastAsia="zh-CN"/>
        </w:rPr>
        <w:t>：详见附件PTA干燥剂质量规范。</w:t>
      </w:r>
    </w:p>
    <w:p>
      <w:pPr>
        <w:numPr>
          <w:ilvl w:val="0"/>
          <w:numId w:val="0"/>
        </w:numPr>
        <w:spacing w:line="312" w:lineRule="auto"/>
        <w:rPr>
          <w:rFonts w:hint="eastAsia" w:ascii="宋体" w:hAnsi="宋体"/>
          <w:sz w:val="24"/>
        </w:rPr>
      </w:pPr>
      <w:r>
        <w:rPr>
          <w:rFonts w:hint="eastAsia" w:ascii="宋体" w:hAnsi="宋体"/>
          <w:sz w:val="24"/>
          <w:lang w:val="en-US" w:eastAsia="zh-CN"/>
        </w:rPr>
        <w:t>5、</w:t>
      </w:r>
      <w:r>
        <w:rPr>
          <w:rFonts w:hint="eastAsia" w:ascii="宋体" w:hAnsi="宋体"/>
          <w:sz w:val="24"/>
        </w:rPr>
        <w:t>产品的包装：</w:t>
      </w:r>
      <w:r>
        <w:rPr>
          <w:rFonts w:hint="eastAsia" w:ascii="宋体" w:hAnsi="宋体" w:cs="宋体"/>
          <w:sz w:val="24"/>
          <w:lang w:val="en-US" w:eastAsia="zh-CN"/>
        </w:rPr>
        <w:t>吨袋包装，编织袋。</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我司同意在投标前缴纳保证金</w:t>
      </w:r>
      <w:r>
        <w:rPr>
          <w:rFonts w:hint="eastAsia" w:ascii="宋体" w:hAnsi="宋体"/>
          <w:sz w:val="24"/>
          <w:lang w:val="en-US" w:eastAsia="zh-CN"/>
        </w:rPr>
        <w:t>柒仟</w:t>
      </w:r>
      <w:r>
        <w:rPr>
          <w:rFonts w:hint="eastAsia" w:ascii="宋体" w:hAnsi="宋体"/>
          <w:sz w:val="24"/>
        </w:rPr>
        <w:t>元整，若我司中选，我司同意按照要求</w:t>
      </w:r>
      <w:r>
        <w:rPr>
          <w:rFonts w:hint="eastAsia" w:ascii="宋体" w:hAnsi="宋体"/>
          <w:sz w:val="24"/>
          <w:lang w:val="en-US" w:eastAsia="zh-CN"/>
        </w:rPr>
        <w:t>转为履约保证金待履约后</w:t>
      </w:r>
      <w:r>
        <w:rPr>
          <w:rFonts w:hint="eastAsia" w:ascii="宋体" w:hAnsi="宋体"/>
          <w:sz w:val="24"/>
        </w:rPr>
        <w:t>申请无息返还。</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一次性</w:t>
      </w:r>
      <w:r>
        <w:rPr>
          <w:rFonts w:hint="eastAsia" w:ascii="宋体" w:hAnsi="宋体"/>
          <w:sz w:val="24"/>
        </w:rPr>
        <w:t>到货，货物</w:t>
      </w:r>
      <w:r>
        <w:rPr>
          <w:rFonts w:hint="eastAsia" w:ascii="宋体" w:hAnsi="宋体"/>
          <w:sz w:val="24"/>
          <w:lang w:val="en-US" w:eastAsia="zh-CN"/>
        </w:rPr>
        <w:t>需于2022年9月份具备到货条件，具体到货时间以需方通知为准</w:t>
      </w:r>
      <w:r>
        <w:rPr>
          <w:rFonts w:hint="eastAsia" w:ascii="宋体" w:hAnsi="宋体"/>
          <w:sz w:val="24"/>
        </w:rPr>
        <w:t>。</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sz w:val="24"/>
        </w:rPr>
      </w:pPr>
      <w:r>
        <w:rPr>
          <w:rFonts w:hint="eastAsia" w:ascii="宋体" w:hAnsi="宋体"/>
          <w:sz w:val="24"/>
        </w:rPr>
        <w:t>1、付款方式：现汇支付，</w:t>
      </w:r>
      <w:r>
        <w:rPr>
          <w:rFonts w:hint="eastAsia" w:ascii="宋体" w:hAnsi="宋体"/>
          <w:sz w:val="24"/>
          <w:lang w:val="en-US" w:eastAsia="zh-CN"/>
        </w:rPr>
        <w:t>全部</w:t>
      </w:r>
      <w:r>
        <w:rPr>
          <w:rFonts w:hint="eastAsia" w:ascii="宋体" w:hAnsi="宋体"/>
          <w:sz w:val="24"/>
        </w:rPr>
        <w:t>产品到货后，根据本合同约定的质量、数量标准验收合格后，供方提供相应金额的</w:t>
      </w:r>
      <w:r>
        <w:rPr>
          <w:rFonts w:hint="eastAsia" w:ascii="宋体" w:hAnsi="宋体"/>
          <w:sz w:val="24"/>
          <w:lang w:val="en-US" w:eastAsia="zh-CN"/>
        </w:rPr>
        <w:t>13%</w:t>
      </w:r>
      <w:r>
        <w:rPr>
          <w:rFonts w:hint="eastAsia" w:ascii="宋体" w:hAnsi="宋体"/>
          <w:sz w:val="24"/>
        </w:rPr>
        <w:t>增值税专用发票以及结算所需的各类清单，需方收到并确认无误后</w:t>
      </w:r>
      <w:r>
        <w:rPr>
          <w:rFonts w:hint="eastAsia" w:ascii="宋体" w:hAnsi="宋体"/>
          <w:sz w:val="24"/>
          <w:lang w:val="en-US" w:eastAsia="zh-CN"/>
        </w:rPr>
        <w:t>付清</w:t>
      </w:r>
      <w:r>
        <w:rPr>
          <w:rFonts w:hint="eastAsia" w:ascii="宋体" w:hAnsi="宋体"/>
          <w:sz w:val="24"/>
        </w:rPr>
        <w:t>。</w:t>
      </w:r>
    </w:p>
    <w:p>
      <w:pPr>
        <w:rPr>
          <w:rFonts w:ascii="宋体" w:hAnsi="宋体"/>
          <w:sz w:val="24"/>
        </w:rPr>
      </w:pPr>
      <w:r>
        <w:rPr>
          <w:rFonts w:hint="eastAsia" w:ascii="宋体" w:hAnsi="宋体"/>
          <w:sz w:val="24"/>
        </w:rPr>
        <w:t>四、相关技术要求，以福建福海创石油化工有限公司要求为准！</w:t>
      </w:r>
    </w:p>
    <w:p>
      <w:pPr>
        <w:numPr>
          <w:ilvl w:val="0"/>
          <w:numId w:val="0"/>
        </w:numPr>
        <w:spacing w:line="312" w:lineRule="auto"/>
        <w:rPr>
          <w:rFonts w:ascii="宋体" w:hAnsi="宋体"/>
          <w:sz w:val="24"/>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翔鹭石化（漳州）有限公司 </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2022-</w:t>
      </w:r>
      <w:r>
        <w:rPr>
          <w:rFonts w:hint="eastAsia" w:asciiTheme="minorEastAsia" w:hAnsiTheme="minorEastAsia" w:eastAsiaTheme="minorEastAsia"/>
          <w:bCs/>
          <w:sz w:val="28"/>
          <w:szCs w:val="28"/>
          <w:u w:val="single"/>
          <w:lang w:eastAsia="zh-CN"/>
        </w:rPr>
        <w:t>FHC</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val="en-US" w:eastAsia="zh-CN"/>
        </w:rPr>
        <w:t>PTA干燥剂2</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eastAsia="zh-CN"/>
        </w:rPr>
        <w:t>0804</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w:t>
      </w:r>
      <w:bookmarkEnd w:id="1"/>
      <w:r>
        <w:rPr>
          <w:rFonts w:hint="eastAsia" w:ascii="宋体" w:hAnsi="宋体"/>
          <w:sz w:val="28"/>
          <w:szCs w:val="28"/>
          <w:u w:val="single"/>
          <w:lang w:val="en-US" w:eastAsia="zh-CN"/>
        </w:rPr>
        <w:t>质量规范</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质量规范</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hint="eastAsia" w:ascii="宋体" w:hAnsi="宋体"/>
          <w:sz w:val="28"/>
          <w:szCs w:val="28"/>
        </w:rPr>
      </w:pPr>
      <w:r>
        <w:rPr>
          <w:rFonts w:hint="eastAsia" w:ascii="宋体" w:hAnsi="宋体"/>
          <w:sz w:val="28"/>
          <w:szCs w:val="28"/>
        </w:rPr>
        <w:t xml:space="preserve">        日期： </w:t>
      </w: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both"/>
        <w:rPr>
          <w:rFonts w:hint="eastAsia" w:ascii="宋体" w:hAnsi="宋体"/>
          <w:sz w:val="28"/>
          <w:szCs w:val="28"/>
          <w:lang w:val="en-US" w:eastAsia="zh-CN"/>
        </w:rPr>
      </w:pPr>
    </w:p>
    <w:p>
      <w:pPr>
        <w:wordWrap w:val="0"/>
        <w:jc w:val="both"/>
        <w:rPr>
          <w:rFonts w:hint="eastAsia" w:ascii="宋体" w:hAnsi="宋体"/>
          <w:sz w:val="28"/>
          <w:szCs w:val="28"/>
          <w:lang w:val="en-US" w:eastAsia="zh-CN"/>
        </w:rPr>
      </w:pPr>
      <w:r>
        <w:rPr>
          <w:rFonts w:hint="eastAsia" w:ascii="宋体" w:hAnsi="宋体"/>
          <w:sz w:val="28"/>
          <w:szCs w:val="28"/>
          <w:lang w:val="en-US" w:eastAsia="zh-CN"/>
        </w:rPr>
        <w:t>附件：PTA干燥剂质量规范</w:t>
      </w:r>
    </w:p>
    <w:p>
      <w:pPr>
        <w:wordWrap w:val="0"/>
        <w:jc w:val="both"/>
        <w:rPr>
          <w:rFonts w:hint="eastAsia" w:ascii="宋体" w:hAnsi="宋体"/>
          <w:sz w:val="28"/>
          <w:szCs w:val="28"/>
          <w:lang w:val="en-US" w:eastAsia="zh-CN"/>
        </w:rPr>
      </w:pPr>
      <w:r>
        <w:rPr>
          <w:rFonts w:hint="eastAsia" w:ascii="宋体" w:hAnsi="宋体"/>
          <w:sz w:val="28"/>
          <w:szCs w:val="28"/>
          <w:lang w:val="en-US" w:eastAsia="zh-CN"/>
        </w:rPr>
        <w:drawing>
          <wp:inline distT="0" distB="0" distL="114300" distR="114300">
            <wp:extent cx="5269230" cy="4844415"/>
            <wp:effectExtent l="0" t="0" r="1270" b="6985"/>
            <wp:docPr id="2" name="图片 2" descr="165960405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9604054403"/>
                    <pic:cNvPicPr>
                      <a:picLocks noChangeAspect="1"/>
                    </pic:cNvPicPr>
                  </pic:nvPicPr>
                  <pic:blipFill>
                    <a:blip r:embed="rId5"/>
                    <a:stretch>
                      <a:fillRect/>
                    </a:stretch>
                  </pic:blipFill>
                  <pic:spPr>
                    <a:xfrm>
                      <a:off x="0" y="0"/>
                      <a:ext cx="5269230" cy="4844415"/>
                    </a:xfrm>
                    <a:prstGeom prst="rect">
                      <a:avLst/>
                    </a:prstGeom>
                  </pic:spPr>
                </pic:pic>
              </a:graphicData>
            </a:graphic>
          </wp:inline>
        </w:drawing>
      </w: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center"/>
        <w:rPr>
          <w:rFonts w:hint="eastAsia" w:ascii="宋体" w:hAnsi="宋体"/>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eastAsia"/>
          <w:b/>
          <w:color w:val="000000"/>
          <w:szCs w:val="21"/>
          <w:lang w:val="en-US" w:eastAsia="zh-CN"/>
        </w:rPr>
        <w:t>翔鹭石化（漳州）有限公司 </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1"/>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见附件</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全部</w:t>
      </w:r>
      <w:r>
        <w:rPr>
          <w:rFonts w:hint="eastAsia" w:ascii="宋体" w:hAnsi="宋体"/>
          <w:b w:val="0"/>
          <w:bCs/>
          <w:szCs w:val="21"/>
        </w:rPr>
        <w:t>产品到货后，根据本合同约定的质量、数量标准验收合格后，供方提供相应金额的增值税专用发票以及结算所需的各类清单，需方收到并确认无误后</w:t>
      </w:r>
      <w:r>
        <w:rPr>
          <w:rFonts w:hint="eastAsia" w:ascii="宋体" w:hAnsi="宋体"/>
          <w:b w:val="0"/>
          <w:bCs/>
          <w:szCs w:val="21"/>
          <w:lang w:val="en-US" w:eastAsia="zh-CN"/>
        </w:rPr>
        <w:t>付清</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一次性到货，货物需于2022年9月份具备到货条件，具体到货时间以需方通知为准。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翔鹭石化（漳州）有限公司 </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eastAsia"/>
                <w:b/>
                <w:color w:val="000000"/>
                <w:szCs w:val="21"/>
                <w:lang w:val="en-US" w:eastAsia="zh-CN"/>
              </w:rPr>
              <w:t>翔鹭石化（漳州）有限公司 </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5.1供方根据需方要求缴纳履约保证金并作为合同质保金，金额为人民币柒仟元整。合同履约后供方按合同约定全面履约的情况下，需方于供方提交返还履约保证金申请后30天内无息返还。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尾气干燥剂入厂后需取样委托第三方检测，检测费用由供货方承担。</w:t>
      </w:r>
    </w:p>
    <w:p>
      <w:pPr>
        <w:spacing w:line="300" w:lineRule="exact"/>
        <w:ind w:firstLine="420" w:firstLineChars="200"/>
        <w:rPr>
          <w:rFonts w:hint="eastAsia"/>
          <w:szCs w:val="21"/>
          <w:lang w:val="en-US" w:eastAsia="zh-CN"/>
        </w:rPr>
      </w:pPr>
      <w:r>
        <w:rPr>
          <w:rFonts w:hint="eastAsia"/>
          <w:szCs w:val="21"/>
          <w:lang w:val="en-US" w:eastAsia="zh-CN"/>
        </w:rPr>
        <w:t>5.3质量指标：见附件PTA干燥剂质量规范。</w:t>
      </w:r>
    </w:p>
    <w:p>
      <w:pPr>
        <w:spacing w:line="300" w:lineRule="exact"/>
        <w:ind w:firstLine="420" w:firstLineChars="200"/>
        <w:rPr>
          <w:rFonts w:hint="eastAsia"/>
          <w:szCs w:val="21"/>
          <w:lang w:val="en-US" w:eastAsia="zh-CN"/>
        </w:rPr>
      </w:pPr>
    </w:p>
    <w:p>
      <w:pPr>
        <w:spacing w:line="360" w:lineRule="auto"/>
        <w:jc w:val="left"/>
        <w:rPr>
          <w:rFonts w:hint="eastAsia" w:ascii="宋体" w:hAnsi="宋体" w:eastAsia="宋体" w:cs="宋体"/>
          <w:b w:val="0"/>
          <w:bCs/>
          <w:sz w:val="28"/>
          <w:szCs w:val="28"/>
          <w:lang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sz w:val="28"/>
          <w:szCs w:val="28"/>
          <w:lang w:val="en-US" w:eastAsia="zh-CN"/>
        </w:rPr>
        <w:t>附件二：PTA干燥剂质量规范</w:t>
      </w:r>
    </w:p>
    <w:p>
      <w:pPr>
        <w:spacing w:line="360" w:lineRule="auto"/>
        <w:jc w:val="left"/>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drawing>
          <wp:inline distT="0" distB="0" distL="114300" distR="114300">
            <wp:extent cx="5269230" cy="4844415"/>
            <wp:effectExtent l="0" t="0" r="1270" b="6985"/>
            <wp:docPr id="4" name="图片 4" descr="1659604097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59604097750"/>
                    <pic:cNvPicPr>
                      <a:picLocks noChangeAspect="1"/>
                    </pic:cNvPicPr>
                  </pic:nvPicPr>
                  <pic:blipFill>
                    <a:blip r:embed="rId5"/>
                    <a:stretch>
                      <a:fillRect/>
                    </a:stretch>
                  </pic:blipFill>
                  <pic:spPr>
                    <a:xfrm>
                      <a:off x="0" y="0"/>
                      <a:ext cx="5269230" cy="4844415"/>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2003C03"/>
    <w:rsid w:val="021D391B"/>
    <w:rsid w:val="024C0384"/>
    <w:rsid w:val="02773EF6"/>
    <w:rsid w:val="02CC4E1D"/>
    <w:rsid w:val="02D15452"/>
    <w:rsid w:val="02D53A40"/>
    <w:rsid w:val="03033536"/>
    <w:rsid w:val="03261A08"/>
    <w:rsid w:val="032D15FD"/>
    <w:rsid w:val="032F04D8"/>
    <w:rsid w:val="03E270E3"/>
    <w:rsid w:val="03E5328D"/>
    <w:rsid w:val="042207A6"/>
    <w:rsid w:val="04444FBA"/>
    <w:rsid w:val="04675C1C"/>
    <w:rsid w:val="046B7835"/>
    <w:rsid w:val="046E24C0"/>
    <w:rsid w:val="046F7ACF"/>
    <w:rsid w:val="0546217C"/>
    <w:rsid w:val="059A34DA"/>
    <w:rsid w:val="059B734C"/>
    <w:rsid w:val="05C112E8"/>
    <w:rsid w:val="05CE4353"/>
    <w:rsid w:val="05CF5BDF"/>
    <w:rsid w:val="061013A0"/>
    <w:rsid w:val="064416AA"/>
    <w:rsid w:val="06A3708D"/>
    <w:rsid w:val="06AB00B1"/>
    <w:rsid w:val="06DA70D7"/>
    <w:rsid w:val="070356B5"/>
    <w:rsid w:val="077632ED"/>
    <w:rsid w:val="07817814"/>
    <w:rsid w:val="078A61DF"/>
    <w:rsid w:val="07C04CC8"/>
    <w:rsid w:val="07E878CC"/>
    <w:rsid w:val="07E87C6B"/>
    <w:rsid w:val="07F06C92"/>
    <w:rsid w:val="07FB0E0D"/>
    <w:rsid w:val="080F7CCD"/>
    <w:rsid w:val="090A2F1F"/>
    <w:rsid w:val="098E656B"/>
    <w:rsid w:val="099447D3"/>
    <w:rsid w:val="09E63A80"/>
    <w:rsid w:val="0A3A75BC"/>
    <w:rsid w:val="0A4D0638"/>
    <w:rsid w:val="0A58515B"/>
    <w:rsid w:val="0A8B6BF2"/>
    <w:rsid w:val="0AB96449"/>
    <w:rsid w:val="0ADD75BB"/>
    <w:rsid w:val="0B0D38CD"/>
    <w:rsid w:val="0B35169E"/>
    <w:rsid w:val="0B4A13AC"/>
    <w:rsid w:val="0B8E420A"/>
    <w:rsid w:val="0C3D7481"/>
    <w:rsid w:val="0CF127D7"/>
    <w:rsid w:val="0CFA5163"/>
    <w:rsid w:val="0DAD56B9"/>
    <w:rsid w:val="0DD566C4"/>
    <w:rsid w:val="0E02486F"/>
    <w:rsid w:val="0E3D2F5D"/>
    <w:rsid w:val="0E3F22A2"/>
    <w:rsid w:val="0E8B20AA"/>
    <w:rsid w:val="0E9503CA"/>
    <w:rsid w:val="0EE26DF9"/>
    <w:rsid w:val="0EE30943"/>
    <w:rsid w:val="0EF6490E"/>
    <w:rsid w:val="0F3141ED"/>
    <w:rsid w:val="0F4E62EA"/>
    <w:rsid w:val="0F821B8F"/>
    <w:rsid w:val="0F8C0A60"/>
    <w:rsid w:val="0FA364D6"/>
    <w:rsid w:val="0FCE6C96"/>
    <w:rsid w:val="0FE34343"/>
    <w:rsid w:val="10167D42"/>
    <w:rsid w:val="105A2ADD"/>
    <w:rsid w:val="105B6F62"/>
    <w:rsid w:val="108E2EA4"/>
    <w:rsid w:val="10C613A6"/>
    <w:rsid w:val="10F1561E"/>
    <w:rsid w:val="111E4EA7"/>
    <w:rsid w:val="11681EF3"/>
    <w:rsid w:val="116909B8"/>
    <w:rsid w:val="11715093"/>
    <w:rsid w:val="118A38B5"/>
    <w:rsid w:val="122E4A94"/>
    <w:rsid w:val="125F61EF"/>
    <w:rsid w:val="12632F49"/>
    <w:rsid w:val="12737A03"/>
    <w:rsid w:val="12837C22"/>
    <w:rsid w:val="12CF31F9"/>
    <w:rsid w:val="12EA195B"/>
    <w:rsid w:val="12F479DF"/>
    <w:rsid w:val="1363320F"/>
    <w:rsid w:val="1387789C"/>
    <w:rsid w:val="13B74194"/>
    <w:rsid w:val="142F7DC3"/>
    <w:rsid w:val="14937361"/>
    <w:rsid w:val="149868E6"/>
    <w:rsid w:val="14FC5116"/>
    <w:rsid w:val="15033088"/>
    <w:rsid w:val="150647E6"/>
    <w:rsid w:val="15101A52"/>
    <w:rsid w:val="15125849"/>
    <w:rsid w:val="15407DC8"/>
    <w:rsid w:val="15BF2E22"/>
    <w:rsid w:val="15C23309"/>
    <w:rsid w:val="15C31A47"/>
    <w:rsid w:val="15F16D9A"/>
    <w:rsid w:val="15FE1378"/>
    <w:rsid w:val="15FE1EB4"/>
    <w:rsid w:val="16172661"/>
    <w:rsid w:val="16270A04"/>
    <w:rsid w:val="165069FC"/>
    <w:rsid w:val="173B43BC"/>
    <w:rsid w:val="178C691A"/>
    <w:rsid w:val="179453BC"/>
    <w:rsid w:val="183B0D71"/>
    <w:rsid w:val="184968FC"/>
    <w:rsid w:val="185D1C5F"/>
    <w:rsid w:val="188C5585"/>
    <w:rsid w:val="18C27F65"/>
    <w:rsid w:val="18FA6BBD"/>
    <w:rsid w:val="191A3D61"/>
    <w:rsid w:val="192A2CC6"/>
    <w:rsid w:val="19F04AD4"/>
    <w:rsid w:val="1A2F6DF9"/>
    <w:rsid w:val="1A3168AB"/>
    <w:rsid w:val="1A4C05AB"/>
    <w:rsid w:val="1A4F0A64"/>
    <w:rsid w:val="1AF22A1C"/>
    <w:rsid w:val="1AFD66F4"/>
    <w:rsid w:val="1B233A0E"/>
    <w:rsid w:val="1B7C1123"/>
    <w:rsid w:val="1B8F7883"/>
    <w:rsid w:val="1B927AE6"/>
    <w:rsid w:val="1BC93515"/>
    <w:rsid w:val="1C1B3FE4"/>
    <w:rsid w:val="1C513BF0"/>
    <w:rsid w:val="1C8261A0"/>
    <w:rsid w:val="1CF31038"/>
    <w:rsid w:val="1D0113C9"/>
    <w:rsid w:val="1D05782C"/>
    <w:rsid w:val="1DB72E7F"/>
    <w:rsid w:val="1DDB74E0"/>
    <w:rsid w:val="1E2F61EF"/>
    <w:rsid w:val="1E3264F3"/>
    <w:rsid w:val="1E600A9D"/>
    <w:rsid w:val="1EB505E6"/>
    <w:rsid w:val="1EBD3B62"/>
    <w:rsid w:val="1F02429F"/>
    <w:rsid w:val="1F133081"/>
    <w:rsid w:val="1F590291"/>
    <w:rsid w:val="2072553D"/>
    <w:rsid w:val="207E3421"/>
    <w:rsid w:val="208A175C"/>
    <w:rsid w:val="2090579A"/>
    <w:rsid w:val="20AF45AF"/>
    <w:rsid w:val="21097A8A"/>
    <w:rsid w:val="215846DF"/>
    <w:rsid w:val="21BD6DBB"/>
    <w:rsid w:val="22345BE0"/>
    <w:rsid w:val="22521DD3"/>
    <w:rsid w:val="227B0690"/>
    <w:rsid w:val="228E5A58"/>
    <w:rsid w:val="22A35795"/>
    <w:rsid w:val="22A62B30"/>
    <w:rsid w:val="22ED3ED6"/>
    <w:rsid w:val="23464916"/>
    <w:rsid w:val="23496B54"/>
    <w:rsid w:val="23532FBD"/>
    <w:rsid w:val="237B661E"/>
    <w:rsid w:val="238B4E5F"/>
    <w:rsid w:val="23BF50C8"/>
    <w:rsid w:val="23CC07DA"/>
    <w:rsid w:val="23F24C55"/>
    <w:rsid w:val="241D1936"/>
    <w:rsid w:val="247C7073"/>
    <w:rsid w:val="2496308D"/>
    <w:rsid w:val="24A9374C"/>
    <w:rsid w:val="258777C9"/>
    <w:rsid w:val="2589209A"/>
    <w:rsid w:val="25B40CD0"/>
    <w:rsid w:val="25CB1E8B"/>
    <w:rsid w:val="25E0040C"/>
    <w:rsid w:val="25F3676D"/>
    <w:rsid w:val="26035576"/>
    <w:rsid w:val="2665006F"/>
    <w:rsid w:val="26AA092A"/>
    <w:rsid w:val="273A5487"/>
    <w:rsid w:val="274761A1"/>
    <w:rsid w:val="27937EDA"/>
    <w:rsid w:val="27CF60B0"/>
    <w:rsid w:val="27D22CF4"/>
    <w:rsid w:val="27E234BC"/>
    <w:rsid w:val="28012C6B"/>
    <w:rsid w:val="280475E2"/>
    <w:rsid w:val="282C18E9"/>
    <w:rsid w:val="285B7C69"/>
    <w:rsid w:val="28B0150E"/>
    <w:rsid w:val="28D51D40"/>
    <w:rsid w:val="293555E2"/>
    <w:rsid w:val="299A1AD2"/>
    <w:rsid w:val="29AC4DAC"/>
    <w:rsid w:val="29B80978"/>
    <w:rsid w:val="29CE07E6"/>
    <w:rsid w:val="29D17C38"/>
    <w:rsid w:val="29DA1C97"/>
    <w:rsid w:val="2A587284"/>
    <w:rsid w:val="2A7427E2"/>
    <w:rsid w:val="2A893557"/>
    <w:rsid w:val="2A8B1681"/>
    <w:rsid w:val="2AAB2012"/>
    <w:rsid w:val="2AC0562D"/>
    <w:rsid w:val="2AC11AAE"/>
    <w:rsid w:val="2AE84D10"/>
    <w:rsid w:val="2B2F6BD9"/>
    <w:rsid w:val="2B4658AA"/>
    <w:rsid w:val="2B4A75F4"/>
    <w:rsid w:val="2B8E1B57"/>
    <w:rsid w:val="2B8E71EA"/>
    <w:rsid w:val="2BA705F6"/>
    <w:rsid w:val="2BD36FC0"/>
    <w:rsid w:val="2BE04E2E"/>
    <w:rsid w:val="2BFD3451"/>
    <w:rsid w:val="2C0B2A13"/>
    <w:rsid w:val="2C201604"/>
    <w:rsid w:val="2C31119D"/>
    <w:rsid w:val="2C3328C4"/>
    <w:rsid w:val="2C5548F9"/>
    <w:rsid w:val="2D2B1461"/>
    <w:rsid w:val="2DA319DC"/>
    <w:rsid w:val="2DF06759"/>
    <w:rsid w:val="2E12514F"/>
    <w:rsid w:val="2E351771"/>
    <w:rsid w:val="2EAD2321"/>
    <w:rsid w:val="2EF7551C"/>
    <w:rsid w:val="2F1F4355"/>
    <w:rsid w:val="2F210D6D"/>
    <w:rsid w:val="2F7C2C25"/>
    <w:rsid w:val="2F8E0962"/>
    <w:rsid w:val="2FA30B14"/>
    <w:rsid w:val="2FBC4452"/>
    <w:rsid w:val="2FBD5AB0"/>
    <w:rsid w:val="2FFE7C5C"/>
    <w:rsid w:val="30071591"/>
    <w:rsid w:val="30243F4A"/>
    <w:rsid w:val="303240F6"/>
    <w:rsid w:val="30725A8E"/>
    <w:rsid w:val="30985912"/>
    <w:rsid w:val="30E60CDF"/>
    <w:rsid w:val="31183D8E"/>
    <w:rsid w:val="312B136C"/>
    <w:rsid w:val="3165141F"/>
    <w:rsid w:val="31771119"/>
    <w:rsid w:val="31934494"/>
    <w:rsid w:val="319D55BA"/>
    <w:rsid w:val="31CE1FAB"/>
    <w:rsid w:val="31F46862"/>
    <w:rsid w:val="320F45AD"/>
    <w:rsid w:val="322E5C7B"/>
    <w:rsid w:val="323D28AC"/>
    <w:rsid w:val="32492609"/>
    <w:rsid w:val="32745826"/>
    <w:rsid w:val="327513D6"/>
    <w:rsid w:val="328F6057"/>
    <w:rsid w:val="32A75EF3"/>
    <w:rsid w:val="32AE7831"/>
    <w:rsid w:val="33413E8A"/>
    <w:rsid w:val="335E264F"/>
    <w:rsid w:val="337530C8"/>
    <w:rsid w:val="338059AD"/>
    <w:rsid w:val="33EA7F3E"/>
    <w:rsid w:val="33F1490B"/>
    <w:rsid w:val="340F4394"/>
    <w:rsid w:val="345B10E7"/>
    <w:rsid w:val="346720B7"/>
    <w:rsid w:val="347C5E46"/>
    <w:rsid w:val="352C0C5B"/>
    <w:rsid w:val="35490544"/>
    <w:rsid w:val="35B058C7"/>
    <w:rsid w:val="35DE34F2"/>
    <w:rsid w:val="35F871FB"/>
    <w:rsid w:val="35FC498E"/>
    <w:rsid w:val="36417C8D"/>
    <w:rsid w:val="366436B8"/>
    <w:rsid w:val="36886515"/>
    <w:rsid w:val="368A2F91"/>
    <w:rsid w:val="368B1D4A"/>
    <w:rsid w:val="369F3C73"/>
    <w:rsid w:val="36AC3A23"/>
    <w:rsid w:val="36E954BF"/>
    <w:rsid w:val="36FA78CD"/>
    <w:rsid w:val="3768338E"/>
    <w:rsid w:val="37945B49"/>
    <w:rsid w:val="379D3B99"/>
    <w:rsid w:val="37ED7F2D"/>
    <w:rsid w:val="381C0BFA"/>
    <w:rsid w:val="38227768"/>
    <w:rsid w:val="387939C8"/>
    <w:rsid w:val="38814998"/>
    <w:rsid w:val="38A94FE7"/>
    <w:rsid w:val="38BA64A1"/>
    <w:rsid w:val="39057ED7"/>
    <w:rsid w:val="39137A71"/>
    <w:rsid w:val="3955569C"/>
    <w:rsid w:val="39657C8F"/>
    <w:rsid w:val="3969383E"/>
    <w:rsid w:val="39882841"/>
    <w:rsid w:val="39ED2847"/>
    <w:rsid w:val="3A4967DD"/>
    <w:rsid w:val="3A500A72"/>
    <w:rsid w:val="3A5116BA"/>
    <w:rsid w:val="3A5B7748"/>
    <w:rsid w:val="3A7E2F25"/>
    <w:rsid w:val="3A87079F"/>
    <w:rsid w:val="3A8C3BAF"/>
    <w:rsid w:val="3AD63889"/>
    <w:rsid w:val="3ADE5E05"/>
    <w:rsid w:val="3B053E48"/>
    <w:rsid w:val="3B293E28"/>
    <w:rsid w:val="3B2F7891"/>
    <w:rsid w:val="3B573FA4"/>
    <w:rsid w:val="3BD4036B"/>
    <w:rsid w:val="3C1D4BEF"/>
    <w:rsid w:val="3C1E5B01"/>
    <w:rsid w:val="3C333506"/>
    <w:rsid w:val="3C656913"/>
    <w:rsid w:val="3C94066E"/>
    <w:rsid w:val="3CFE624A"/>
    <w:rsid w:val="3D1251D3"/>
    <w:rsid w:val="3D173430"/>
    <w:rsid w:val="3D470E27"/>
    <w:rsid w:val="3D475A63"/>
    <w:rsid w:val="3E032F87"/>
    <w:rsid w:val="3E287885"/>
    <w:rsid w:val="3E4146BD"/>
    <w:rsid w:val="3E447FF5"/>
    <w:rsid w:val="3E536639"/>
    <w:rsid w:val="3E607252"/>
    <w:rsid w:val="3EEE28F9"/>
    <w:rsid w:val="3F1539A0"/>
    <w:rsid w:val="3F1E4982"/>
    <w:rsid w:val="3F516B77"/>
    <w:rsid w:val="3F8B1C0C"/>
    <w:rsid w:val="3FEE6A4A"/>
    <w:rsid w:val="401F30A7"/>
    <w:rsid w:val="40457BFD"/>
    <w:rsid w:val="40705383"/>
    <w:rsid w:val="40831E81"/>
    <w:rsid w:val="40891F67"/>
    <w:rsid w:val="408C76E2"/>
    <w:rsid w:val="409057BD"/>
    <w:rsid w:val="40A81698"/>
    <w:rsid w:val="41186225"/>
    <w:rsid w:val="414E2379"/>
    <w:rsid w:val="416F5968"/>
    <w:rsid w:val="417A6877"/>
    <w:rsid w:val="418324AC"/>
    <w:rsid w:val="41A04200"/>
    <w:rsid w:val="41A32F85"/>
    <w:rsid w:val="420F20F6"/>
    <w:rsid w:val="42203971"/>
    <w:rsid w:val="42257F84"/>
    <w:rsid w:val="422D3D55"/>
    <w:rsid w:val="42680DF6"/>
    <w:rsid w:val="428E4E02"/>
    <w:rsid w:val="42BF0693"/>
    <w:rsid w:val="42DA60A9"/>
    <w:rsid w:val="42DC0DDB"/>
    <w:rsid w:val="43396FCF"/>
    <w:rsid w:val="43434628"/>
    <w:rsid w:val="43482915"/>
    <w:rsid w:val="4351032C"/>
    <w:rsid w:val="4355293C"/>
    <w:rsid w:val="439439C5"/>
    <w:rsid w:val="4395062C"/>
    <w:rsid w:val="43D46D19"/>
    <w:rsid w:val="44236751"/>
    <w:rsid w:val="442A4352"/>
    <w:rsid w:val="448C78B8"/>
    <w:rsid w:val="44B2410D"/>
    <w:rsid w:val="44CB1108"/>
    <w:rsid w:val="44E4129A"/>
    <w:rsid w:val="453F611C"/>
    <w:rsid w:val="454D6E39"/>
    <w:rsid w:val="45C94E39"/>
    <w:rsid w:val="45CD5D18"/>
    <w:rsid w:val="45D568DB"/>
    <w:rsid w:val="45E64357"/>
    <w:rsid w:val="46320679"/>
    <w:rsid w:val="46495A0E"/>
    <w:rsid w:val="464B079B"/>
    <w:rsid w:val="468077A8"/>
    <w:rsid w:val="468E6ECD"/>
    <w:rsid w:val="46AB53AC"/>
    <w:rsid w:val="46EA56DB"/>
    <w:rsid w:val="476C6251"/>
    <w:rsid w:val="479C322F"/>
    <w:rsid w:val="47A06F4B"/>
    <w:rsid w:val="47A978DA"/>
    <w:rsid w:val="48037F6C"/>
    <w:rsid w:val="480C6C1B"/>
    <w:rsid w:val="48295411"/>
    <w:rsid w:val="48B268BC"/>
    <w:rsid w:val="48DF13FB"/>
    <w:rsid w:val="493B7D23"/>
    <w:rsid w:val="49545F4C"/>
    <w:rsid w:val="497038CD"/>
    <w:rsid w:val="497205C6"/>
    <w:rsid w:val="49730A66"/>
    <w:rsid w:val="499A66C3"/>
    <w:rsid w:val="49A05E54"/>
    <w:rsid w:val="49AC538B"/>
    <w:rsid w:val="4A532137"/>
    <w:rsid w:val="4A784075"/>
    <w:rsid w:val="4A9E208F"/>
    <w:rsid w:val="4AEC33B6"/>
    <w:rsid w:val="4B2451E8"/>
    <w:rsid w:val="4B3D4012"/>
    <w:rsid w:val="4B4A24A6"/>
    <w:rsid w:val="4B945212"/>
    <w:rsid w:val="4BC2454D"/>
    <w:rsid w:val="4BF27690"/>
    <w:rsid w:val="4C204881"/>
    <w:rsid w:val="4C775DE6"/>
    <w:rsid w:val="4C82133E"/>
    <w:rsid w:val="4CA3109F"/>
    <w:rsid w:val="4D13604C"/>
    <w:rsid w:val="4D845D59"/>
    <w:rsid w:val="4DA80E22"/>
    <w:rsid w:val="4DB81F38"/>
    <w:rsid w:val="4DE92DD7"/>
    <w:rsid w:val="4DFE7BC4"/>
    <w:rsid w:val="4E0062C6"/>
    <w:rsid w:val="4E0D5475"/>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E145FD"/>
    <w:rsid w:val="51E51CC3"/>
    <w:rsid w:val="52350240"/>
    <w:rsid w:val="52670AC3"/>
    <w:rsid w:val="529A77A5"/>
    <w:rsid w:val="53396CC8"/>
    <w:rsid w:val="53523F58"/>
    <w:rsid w:val="536C4A8A"/>
    <w:rsid w:val="53CE2453"/>
    <w:rsid w:val="53ED6794"/>
    <w:rsid w:val="542657F3"/>
    <w:rsid w:val="542A50A2"/>
    <w:rsid w:val="542D5399"/>
    <w:rsid w:val="543E14AB"/>
    <w:rsid w:val="54DD2BD3"/>
    <w:rsid w:val="553E317D"/>
    <w:rsid w:val="554D2C1E"/>
    <w:rsid w:val="556D7264"/>
    <w:rsid w:val="559230BD"/>
    <w:rsid w:val="55E907A3"/>
    <w:rsid w:val="55E92CB5"/>
    <w:rsid w:val="56325307"/>
    <w:rsid w:val="5659474A"/>
    <w:rsid w:val="56732B47"/>
    <w:rsid w:val="5733660F"/>
    <w:rsid w:val="573834F1"/>
    <w:rsid w:val="57463334"/>
    <w:rsid w:val="574B6739"/>
    <w:rsid w:val="574D21DE"/>
    <w:rsid w:val="578B6597"/>
    <w:rsid w:val="57942C39"/>
    <w:rsid w:val="57EB2081"/>
    <w:rsid w:val="583F04BE"/>
    <w:rsid w:val="5845276D"/>
    <w:rsid w:val="58BD4EAA"/>
    <w:rsid w:val="58C534B8"/>
    <w:rsid w:val="58DA20C8"/>
    <w:rsid w:val="58FE6BB9"/>
    <w:rsid w:val="592E0C31"/>
    <w:rsid w:val="5930567C"/>
    <w:rsid w:val="593259F3"/>
    <w:rsid w:val="594531C0"/>
    <w:rsid w:val="59B64E5B"/>
    <w:rsid w:val="59C41AA5"/>
    <w:rsid w:val="5A196198"/>
    <w:rsid w:val="5A36290A"/>
    <w:rsid w:val="5B004781"/>
    <w:rsid w:val="5B181650"/>
    <w:rsid w:val="5B416702"/>
    <w:rsid w:val="5B510FBA"/>
    <w:rsid w:val="5B5E370D"/>
    <w:rsid w:val="5B713427"/>
    <w:rsid w:val="5B8152A6"/>
    <w:rsid w:val="5B964C3B"/>
    <w:rsid w:val="5BF847A4"/>
    <w:rsid w:val="5C1F20CC"/>
    <w:rsid w:val="5C4F430C"/>
    <w:rsid w:val="5C514191"/>
    <w:rsid w:val="5C8B0489"/>
    <w:rsid w:val="5D3038FF"/>
    <w:rsid w:val="5DCB432F"/>
    <w:rsid w:val="5DD6127D"/>
    <w:rsid w:val="5DD956B5"/>
    <w:rsid w:val="5DE04163"/>
    <w:rsid w:val="5DEC7C19"/>
    <w:rsid w:val="5DFC0EB0"/>
    <w:rsid w:val="5E086E60"/>
    <w:rsid w:val="5E5B4B1E"/>
    <w:rsid w:val="5E806603"/>
    <w:rsid w:val="5EDC2437"/>
    <w:rsid w:val="5F0D17C2"/>
    <w:rsid w:val="5F197D9E"/>
    <w:rsid w:val="5F3C0936"/>
    <w:rsid w:val="5F5A2BA2"/>
    <w:rsid w:val="5F683B20"/>
    <w:rsid w:val="5F6A1B70"/>
    <w:rsid w:val="5F715923"/>
    <w:rsid w:val="5F74528F"/>
    <w:rsid w:val="5F905960"/>
    <w:rsid w:val="5FAD0C82"/>
    <w:rsid w:val="600E16AB"/>
    <w:rsid w:val="603C6B90"/>
    <w:rsid w:val="608B4D11"/>
    <w:rsid w:val="60B146AA"/>
    <w:rsid w:val="60E930B4"/>
    <w:rsid w:val="61034DA8"/>
    <w:rsid w:val="61391E0A"/>
    <w:rsid w:val="61716ECA"/>
    <w:rsid w:val="61A00D6C"/>
    <w:rsid w:val="61EC3C39"/>
    <w:rsid w:val="62093EA3"/>
    <w:rsid w:val="620B0745"/>
    <w:rsid w:val="6229181C"/>
    <w:rsid w:val="62293292"/>
    <w:rsid w:val="625B2CD4"/>
    <w:rsid w:val="62772330"/>
    <w:rsid w:val="629851A9"/>
    <w:rsid w:val="62B657FF"/>
    <w:rsid w:val="62C03657"/>
    <w:rsid w:val="62F96812"/>
    <w:rsid w:val="634B6B7B"/>
    <w:rsid w:val="64121F08"/>
    <w:rsid w:val="64383FFB"/>
    <w:rsid w:val="6457654C"/>
    <w:rsid w:val="64834708"/>
    <w:rsid w:val="64AC0A38"/>
    <w:rsid w:val="64BD300D"/>
    <w:rsid w:val="64D45316"/>
    <w:rsid w:val="651A5C4B"/>
    <w:rsid w:val="653116C9"/>
    <w:rsid w:val="653261FA"/>
    <w:rsid w:val="653A164C"/>
    <w:rsid w:val="65B31BCC"/>
    <w:rsid w:val="65B87A10"/>
    <w:rsid w:val="65D35C16"/>
    <w:rsid w:val="6606215B"/>
    <w:rsid w:val="666879C6"/>
    <w:rsid w:val="66EA1E3B"/>
    <w:rsid w:val="671B3499"/>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9824D44"/>
    <w:rsid w:val="6A2F7D3D"/>
    <w:rsid w:val="6AC26EA2"/>
    <w:rsid w:val="6AC44695"/>
    <w:rsid w:val="6B477EF6"/>
    <w:rsid w:val="6B513865"/>
    <w:rsid w:val="6B9A256C"/>
    <w:rsid w:val="6BA373FF"/>
    <w:rsid w:val="6BEB1E5F"/>
    <w:rsid w:val="6C4957FC"/>
    <w:rsid w:val="6C53730E"/>
    <w:rsid w:val="6C5534FB"/>
    <w:rsid w:val="6C61176F"/>
    <w:rsid w:val="6C666306"/>
    <w:rsid w:val="6D387925"/>
    <w:rsid w:val="6D3E0CE6"/>
    <w:rsid w:val="6D440BBC"/>
    <w:rsid w:val="6D5817D8"/>
    <w:rsid w:val="6D6E3F95"/>
    <w:rsid w:val="6DB151E2"/>
    <w:rsid w:val="6DBF39F3"/>
    <w:rsid w:val="6DC0644E"/>
    <w:rsid w:val="6E137528"/>
    <w:rsid w:val="6E80463B"/>
    <w:rsid w:val="6E895A0C"/>
    <w:rsid w:val="6EC56FAA"/>
    <w:rsid w:val="6F22793F"/>
    <w:rsid w:val="6F457884"/>
    <w:rsid w:val="6F570F4E"/>
    <w:rsid w:val="6F7C1012"/>
    <w:rsid w:val="6F883155"/>
    <w:rsid w:val="6F8C7070"/>
    <w:rsid w:val="6FA035B9"/>
    <w:rsid w:val="6FE70842"/>
    <w:rsid w:val="6FEA4E60"/>
    <w:rsid w:val="6FF53E70"/>
    <w:rsid w:val="700713B2"/>
    <w:rsid w:val="701A2DBF"/>
    <w:rsid w:val="703D260A"/>
    <w:rsid w:val="70642ED3"/>
    <w:rsid w:val="70763652"/>
    <w:rsid w:val="70A15996"/>
    <w:rsid w:val="70A2792D"/>
    <w:rsid w:val="70F43E95"/>
    <w:rsid w:val="713779A1"/>
    <w:rsid w:val="715168D7"/>
    <w:rsid w:val="71806AFE"/>
    <w:rsid w:val="71FE5EAA"/>
    <w:rsid w:val="720C6BF9"/>
    <w:rsid w:val="7242032A"/>
    <w:rsid w:val="724E26A6"/>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4931B4"/>
    <w:rsid w:val="75706FDE"/>
    <w:rsid w:val="759077E6"/>
    <w:rsid w:val="75940C8C"/>
    <w:rsid w:val="75BB2BFD"/>
    <w:rsid w:val="75C624A0"/>
    <w:rsid w:val="75C940ED"/>
    <w:rsid w:val="76460B6A"/>
    <w:rsid w:val="765748C8"/>
    <w:rsid w:val="766F66D6"/>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0C273A"/>
    <w:rsid w:val="7A1A7F37"/>
    <w:rsid w:val="7A1C7B11"/>
    <w:rsid w:val="7A37206F"/>
    <w:rsid w:val="7A741385"/>
    <w:rsid w:val="7A7E5483"/>
    <w:rsid w:val="7AAF231C"/>
    <w:rsid w:val="7AC84743"/>
    <w:rsid w:val="7AEC20F3"/>
    <w:rsid w:val="7AEE1591"/>
    <w:rsid w:val="7B2F1AD6"/>
    <w:rsid w:val="7B7027FC"/>
    <w:rsid w:val="7B740622"/>
    <w:rsid w:val="7B8D786E"/>
    <w:rsid w:val="7B994BC5"/>
    <w:rsid w:val="7BDC7402"/>
    <w:rsid w:val="7BE145C1"/>
    <w:rsid w:val="7C152DD9"/>
    <w:rsid w:val="7C520931"/>
    <w:rsid w:val="7CD535CF"/>
    <w:rsid w:val="7D34076E"/>
    <w:rsid w:val="7D53381A"/>
    <w:rsid w:val="7D624404"/>
    <w:rsid w:val="7DF25444"/>
    <w:rsid w:val="7DF27933"/>
    <w:rsid w:val="7E2C708B"/>
    <w:rsid w:val="7E5043C5"/>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表段落1"/>
    <w:basedOn w:val="1"/>
    <w:qFormat/>
    <w:uiPriority w:val="34"/>
    <w:pPr>
      <w:spacing w:before="206"/>
      <w:ind w:left="959" w:hanging="361"/>
    </w:pPr>
  </w:style>
  <w:style w:type="character" w:customStyle="1" w:styleId="14">
    <w:name w:val="cd_message"/>
    <w:basedOn w:val="6"/>
    <w:qFormat/>
    <w:uiPriority w:val="0"/>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6">
    <w:name w:val="列出段落1"/>
    <w:basedOn w:val="1"/>
    <w:qFormat/>
    <w:uiPriority w:val="99"/>
    <w:pPr>
      <w:ind w:firstLine="420" w:firstLineChars="200"/>
    </w:pPr>
  </w:style>
  <w:style w:type="character" w:customStyle="1" w:styleId="17">
    <w:name w:val="页眉 Char"/>
    <w:basedOn w:val="6"/>
    <w:link w:val="5"/>
    <w:qFormat/>
    <w:uiPriority w:val="0"/>
    <w:rPr>
      <w:kern w:val="2"/>
      <w:sz w:val="18"/>
      <w:szCs w:val="18"/>
    </w:rPr>
  </w:style>
  <w:style w:type="character" w:customStyle="1" w:styleId="18">
    <w:name w:val="common_over_page_btn1"/>
    <w:basedOn w:val="6"/>
    <w:qFormat/>
    <w:uiPriority w:val="0"/>
  </w:style>
  <w:style w:type="character" w:customStyle="1" w:styleId="19">
    <w:name w:val="common_over_page_btn2"/>
    <w:basedOn w:val="6"/>
    <w:qFormat/>
    <w:uiPriority w:val="0"/>
    <w:rPr>
      <w:color w:val="999999"/>
      <w:bdr w:val="single" w:color="D4D4D4" w:sz="6" w:space="0"/>
      <w:shd w:val="clear" w:color="auto" w:fill="FFFFFF"/>
    </w:rPr>
  </w:style>
  <w:style w:type="paragraph" w:customStyle="1" w:styleId="20">
    <w:name w:val="Table Paragraph"/>
    <w:basedOn w:val="1"/>
    <w:qFormat/>
    <w:uiPriority w:val="1"/>
  </w:style>
  <w:style w:type="paragraph" w:customStyle="1" w:styleId="21">
    <w:name w:val="List Paragraph"/>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5</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2022-08-10T01:11:08Z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