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21" w:rsidRDefault="00E11E21" w:rsidP="00E11E21">
      <w:pPr>
        <w:adjustRightInd w:val="0"/>
        <w:rPr>
          <w:b/>
          <w:bCs/>
          <w:sz w:val="36"/>
          <w:lang w:eastAsia="zh-CN"/>
        </w:rPr>
      </w:pPr>
      <w:r>
        <w:rPr>
          <w:rFonts w:hint="eastAsia"/>
          <w:b/>
          <w:bCs/>
          <w:sz w:val="36"/>
          <w:lang w:eastAsia="zh-CN"/>
        </w:rPr>
        <w:t>福建福海创石油化工有限公司</w:t>
      </w:r>
      <w:r w:rsidRPr="009F6CB6">
        <w:rPr>
          <w:rFonts w:hint="eastAsia"/>
          <w:b/>
          <w:bCs/>
          <w:sz w:val="36"/>
          <w:lang w:eastAsia="zh-CN"/>
        </w:rPr>
        <w:t>原料适应性技改项目</w:t>
      </w:r>
      <w:r w:rsidRPr="00AA6B6A">
        <w:rPr>
          <w:rFonts w:hint="eastAsia"/>
          <w:b/>
          <w:bCs/>
          <w:sz w:val="36"/>
          <w:lang w:eastAsia="zh-CN"/>
        </w:rPr>
        <w:t>2#90万吨/年抽提装置屏蔽泵采购</w:t>
      </w:r>
      <w:r>
        <w:rPr>
          <w:rFonts w:hint="eastAsia"/>
          <w:b/>
          <w:bCs/>
          <w:sz w:val="36"/>
          <w:lang w:eastAsia="zh-CN"/>
        </w:rPr>
        <w:t>比选公告</w:t>
      </w:r>
    </w:p>
    <w:p w:rsidR="00E11E21" w:rsidRDefault="00E11E21" w:rsidP="00E11E21">
      <w:pPr>
        <w:spacing w:line="360" w:lineRule="auto"/>
        <w:ind w:right="315"/>
        <w:jc w:val="right"/>
        <w:rPr>
          <w:bCs/>
          <w:szCs w:val="21"/>
          <w:lang w:eastAsia="zh-CN"/>
        </w:rPr>
      </w:pPr>
      <w:r>
        <w:rPr>
          <w:rFonts w:hint="eastAsia"/>
          <w:bCs/>
          <w:szCs w:val="21"/>
          <w:lang w:eastAsia="zh-CN"/>
        </w:rPr>
        <w:t>比选编号：</w:t>
      </w:r>
      <w:r w:rsidRPr="0030755B">
        <w:rPr>
          <w:bCs/>
          <w:szCs w:val="21"/>
          <w:lang w:eastAsia="zh-CN"/>
        </w:rPr>
        <w:t>FHC-GKJCG-20220728004</w:t>
      </w:r>
    </w:p>
    <w:p w:rsidR="00E11E21" w:rsidRDefault="00E11E21" w:rsidP="00E11E21">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w:t>
      </w:r>
      <w:r w:rsidRPr="000F7C98">
        <w:rPr>
          <w:rFonts w:asciiTheme="minorEastAsia" w:eastAsiaTheme="minorEastAsia" w:hAnsiTheme="minorEastAsia" w:hint="eastAsia"/>
          <w:bCs/>
          <w:sz w:val="24"/>
          <w:szCs w:val="24"/>
          <w:lang w:eastAsia="zh-CN"/>
        </w:rPr>
        <w:t>2#90万吨/年抽提装置屏蔽泵采购</w:t>
      </w:r>
      <w:r>
        <w:rPr>
          <w:rFonts w:asciiTheme="minorEastAsia" w:eastAsiaTheme="minorEastAsia" w:hAnsiTheme="minorEastAsia" w:hint="eastAsia"/>
          <w:bCs/>
          <w:sz w:val="24"/>
          <w:szCs w:val="24"/>
          <w:lang w:eastAsia="zh-CN"/>
        </w:rPr>
        <w:t>（项目编号：</w:t>
      </w:r>
      <w:r w:rsidRPr="000F7C98">
        <w:rPr>
          <w:rFonts w:asciiTheme="minorEastAsia" w:eastAsiaTheme="minorEastAsia" w:hAnsiTheme="minorEastAsia"/>
          <w:bCs/>
          <w:sz w:val="24"/>
          <w:szCs w:val="24"/>
          <w:lang w:eastAsia="zh-CN"/>
        </w:rPr>
        <w:t>FHC-GKJCG-20220728004</w:t>
      </w:r>
      <w:r>
        <w:rPr>
          <w:rFonts w:asciiTheme="minorEastAsia" w:eastAsiaTheme="minorEastAsia" w:hAnsiTheme="minorEastAsia" w:hint="eastAsia"/>
          <w:bCs/>
          <w:sz w:val="24"/>
          <w:szCs w:val="24"/>
          <w:lang w:eastAsia="zh-CN"/>
        </w:rPr>
        <w:t>）”进行国内公开比选，欢迎国内符合条件的供应商积极参选。</w:t>
      </w:r>
    </w:p>
    <w:p w:rsidR="00E11E21" w:rsidRDefault="00E11E21" w:rsidP="00E11E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E11E21" w:rsidRDefault="00E11E21" w:rsidP="00E11E21">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4D2B77">
        <w:rPr>
          <w:rFonts w:asciiTheme="minorEastAsia" w:eastAsiaTheme="minorEastAsia" w:hAnsiTheme="minorEastAsia" w:hint="eastAsia"/>
          <w:bCs/>
          <w:sz w:val="24"/>
          <w:szCs w:val="24"/>
          <w:lang w:eastAsia="zh-CN"/>
        </w:rPr>
        <w:t>原料适应性技改项目2#90万吨/年抽提装置屏蔽泵采</w:t>
      </w:r>
      <w:r>
        <w:rPr>
          <w:rFonts w:asciiTheme="minorEastAsia" w:eastAsiaTheme="minorEastAsia" w:hAnsiTheme="minorEastAsia" w:hint="eastAsia"/>
          <w:bCs/>
          <w:sz w:val="24"/>
          <w:szCs w:val="24"/>
          <w:lang w:eastAsia="zh-CN"/>
        </w:rPr>
        <w:t>购；</w:t>
      </w:r>
    </w:p>
    <w:p w:rsidR="00E11E21" w:rsidRDefault="00E11E21" w:rsidP="00E11E21">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tbl>
      <w:tblPr>
        <w:tblW w:w="6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88"/>
        <w:gridCol w:w="1985"/>
        <w:gridCol w:w="876"/>
        <w:gridCol w:w="1206"/>
      </w:tblGrid>
      <w:tr w:rsidR="00E11E21" w:rsidTr="00D97EE0">
        <w:trPr>
          <w:trHeight w:val="591"/>
          <w:tblHeader/>
          <w:jc w:val="center"/>
        </w:trPr>
        <w:tc>
          <w:tcPr>
            <w:tcW w:w="747" w:type="dxa"/>
            <w:shd w:val="clear" w:color="auto" w:fill="auto"/>
            <w:vAlign w:val="center"/>
          </w:tcPr>
          <w:p w:rsidR="00E11E21" w:rsidRDefault="00E11E21" w:rsidP="00D97EE0">
            <w:pPr>
              <w:spacing w:line="360" w:lineRule="auto"/>
              <w:jc w:val="center"/>
              <w:rPr>
                <w:rFonts w:ascii="Arial" w:hAnsi="Arial" w:cs="Arial"/>
              </w:rPr>
            </w:pPr>
            <w:proofErr w:type="spellStart"/>
            <w:r>
              <w:rPr>
                <w:rFonts w:ascii="Arial" w:hAnsi="Arial" w:cs="Arial"/>
              </w:rPr>
              <w:t>序号</w:t>
            </w:r>
            <w:proofErr w:type="spellEnd"/>
          </w:p>
        </w:tc>
        <w:tc>
          <w:tcPr>
            <w:tcW w:w="1788" w:type="dxa"/>
            <w:shd w:val="clear" w:color="auto" w:fill="auto"/>
            <w:vAlign w:val="center"/>
          </w:tcPr>
          <w:p w:rsidR="00E11E21" w:rsidRDefault="00E11E21" w:rsidP="00D97EE0">
            <w:pPr>
              <w:spacing w:line="360" w:lineRule="auto"/>
              <w:jc w:val="center"/>
              <w:rPr>
                <w:rFonts w:ascii="Arial" w:hAnsi="Arial" w:cs="Arial"/>
              </w:rPr>
            </w:pPr>
            <w:proofErr w:type="spellStart"/>
            <w:r>
              <w:rPr>
                <w:rFonts w:ascii="Arial" w:hAnsi="Arial" w:cs="Arial"/>
              </w:rPr>
              <w:t>设备位号</w:t>
            </w:r>
            <w:proofErr w:type="spellEnd"/>
          </w:p>
        </w:tc>
        <w:tc>
          <w:tcPr>
            <w:tcW w:w="1985" w:type="dxa"/>
            <w:shd w:val="clear" w:color="auto" w:fill="auto"/>
            <w:vAlign w:val="center"/>
          </w:tcPr>
          <w:p w:rsidR="00E11E21" w:rsidRDefault="00E11E21" w:rsidP="00D97EE0">
            <w:pPr>
              <w:spacing w:line="360" w:lineRule="auto"/>
              <w:jc w:val="center"/>
              <w:rPr>
                <w:rFonts w:ascii="Arial" w:hAnsi="Arial" w:cs="Arial"/>
              </w:rPr>
            </w:pPr>
            <w:proofErr w:type="spellStart"/>
            <w:r>
              <w:rPr>
                <w:rFonts w:ascii="Arial" w:hAnsi="Arial" w:cs="Arial"/>
              </w:rPr>
              <w:t>设备名称</w:t>
            </w:r>
            <w:proofErr w:type="spellEnd"/>
          </w:p>
        </w:tc>
        <w:tc>
          <w:tcPr>
            <w:tcW w:w="876" w:type="dxa"/>
            <w:shd w:val="clear" w:color="auto" w:fill="auto"/>
            <w:vAlign w:val="center"/>
          </w:tcPr>
          <w:p w:rsidR="00E11E21" w:rsidRDefault="00E11E21" w:rsidP="00D97EE0">
            <w:pPr>
              <w:spacing w:line="360" w:lineRule="auto"/>
              <w:jc w:val="center"/>
              <w:rPr>
                <w:rFonts w:ascii="Arial" w:hAnsi="Arial" w:cs="Arial"/>
              </w:rPr>
            </w:pPr>
            <w:proofErr w:type="spellStart"/>
            <w:r>
              <w:rPr>
                <w:rFonts w:ascii="Arial" w:hAnsi="Arial" w:cs="Arial"/>
              </w:rPr>
              <w:t>数量</w:t>
            </w:r>
            <w:proofErr w:type="spellEnd"/>
          </w:p>
        </w:tc>
        <w:tc>
          <w:tcPr>
            <w:tcW w:w="1206" w:type="dxa"/>
            <w:shd w:val="clear" w:color="auto" w:fill="auto"/>
            <w:vAlign w:val="center"/>
          </w:tcPr>
          <w:p w:rsidR="00E11E21" w:rsidRDefault="00E11E21" w:rsidP="00D97EE0">
            <w:pPr>
              <w:spacing w:line="360" w:lineRule="auto"/>
              <w:jc w:val="center"/>
              <w:rPr>
                <w:rFonts w:ascii="Arial" w:hAnsi="Arial" w:cs="Arial"/>
              </w:rPr>
            </w:pPr>
            <w:proofErr w:type="spellStart"/>
            <w:r>
              <w:rPr>
                <w:rFonts w:ascii="Arial" w:hAnsi="Arial" w:cs="Arial"/>
              </w:rPr>
              <w:t>备注</w:t>
            </w:r>
            <w:proofErr w:type="spellEnd"/>
          </w:p>
        </w:tc>
      </w:tr>
      <w:tr w:rsidR="00E11E21" w:rsidTr="00D97EE0">
        <w:trPr>
          <w:trHeight w:val="555"/>
          <w:jc w:val="center"/>
        </w:trPr>
        <w:tc>
          <w:tcPr>
            <w:tcW w:w="747" w:type="dxa"/>
            <w:shd w:val="clear" w:color="auto" w:fill="auto"/>
            <w:vAlign w:val="center"/>
          </w:tcPr>
          <w:p w:rsidR="00E11E21" w:rsidRDefault="00E11E21" w:rsidP="00D97EE0">
            <w:pPr>
              <w:jc w:val="center"/>
              <w:rPr>
                <w:rFonts w:ascii="Arial" w:hAnsi="Arial" w:cs="Arial"/>
              </w:rPr>
            </w:pPr>
            <w:r>
              <w:rPr>
                <w:rFonts w:ascii="Arial" w:hAnsi="Arial" w:cs="Arial"/>
              </w:rPr>
              <w:t>1</w:t>
            </w:r>
          </w:p>
        </w:tc>
        <w:tc>
          <w:tcPr>
            <w:tcW w:w="1788" w:type="dxa"/>
            <w:shd w:val="clear" w:color="auto" w:fill="auto"/>
            <w:vAlign w:val="center"/>
          </w:tcPr>
          <w:p w:rsidR="00E11E21" w:rsidRPr="00A47C95" w:rsidRDefault="00E11E21" w:rsidP="00D97EE0">
            <w:pPr>
              <w:adjustRightInd w:val="0"/>
              <w:rPr>
                <w:rFonts w:hAnsi="Times New Roman"/>
                <w:color w:val="000000"/>
                <w:sz w:val="24"/>
                <w:szCs w:val="24"/>
                <w:lang w:eastAsia="zh-CN"/>
              </w:rPr>
            </w:pPr>
          </w:p>
          <w:tbl>
            <w:tblPr>
              <w:tblW w:w="2499" w:type="dxa"/>
              <w:tblBorders>
                <w:top w:val="nil"/>
                <w:left w:val="nil"/>
                <w:bottom w:val="nil"/>
                <w:right w:val="nil"/>
              </w:tblBorders>
              <w:tblLayout w:type="fixed"/>
              <w:tblLook w:val="0000" w:firstRow="0" w:lastRow="0" w:firstColumn="0" w:lastColumn="0" w:noHBand="0" w:noVBand="0"/>
            </w:tblPr>
            <w:tblGrid>
              <w:gridCol w:w="1539"/>
              <w:gridCol w:w="960"/>
            </w:tblGrid>
            <w:tr w:rsidR="00E11E21" w:rsidRPr="00A47C95" w:rsidTr="00D97EE0">
              <w:trPr>
                <w:trHeight w:val="240"/>
              </w:trPr>
              <w:tc>
                <w:tcPr>
                  <w:tcW w:w="1539" w:type="dxa"/>
                </w:tcPr>
                <w:p w:rsidR="00E11E21" w:rsidRPr="00A47C95" w:rsidRDefault="00E11E21" w:rsidP="00D97EE0">
                  <w:pPr>
                    <w:adjustRightInd w:val="0"/>
                    <w:rPr>
                      <w:rFonts w:hAnsi="Times New Roman"/>
                      <w:color w:val="000000"/>
                      <w:sz w:val="24"/>
                      <w:szCs w:val="24"/>
                      <w:lang w:eastAsia="zh-CN"/>
                    </w:rPr>
                  </w:pPr>
                  <w:r w:rsidRPr="00A47C95">
                    <w:rPr>
                      <w:rFonts w:hAnsi="Times New Roman"/>
                      <w:color w:val="000000"/>
                      <w:sz w:val="24"/>
                      <w:szCs w:val="24"/>
                      <w:lang w:eastAsia="zh-CN"/>
                    </w:rPr>
                    <w:t>P-</w:t>
                  </w:r>
                  <w:r>
                    <w:rPr>
                      <w:rFonts w:hAnsi="Times New Roman"/>
                      <w:color w:val="000000"/>
                      <w:sz w:val="24"/>
                      <w:szCs w:val="24"/>
                      <w:lang w:eastAsia="zh-CN"/>
                    </w:rPr>
                    <w:t>1</w:t>
                  </w:r>
                  <w:r w:rsidRPr="00A47C95">
                    <w:rPr>
                      <w:rFonts w:hAnsi="Times New Roman"/>
                      <w:color w:val="000000"/>
                      <w:sz w:val="24"/>
                      <w:szCs w:val="24"/>
                      <w:lang w:eastAsia="zh-CN"/>
                    </w:rPr>
                    <w:t xml:space="preserve">09A/B </w:t>
                  </w:r>
                </w:p>
              </w:tc>
              <w:tc>
                <w:tcPr>
                  <w:tcW w:w="960" w:type="dxa"/>
                </w:tcPr>
                <w:p w:rsidR="00E11E21" w:rsidRPr="00A47C95" w:rsidRDefault="00E11E21" w:rsidP="00D97EE0">
                  <w:pPr>
                    <w:adjustRightInd w:val="0"/>
                    <w:rPr>
                      <w:rFonts w:hAnsi="Times New Roman"/>
                      <w:color w:val="000000"/>
                      <w:sz w:val="24"/>
                      <w:szCs w:val="24"/>
                      <w:lang w:eastAsia="zh-CN"/>
                    </w:rPr>
                  </w:pPr>
                </w:p>
              </w:tc>
            </w:tr>
          </w:tbl>
          <w:p w:rsidR="00E11E21" w:rsidRPr="00A47C95" w:rsidRDefault="00E11E21" w:rsidP="00D97EE0">
            <w:pPr>
              <w:adjustRightInd w:val="0"/>
              <w:rPr>
                <w:rFonts w:hAnsi="Times New Roman" w:cs="Times New Roman"/>
                <w:sz w:val="24"/>
                <w:szCs w:val="24"/>
                <w:lang w:eastAsia="zh-CN"/>
              </w:rPr>
            </w:pPr>
          </w:p>
          <w:p w:rsidR="00E11E21" w:rsidRDefault="00E11E21" w:rsidP="00D97EE0">
            <w:pPr>
              <w:jc w:val="center"/>
              <w:rPr>
                <w:rFonts w:ascii="Arial" w:hAnsi="Arial" w:cs="Arial"/>
              </w:rPr>
            </w:pPr>
          </w:p>
        </w:tc>
        <w:tc>
          <w:tcPr>
            <w:tcW w:w="1985" w:type="dxa"/>
            <w:shd w:val="clear" w:color="auto" w:fill="auto"/>
            <w:vAlign w:val="center"/>
          </w:tcPr>
          <w:p w:rsidR="00E11E21" w:rsidRPr="00F20C27" w:rsidRDefault="00E11E21" w:rsidP="00D97EE0">
            <w:pPr>
              <w:adjustRightInd w:val="0"/>
              <w:rPr>
                <w:rFonts w:hAnsi="Times New Roman"/>
                <w:color w:val="000000"/>
                <w:sz w:val="24"/>
                <w:szCs w:val="24"/>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1440"/>
            </w:tblGrid>
            <w:tr w:rsidR="00E11E21" w:rsidRPr="00F20C27" w:rsidTr="00D97EE0">
              <w:trPr>
                <w:trHeight w:val="240"/>
              </w:trPr>
              <w:tc>
                <w:tcPr>
                  <w:tcW w:w="1440" w:type="dxa"/>
                </w:tcPr>
                <w:p w:rsidR="00E11E21" w:rsidRPr="00F20C27" w:rsidRDefault="00E11E21" w:rsidP="00D97EE0">
                  <w:pPr>
                    <w:adjustRightInd w:val="0"/>
                    <w:jc w:val="both"/>
                    <w:rPr>
                      <w:rFonts w:hAnsi="Times New Roman"/>
                      <w:color w:val="000000"/>
                      <w:sz w:val="24"/>
                      <w:szCs w:val="24"/>
                      <w:lang w:eastAsia="zh-CN"/>
                    </w:rPr>
                  </w:pPr>
                  <w:r>
                    <w:rPr>
                      <w:rFonts w:hAnsi="Times New Roman" w:hint="eastAsia"/>
                      <w:color w:val="000000"/>
                      <w:sz w:val="24"/>
                      <w:szCs w:val="24"/>
                      <w:lang w:eastAsia="zh-CN"/>
                    </w:rPr>
                    <w:t>回收塔顶</w:t>
                  </w:r>
                  <w:r w:rsidRPr="00F20C27">
                    <w:rPr>
                      <w:rFonts w:hAnsi="Times New Roman" w:hint="eastAsia"/>
                      <w:color w:val="000000"/>
                      <w:sz w:val="24"/>
                      <w:szCs w:val="24"/>
                      <w:lang w:eastAsia="zh-CN"/>
                    </w:rPr>
                    <w:t>泵</w:t>
                  </w:r>
                  <w:r w:rsidRPr="00F20C27">
                    <w:rPr>
                      <w:rFonts w:hAnsi="Times New Roman"/>
                      <w:color w:val="000000"/>
                      <w:sz w:val="24"/>
                      <w:szCs w:val="24"/>
                      <w:lang w:eastAsia="zh-CN"/>
                    </w:rPr>
                    <w:t xml:space="preserve"> </w:t>
                  </w:r>
                </w:p>
              </w:tc>
            </w:tr>
          </w:tbl>
          <w:p w:rsidR="00E11E21" w:rsidRPr="00F20C27" w:rsidRDefault="00E11E21" w:rsidP="00D97EE0">
            <w:pPr>
              <w:adjustRightInd w:val="0"/>
              <w:rPr>
                <w:rFonts w:hAnsi="Times New Roman" w:cs="Times New Roman"/>
                <w:sz w:val="24"/>
                <w:szCs w:val="24"/>
                <w:lang w:eastAsia="zh-CN"/>
              </w:rPr>
            </w:pPr>
          </w:p>
          <w:p w:rsidR="00E11E21" w:rsidRDefault="00E11E21" w:rsidP="00D97EE0">
            <w:pPr>
              <w:jc w:val="center"/>
              <w:rPr>
                <w:rFonts w:ascii="Arial" w:hAnsi="Arial" w:cs="Arial"/>
              </w:rPr>
            </w:pPr>
          </w:p>
        </w:tc>
        <w:tc>
          <w:tcPr>
            <w:tcW w:w="876" w:type="dxa"/>
            <w:shd w:val="clear" w:color="auto" w:fill="auto"/>
            <w:vAlign w:val="center"/>
          </w:tcPr>
          <w:p w:rsidR="00E11E21" w:rsidRDefault="00E11E21" w:rsidP="00D97EE0">
            <w:pPr>
              <w:spacing w:line="360" w:lineRule="auto"/>
              <w:jc w:val="center"/>
              <w:rPr>
                <w:rFonts w:ascii="Arial" w:hAnsi="Arial" w:cs="Arial"/>
              </w:rPr>
            </w:pPr>
            <w:r>
              <w:rPr>
                <w:rFonts w:ascii="Arial" w:hAnsi="Arial" w:cs="Arial"/>
              </w:rPr>
              <w:t>2</w:t>
            </w:r>
          </w:p>
        </w:tc>
        <w:tc>
          <w:tcPr>
            <w:tcW w:w="1206" w:type="dxa"/>
            <w:shd w:val="clear" w:color="auto" w:fill="auto"/>
            <w:vAlign w:val="center"/>
          </w:tcPr>
          <w:p w:rsidR="00E11E21" w:rsidRDefault="00E11E21" w:rsidP="00D97EE0">
            <w:pPr>
              <w:spacing w:line="360" w:lineRule="auto"/>
              <w:jc w:val="center"/>
              <w:rPr>
                <w:rFonts w:ascii="Arial" w:hAnsi="Arial" w:cs="Arial"/>
              </w:rPr>
            </w:pPr>
          </w:p>
        </w:tc>
      </w:tr>
      <w:tr w:rsidR="00E11E21" w:rsidTr="00D97EE0">
        <w:trPr>
          <w:trHeight w:val="906"/>
          <w:jc w:val="center"/>
        </w:trPr>
        <w:tc>
          <w:tcPr>
            <w:tcW w:w="747" w:type="dxa"/>
            <w:shd w:val="clear" w:color="auto" w:fill="auto"/>
            <w:vAlign w:val="center"/>
          </w:tcPr>
          <w:p w:rsidR="00E11E21" w:rsidRDefault="00E11E21" w:rsidP="00D97EE0">
            <w:pPr>
              <w:jc w:val="center"/>
              <w:rPr>
                <w:rFonts w:ascii="Arial" w:hAnsi="Arial" w:cs="Arial"/>
              </w:rPr>
            </w:pPr>
            <w:r>
              <w:rPr>
                <w:rFonts w:ascii="Arial" w:hAnsi="Arial" w:cs="Arial"/>
              </w:rPr>
              <w:t>2</w:t>
            </w:r>
          </w:p>
        </w:tc>
        <w:tc>
          <w:tcPr>
            <w:tcW w:w="1788" w:type="dxa"/>
            <w:shd w:val="clear" w:color="auto" w:fill="auto"/>
            <w:vAlign w:val="center"/>
          </w:tcPr>
          <w:p w:rsidR="00E11E21" w:rsidRPr="00F20C27" w:rsidRDefault="00E11E21" w:rsidP="00D97EE0">
            <w:pPr>
              <w:adjustRightInd w:val="0"/>
              <w:rPr>
                <w:rFonts w:hAnsi="Times New Roman"/>
                <w:color w:val="000000"/>
                <w:sz w:val="24"/>
                <w:szCs w:val="24"/>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1255"/>
            </w:tblGrid>
            <w:tr w:rsidR="00E11E21" w:rsidRPr="00F20C27" w:rsidTr="00D97EE0">
              <w:trPr>
                <w:trHeight w:val="240"/>
              </w:trPr>
              <w:tc>
                <w:tcPr>
                  <w:tcW w:w="1255" w:type="dxa"/>
                </w:tcPr>
                <w:p w:rsidR="00E11E21" w:rsidRPr="00F20C27" w:rsidRDefault="00E11E21" w:rsidP="00D97EE0">
                  <w:pPr>
                    <w:adjustRightInd w:val="0"/>
                    <w:rPr>
                      <w:rFonts w:hAnsi="Times New Roman"/>
                      <w:color w:val="000000"/>
                      <w:sz w:val="24"/>
                      <w:szCs w:val="24"/>
                      <w:lang w:eastAsia="zh-CN"/>
                    </w:rPr>
                  </w:pPr>
                  <w:r w:rsidRPr="00F20C27">
                    <w:rPr>
                      <w:rFonts w:hAnsi="Times New Roman"/>
                      <w:color w:val="000000"/>
                      <w:sz w:val="24"/>
                      <w:szCs w:val="24"/>
                      <w:lang w:eastAsia="zh-CN"/>
                    </w:rPr>
                    <w:t xml:space="preserve">P-110A/B </w:t>
                  </w:r>
                </w:p>
              </w:tc>
            </w:tr>
          </w:tbl>
          <w:p w:rsidR="00E11E21" w:rsidRPr="00F20C27" w:rsidRDefault="00E11E21" w:rsidP="00D97EE0">
            <w:pPr>
              <w:adjustRightInd w:val="0"/>
              <w:rPr>
                <w:rFonts w:hAnsi="Times New Roman" w:cs="Times New Roman"/>
                <w:sz w:val="24"/>
                <w:szCs w:val="24"/>
                <w:lang w:eastAsia="zh-CN"/>
              </w:rPr>
            </w:pPr>
          </w:p>
          <w:p w:rsidR="00E11E21" w:rsidRDefault="00E11E21" w:rsidP="00D97EE0">
            <w:pPr>
              <w:jc w:val="center"/>
              <w:rPr>
                <w:rFonts w:ascii="Arial" w:hAnsi="Arial" w:cs="Arial"/>
              </w:rPr>
            </w:pPr>
          </w:p>
        </w:tc>
        <w:tc>
          <w:tcPr>
            <w:tcW w:w="1985" w:type="dxa"/>
            <w:shd w:val="clear" w:color="auto" w:fill="auto"/>
            <w:vAlign w:val="center"/>
          </w:tcPr>
          <w:p w:rsidR="00E11E21" w:rsidRPr="00F20C27" w:rsidRDefault="00E11E21" w:rsidP="00D97EE0">
            <w:pPr>
              <w:adjustRightInd w:val="0"/>
              <w:rPr>
                <w:rFonts w:hAnsi="Times New Roman"/>
                <w:color w:val="000000"/>
                <w:sz w:val="24"/>
                <w:szCs w:val="24"/>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1792"/>
            </w:tblGrid>
            <w:tr w:rsidR="00E11E21" w:rsidRPr="00F20C27" w:rsidTr="00D97EE0">
              <w:trPr>
                <w:trHeight w:val="240"/>
              </w:trPr>
              <w:tc>
                <w:tcPr>
                  <w:tcW w:w="1792" w:type="dxa"/>
                </w:tcPr>
                <w:p w:rsidR="00E11E21" w:rsidRPr="00F20C27" w:rsidRDefault="00E11E21" w:rsidP="00D97EE0">
                  <w:pPr>
                    <w:adjustRightInd w:val="0"/>
                    <w:rPr>
                      <w:rFonts w:hAnsi="Times New Roman"/>
                      <w:color w:val="000000"/>
                      <w:sz w:val="24"/>
                      <w:szCs w:val="24"/>
                      <w:lang w:eastAsia="zh-CN"/>
                    </w:rPr>
                  </w:pPr>
                  <w:r w:rsidRPr="00F20C27">
                    <w:rPr>
                      <w:rFonts w:hAnsi="Times New Roman" w:hint="eastAsia"/>
                      <w:color w:val="000000"/>
                      <w:sz w:val="24"/>
                      <w:szCs w:val="24"/>
                      <w:lang w:eastAsia="zh-CN"/>
                    </w:rPr>
                    <w:t>回收塔回流</w:t>
                  </w:r>
                  <w:r>
                    <w:rPr>
                      <w:rFonts w:hAnsi="Times New Roman" w:hint="eastAsia"/>
                      <w:color w:val="000000"/>
                      <w:sz w:val="24"/>
                      <w:szCs w:val="24"/>
                      <w:lang w:eastAsia="zh-CN"/>
                    </w:rPr>
                    <w:t>泵</w:t>
                  </w:r>
                </w:p>
              </w:tc>
            </w:tr>
          </w:tbl>
          <w:p w:rsidR="00E11E21" w:rsidRPr="00F20C27" w:rsidRDefault="00E11E21" w:rsidP="00D97EE0">
            <w:pPr>
              <w:adjustRightInd w:val="0"/>
              <w:rPr>
                <w:rFonts w:hAnsi="Times New Roman" w:cs="Times New Roman"/>
                <w:sz w:val="24"/>
                <w:szCs w:val="24"/>
                <w:lang w:eastAsia="zh-CN"/>
              </w:rPr>
            </w:pPr>
          </w:p>
          <w:p w:rsidR="00E11E21" w:rsidRDefault="00E11E21" w:rsidP="00D97EE0">
            <w:pPr>
              <w:jc w:val="center"/>
              <w:rPr>
                <w:rFonts w:ascii="Arial" w:hAnsi="Arial" w:cs="Arial"/>
              </w:rPr>
            </w:pPr>
          </w:p>
        </w:tc>
        <w:tc>
          <w:tcPr>
            <w:tcW w:w="876" w:type="dxa"/>
            <w:shd w:val="clear" w:color="auto" w:fill="auto"/>
            <w:vAlign w:val="center"/>
          </w:tcPr>
          <w:p w:rsidR="00E11E21" w:rsidRDefault="00E11E21" w:rsidP="00D97EE0">
            <w:pPr>
              <w:spacing w:line="360" w:lineRule="auto"/>
              <w:jc w:val="center"/>
              <w:rPr>
                <w:rFonts w:ascii="Arial" w:hAnsi="Arial" w:cs="Arial"/>
              </w:rPr>
            </w:pPr>
            <w:r>
              <w:rPr>
                <w:rFonts w:ascii="Arial" w:hAnsi="Arial" w:cs="Arial"/>
              </w:rPr>
              <w:t>2</w:t>
            </w:r>
          </w:p>
        </w:tc>
        <w:tc>
          <w:tcPr>
            <w:tcW w:w="1206" w:type="dxa"/>
            <w:shd w:val="clear" w:color="auto" w:fill="auto"/>
            <w:vAlign w:val="center"/>
          </w:tcPr>
          <w:p w:rsidR="00E11E21" w:rsidRDefault="00E11E21" w:rsidP="00D97EE0">
            <w:pPr>
              <w:spacing w:line="360" w:lineRule="auto"/>
              <w:jc w:val="center"/>
              <w:rPr>
                <w:rFonts w:ascii="Arial" w:hAnsi="Arial" w:cs="Arial"/>
              </w:rPr>
            </w:pPr>
          </w:p>
        </w:tc>
      </w:tr>
      <w:tr w:rsidR="00E11E21" w:rsidTr="00D97EE0">
        <w:trPr>
          <w:trHeight w:val="555"/>
          <w:jc w:val="center"/>
        </w:trPr>
        <w:tc>
          <w:tcPr>
            <w:tcW w:w="747" w:type="dxa"/>
            <w:shd w:val="clear" w:color="auto" w:fill="auto"/>
            <w:vAlign w:val="center"/>
          </w:tcPr>
          <w:p w:rsidR="00E11E21" w:rsidRDefault="00E11E21" w:rsidP="00D97EE0">
            <w:pPr>
              <w:spacing w:line="360" w:lineRule="auto"/>
              <w:jc w:val="center"/>
              <w:rPr>
                <w:rFonts w:ascii="Arial" w:hAnsi="Arial" w:cs="Arial"/>
              </w:rPr>
            </w:pPr>
          </w:p>
        </w:tc>
        <w:tc>
          <w:tcPr>
            <w:tcW w:w="1788" w:type="dxa"/>
            <w:shd w:val="clear" w:color="auto" w:fill="auto"/>
            <w:vAlign w:val="center"/>
          </w:tcPr>
          <w:p w:rsidR="00E11E21" w:rsidRDefault="00E11E21" w:rsidP="00D97EE0">
            <w:pPr>
              <w:spacing w:line="360" w:lineRule="auto"/>
              <w:jc w:val="center"/>
              <w:rPr>
                <w:rFonts w:ascii="Arial" w:hAnsi="Arial" w:cs="Arial"/>
              </w:rPr>
            </w:pPr>
            <w:proofErr w:type="spellStart"/>
            <w:r>
              <w:rPr>
                <w:rFonts w:ascii="Arial" w:hAnsi="Arial" w:cs="Arial"/>
              </w:rPr>
              <w:t>合计</w:t>
            </w:r>
            <w:proofErr w:type="spellEnd"/>
          </w:p>
        </w:tc>
        <w:tc>
          <w:tcPr>
            <w:tcW w:w="1985" w:type="dxa"/>
            <w:shd w:val="clear" w:color="auto" w:fill="auto"/>
            <w:vAlign w:val="center"/>
          </w:tcPr>
          <w:p w:rsidR="00E11E21" w:rsidRDefault="00E11E21" w:rsidP="00D97EE0">
            <w:pPr>
              <w:spacing w:line="360" w:lineRule="auto"/>
              <w:jc w:val="center"/>
              <w:rPr>
                <w:rFonts w:ascii="Arial" w:hAnsi="Arial" w:cs="Arial"/>
              </w:rPr>
            </w:pPr>
          </w:p>
        </w:tc>
        <w:tc>
          <w:tcPr>
            <w:tcW w:w="876" w:type="dxa"/>
            <w:shd w:val="clear" w:color="auto" w:fill="auto"/>
            <w:vAlign w:val="center"/>
          </w:tcPr>
          <w:p w:rsidR="00E11E21" w:rsidRDefault="00E11E21" w:rsidP="00D97EE0">
            <w:pPr>
              <w:spacing w:line="360" w:lineRule="auto"/>
              <w:jc w:val="center"/>
              <w:rPr>
                <w:rFonts w:ascii="Arial" w:hAnsi="Arial" w:cs="Arial"/>
              </w:rPr>
            </w:pPr>
            <w:r>
              <w:rPr>
                <w:rFonts w:ascii="Arial" w:hAnsi="Arial" w:cs="Arial"/>
              </w:rPr>
              <w:t>4</w:t>
            </w:r>
          </w:p>
        </w:tc>
        <w:tc>
          <w:tcPr>
            <w:tcW w:w="1206" w:type="dxa"/>
            <w:shd w:val="clear" w:color="auto" w:fill="auto"/>
            <w:vAlign w:val="center"/>
          </w:tcPr>
          <w:p w:rsidR="00E11E21" w:rsidRDefault="00E11E21" w:rsidP="00D97EE0">
            <w:pPr>
              <w:spacing w:line="360" w:lineRule="auto"/>
              <w:jc w:val="center"/>
              <w:rPr>
                <w:rFonts w:ascii="Arial" w:hAnsi="Arial" w:cs="Arial"/>
              </w:rPr>
            </w:pPr>
          </w:p>
        </w:tc>
      </w:tr>
    </w:tbl>
    <w:p w:rsidR="00E11E21" w:rsidRDefault="00E11E21" w:rsidP="00E11E21">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E11E21" w:rsidRDefault="00E11E21" w:rsidP="00E11E21">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E11E21" w:rsidRDefault="00E11E21" w:rsidP="00E11E21">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E11E21" w:rsidRDefault="00E11E21" w:rsidP="00E11E21">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3.控制价：￥60万元。</w:t>
      </w:r>
    </w:p>
    <w:p w:rsidR="00E11E21" w:rsidRDefault="00E11E21" w:rsidP="00E11E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E11E21" w:rsidRDefault="00E11E21" w:rsidP="00E11E21">
      <w:pPr>
        <w:pStyle w:val="Style4"/>
        <w:spacing w:line="360" w:lineRule="auto"/>
        <w:ind w:left="0" w:firstLineChars="200" w:firstLine="480"/>
        <w:jc w:val="left"/>
        <w:rPr>
          <w:rFonts w:ascii="宋体" w:eastAsia="宋体" w:hAnsi="宋体" w:cs="宋体"/>
        </w:rPr>
      </w:pPr>
      <w:bookmarkStart w:id="0" w:name="_Toc256000005"/>
      <w:r>
        <w:rPr>
          <w:rFonts w:ascii="宋体" w:eastAsia="宋体" w:hAnsi="宋体" w:cs="宋体" w:hint="eastAsia"/>
          <w:sz w:val="24"/>
          <w:szCs w:val="24"/>
        </w:rPr>
        <w:t>1.本次招标要求投标人须具备</w:t>
      </w:r>
      <w:r>
        <w:rPr>
          <w:rFonts w:ascii="宋体" w:eastAsia="宋体" w:hAnsi="宋体" w:cs="宋体" w:hint="eastAsia"/>
          <w:sz w:val="24"/>
          <w:szCs w:val="24"/>
          <w:u w:val="single"/>
        </w:rPr>
        <w:t xml:space="preserve"> 独立法人资格， </w:t>
      </w:r>
      <w:r>
        <w:rPr>
          <w:rFonts w:ascii="宋体" w:eastAsia="宋体" w:hAnsi="宋体" w:cs="宋体" w:hint="eastAsia"/>
          <w:sz w:val="24"/>
          <w:szCs w:val="24"/>
        </w:rPr>
        <w:t>资质，并具有与本招标项目</w:t>
      </w:r>
      <w:r>
        <w:rPr>
          <w:rFonts w:ascii="宋体" w:eastAsia="宋体" w:hAnsi="宋体" w:cs="宋体" w:hint="eastAsia"/>
          <w:spacing w:val="-16"/>
          <w:sz w:val="24"/>
          <w:szCs w:val="24"/>
        </w:rPr>
        <w:t>相</w:t>
      </w:r>
      <w:r>
        <w:rPr>
          <w:rFonts w:ascii="宋体" w:eastAsia="宋体" w:hAnsi="宋体" w:cs="宋体" w:hint="eastAsia"/>
          <w:sz w:val="24"/>
          <w:szCs w:val="24"/>
        </w:rPr>
        <w:t>应的</w:t>
      </w:r>
      <w:r>
        <w:rPr>
          <w:rFonts w:ascii="宋体" w:eastAsia="宋体" w:hAnsi="宋体" w:cs="宋体" w:hint="eastAsia"/>
          <w:spacing w:val="-3"/>
          <w:sz w:val="24"/>
          <w:szCs w:val="24"/>
        </w:rPr>
        <w:t>供</w:t>
      </w:r>
      <w:r>
        <w:rPr>
          <w:rFonts w:ascii="宋体" w:eastAsia="宋体" w:hAnsi="宋体" w:cs="宋体" w:hint="eastAsia"/>
          <w:sz w:val="24"/>
          <w:szCs w:val="24"/>
        </w:rPr>
        <w:t>货</w:t>
      </w:r>
      <w:r>
        <w:rPr>
          <w:rFonts w:ascii="宋体" w:eastAsia="宋体" w:hAnsi="宋体" w:cs="宋体" w:hint="eastAsia"/>
          <w:spacing w:val="-3"/>
          <w:sz w:val="24"/>
          <w:szCs w:val="24"/>
        </w:rPr>
        <w:t>能</w:t>
      </w:r>
      <w:r>
        <w:rPr>
          <w:rFonts w:ascii="宋体" w:eastAsia="宋体" w:hAnsi="宋体" w:cs="宋体" w:hint="eastAsia"/>
          <w:sz w:val="24"/>
          <w:szCs w:val="24"/>
        </w:rPr>
        <w:t>力（具体要求详见招标文件）。</w:t>
      </w:r>
      <w:bookmarkStart w:id="1" w:name="_Toc256000006"/>
      <w:bookmarkEnd w:id="0"/>
    </w:p>
    <w:p w:rsidR="00E11E21" w:rsidRDefault="00E11E21" w:rsidP="00E11E21">
      <w:pPr>
        <w:pStyle w:val="Style4"/>
        <w:spacing w:line="360" w:lineRule="auto"/>
        <w:ind w:left="0" w:firstLineChars="200" w:firstLine="516"/>
        <w:jc w:val="left"/>
        <w:rPr>
          <w:rFonts w:ascii="宋体" w:eastAsia="宋体" w:hAnsi="宋体" w:cs="宋体"/>
          <w:spacing w:val="9"/>
          <w:sz w:val="24"/>
          <w:szCs w:val="24"/>
        </w:rPr>
      </w:pPr>
      <w:r>
        <w:rPr>
          <w:rFonts w:ascii="宋体" w:eastAsia="宋体" w:hAnsi="宋体" w:cs="宋体" w:hint="eastAsia"/>
          <w:spacing w:val="9"/>
          <w:sz w:val="24"/>
          <w:szCs w:val="24"/>
        </w:rPr>
        <w:t>2.本</w:t>
      </w:r>
      <w:r>
        <w:rPr>
          <w:rFonts w:ascii="宋体" w:eastAsia="宋体" w:hAnsi="宋体" w:cs="宋体" w:hint="eastAsia"/>
          <w:spacing w:val="6"/>
          <w:sz w:val="24"/>
          <w:szCs w:val="24"/>
        </w:rPr>
        <w:t>次</w:t>
      </w:r>
      <w:r>
        <w:rPr>
          <w:rFonts w:ascii="宋体" w:eastAsia="宋体" w:hAnsi="宋体" w:cs="宋体" w:hint="eastAsia"/>
          <w:spacing w:val="9"/>
          <w:sz w:val="24"/>
          <w:szCs w:val="24"/>
        </w:rPr>
        <w:t>招</w:t>
      </w:r>
      <w:r>
        <w:rPr>
          <w:rFonts w:ascii="宋体" w:eastAsia="宋体" w:hAnsi="宋体" w:cs="宋体" w:hint="eastAsia"/>
          <w:spacing w:val="10"/>
          <w:sz w:val="24"/>
          <w:szCs w:val="24"/>
        </w:rPr>
        <w:t>标</w:t>
      </w:r>
      <w:bookmarkStart w:id="2" w:name="EB59a8be82f9bd487b871cbb77532127c7"/>
      <w:r>
        <w:rPr>
          <w:rFonts w:ascii="宋体" w:eastAsia="宋体" w:hAnsi="宋体" w:cs="宋体" w:hint="eastAsia"/>
          <w:spacing w:val="10"/>
          <w:sz w:val="24"/>
          <w:szCs w:val="24"/>
          <w:u w:val="single"/>
        </w:rPr>
        <w:t>不接受</w:t>
      </w:r>
      <w:bookmarkEnd w:id="2"/>
      <w:r>
        <w:rPr>
          <w:rFonts w:ascii="宋体" w:eastAsia="宋体" w:hAnsi="宋体" w:cs="宋体" w:hint="eastAsia"/>
          <w:spacing w:val="6"/>
          <w:sz w:val="24"/>
          <w:szCs w:val="24"/>
        </w:rPr>
        <w:t>联</w:t>
      </w:r>
      <w:r>
        <w:rPr>
          <w:rFonts w:ascii="宋体" w:eastAsia="宋体" w:hAnsi="宋体" w:cs="宋体" w:hint="eastAsia"/>
          <w:spacing w:val="9"/>
          <w:sz w:val="24"/>
          <w:szCs w:val="24"/>
        </w:rPr>
        <w:t>合</w:t>
      </w:r>
      <w:r>
        <w:rPr>
          <w:rFonts w:ascii="宋体" w:eastAsia="宋体" w:hAnsi="宋体" w:cs="宋体" w:hint="eastAsia"/>
          <w:spacing w:val="6"/>
          <w:sz w:val="24"/>
          <w:szCs w:val="24"/>
        </w:rPr>
        <w:t>体</w:t>
      </w:r>
      <w:r>
        <w:rPr>
          <w:rFonts w:ascii="宋体" w:eastAsia="宋体" w:hAnsi="宋体" w:cs="宋体" w:hint="eastAsia"/>
          <w:spacing w:val="9"/>
          <w:sz w:val="24"/>
          <w:szCs w:val="24"/>
        </w:rPr>
        <w:t>投标。</w:t>
      </w:r>
      <w:bookmarkEnd w:id="1"/>
    </w:p>
    <w:p w:rsidR="00E11E21" w:rsidRPr="005F2228" w:rsidRDefault="00E11E21" w:rsidP="00E11E21">
      <w:pPr>
        <w:pStyle w:val="a4"/>
        <w:adjustRightInd w:val="0"/>
        <w:spacing w:before="0" w:line="360" w:lineRule="auto"/>
        <w:ind w:left="0" w:firstLineChars="200" w:firstLine="516"/>
        <w:rPr>
          <w:sz w:val="24"/>
          <w:szCs w:val="24"/>
          <w:lang w:eastAsia="zh-CN"/>
        </w:rPr>
      </w:pPr>
      <w:r w:rsidRPr="005F2228">
        <w:rPr>
          <w:rFonts w:hint="eastAsia"/>
          <w:spacing w:val="9"/>
          <w:sz w:val="24"/>
          <w:szCs w:val="24"/>
          <w:lang w:eastAsia="zh-CN"/>
        </w:rPr>
        <w:t>3.</w:t>
      </w:r>
      <w:r w:rsidRPr="005F2228">
        <w:rPr>
          <w:rFonts w:hint="eastAsia"/>
          <w:color w:val="FF0000"/>
          <w:sz w:val="24"/>
          <w:szCs w:val="24"/>
          <w:lang w:eastAsia="zh-CN"/>
        </w:rPr>
        <w:t>相似业绩要求：投标人近五年（2017至2021年度)拥有石油炼化装置或</w:t>
      </w:r>
      <w:r w:rsidRPr="005F2228">
        <w:rPr>
          <w:rFonts w:hint="eastAsia"/>
          <w:color w:val="FF0000"/>
          <w:sz w:val="24"/>
          <w:szCs w:val="24"/>
          <w:lang w:eastAsia="zh-CN"/>
        </w:rPr>
        <w:lastRenderedPageBreak/>
        <w:t>芳烃联合装置或乙烯联合装置中，符合API标准泵型的屏蔽泵的批量（单个工厂</w:t>
      </w:r>
      <w:r w:rsidRPr="005F2228">
        <w:rPr>
          <w:color w:val="FF0000"/>
          <w:sz w:val="24"/>
          <w:szCs w:val="24"/>
          <w:lang w:eastAsia="zh-CN"/>
        </w:rPr>
        <w:t>4</w:t>
      </w:r>
      <w:r w:rsidRPr="005F2228">
        <w:rPr>
          <w:rFonts w:hint="eastAsia"/>
          <w:color w:val="FF0000"/>
          <w:sz w:val="24"/>
          <w:szCs w:val="24"/>
          <w:lang w:eastAsia="zh-CN"/>
        </w:rPr>
        <w:t>台及以上）合同业绩，其中2台及以上流量不小于</w:t>
      </w:r>
      <w:r w:rsidRPr="005F2228">
        <w:rPr>
          <w:color w:val="FF0000"/>
          <w:sz w:val="24"/>
          <w:szCs w:val="24"/>
          <w:lang w:eastAsia="zh-CN"/>
        </w:rPr>
        <w:t>15</w:t>
      </w:r>
      <w:r w:rsidRPr="005F2228">
        <w:rPr>
          <w:rFonts w:hint="eastAsia"/>
          <w:color w:val="FF0000"/>
          <w:sz w:val="24"/>
          <w:szCs w:val="24"/>
          <w:lang w:eastAsia="zh-CN"/>
        </w:rPr>
        <w:t>0m3/h、扬程不小于1</w:t>
      </w:r>
      <w:r w:rsidRPr="005F2228">
        <w:rPr>
          <w:color w:val="FF0000"/>
          <w:sz w:val="24"/>
          <w:szCs w:val="24"/>
          <w:lang w:eastAsia="zh-CN"/>
        </w:rPr>
        <w:t>00</w:t>
      </w:r>
      <w:r w:rsidRPr="005F2228">
        <w:rPr>
          <w:rFonts w:hint="eastAsia"/>
          <w:color w:val="FF0000"/>
          <w:sz w:val="24"/>
          <w:szCs w:val="24"/>
          <w:lang w:eastAsia="zh-CN"/>
        </w:rPr>
        <w:t>米（同时满足）工况合同业绩。</w:t>
      </w:r>
    </w:p>
    <w:p w:rsidR="00E11E21" w:rsidRDefault="00E11E21" w:rsidP="00E11E21">
      <w:pPr>
        <w:pStyle w:val="Style4"/>
        <w:spacing w:line="360" w:lineRule="auto"/>
        <w:ind w:left="0" w:firstLineChars="200" w:firstLine="480"/>
        <w:jc w:val="left"/>
        <w:rPr>
          <w:rFonts w:ascii="宋体" w:eastAsia="宋体" w:hAnsi="宋体" w:cs="宋体"/>
          <w:sz w:val="24"/>
          <w:szCs w:val="24"/>
        </w:rPr>
      </w:pPr>
      <w:bookmarkStart w:id="3" w:name="_Toc256000010"/>
      <w:r>
        <w:rPr>
          <w:rFonts w:ascii="宋体" w:hAnsi="宋体" w:cs="宋体"/>
          <w:sz w:val="24"/>
          <w:szCs w:val="24"/>
        </w:rPr>
        <w:t>4</w:t>
      </w:r>
      <w:r>
        <w:rPr>
          <w:rFonts w:ascii="宋体" w:hAnsi="宋体" w:cs="宋体" w:hint="eastAsia"/>
          <w:sz w:val="24"/>
          <w:szCs w:val="24"/>
        </w:rPr>
        <w:t>.</w:t>
      </w:r>
      <w:r>
        <w:rPr>
          <w:rFonts w:ascii="宋体" w:eastAsia="宋体" w:hAnsi="宋体" w:cs="宋体" w:hint="eastAsia"/>
          <w:sz w:val="24"/>
          <w:szCs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3"/>
    </w:p>
    <w:p w:rsidR="00E11E21" w:rsidRDefault="00E11E21" w:rsidP="00E11E21">
      <w:pPr>
        <w:pStyle w:val="Style4"/>
        <w:spacing w:line="360" w:lineRule="auto"/>
        <w:ind w:left="0" w:firstLineChars="200" w:firstLine="480"/>
        <w:jc w:val="left"/>
        <w:rPr>
          <w:rFonts w:ascii="宋体" w:eastAsia="宋体" w:hAnsi="宋体" w:cs="宋体"/>
          <w:spacing w:val="-18"/>
          <w:sz w:val="24"/>
          <w:szCs w:val="24"/>
        </w:rPr>
      </w:pPr>
      <w:bookmarkStart w:id="4" w:name="_Toc256000011"/>
      <w:r>
        <w:rPr>
          <w:rFonts w:ascii="宋体" w:hAnsi="宋体" w:cs="宋体"/>
          <w:sz w:val="24"/>
          <w:szCs w:val="24"/>
        </w:rPr>
        <w:t>5</w:t>
      </w:r>
      <w:r>
        <w:rPr>
          <w:rFonts w:ascii="宋体" w:hAnsi="宋体" w:cs="宋体" w:hint="eastAsia"/>
          <w:sz w:val="24"/>
          <w:szCs w:val="24"/>
        </w:rPr>
        <w:t>.</w:t>
      </w:r>
      <w:r>
        <w:rPr>
          <w:rFonts w:ascii="宋体" w:eastAsia="宋体" w:hAnsi="宋体" w:cs="宋体" w:hint="eastAsia"/>
          <w:sz w:val="24"/>
          <w:szCs w:val="24"/>
        </w:rPr>
        <w:t>其他资格要求</w:t>
      </w:r>
      <w:bookmarkEnd w:id="4"/>
      <w:r>
        <w:rPr>
          <w:rFonts w:ascii="宋体" w:eastAsia="宋体" w:hAnsi="宋体" w:cs="宋体" w:hint="eastAsia"/>
          <w:sz w:val="24"/>
          <w:szCs w:val="24"/>
        </w:rPr>
        <w:t>。</w:t>
      </w:r>
      <w:r>
        <w:rPr>
          <w:rFonts w:ascii="宋体" w:eastAsia="宋体" w:hAnsi="宋体" w:cs="宋体" w:hint="eastAsia"/>
          <w:spacing w:val="-3"/>
          <w:sz w:val="24"/>
          <w:szCs w:val="24"/>
        </w:rPr>
        <w:t>投标人不得存在下列情形之一</w:t>
      </w:r>
      <w:r>
        <w:rPr>
          <w:rFonts w:ascii="宋体" w:eastAsia="宋体" w:hAnsi="宋体" w:cs="宋体" w:hint="eastAsia"/>
          <w:spacing w:val="-18"/>
          <w:sz w:val="24"/>
          <w:szCs w:val="24"/>
        </w:rPr>
        <w:t>：</w:t>
      </w:r>
    </w:p>
    <w:p w:rsidR="00E11E21" w:rsidRDefault="00E11E21" w:rsidP="00E11E2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.1.与招标人存在利害关系且可能影响招标公正性；</w:t>
      </w:r>
    </w:p>
    <w:p w:rsidR="00E11E21" w:rsidRDefault="00E11E21" w:rsidP="00E11E2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.2.与本招标项目的其他投标人为同一个单位负责人；</w:t>
      </w:r>
    </w:p>
    <w:p w:rsidR="00E11E21" w:rsidRDefault="00E11E21" w:rsidP="00E11E21">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.3.与本招标项目的其他投标人存在控股、管理关系；</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.4.与本招标项目其他投标人代理同一个制造商同一品牌同一型号的设备投标；</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.5.为本招标项目提供过设计、编制技术规范和其他文件的咨询服务；</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.6.为本招标项目的相关监理人，或者与本工程项目的相关监理人存在隶属关系或者其他利害关系；</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.7.为本招标项目的代建人；</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.8.为本招标项目的招标代理机构；</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.9.与本招标项目的监理人或代建人或招标代理机构同为一个法定代表人；</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.10.与本招标项目的监理人或代建人或招标代理机构存在控股或参股关系；</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.11.被依法暂停或者取消投标资格；</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.12.被责令停产停业、暂扣或者吊销许可证、暂扣或者吊销执照；</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.13.进入清算程序，或被宣告破产，或其他丧失履约能力的情形；</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.14.在最近三年内发生重大产品质量问题（以相关行业主管部门的行政处罚决定或司法机关出具的有关法律文书为准）；</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.15.被市场监督管理机关在全国企业信用信息公示系统中列入严重违法失信企业名单；</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.16.被最高人民法院在“信用中国”网站（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）或</w:t>
      </w:r>
      <w:r>
        <w:rPr>
          <w:rFonts w:ascii="宋体" w:eastAsia="宋体" w:hAnsi="宋体" w:cs="宋体" w:hint="eastAsia"/>
          <w:spacing w:val="-3"/>
          <w:sz w:val="24"/>
          <w:szCs w:val="24"/>
        </w:rPr>
        <w:lastRenderedPageBreak/>
        <w:t>各级信用信息共享平台中列入失信被执行人名单；</w:t>
      </w:r>
    </w:p>
    <w:p w:rsidR="00E11E21" w:rsidRDefault="00E11E21" w:rsidP="00E11E21">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.17.在近三年内投标人或其法定代表人、拟委任的项目负责人有行贿犯罪行为的（以检察机关职务犯罪预防部门出具的查询结果为准）；</w:t>
      </w:r>
    </w:p>
    <w:p w:rsidR="00E11E21" w:rsidRDefault="00E11E21" w:rsidP="00E11E21">
      <w:pPr>
        <w:pStyle w:val="10"/>
        <w:adjustRightInd w:val="0"/>
        <w:spacing w:line="360" w:lineRule="auto"/>
        <w:ind w:firstLine="468"/>
        <w:jc w:val="left"/>
        <w:rPr>
          <w:rFonts w:ascii="宋体" w:eastAsia="宋体" w:hAnsi="宋体" w:cs="宋体"/>
          <w:sz w:val="24"/>
          <w:szCs w:val="24"/>
        </w:rPr>
      </w:pPr>
      <w:r>
        <w:rPr>
          <w:rFonts w:ascii="宋体" w:eastAsia="宋体" w:hAnsi="宋体" w:cs="宋体"/>
          <w:spacing w:val="-3"/>
          <w:sz w:val="24"/>
          <w:szCs w:val="24"/>
        </w:rPr>
        <w:t>5</w:t>
      </w:r>
      <w:r>
        <w:rPr>
          <w:rFonts w:ascii="宋体" w:eastAsia="宋体" w:hAnsi="宋体" w:cs="宋体" w:hint="eastAsia"/>
          <w:spacing w:val="-3"/>
          <w:sz w:val="24"/>
          <w:szCs w:val="24"/>
        </w:rPr>
        <w:t>.18.法律法规或投标人须知前附表规定的其他情形。</w:t>
      </w:r>
    </w:p>
    <w:p w:rsidR="00E11E21" w:rsidRPr="003A402D" w:rsidRDefault="00E11E21" w:rsidP="00E11E21">
      <w:pPr>
        <w:pStyle w:val="10"/>
        <w:adjustRightInd w:val="0"/>
        <w:spacing w:line="360" w:lineRule="auto"/>
        <w:ind w:firstLine="480"/>
        <w:jc w:val="left"/>
        <w:rPr>
          <w:rFonts w:asciiTheme="minorEastAsia" w:hAnsiTheme="minorEastAsia"/>
          <w:bCs/>
          <w:sz w:val="24"/>
          <w:szCs w:val="24"/>
        </w:rPr>
      </w:pPr>
      <w:r>
        <w:rPr>
          <w:rFonts w:ascii="宋体" w:eastAsia="宋体" w:hAnsi="宋体" w:cs="宋体"/>
          <w:sz w:val="24"/>
          <w:szCs w:val="24"/>
        </w:rPr>
        <w:t>6.</w:t>
      </w:r>
      <w:r w:rsidRPr="003A402D">
        <w:rPr>
          <w:rFonts w:ascii="微软雅黑" w:eastAsia="微软雅黑" w:hAnsi="微软雅黑" w:hint="eastAsia"/>
          <w:color w:val="333333"/>
          <w:szCs w:val="21"/>
          <w:shd w:val="clear" w:color="auto" w:fill="FFFFFF"/>
        </w:rPr>
        <w:t xml:space="preserve"> </w:t>
      </w:r>
      <w:r w:rsidRPr="003A402D">
        <w:rPr>
          <w:rFonts w:ascii="宋体" w:eastAsia="宋体" w:hAnsi="宋体" w:cs="宋体" w:hint="eastAsia"/>
          <w:sz w:val="24"/>
          <w:szCs w:val="24"/>
        </w:rPr>
        <w:t>参选人没有失信黑名单记录（以最高院失信被执行人系统发布信息为准）。</w:t>
      </w:r>
    </w:p>
    <w:p w:rsidR="00E11E21" w:rsidRDefault="00E11E21" w:rsidP="00E11E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E11E21" w:rsidRDefault="00E11E21" w:rsidP="00E11E2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26</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E11E21" w:rsidRDefault="00E11E21" w:rsidP="00E11E21">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E11E21" w:rsidRDefault="00E11E21" w:rsidP="00E11E21">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11E21" w:rsidRDefault="00E11E21" w:rsidP="00E11E21">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E11E21" w:rsidRDefault="00E11E21" w:rsidP="00E11E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E11E21" w:rsidRDefault="00E11E21" w:rsidP="00E11E21">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E11E21" w:rsidRDefault="00E11E21" w:rsidP="00E11E21">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注明用途：屏蔽泵</w:t>
      </w:r>
      <w:r>
        <w:rPr>
          <w:rFonts w:asciiTheme="minorEastAsia" w:eastAsiaTheme="minorEastAsia" w:hAnsiTheme="minorEastAsia" w:hint="eastAsia"/>
          <w:bCs/>
          <w:sz w:val="24"/>
          <w:szCs w:val="24"/>
          <w:lang w:eastAsia="zh-CN"/>
        </w:rPr>
        <w:t>采购</w:t>
      </w:r>
    </w:p>
    <w:p w:rsidR="00E11E21" w:rsidRDefault="00E11E21" w:rsidP="00E11E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E11E21" w:rsidRDefault="00E11E21" w:rsidP="00E11E21">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11E21" w:rsidRDefault="00E11E21" w:rsidP="00E11E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lastRenderedPageBreak/>
        <w:t>5、参选保证金的退回</w:t>
      </w:r>
    </w:p>
    <w:p w:rsidR="00E11E21" w:rsidRDefault="00E11E21" w:rsidP="00E11E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E11E21" w:rsidRDefault="00E11E21" w:rsidP="00E11E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E11E21" w:rsidRDefault="00E11E21" w:rsidP="00E11E21">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E11E21" w:rsidRDefault="00E11E21" w:rsidP="00E11E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E11E21" w:rsidRDefault="00E11E21" w:rsidP="00E11E21">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E11E21" w:rsidRDefault="00E11E21" w:rsidP="00E11E21">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E11E21" w:rsidRDefault="00E11E21" w:rsidP="00E11E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E11E21" w:rsidRDefault="00E11E21" w:rsidP="00E11E2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E11E21" w:rsidRDefault="00E11E21" w:rsidP="00E11E2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E11E21" w:rsidRDefault="00E11E21" w:rsidP="00E11E21">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E11E21" w:rsidRDefault="00E11E21" w:rsidP="00E11E21">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E11E21" w:rsidRDefault="00E11E21" w:rsidP="00E11E21">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E11E21" w:rsidRDefault="00E11E21" w:rsidP="00E11E21">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022.08.17</w:t>
      </w:r>
    </w:p>
    <w:p w:rsidR="006B3404" w:rsidRDefault="006B3404">
      <w:bookmarkStart w:id="5" w:name="_GoBack"/>
      <w:bookmarkEnd w:id="5"/>
    </w:p>
    <w:sectPr w:rsidR="006B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1"/>
    <w:rsid w:val="006B3404"/>
    <w:rsid w:val="00E1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9CEAC-AC5B-4DFE-9DF8-2E5777C7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1E2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E11E21"/>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E11E21"/>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E11E21"/>
    <w:pPr>
      <w:spacing w:before="206"/>
      <w:ind w:left="959" w:hanging="361"/>
    </w:pPr>
  </w:style>
  <w:style w:type="character" w:customStyle="1" w:styleId="Char">
    <w:name w:val="正文缩进 Char"/>
    <w:link w:val="a3"/>
    <w:qFormat/>
    <w:rsid w:val="00E11E21"/>
    <w:rPr>
      <w:rFonts w:ascii="Times New Roman" w:eastAsia="宋体" w:hAnsi="Times New Roman" w:cs="Times New Roman"/>
      <w:szCs w:val="20"/>
    </w:rPr>
  </w:style>
  <w:style w:type="paragraph" w:customStyle="1" w:styleId="Style4">
    <w:name w:val="_Style 4"/>
    <w:basedOn w:val="a"/>
    <w:uiPriority w:val="1"/>
    <w:qFormat/>
    <w:rsid w:val="00E11E21"/>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11E21"/>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E11E21"/>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2025</Characters>
  <Application>Microsoft Office Word</Application>
  <DocSecurity>0</DocSecurity>
  <Lines>16</Lines>
  <Paragraphs>4</Paragraphs>
  <ScaleCrop>false</ScaleCrop>
  <Company>fhcpec.com.cn</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2022-08-17T05:31:00Z</dcterms:created>
  <dcterms:modified xsi:type="dcterms:W3CDTF">2022-08-17T05:32:00Z</dcterms:modified>
</cp:coreProperties>
</file>