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ind w:left="3120" w:hanging="3122" w:hangingChars="600"/>
        <w:jc w:val="center"/>
        <w:rPr>
          <w:rFonts w:ascii="微软雅黑" w:eastAsia="微软雅黑"/>
          <w:b/>
          <w:sz w:val="52"/>
          <w:u w:val="single"/>
          <w:lang w:eastAsia="zh-CN"/>
        </w:rPr>
      </w:pPr>
      <w:r>
        <w:rPr>
          <w:rFonts w:hint="eastAsia" w:ascii="微软雅黑" w:eastAsia="微软雅黑"/>
          <w:b/>
          <w:sz w:val="52"/>
          <w:u w:val="single"/>
          <w:lang w:eastAsia="zh-CN"/>
        </w:rPr>
        <w:t>热电厂危险化学品重大危险辨识评估</w:t>
      </w:r>
    </w:p>
    <w:p>
      <w:pPr>
        <w:ind w:left="3120" w:hanging="3122" w:hangingChars="600"/>
        <w:jc w:val="center"/>
        <w:rPr>
          <w:rFonts w:ascii="微软雅黑" w:eastAsia="微软雅黑"/>
          <w:b/>
          <w:sz w:val="52"/>
          <w:u w:val="single"/>
          <w:lang w:eastAsia="zh-CN"/>
        </w:rPr>
      </w:pPr>
      <w:r>
        <w:rPr>
          <w:rFonts w:hint="eastAsia" w:ascii="微软雅黑" w:eastAsia="微软雅黑"/>
          <w:b/>
          <w:sz w:val="52"/>
          <w:u w:val="single"/>
          <w:lang w:eastAsia="zh-CN"/>
        </w:rPr>
        <w:t>项目比选文件</w:t>
      </w:r>
    </w:p>
    <w:p>
      <w:pPr>
        <w:pStyle w:val="2"/>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（文件编号：FHC-PTCG20220805005）</w:t>
      </w:r>
    </w:p>
    <w:tbl>
      <w:tblPr>
        <w:tblStyle w:val="48"/>
        <w:tblW w:w="1048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048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15" w:hRule="atLeast"/>
        </w:trPr>
        <w:tc>
          <w:tcPr>
            <w:tcW w:w="0" w:type="auto"/>
            <w:tcBorders>
              <w:top w:val="nil"/>
              <w:left w:val="nil"/>
              <w:bottom w:val="nil"/>
              <w:right w:val="nil"/>
            </w:tcBorders>
            <w:shd w:val="clear" w:color="auto" w:fill="FFFFFF"/>
            <w:vAlign w:val="bottom"/>
          </w:tcPr>
          <w:p>
            <w:pPr>
              <w:pStyle w:val="2"/>
              <w:rPr>
                <w:color w:val="000000" w:themeColor="text1"/>
                <w:sz w:val="28"/>
                <w:szCs w:val="28"/>
                <w14:textFill>
                  <w14:solidFill>
                    <w14:schemeClr w14:val="tx1"/>
                  </w14:solidFill>
                </w14:textFill>
              </w:rPr>
            </w:pPr>
          </w:p>
        </w:tc>
      </w:tr>
    </w:tbl>
    <w:p>
      <w:pPr>
        <w:pStyle w:val="2"/>
        <w:rPr>
          <w:color w:val="000000" w:themeColor="text1"/>
          <w:sz w:val="28"/>
          <w:szCs w:val="28"/>
          <w14:textFill>
            <w14:solidFill>
              <w14:schemeClr w14:val="tx1"/>
            </w14:solidFill>
          </w14:textFill>
        </w:rPr>
      </w:pP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14:textFill>
            <w14:solidFill>
              <w14:schemeClr w14:val="tx1"/>
            </w14:solidFill>
          </w14:textFill>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14:textFill>
            <w14:solidFill>
              <w14:schemeClr w14:val="tx1"/>
            </w14:solidFill>
          </w14:textFill>
        </w:rPr>
        <w:t>二〇二二年八月</w:t>
      </w:r>
    </w:p>
    <w:p>
      <w:pPr>
        <w:spacing w:line="271" w:lineRule="auto"/>
        <w:jc w:val="center"/>
        <w:rPr>
          <w:rFonts w:ascii="微软雅黑" w:eastAsia="微软雅黑"/>
          <w:color w:val="000000" w:themeColor="text1"/>
          <w:sz w:val="32"/>
          <w:lang w:eastAsia="zh-CN"/>
          <w14:textFill>
            <w14:solidFill>
              <w14:schemeClr w14:val="tx1"/>
            </w14:solidFill>
          </w14:textFill>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90"/>
        <w:numPr>
          <w:ilvl w:val="0"/>
          <w:numId w:val="1"/>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ind w:left="1928" w:hanging="1928" w:hangingChars="600"/>
        <w:jc w:val="center"/>
        <w:rPr>
          <w:b/>
          <w:bCs/>
          <w:sz w:val="32"/>
          <w:lang w:eastAsia="zh-CN"/>
        </w:rPr>
      </w:pPr>
      <w:r>
        <w:rPr>
          <w:rFonts w:hint="eastAsia"/>
          <w:b/>
          <w:bCs/>
          <w:sz w:val="32"/>
          <w:lang w:eastAsia="zh-CN"/>
        </w:rPr>
        <w:t>福建福海创石油化工有限公司热电厂危险化学品重大危险辨识评估项目比选公告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w:t>
      </w:r>
      <w:bookmarkStart w:id="1" w:name="_GoBack"/>
      <w:r>
        <w:rPr>
          <w:rFonts w:hint="eastAsia"/>
          <w:lang w:eastAsia="zh-CN"/>
        </w:rPr>
        <w:t>福建福海创石油化工有限公司就“热电厂危险化学品重大危险辨识评估项目（项目编号：FHC-PTCG20220805005）”</w:t>
      </w:r>
      <w:r>
        <w:rPr>
          <w:lang w:eastAsia="zh-CN"/>
        </w:rPr>
        <w:t>进行国内公开比选</w:t>
      </w:r>
      <w:r>
        <w:rPr>
          <w:rFonts w:hint="eastAsia"/>
          <w:lang w:eastAsia="zh-CN"/>
        </w:rPr>
        <w:t>，欢迎国内符合条件的维修商积极参选。</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项目名称：福建福海创石油化工有限公司热电厂危险化学品重大危险辨识评估项目。</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比选项目说明：热电厂危险化学品重大危险辨识评估项目，</w:t>
      </w:r>
      <w:r>
        <w:rPr>
          <w:sz w:val="24"/>
          <w:szCs w:val="24"/>
          <w:lang w:eastAsia="zh-CN"/>
        </w:rPr>
        <w:t>内容详见附件发包说明</w:t>
      </w:r>
      <w:r>
        <w:rPr>
          <w:rFonts w:hint="eastAsia"/>
          <w:sz w:val="24"/>
          <w:szCs w:val="24"/>
          <w:lang w:eastAsia="zh-CN"/>
        </w:rPr>
        <w:t>。</w:t>
      </w:r>
    </w:p>
    <w:p>
      <w:pPr>
        <w:tabs>
          <w:tab w:val="left" w:pos="709"/>
        </w:tabs>
        <w:spacing w:line="360" w:lineRule="auto"/>
        <w:ind w:firstLine="480"/>
        <w:rPr>
          <w:sz w:val="24"/>
          <w:szCs w:val="24"/>
          <w:lang w:eastAsia="zh-CN"/>
        </w:rPr>
      </w:pPr>
      <w:r>
        <w:rPr>
          <w:b/>
          <w:snapToGrid w:val="0"/>
          <w:color w:val="000000" w:themeColor="text1"/>
          <w:spacing w:val="8"/>
          <w:sz w:val="24"/>
          <w:szCs w:val="24"/>
          <w:lang w:eastAsia="zh-CN"/>
          <w14:textFill>
            <w14:solidFill>
              <w14:schemeClr w14:val="tx1"/>
            </w14:solidFill>
          </w14:textFill>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参选单位应是具备独立法人资格且有能力按我司需求提供服务的合格商。</w:t>
      </w:r>
    </w:p>
    <w:p>
      <w:pPr>
        <w:pStyle w:val="205"/>
        <w:spacing w:line="360" w:lineRule="auto"/>
        <w:ind w:firstLine="480"/>
        <w:rPr>
          <w:sz w:val="24"/>
          <w:szCs w:val="24"/>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sz w:val="24"/>
          <w:szCs w:val="24"/>
        </w:rPr>
        <w:t xml:space="preserve"> 单位负责人为同一人或者存在控股、管理关系的不同单位不得同时参加本项目的比</w:t>
      </w:r>
    </w:p>
    <w:p>
      <w:pPr>
        <w:pStyle w:val="205"/>
        <w:spacing w:line="360" w:lineRule="auto"/>
        <w:ind w:firstLine="0" w:firstLineChars="0"/>
        <w:rPr>
          <w:color w:val="000000" w:themeColor="text1"/>
          <w:sz w:val="24"/>
          <w:szCs w:val="24"/>
          <w14:textFill>
            <w14:solidFill>
              <w14:schemeClr w14:val="tx1"/>
            </w14:solidFill>
          </w14:textFill>
        </w:rPr>
      </w:pPr>
      <w:r>
        <w:rPr>
          <w:sz w:val="24"/>
          <w:szCs w:val="24"/>
        </w:rPr>
        <w:t>选；</w:t>
      </w:r>
      <w:r>
        <w:rPr>
          <w:color w:val="000000" w:themeColor="text1"/>
          <w:sz w:val="24"/>
          <w:szCs w:val="24"/>
          <w14:textFill>
            <w14:solidFill>
              <w14:schemeClr w14:val="tx1"/>
            </w14:solidFill>
          </w14:textFill>
        </w:rPr>
        <w:t>参选人没有失信黑名单记录（以最高院失信被执行人系统发布信息为准）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r>
        <w:rPr>
          <w:rFonts w:hint="eastAsia"/>
          <w:color w:val="000000" w:themeColor="text1"/>
          <w:sz w:val="24"/>
          <w:szCs w:val="24"/>
          <w14:textFill>
            <w14:solidFill>
              <w14:schemeClr w14:val="tx1"/>
            </w14:solidFill>
          </w14:textFill>
        </w:rPr>
        <w:t>。</w:t>
      </w:r>
    </w:p>
    <w:p>
      <w:pPr>
        <w:pStyle w:val="205"/>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3.资质要求：</w:t>
      </w:r>
      <w:r>
        <w:rPr>
          <w:rFonts w:hint="eastAsia"/>
          <w:sz w:val="24"/>
          <w:szCs w:val="24"/>
        </w:rPr>
        <w:t>参选人</w:t>
      </w:r>
      <w:r>
        <w:rPr>
          <w:color w:val="000000" w:themeColor="text1"/>
          <w:sz w:val="24"/>
          <w:szCs w:val="24"/>
          <w14:textFill>
            <w14:solidFill>
              <w14:schemeClr w14:val="tx1"/>
            </w14:solidFill>
          </w14:textFill>
        </w:rPr>
        <w:t>应满足《安全评价检测检验机构管理办法》（2019安监总局第1号令）中，具备承担危险化学品生产和储存安全评价的资质要求，并提供企业营业执照、项目负责人身份证，法人委托书原件及复印件，且资质在有效期内。投标人须具有独立法人资格，不得以挂靠公司形式参与投标。</w:t>
      </w:r>
    </w:p>
    <w:p>
      <w:pPr>
        <w:pStyle w:val="205"/>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业绩要求：</w:t>
      </w:r>
      <w:r>
        <w:rPr>
          <w:rFonts w:hint="eastAsia"/>
          <w:sz w:val="24"/>
          <w:szCs w:val="24"/>
        </w:rPr>
        <w:t>参选人</w:t>
      </w:r>
      <w:r>
        <w:rPr>
          <w:color w:val="000000" w:themeColor="text1"/>
          <w:sz w:val="24"/>
          <w:szCs w:val="24"/>
          <w14:textFill>
            <w14:solidFill>
              <w14:schemeClr w14:val="tx1"/>
            </w14:solidFill>
          </w14:textFill>
        </w:rPr>
        <w:t>在近3年（2019-2021）主持完成</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个及以上石油化工项目（单个项目投资总额在5亿元以上）或者燃煤发电厂</w:t>
      </w:r>
      <w:r>
        <w:rPr>
          <w:rFonts w:hint="eastAsia"/>
          <w:color w:val="000000" w:themeColor="text1"/>
          <w:sz w:val="24"/>
          <w:szCs w:val="24"/>
          <w14:textFill>
            <w14:solidFill>
              <w14:schemeClr w14:val="tx1"/>
            </w14:solidFill>
          </w14:textFill>
        </w:rPr>
        <w:t>重大危险源评估</w:t>
      </w:r>
      <w:r>
        <w:rPr>
          <w:color w:val="000000" w:themeColor="text1"/>
          <w:sz w:val="24"/>
          <w:szCs w:val="24"/>
          <w14:textFill>
            <w14:solidFill>
              <w14:schemeClr w14:val="tx1"/>
            </w14:solidFill>
          </w14:textFill>
        </w:rPr>
        <w:t>技术服务业绩，并获得主管部门批复（需提供业绩合同及主管部门批复）。</w:t>
      </w:r>
    </w:p>
    <w:p>
      <w:pPr>
        <w:pStyle w:val="205"/>
        <w:spacing w:line="360" w:lineRule="auto"/>
        <w:ind w:firstLine="480"/>
        <w:rPr>
          <w:sz w:val="24"/>
          <w:szCs w:val="24"/>
        </w:rPr>
      </w:pPr>
      <w:r>
        <w:rPr>
          <w:rFonts w:hint="eastAsia"/>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t>工作范围：编制符合国家现行有关安全生产法律、法规和部门规章及标准规定的评价报告，并满足地方政府主管部门的监管要求。</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报名时间：2022年 8 月  日至2022年</w:t>
      </w:r>
      <w:r>
        <w:rPr>
          <w:rFonts w:hint="eastAsia"/>
          <w:color w:val="000000" w:themeColor="text1"/>
          <w:sz w:val="24"/>
          <w:szCs w:val="24"/>
          <w:lang w:val="en-US" w:eastAsia="zh-CN"/>
          <w14:textFill>
            <w14:solidFill>
              <w14:schemeClr w14:val="tx1"/>
            </w14:solidFill>
          </w14:textFill>
        </w:rPr>
        <w:t>8</w:t>
      </w:r>
      <w:r>
        <w:rPr>
          <w:rFonts w:hint="eastAsia"/>
          <w:color w:val="000000" w:themeColor="text1"/>
          <w:sz w:val="24"/>
          <w:szCs w:val="24"/>
          <w:lang w:eastAsia="zh-CN"/>
          <w14:textFill>
            <w14:solidFill>
              <w14:schemeClr w14:val="tx1"/>
            </w14:solidFill>
          </w14:textFill>
        </w:rPr>
        <w:t>月  日（共8天）</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报名方式：参选人在报名时间内将报名文件发送至邮箱xumx@fhcpec.com.cn，参选项目名称、参选单位和商务联系人及联系方式（邮件内容上填写即可），报名文件包含：</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报名成功后，参选人须与现场技术人员进行前期技术交流，需详细阅读比选项目发包说明，并按照相关要求提供相关方案。技术交流后经比选人技术人员确认合格后，参选人方可参与后续比选，未进行报名和技术交流确认的参选人不能参加比选。</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获取比选文件：本项目比选文件请有意向参选人自行下载，不收取费用。（特别声明：未进行登记报名的参选人，其递交的参选文件将被拒收。）</w:t>
      </w:r>
    </w:p>
    <w:p>
      <w:pPr>
        <w:tabs>
          <w:tab w:val="left" w:pos="709"/>
        </w:tabs>
        <w:spacing w:line="360" w:lineRule="auto"/>
        <w:ind w:firstLine="257" w:firstLineChars="10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参选文件递交地点：漳州市漳浦县杜浔镇杜昌路9号，福海创办公楼三楼设备及服务团队，收件人 徐明兴 13779967252。</w:t>
      </w:r>
    </w:p>
    <w:p>
      <w:pPr>
        <w:tabs>
          <w:tab w:val="left" w:pos="709"/>
        </w:tabs>
        <w:spacing w:line="360" w:lineRule="auto"/>
        <w:ind w:firstLine="440" w:firstLineChars="200"/>
        <w:rPr>
          <w:color w:val="000000" w:themeColor="text1"/>
          <w:sz w:val="24"/>
          <w:szCs w:val="24"/>
          <w:lang w:eastAsia="zh-CN"/>
          <w14:textFill>
            <w14:solidFill>
              <w14:schemeClr w14:val="tx1"/>
            </w14:solidFill>
          </w14:textFill>
        </w:rPr>
      </w:pPr>
      <w:r>
        <w:rPr>
          <w:rFonts w:hint="eastAsia"/>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w:t>
      </w:r>
      <w:r>
        <w:rPr>
          <w:rFonts w:hint="eastAsia" w:asciiTheme="minorEastAsia" w:hAnsiTheme="minorEastAsia" w:eastAsiaTheme="minorEastAsia"/>
          <w:iCs/>
          <w:color w:val="333333"/>
          <w:lang w:eastAsia="zh-CN"/>
        </w:rPr>
        <w:t xml:space="preserve"> 递交截止时间：</w:t>
      </w:r>
      <w:r>
        <w:rPr>
          <w:rFonts w:hint="eastAsia"/>
          <w:color w:val="000000" w:themeColor="text1"/>
          <w:sz w:val="24"/>
          <w:szCs w:val="24"/>
          <w:lang w:eastAsia="zh-CN"/>
          <w14:textFill>
            <w14:solidFill>
              <w14:schemeClr w14:val="tx1"/>
            </w14:solidFill>
          </w14:textFill>
        </w:rPr>
        <w:t>参选文件递交截止时间（以送达时间为准）：根据技术交流情况，技术合格单位后续统一通知报价。</w:t>
      </w:r>
      <w:r>
        <w:rPr>
          <w:rFonts w:asciiTheme="minorEastAsia" w:hAnsiTheme="minorEastAsia" w:eastAsiaTheme="minorEastAsia"/>
          <w:iCs/>
          <w:color w:val="333333"/>
          <w:lang w:eastAsia="zh-CN"/>
        </w:rPr>
        <w:t xml:space="preserve"> </w:t>
      </w:r>
    </w:p>
    <w:p>
      <w:pPr>
        <w:pStyle w:val="20"/>
        <w:spacing w:line="360" w:lineRule="auto"/>
        <w:ind w:right="121" w:firstLine="257" w:firstLineChars="100"/>
        <w:jc w:val="both"/>
        <w:rPr>
          <w:b/>
          <w:w w:val="95"/>
          <w:lang w:eastAsia="zh-CN"/>
        </w:rPr>
      </w:pPr>
      <w:r>
        <w:rPr>
          <w:rFonts w:hint="eastAsia"/>
          <w:b/>
          <w:bCs/>
          <w:snapToGrid w:val="0"/>
          <w:color w:val="000000" w:themeColor="text1"/>
          <w:spacing w:val="8"/>
          <w:lang w:eastAsia="zh-CN"/>
          <w14:textFill>
            <w14:solidFill>
              <w14:schemeClr w14:val="tx1"/>
            </w14:solidFill>
          </w14:textFill>
        </w:rPr>
        <w:t>五</w:t>
      </w:r>
      <w:r>
        <w:rPr>
          <w:b/>
          <w:w w:val="95"/>
          <w:sz w:val="28"/>
          <w:lang w:eastAsia="zh-CN"/>
        </w:rPr>
        <w:t>、</w:t>
      </w:r>
      <w:r>
        <w:rPr>
          <w:b/>
          <w:w w:val="95"/>
          <w:lang w:eastAsia="zh-CN"/>
        </w:rPr>
        <w:t>参选保证金</w:t>
      </w:r>
    </w:p>
    <w:p>
      <w:pPr>
        <w:pStyle w:val="20"/>
        <w:spacing w:line="360" w:lineRule="auto"/>
        <w:ind w:right="121" w:firstLine="480"/>
        <w:jc w:val="both"/>
        <w:rPr>
          <w:color w:val="000000" w:themeColor="text1"/>
          <w:lang w:eastAsia="zh-CN"/>
          <w14:textFill>
            <w14:solidFill>
              <w14:schemeClr w14:val="tx1"/>
            </w14:solidFill>
          </w14:textFill>
        </w:rPr>
      </w:pPr>
      <w:r>
        <w:rPr>
          <w:rFonts w:hint="eastAsia"/>
          <w:lang w:eastAsia="zh-CN"/>
        </w:rPr>
        <w:t xml:space="preserve">  </w:t>
      </w:r>
      <w:r>
        <w:rPr>
          <w:rFonts w:hint="eastAsia"/>
          <w:color w:val="000000" w:themeColor="text1"/>
          <w:lang w:eastAsia="zh-CN"/>
          <w14:textFill>
            <w14:solidFill>
              <w14:schemeClr w14:val="tx1"/>
            </w14:solidFill>
          </w14:textFill>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line="360" w:lineRule="auto"/>
        <w:ind w:firstLine="257" w:firstLineChars="100"/>
        <w:rPr>
          <w:sz w:val="24"/>
          <w:szCs w:val="24"/>
          <w:lang w:eastAsia="zh-CN"/>
        </w:rPr>
      </w:pPr>
      <w:r>
        <w:rPr>
          <w:rFonts w:hint="eastAsia"/>
          <w:b/>
          <w:bCs/>
          <w:snapToGrid w:val="0"/>
          <w:color w:val="000000" w:themeColor="text1"/>
          <w:spacing w:val="8"/>
          <w:sz w:val="24"/>
          <w:szCs w:val="24"/>
          <w:lang w:eastAsia="zh-CN"/>
          <w14:textFill>
            <w14:solidFill>
              <w14:schemeClr w14:val="tx1"/>
            </w14:solidFill>
          </w14:textFill>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商务联系人：徐明兴 电话：13779967252 邮箱：xumx@fhcpec.com.cn</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14:textFill>
            <w14:solidFill>
              <w14:schemeClr w14:val="tx1"/>
            </w14:solidFill>
          </w14:textFill>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sz w:val="24"/>
          <w:szCs w:val="24"/>
          <w:lang w:eastAsia="zh-CN"/>
        </w:rPr>
        <w:t xml:space="preserve">                                                </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202</w:t>
      </w:r>
      <w:r>
        <w:rPr>
          <w:rFonts w:hint="eastAsia"/>
          <w:color w:val="000000" w:themeColor="text1"/>
          <w:sz w:val="24"/>
          <w:szCs w:val="24"/>
          <w:lang w:eastAsia="zh-CN"/>
          <w14:textFill>
            <w14:solidFill>
              <w14:schemeClr w14:val="tx1"/>
            </w14:solidFill>
          </w14:textFill>
        </w:rPr>
        <w:t>2年8月1</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lang w:eastAsia="zh-CN"/>
          <w14:textFill>
            <w14:solidFill>
              <w14:schemeClr w14:val="tx1"/>
            </w14:solidFill>
          </w14:textFill>
        </w:rPr>
        <w:t>日</w:t>
      </w:r>
    </w:p>
    <w:bookmarkEnd w:id="1"/>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1.项目</w:t>
      </w:r>
      <w:r>
        <w:rPr>
          <w:lang w:eastAsia="zh-CN"/>
        </w:rPr>
        <w:t>名称：</w:t>
      </w:r>
      <w:r>
        <w:rPr>
          <w:rFonts w:hint="eastAsia"/>
          <w:color w:val="000000" w:themeColor="text1"/>
          <w:lang w:eastAsia="zh-CN"/>
          <w14:textFill>
            <w14:solidFill>
              <w14:schemeClr w14:val="tx1"/>
            </w14:solidFill>
          </w14:textFill>
        </w:rPr>
        <w:t>福建福海创石油化工有限公司热电厂危险化学品重大危险辨识评估项目</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2.项目</w:t>
      </w:r>
      <w:r>
        <w:rPr>
          <w:color w:val="000000" w:themeColor="text1"/>
          <w:lang w:eastAsia="zh-CN"/>
          <w14:textFill>
            <w14:solidFill>
              <w14:schemeClr w14:val="tx1"/>
            </w14:solidFill>
          </w14:textFill>
        </w:rPr>
        <w:t>内容：</w:t>
      </w:r>
      <w:r>
        <w:rPr>
          <w:rFonts w:hint="eastAsia"/>
          <w:color w:val="000000" w:themeColor="text1"/>
          <w:lang w:eastAsia="zh-CN"/>
          <w14:textFill>
            <w14:solidFill>
              <w14:schemeClr w14:val="tx1"/>
            </w14:solidFill>
          </w14:textFill>
        </w:rPr>
        <w:t>福建福海创石油化工有限公司（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rFonts w:asciiTheme="minorEastAsia" w:hAnsiTheme="minorEastAsia" w:eastAsiaTheme="minorEastAsia"/>
          <w:lang w:eastAsia="zh-CN"/>
        </w:rPr>
      </w:pPr>
      <w:r>
        <w:rPr>
          <w:rFonts w:hint="eastAsia"/>
          <w:color w:val="000000" w:themeColor="text1"/>
          <w:lang w:eastAsia="zh-CN"/>
          <w14:textFill>
            <w14:solidFill>
              <w14:schemeClr w14:val="tx1"/>
            </w14:solidFill>
          </w14:textFill>
        </w:rPr>
        <w:t xml:space="preserve">    3.发包方式：</w:t>
      </w:r>
      <w:r>
        <w:rPr>
          <w:rFonts w:hint="eastAsia"/>
          <w:lang w:eastAsia="zh-CN"/>
        </w:rPr>
        <w:t>固定总价包干</w:t>
      </w:r>
      <w:r>
        <w:rPr>
          <w:rFonts w:hint="eastAsia" w:asciiTheme="minorEastAsia" w:hAnsiTheme="minorEastAsia" w:eastAsiaTheme="minorEastAsia"/>
          <w:lang w:eastAsia="zh-CN"/>
        </w:rPr>
        <w:t>。</w:t>
      </w:r>
    </w:p>
    <w:p>
      <w:pPr>
        <w:pStyle w:val="20"/>
        <w:spacing w:line="360" w:lineRule="auto"/>
        <w:ind w:right="121" w:firstLine="480" w:firstLineChars="200"/>
        <w:jc w:val="both"/>
        <w:rPr>
          <w:lang w:eastAsia="zh-CN"/>
        </w:rPr>
      </w:pPr>
      <w:r>
        <w:rPr>
          <w:rFonts w:hint="eastAsia"/>
          <w:lang w:eastAsia="zh-CN"/>
        </w:rPr>
        <w:t>4.项目工作范围及技术要求：见附件《热电厂危险化学品重大危险辨识评估项目发包说明》。</w:t>
      </w:r>
    </w:p>
    <w:p>
      <w:pPr>
        <w:pStyle w:val="20"/>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5.项目地点：</w:t>
      </w:r>
      <w:r>
        <w:rPr>
          <w:rFonts w:hint="eastAsia"/>
          <w:lang w:eastAsia="zh-CN"/>
        </w:rPr>
        <w:t>福建省漳州市古雷港经济开发。</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jc w:val="both"/>
        <w:rPr>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fldChar w:fldCharType="begin"/>
      </w:r>
      <w:r>
        <w:instrText xml:space="preserve"> HYPERLINK "javascript:showV3XMemberCard('-3090257164874136330',window)" \o "林明利" </w:instrText>
      </w:r>
      <w:r>
        <w:fldChar w:fldCharType="separate"/>
      </w:r>
      <w:r>
        <w:rPr>
          <w:rFonts w:hint="eastAsia"/>
          <w:lang w:eastAsia="zh-CN"/>
        </w:rPr>
        <w:t>林明利</w:t>
      </w:r>
      <w:r>
        <w:rPr>
          <w:rFonts w:hint="eastAsia"/>
          <w:lang w:eastAsia="zh-CN"/>
        </w:rPr>
        <w:fldChar w:fldCharType="end"/>
      </w:r>
      <w:r>
        <w:rPr>
          <w:rFonts w:hint="eastAsia"/>
          <w:lang w:eastAsia="zh-CN"/>
        </w:rPr>
        <w:t xml:space="preserve">  18359650551, linml@fhcpec.com.cn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商务联系人：徐明兴 13779967252，xumx@fhcpec.com.cn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项目名称：福建福海创石油化工有限公司热电厂危险化学品重大危险辨识评估项目。</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比选项目说明：热电厂生产事故应急预案编制评审目项目，内容详见附件发包说明。</w:t>
      </w:r>
    </w:p>
    <w:p>
      <w:pPr>
        <w:tabs>
          <w:tab w:val="left" w:pos="709"/>
        </w:tabs>
        <w:spacing w:line="360" w:lineRule="auto"/>
        <w:ind w:firstLine="480"/>
        <w:rPr>
          <w:sz w:val="24"/>
          <w:szCs w:val="24"/>
          <w:lang w:eastAsia="zh-CN"/>
        </w:rPr>
      </w:pPr>
      <w:r>
        <w:rPr>
          <w:b/>
          <w:snapToGrid w:val="0"/>
          <w:color w:val="000000" w:themeColor="text1"/>
          <w:spacing w:val="8"/>
          <w:sz w:val="24"/>
          <w:szCs w:val="24"/>
          <w:lang w:eastAsia="zh-CN"/>
          <w14:textFill>
            <w14:solidFill>
              <w14:schemeClr w14:val="tx1"/>
            </w14:solidFill>
          </w14:textFill>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参选单位应是具备独立法人资格且有能力按我司需求提供服务的合格商。</w:t>
      </w:r>
    </w:p>
    <w:p>
      <w:pPr>
        <w:pStyle w:val="205"/>
        <w:spacing w:line="360" w:lineRule="auto"/>
        <w:ind w:firstLine="480"/>
        <w:rPr>
          <w:sz w:val="24"/>
          <w:szCs w:val="24"/>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sz w:val="24"/>
          <w:szCs w:val="24"/>
        </w:rPr>
        <w:t xml:space="preserve"> 单位负责人为同一人或者存在控股、管理关系的不同单位不得同时参加本项目的比</w:t>
      </w:r>
    </w:p>
    <w:p>
      <w:pPr>
        <w:pStyle w:val="205"/>
        <w:spacing w:line="360" w:lineRule="auto"/>
        <w:ind w:firstLine="0" w:firstLineChars="0"/>
        <w:rPr>
          <w:color w:val="000000" w:themeColor="text1"/>
          <w:sz w:val="24"/>
          <w:szCs w:val="24"/>
          <w14:textFill>
            <w14:solidFill>
              <w14:schemeClr w14:val="tx1"/>
            </w14:solidFill>
          </w14:textFill>
        </w:rPr>
      </w:pPr>
      <w:r>
        <w:rPr>
          <w:sz w:val="24"/>
          <w:szCs w:val="24"/>
        </w:rPr>
        <w:t>选；</w:t>
      </w:r>
      <w:r>
        <w:rPr>
          <w:color w:val="000000" w:themeColor="text1"/>
          <w:sz w:val="24"/>
          <w:szCs w:val="24"/>
          <w14:textFill>
            <w14:solidFill>
              <w14:schemeClr w14:val="tx1"/>
            </w14:solidFill>
          </w14:textFill>
        </w:rPr>
        <w:t>参选人没有失信黑名单记录（以最高院失信被执行人系统发布信息为准）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r>
        <w:rPr>
          <w:rFonts w:hint="eastAsia"/>
          <w:color w:val="000000" w:themeColor="text1"/>
          <w:sz w:val="24"/>
          <w:szCs w:val="24"/>
          <w14:textFill>
            <w14:solidFill>
              <w14:schemeClr w14:val="tx1"/>
            </w14:solidFill>
          </w14:textFill>
        </w:rPr>
        <w:t>。</w:t>
      </w:r>
    </w:p>
    <w:p>
      <w:pPr>
        <w:pStyle w:val="205"/>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3.资质要求：</w:t>
      </w:r>
      <w:r>
        <w:rPr>
          <w:rFonts w:hint="eastAsia"/>
          <w:sz w:val="24"/>
          <w:szCs w:val="24"/>
        </w:rPr>
        <w:t>参选人</w:t>
      </w:r>
      <w:r>
        <w:rPr>
          <w:color w:val="000000" w:themeColor="text1"/>
          <w:sz w:val="24"/>
          <w:szCs w:val="24"/>
          <w14:textFill>
            <w14:solidFill>
              <w14:schemeClr w14:val="tx1"/>
            </w14:solidFill>
          </w14:textFill>
        </w:rPr>
        <w:t>应满足《安全评价检测检验机构管理办法》（2019安监总局第1号令）中，具备承担危险化学品生产和储存安全评价的资质要求，并提供企业营业执照、项目负责人身份证，法人委托书原件及复印件，且资质在有效期内。投标人须具有独立法人资格，不得以挂靠公司形式参与投标。</w:t>
      </w:r>
    </w:p>
    <w:p>
      <w:pPr>
        <w:pStyle w:val="205"/>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业绩要求：</w:t>
      </w:r>
      <w:r>
        <w:rPr>
          <w:rFonts w:hint="eastAsia"/>
          <w:sz w:val="24"/>
          <w:szCs w:val="24"/>
        </w:rPr>
        <w:t>参选人</w:t>
      </w:r>
      <w:r>
        <w:rPr>
          <w:color w:val="000000" w:themeColor="text1"/>
          <w:sz w:val="24"/>
          <w:szCs w:val="24"/>
          <w14:textFill>
            <w14:solidFill>
              <w14:schemeClr w14:val="tx1"/>
            </w14:solidFill>
          </w14:textFill>
        </w:rPr>
        <w:t>在近3年（2019-2021）主持完成</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个及以上石油化工项目（单个项目投资总额在5亿元以上）或者燃煤发电厂</w:t>
      </w:r>
      <w:r>
        <w:rPr>
          <w:rFonts w:hint="eastAsia"/>
          <w:color w:val="000000" w:themeColor="text1"/>
          <w:sz w:val="24"/>
          <w:szCs w:val="24"/>
          <w14:textFill>
            <w14:solidFill>
              <w14:schemeClr w14:val="tx1"/>
            </w14:solidFill>
          </w14:textFill>
        </w:rPr>
        <w:t>重大危险源评估</w:t>
      </w:r>
      <w:r>
        <w:rPr>
          <w:color w:val="000000" w:themeColor="text1"/>
          <w:sz w:val="24"/>
          <w:szCs w:val="24"/>
          <w14:textFill>
            <w14:solidFill>
              <w14:schemeClr w14:val="tx1"/>
            </w14:solidFill>
          </w14:textFill>
        </w:rPr>
        <w:t>技术服务业绩，并获得主管部门批复（需提供业绩合同及主管部门批复）。</w:t>
      </w:r>
    </w:p>
    <w:p>
      <w:pPr>
        <w:pStyle w:val="205"/>
        <w:spacing w:line="360" w:lineRule="auto"/>
        <w:ind w:firstLine="480"/>
        <w:rPr>
          <w:sz w:val="24"/>
          <w:szCs w:val="24"/>
        </w:rPr>
      </w:pPr>
      <w:r>
        <w:rPr>
          <w:rFonts w:hint="eastAsia"/>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t>工作范围：编制符合国家现行有关安全生产法律、法规和部门规章及标准规定的评价报告，并满足地方政府主管部门的监管要求。</w:t>
      </w:r>
    </w:p>
    <w:p>
      <w:pPr>
        <w:pStyle w:val="205"/>
        <w:rPr>
          <w:color w:val="000000" w:themeColor="text1"/>
          <w14:textFill>
            <w14:solidFill>
              <w14:schemeClr w14:val="tx1"/>
            </w14:solidFill>
          </w14:textFill>
        </w:rPr>
      </w:pPr>
    </w:p>
    <w:p>
      <w:pPr>
        <w:pStyle w:val="20"/>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b/>
          <w:w w:val="95"/>
          <w:sz w:val="28"/>
          <w:lang w:eastAsia="zh-CN"/>
        </w:rPr>
        <w:t>七、参选保证金</w:t>
      </w:r>
    </w:p>
    <w:p>
      <w:pPr>
        <w:pStyle w:val="20"/>
        <w:spacing w:line="360" w:lineRule="auto"/>
        <w:ind w:right="121" w:firstLine="480"/>
        <w:jc w:val="both"/>
        <w:rPr>
          <w:lang w:eastAsia="zh-CN"/>
        </w:rPr>
      </w:pPr>
      <w:r>
        <w:rPr>
          <w:rFonts w:hint="eastAsia"/>
          <w:lang w:eastAsia="zh-CN"/>
        </w:rPr>
        <w:t xml:space="preserve">     </w:t>
      </w:r>
      <w:r>
        <w:rPr>
          <w:rFonts w:hint="eastAsia"/>
          <w:color w:val="000000" w:themeColor="text1"/>
          <w:lang w:eastAsia="zh-CN"/>
          <w14:textFill>
            <w14:solidFill>
              <w14:schemeClr w14:val="tx1"/>
            </w14:solidFill>
          </w14:textFill>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lang w:eastAsia="zh-CN"/>
        </w:rPr>
        <w:t xml:space="preserve">    </w:t>
      </w:r>
      <w:r>
        <w:rPr>
          <w:b w:val="0"/>
          <w:color w:val="000000" w:themeColor="text1"/>
          <w:lang w:eastAsia="zh-CN"/>
          <w14:textFill>
            <w14:solidFill>
              <w14:schemeClr w14:val="tx1"/>
            </w14:solidFill>
          </w14:textFill>
        </w:rPr>
        <w:t>1.参选文件递交的截止时间：</w:t>
      </w:r>
      <w:r>
        <w:rPr>
          <w:rFonts w:hint="eastAsia"/>
          <w:b w:val="0"/>
          <w:color w:val="000000" w:themeColor="text1"/>
          <w:lang w:eastAsia="zh-CN"/>
          <w14:textFill>
            <w14:solidFill>
              <w14:schemeClr w14:val="tx1"/>
            </w14:solidFill>
          </w14:textFill>
        </w:rPr>
        <w:t>根据技术交流情况技术合格单位后通知报价。</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2.</w:t>
      </w:r>
      <w:r>
        <w:rPr>
          <w:b w:val="0"/>
          <w:color w:val="000000" w:themeColor="text1"/>
          <w:spacing w:val="4"/>
          <w:lang w:eastAsia="zh-CN"/>
          <w14:textFill>
            <w14:solidFill>
              <w14:schemeClr w14:val="tx1"/>
            </w14:solidFill>
          </w14:textFill>
        </w:rPr>
        <w:t>递交</w:t>
      </w:r>
      <w:r>
        <w:rPr>
          <w:b w:val="0"/>
          <w:color w:val="000000" w:themeColor="text1"/>
          <w:lang w:eastAsia="zh-CN"/>
          <w14:textFill>
            <w14:solidFill>
              <w14:schemeClr w14:val="tx1"/>
            </w14:solidFill>
          </w14:textFill>
        </w:rPr>
        <w:t>参</w:t>
      </w:r>
      <w:r>
        <w:rPr>
          <w:b w:val="0"/>
          <w:color w:val="000000" w:themeColor="text1"/>
          <w:spacing w:val="4"/>
          <w:lang w:eastAsia="zh-CN"/>
          <w14:textFill>
            <w14:solidFill>
              <w14:schemeClr w14:val="tx1"/>
            </w14:solidFill>
          </w14:textFill>
        </w:rPr>
        <w:t>选文件的地</w:t>
      </w:r>
      <w:r>
        <w:rPr>
          <w:b w:val="0"/>
          <w:color w:val="000000" w:themeColor="text1"/>
          <w:lang w:eastAsia="zh-CN"/>
          <w14:textFill>
            <w14:solidFill>
              <w14:schemeClr w14:val="tx1"/>
            </w14:solidFill>
          </w14:textFill>
        </w:rPr>
        <w:t>点</w:t>
      </w:r>
      <w:r>
        <w:rPr>
          <w:b w:val="0"/>
          <w:color w:val="000000" w:themeColor="text1"/>
          <w:spacing w:val="4"/>
          <w:lang w:eastAsia="zh-CN"/>
          <w14:textFill>
            <w14:solidFill>
              <w14:schemeClr w14:val="tx1"/>
            </w14:solidFill>
          </w14:textFill>
        </w:rPr>
        <w:t>为：</w:t>
      </w:r>
      <w:r>
        <w:rPr>
          <w:rFonts w:hint="eastAsia"/>
          <w:b w:val="0"/>
          <w:color w:val="000000" w:themeColor="text1"/>
          <w:lang w:eastAsia="zh-CN"/>
          <w14:textFill>
            <w14:solidFill>
              <w14:schemeClr w14:val="tx1"/>
            </w14:solidFill>
          </w14:textFill>
        </w:rPr>
        <w:t>漳州市漳浦县杜浔镇杜昌路9号，福海创办公楼三楼设备及服务团队，收件人：徐明兴  电话： 13779967252。</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本项目设置最高控制价15万元整（含税）</w:t>
      </w:r>
      <w:r>
        <w:rPr>
          <w:rFonts w:hint="eastAsia"/>
          <w:lang w:eastAsia="zh-CN"/>
        </w:rPr>
        <w:t>。参选人所填报的报价高于本项目最高限价的，其参选比选小组有权予以否决。</w:t>
      </w:r>
      <w:r>
        <w:fldChar w:fldCharType="begin"/>
      </w:r>
      <w:r>
        <w:instrText xml:space="preserve"> HYPERLINK "mailto:如参选人对控制价存疑请于报价截止前发邮件至xqyang@fhcpec.com.cn" </w:instrText>
      </w:r>
      <w:r>
        <w:fldChar w:fldCharType="separate"/>
      </w:r>
      <w:r>
        <w:rPr>
          <w:rStyle w:val="55"/>
          <w:rFonts w:hint="eastAsia"/>
          <w:lang w:eastAsia="zh-CN"/>
        </w:rPr>
        <w:t>如参选人对控制价存疑请于报价截止前发邮件至xumx@fhcpec.com.cn</w:t>
      </w:r>
      <w:r>
        <w:rPr>
          <w:rStyle w:val="55"/>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技术参选文件符合业主要求，采用商务报价决标评选的方式，从价格和付款方式两方面进行评选，满足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（1）付款条件：验收合格付款100%；</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（2）未税总价最低者作为第一中选人，以此类推。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1"/>
          <w:rFonts w:hint="eastAsia"/>
          <w:color w:val="FF0000"/>
          <w:lang w:eastAsia="zh-CN"/>
        </w:rPr>
        <w:t>福建福海创石油化工有限公司指定由</w:t>
      </w:r>
      <w:r>
        <w:rPr>
          <w:rStyle w:val="51"/>
          <w:color w:val="FF0000"/>
          <w:lang w:eastAsia="zh-CN"/>
        </w:rPr>
        <w:t>其</w:t>
      </w:r>
      <w:r>
        <w:rPr>
          <w:rStyle w:val="51"/>
          <w:rFonts w:hint="eastAsia"/>
          <w:color w:val="FF0000"/>
          <w:lang w:eastAsia="zh-CN"/>
        </w:rPr>
        <w:t>权属子公司“</w:t>
      </w:r>
      <w:r>
        <w:rPr>
          <w:rStyle w:val="51"/>
          <w:rFonts w:hint="eastAsia" w:ascii="Times New Roman" w:hAnsi="Times New Roman" w:cs="Times New Roman"/>
          <w:color w:val="FF0000"/>
          <w:lang w:eastAsia="zh-CN"/>
        </w:rPr>
        <w:t>腾龙芳烃（漳州）有限公司”作为</w:t>
      </w:r>
      <w:r>
        <w:rPr>
          <w:rStyle w:val="51"/>
          <w:rFonts w:hint="eastAsia"/>
          <w:color w:val="FF0000"/>
          <w:lang w:eastAsia="zh-CN"/>
        </w:rPr>
        <w:t>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附件一、合同文本</w:t>
      </w:r>
      <w:bookmarkStart w:id="0" w:name="_Toc251742852"/>
    </w:p>
    <w:p>
      <w:pPr>
        <w:jc w:val="center"/>
        <w:rPr>
          <w:b/>
          <w:sz w:val="36"/>
          <w:szCs w:val="36"/>
          <w:lang w:eastAsia="zh-CN"/>
        </w:rPr>
      </w:pPr>
    </w:p>
    <w:p>
      <w:pPr>
        <w:jc w:val="center"/>
        <w:rPr>
          <w:b/>
          <w:sz w:val="36"/>
          <w:szCs w:val="36"/>
          <w:lang w:eastAsia="zh-CN"/>
        </w:rPr>
      </w:pPr>
    </w:p>
    <w:p>
      <w:pPr>
        <w:jc w:val="center"/>
        <w:rPr>
          <w:b/>
          <w:sz w:val="36"/>
          <w:szCs w:val="36"/>
          <w:lang w:eastAsia="zh-CN"/>
        </w:rPr>
      </w:pPr>
      <w:r>
        <w:rPr>
          <w:rFonts w:hint="eastAsia"/>
          <w:b/>
          <w:sz w:val="36"/>
          <w:szCs w:val="36"/>
          <w:lang w:eastAsia="zh-CN"/>
        </w:rPr>
        <w:t>热电厂危险化学品重大危险辨识评估项目技术服务合同</w:t>
      </w:r>
    </w:p>
    <w:p>
      <w:pPr>
        <w:spacing w:line="800" w:lineRule="exact"/>
        <w:jc w:val="center"/>
        <w:rPr>
          <w:sz w:val="28"/>
          <w:szCs w:val="28"/>
          <w:lang w:eastAsia="zh-CN"/>
        </w:rPr>
      </w:pPr>
      <w:r>
        <w:rPr>
          <w:rFonts w:hint="eastAsia"/>
          <w:sz w:val="28"/>
          <w:szCs w:val="28"/>
          <w:lang w:eastAsia="zh-CN"/>
        </w:rPr>
        <w:t>合同编号：</w:t>
      </w:r>
    </w:p>
    <w:p>
      <w:pPr>
        <w:spacing w:line="800" w:lineRule="exact"/>
        <w:ind w:left="1918" w:leftChars="172" w:hanging="1540" w:hangingChars="550"/>
        <w:rPr>
          <w:sz w:val="28"/>
          <w:szCs w:val="28"/>
          <w:lang w:eastAsia="zh-CN"/>
        </w:rPr>
      </w:pPr>
    </w:p>
    <w:p>
      <w:pPr>
        <w:spacing w:line="800" w:lineRule="exact"/>
        <w:ind w:left="1918" w:leftChars="172" w:hanging="1540" w:hangingChars="550"/>
        <w:rPr>
          <w:b/>
          <w:sz w:val="28"/>
          <w:szCs w:val="28"/>
          <w:u w:val="single"/>
          <w:lang w:eastAsia="zh-CN"/>
        </w:rPr>
      </w:pPr>
      <w:r>
        <w:rPr>
          <w:rFonts w:hint="eastAsia"/>
          <w:sz w:val="28"/>
          <w:szCs w:val="28"/>
          <w:lang w:eastAsia="zh-CN"/>
        </w:rPr>
        <w:t>项目名称：</w:t>
      </w:r>
      <w:r>
        <w:rPr>
          <w:rFonts w:hint="eastAsia"/>
          <w:color w:val="000000"/>
          <w:sz w:val="28"/>
          <w:szCs w:val="28"/>
          <w:u w:val="single"/>
          <w:lang w:eastAsia="zh-CN"/>
        </w:rPr>
        <w:t>热电厂危险化学品重大危险辨识评估项目</w:t>
      </w:r>
    </w:p>
    <w:p>
      <w:pPr>
        <w:spacing w:line="800" w:lineRule="exact"/>
        <w:ind w:firstLine="280" w:firstLineChars="100"/>
        <w:rPr>
          <w:sz w:val="28"/>
          <w:szCs w:val="28"/>
          <w:u w:val="single"/>
          <w:lang w:eastAsia="zh-CN"/>
        </w:rPr>
      </w:pPr>
      <w:r>
        <w:rPr>
          <w:rFonts w:hint="eastAsia"/>
          <w:sz w:val="28"/>
          <w:szCs w:val="28"/>
          <w:lang w:eastAsia="zh-CN"/>
        </w:rPr>
        <w:t>委托方（甲方）：</w:t>
      </w:r>
      <w:r>
        <w:rPr>
          <w:rFonts w:hint="eastAsia"/>
          <w:color w:val="000000"/>
          <w:sz w:val="28"/>
          <w:szCs w:val="28"/>
          <w:u w:val="single"/>
          <w:lang w:eastAsia="zh-CN"/>
        </w:rPr>
        <w:t>腾龙芳烃（漳州）有限公司</w:t>
      </w:r>
      <w:r>
        <w:rPr>
          <w:rFonts w:hint="eastAsia"/>
          <w:sz w:val="28"/>
          <w:szCs w:val="28"/>
          <w:u w:val="single"/>
          <w:lang w:eastAsia="zh-CN"/>
        </w:rPr>
        <w:t xml:space="preserve">  </w:t>
      </w:r>
    </w:p>
    <w:p>
      <w:pPr>
        <w:spacing w:line="800" w:lineRule="exact"/>
        <w:ind w:firstLine="280" w:firstLineChars="100"/>
        <w:rPr>
          <w:sz w:val="28"/>
          <w:szCs w:val="28"/>
          <w:u w:val="single"/>
          <w:lang w:eastAsia="zh-CN"/>
        </w:rPr>
      </w:pPr>
      <w:r>
        <w:rPr>
          <w:rFonts w:hint="eastAsia"/>
          <w:sz w:val="28"/>
          <w:szCs w:val="28"/>
          <w:lang w:eastAsia="zh-CN"/>
        </w:rPr>
        <w:t>受托方（乙方）：</w:t>
      </w:r>
      <w:r>
        <w:rPr>
          <w:rFonts w:hint="eastAsia"/>
          <w:sz w:val="28"/>
          <w:szCs w:val="28"/>
          <w:u w:val="single"/>
          <w:lang w:eastAsia="zh-CN"/>
        </w:rPr>
        <w:t xml:space="preserve">                         </w:t>
      </w:r>
      <w:r>
        <w:rPr>
          <w:rFonts w:hint="eastAsia"/>
          <w:sz w:val="28"/>
          <w:szCs w:val="28"/>
          <w:lang w:eastAsia="zh-CN"/>
        </w:rPr>
        <w:t xml:space="preserve"> </w:t>
      </w:r>
    </w:p>
    <w:p>
      <w:pPr>
        <w:spacing w:line="800" w:lineRule="exact"/>
        <w:ind w:firstLine="280" w:firstLineChars="100"/>
        <w:rPr>
          <w:sz w:val="28"/>
          <w:szCs w:val="28"/>
          <w:u w:val="single"/>
          <w:lang w:eastAsia="zh-CN"/>
        </w:rPr>
      </w:pPr>
      <w:r>
        <w:rPr>
          <w:rFonts w:hint="eastAsia"/>
          <w:sz w:val="28"/>
          <w:szCs w:val="28"/>
          <w:lang w:eastAsia="zh-CN"/>
        </w:rPr>
        <w:t>签订时间：</w:t>
      </w:r>
      <w:r>
        <w:rPr>
          <w:rFonts w:hint="eastAsia"/>
          <w:sz w:val="28"/>
          <w:szCs w:val="28"/>
          <w:u w:val="single"/>
          <w:lang w:eastAsia="zh-CN"/>
        </w:rPr>
        <w:t xml:space="preserve">    年    月    日  </w:t>
      </w:r>
    </w:p>
    <w:p>
      <w:pPr>
        <w:spacing w:line="800" w:lineRule="exact"/>
        <w:ind w:firstLine="280" w:firstLineChars="100"/>
        <w:rPr>
          <w:sz w:val="28"/>
          <w:szCs w:val="28"/>
          <w:u w:val="single"/>
          <w:lang w:eastAsia="zh-CN"/>
        </w:rPr>
      </w:pPr>
      <w:r>
        <w:rPr>
          <w:rFonts w:hint="eastAsia"/>
          <w:sz w:val="28"/>
          <w:szCs w:val="28"/>
          <w:lang w:eastAsia="zh-CN"/>
        </w:rPr>
        <w:t>签订地点：</w:t>
      </w:r>
      <w:r>
        <w:rPr>
          <w:rFonts w:hint="eastAsia"/>
          <w:sz w:val="28"/>
          <w:szCs w:val="28"/>
          <w:u w:val="single"/>
          <w:lang w:eastAsia="zh-CN"/>
        </w:rPr>
        <w:t xml:space="preserve"> 福建省漳州市漳浦县古雷经济开发区  </w:t>
      </w:r>
    </w:p>
    <w:p>
      <w:pPr>
        <w:jc w:val="center"/>
        <w:rPr>
          <w:b/>
          <w:sz w:val="32"/>
          <w:szCs w:val="32"/>
          <w:lang w:eastAsia="zh-CN"/>
        </w:rPr>
      </w:pPr>
    </w:p>
    <w:p>
      <w:pPr>
        <w:jc w:val="center"/>
        <w:rPr>
          <w:b/>
          <w:sz w:val="32"/>
          <w:szCs w:val="32"/>
          <w:lang w:eastAsia="zh-CN"/>
        </w:rPr>
      </w:pPr>
    </w:p>
    <w:p>
      <w:pPr>
        <w:jc w:val="center"/>
        <w:rPr>
          <w:b/>
          <w:sz w:val="32"/>
          <w:szCs w:val="32"/>
          <w:lang w:eastAsia="zh-CN"/>
        </w:rPr>
      </w:pPr>
    </w:p>
    <w:p>
      <w:pPr>
        <w:jc w:val="center"/>
        <w:rPr>
          <w:b/>
          <w:sz w:val="32"/>
          <w:szCs w:val="32"/>
          <w:lang w:eastAsia="zh-CN"/>
        </w:rPr>
      </w:pPr>
    </w:p>
    <w:p>
      <w:pPr>
        <w:jc w:val="center"/>
        <w:rPr>
          <w:b/>
          <w:sz w:val="32"/>
          <w:szCs w:val="32"/>
          <w:lang w:eastAsia="zh-CN"/>
        </w:rPr>
      </w:pPr>
    </w:p>
    <w:p>
      <w:pPr>
        <w:jc w:val="both"/>
        <w:rPr>
          <w:sz w:val="48"/>
          <w:szCs w:val="48"/>
          <w:lang w:eastAsia="zh-CN"/>
        </w:rPr>
      </w:pPr>
    </w:p>
    <w:p>
      <w:pPr>
        <w:spacing w:line="480" w:lineRule="auto"/>
        <w:rPr>
          <w:sz w:val="32"/>
          <w:szCs w:val="32"/>
          <w:lang w:eastAsia="zh-CN"/>
        </w:rPr>
        <w:sectPr>
          <w:headerReference r:id="rId6" w:type="default"/>
          <w:footerReference r:id="rId7" w:type="default"/>
          <w:footerReference r:id="rId8" w:type="even"/>
          <w:pgSz w:w="11906" w:h="16838"/>
          <w:pgMar w:top="1440" w:right="1286" w:bottom="1558" w:left="2211" w:header="851" w:footer="992" w:gutter="0"/>
          <w:cols w:space="425" w:num="1"/>
          <w:docGrid w:type="lines" w:linePitch="312" w:charSpace="0"/>
        </w:sectPr>
      </w:pPr>
    </w:p>
    <w:p>
      <w:pPr>
        <w:jc w:val="center"/>
        <w:rPr>
          <w:sz w:val="44"/>
          <w:szCs w:val="44"/>
          <w:lang w:eastAsia="zh-CN"/>
        </w:rPr>
      </w:pPr>
      <w:r>
        <w:rPr>
          <w:rFonts w:hint="eastAsia"/>
          <w:sz w:val="44"/>
          <w:szCs w:val="44"/>
          <w:lang w:eastAsia="zh-CN"/>
        </w:rPr>
        <w:t>技术服务合同</w:t>
      </w:r>
    </w:p>
    <w:p>
      <w:pPr>
        <w:rPr>
          <w:sz w:val="48"/>
          <w:szCs w:val="48"/>
          <w:lang w:eastAsia="zh-CN"/>
        </w:rPr>
      </w:pPr>
    </w:p>
    <w:p>
      <w:pPr>
        <w:spacing w:line="520" w:lineRule="exact"/>
        <w:rPr>
          <w:sz w:val="28"/>
          <w:szCs w:val="28"/>
          <w:lang w:eastAsia="zh-CN"/>
        </w:rPr>
      </w:pPr>
      <w:r>
        <w:rPr>
          <w:rFonts w:hint="eastAsia"/>
          <w:sz w:val="28"/>
          <w:szCs w:val="28"/>
          <w:lang w:eastAsia="zh-CN"/>
        </w:rPr>
        <w:t>委托方（甲方）：</w:t>
      </w:r>
      <w:r>
        <w:rPr>
          <w:rFonts w:hint="eastAsia"/>
          <w:sz w:val="28"/>
          <w:szCs w:val="28"/>
          <w:u w:val="single"/>
          <w:lang w:eastAsia="zh-CN"/>
        </w:rPr>
        <w:t xml:space="preserve"> </w:t>
      </w:r>
      <w:r>
        <w:rPr>
          <w:rFonts w:hint="eastAsia"/>
          <w:color w:val="000000"/>
          <w:sz w:val="28"/>
          <w:szCs w:val="28"/>
          <w:u w:val="single"/>
          <w:lang w:eastAsia="zh-CN"/>
        </w:rPr>
        <w:t>腾龙芳烃（漳州）有限公司</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住  所  地： </w:t>
      </w:r>
      <w:r>
        <w:rPr>
          <w:rFonts w:hint="eastAsia"/>
          <w:sz w:val="28"/>
          <w:szCs w:val="28"/>
          <w:u w:val="single"/>
          <w:lang w:eastAsia="zh-CN"/>
        </w:rPr>
        <w:t xml:space="preserve"> </w:t>
      </w:r>
      <w:r>
        <w:rPr>
          <w:sz w:val="28"/>
          <w:szCs w:val="28"/>
          <w:u w:val="single"/>
          <w:lang w:eastAsia="zh-CN"/>
        </w:rPr>
        <w:t>福建省漳州市古雷港经济开发区腾龙路</w:t>
      </w:r>
      <w:r>
        <w:rPr>
          <w:rFonts w:hint="eastAsia"/>
          <w:sz w:val="28"/>
          <w:szCs w:val="28"/>
          <w:u w:val="single"/>
          <w:lang w:eastAsia="zh-CN"/>
        </w:rPr>
        <w:t>84</w:t>
      </w:r>
      <w:r>
        <w:rPr>
          <w:sz w:val="28"/>
          <w:szCs w:val="28"/>
          <w:u w:val="single"/>
          <w:lang w:eastAsia="zh-CN"/>
        </w:rPr>
        <w:t>号</w:t>
      </w:r>
      <w:r>
        <w:rPr>
          <w:rFonts w:hint="eastAsia"/>
          <w:sz w:val="28"/>
          <w:szCs w:val="28"/>
          <w:u w:val="single"/>
          <w:lang w:eastAsia="zh-CN"/>
        </w:rPr>
        <w:t xml:space="preserve"> </w:t>
      </w:r>
    </w:p>
    <w:p>
      <w:pPr>
        <w:spacing w:line="520" w:lineRule="exact"/>
        <w:ind w:firstLine="280" w:firstLineChars="100"/>
        <w:rPr>
          <w:sz w:val="28"/>
          <w:szCs w:val="28"/>
          <w:lang w:eastAsia="zh-CN"/>
        </w:rPr>
      </w:pPr>
    </w:p>
    <w:p>
      <w:pPr>
        <w:pStyle w:val="20"/>
        <w:spacing w:line="360" w:lineRule="auto"/>
        <w:ind w:right="121" w:firstLine="280" w:firstLineChars="100"/>
        <w:jc w:val="both"/>
        <w:rPr>
          <w:sz w:val="28"/>
          <w:szCs w:val="28"/>
          <w:u w:val="single"/>
          <w:lang w:eastAsia="zh-CN"/>
        </w:rPr>
      </w:pPr>
      <w:r>
        <w:rPr>
          <w:rFonts w:hint="eastAsia"/>
          <w:sz w:val="28"/>
          <w:szCs w:val="28"/>
          <w:lang w:eastAsia="zh-CN"/>
        </w:rPr>
        <w:t xml:space="preserve">项目联系人： </w:t>
      </w:r>
      <w:r>
        <w:rPr>
          <w:sz w:val="28"/>
          <w:szCs w:val="28"/>
          <w:u w:val="single"/>
          <w:lang w:eastAsia="zh-CN"/>
        </w:rPr>
        <w:t xml:space="preserve"> </w:t>
      </w:r>
      <w:r>
        <w:rPr>
          <w:rFonts w:hint="eastAsia"/>
          <w:sz w:val="28"/>
          <w:szCs w:val="28"/>
          <w:u w:val="single"/>
          <w:lang w:eastAsia="zh-CN"/>
        </w:rPr>
        <w:t xml:space="preserve">      </w:t>
      </w:r>
      <w:r>
        <w:rPr>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联</w:t>
      </w:r>
      <w:r>
        <w:rPr>
          <w:rFonts w:hint="eastAsia"/>
          <w:sz w:val="18"/>
          <w:szCs w:val="18"/>
          <w:lang w:eastAsia="zh-CN"/>
        </w:rPr>
        <w:t xml:space="preserve"> </w:t>
      </w:r>
      <w:r>
        <w:rPr>
          <w:rFonts w:hint="eastAsia"/>
          <w:sz w:val="28"/>
          <w:szCs w:val="28"/>
          <w:lang w:eastAsia="zh-CN"/>
        </w:rPr>
        <w:t>系</w:t>
      </w:r>
      <w:r>
        <w:rPr>
          <w:rFonts w:hint="eastAsia"/>
          <w:sz w:val="18"/>
          <w:szCs w:val="18"/>
          <w:lang w:eastAsia="zh-CN"/>
        </w:rPr>
        <w:t xml:space="preserve"> </w:t>
      </w:r>
      <w:r>
        <w:rPr>
          <w:rFonts w:hint="eastAsia"/>
          <w:sz w:val="28"/>
          <w:szCs w:val="28"/>
          <w:lang w:eastAsia="zh-CN"/>
        </w:rPr>
        <w:t>方</w:t>
      </w:r>
      <w:r>
        <w:rPr>
          <w:rFonts w:hint="eastAsia"/>
          <w:sz w:val="18"/>
          <w:szCs w:val="18"/>
          <w:lang w:eastAsia="zh-CN"/>
        </w:rPr>
        <w:t xml:space="preserve"> </w:t>
      </w:r>
      <w:r>
        <w:rPr>
          <w:rFonts w:hint="eastAsia"/>
          <w:sz w:val="28"/>
          <w:szCs w:val="28"/>
          <w:lang w:eastAsia="zh-CN"/>
        </w:rPr>
        <w:t xml:space="preserve">式： </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通</w:t>
      </w:r>
      <w:r>
        <w:rPr>
          <w:rFonts w:hint="eastAsia"/>
          <w:sz w:val="18"/>
          <w:szCs w:val="18"/>
          <w:lang w:eastAsia="zh-CN"/>
        </w:rPr>
        <w:t xml:space="preserve"> </w:t>
      </w:r>
      <w:r>
        <w:rPr>
          <w:rFonts w:hint="eastAsia"/>
          <w:sz w:val="28"/>
          <w:szCs w:val="28"/>
          <w:lang w:eastAsia="zh-CN"/>
        </w:rPr>
        <w:t>讯</w:t>
      </w:r>
      <w:r>
        <w:rPr>
          <w:rFonts w:hint="eastAsia"/>
          <w:sz w:val="18"/>
          <w:szCs w:val="18"/>
          <w:lang w:eastAsia="zh-CN"/>
        </w:rPr>
        <w:t xml:space="preserve"> </w:t>
      </w:r>
      <w:r>
        <w:rPr>
          <w:rFonts w:hint="eastAsia"/>
          <w:sz w:val="28"/>
          <w:szCs w:val="28"/>
          <w:lang w:eastAsia="zh-CN"/>
        </w:rPr>
        <w:t>地</w:t>
      </w:r>
      <w:r>
        <w:rPr>
          <w:rFonts w:hint="eastAsia"/>
          <w:sz w:val="18"/>
          <w:szCs w:val="18"/>
          <w:lang w:eastAsia="zh-CN"/>
        </w:rPr>
        <w:t xml:space="preserve"> </w:t>
      </w:r>
      <w:r>
        <w:rPr>
          <w:rFonts w:hint="eastAsia"/>
          <w:sz w:val="28"/>
          <w:szCs w:val="28"/>
          <w:lang w:eastAsia="zh-CN"/>
        </w:rPr>
        <w:t xml:space="preserve">址： </w:t>
      </w:r>
      <w:r>
        <w:rPr>
          <w:rFonts w:hint="eastAsia"/>
          <w:sz w:val="28"/>
          <w:szCs w:val="28"/>
          <w:u w:val="single"/>
          <w:lang w:eastAsia="zh-CN"/>
        </w:rPr>
        <w:t xml:space="preserve"> </w:t>
      </w:r>
      <w:r>
        <w:rPr>
          <w:sz w:val="28"/>
          <w:szCs w:val="28"/>
          <w:u w:val="single"/>
          <w:lang w:eastAsia="zh-CN"/>
        </w:rPr>
        <w:t>福建省漳州市古雷港经济开发区腾龙路</w:t>
      </w:r>
      <w:r>
        <w:rPr>
          <w:rFonts w:hint="eastAsia"/>
          <w:sz w:val="28"/>
          <w:szCs w:val="28"/>
          <w:u w:val="single"/>
          <w:lang w:eastAsia="zh-CN"/>
        </w:rPr>
        <w:t>84</w:t>
      </w:r>
      <w:r>
        <w:rPr>
          <w:sz w:val="28"/>
          <w:szCs w:val="28"/>
          <w:u w:val="single"/>
          <w:lang w:eastAsia="zh-CN"/>
        </w:rPr>
        <w:t>号</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电      话： </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电</w:t>
      </w:r>
      <w:r>
        <w:rPr>
          <w:rFonts w:hint="eastAsia"/>
          <w:sz w:val="18"/>
          <w:szCs w:val="18"/>
          <w:lang w:eastAsia="zh-CN"/>
        </w:rPr>
        <w:t xml:space="preserve"> </w:t>
      </w:r>
      <w:r>
        <w:rPr>
          <w:rFonts w:hint="eastAsia"/>
          <w:sz w:val="28"/>
          <w:szCs w:val="28"/>
          <w:lang w:eastAsia="zh-CN"/>
        </w:rPr>
        <w:t>子</w:t>
      </w:r>
      <w:r>
        <w:rPr>
          <w:rFonts w:hint="eastAsia"/>
          <w:sz w:val="18"/>
          <w:szCs w:val="18"/>
          <w:lang w:eastAsia="zh-CN"/>
        </w:rPr>
        <w:t xml:space="preserve"> </w:t>
      </w:r>
      <w:r>
        <w:rPr>
          <w:rFonts w:hint="eastAsia"/>
          <w:sz w:val="28"/>
          <w:szCs w:val="28"/>
          <w:lang w:eastAsia="zh-CN"/>
        </w:rPr>
        <w:t>信</w:t>
      </w:r>
      <w:r>
        <w:rPr>
          <w:rFonts w:hint="eastAsia"/>
          <w:sz w:val="18"/>
          <w:szCs w:val="18"/>
          <w:lang w:eastAsia="zh-CN"/>
        </w:rPr>
        <w:t xml:space="preserve"> </w:t>
      </w:r>
      <w:r>
        <w:rPr>
          <w:rFonts w:hint="eastAsia"/>
          <w:sz w:val="28"/>
          <w:szCs w:val="28"/>
          <w:lang w:eastAsia="zh-CN"/>
        </w:rPr>
        <w:t xml:space="preserve">箱： </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p>
    <w:p>
      <w:pPr>
        <w:spacing w:line="520" w:lineRule="exact"/>
        <w:ind w:firstLine="280" w:firstLineChars="100"/>
        <w:rPr>
          <w:sz w:val="28"/>
          <w:szCs w:val="28"/>
          <w:u w:val="single"/>
          <w:lang w:eastAsia="zh-CN"/>
        </w:rPr>
      </w:pPr>
    </w:p>
    <w:p>
      <w:pPr>
        <w:spacing w:line="520" w:lineRule="exact"/>
        <w:ind w:firstLine="280" w:firstLineChars="100"/>
        <w:rPr>
          <w:sz w:val="28"/>
          <w:szCs w:val="28"/>
          <w:u w:val="single"/>
          <w:lang w:eastAsia="zh-CN"/>
        </w:rPr>
      </w:pPr>
    </w:p>
    <w:p>
      <w:pPr>
        <w:spacing w:line="520" w:lineRule="exact"/>
        <w:ind w:firstLine="280" w:firstLineChars="100"/>
        <w:rPr>
          <w:sz w:val="28"/>
          <w:szCs w:val="28"/>
          <w:u w:val="single"/>
          <w:lang w:eastAsia="zh-CN"/>
        </w:rPr>
      </w:pPr>
    </w:p>
    <w:p>
      <w:pPr>
        <w:spacing w:line="520" w:lineRule="exact"/>
        <w:rPr>
          <w:sz w:val="28"/>
          <w:szCs w:val="28"/>
          <w:u w:val="single"/>
          <w:lang w:eastAsia="zh-CN"/>
        </w:rPr>
      </w:pPr>
      <w:r>
        <w:rPr>
          <w:rFonts w:hint="eastAsia"/>
          <w:sz w:val="28"/>
          <w:szCs w:val="28"/>
          <w:lang w:eastAsia="zh-CN"/>
        </w:rPr>
        <w:t>受托方（乙方）：</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住  所  地： </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项目联系人：</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联</w:t>
      </w:r>
      <w:r>
        <w:rPr>
          <w:rFonts w:hint="eastAsia"/>
          <w:sz w:val="18"/>
          <w:szCs w:val="18"/>
          <w:lang w:eastAsia="zh-CN"/>
        </w:rPr>
        <w:t xml:space="preserve"> </w:t>
      </w:r>
      <w:r>
        <w:rPr>
          <w:rFonts w:hint="eastAsia"/>
          <w:sz w:val="28"/>
          <w:szCs w:val="28"/>
          <w:lang w:eastAsia="zh-CN"/>
        </w:rPr>
        <w:t>系</w:t>
      </w:r>
      <w:r>
        <w:rPr>
          <w:rFonts w:hint="eastAsia"/>
          <w:sz w:val="18"/>
          <w:szCs w:val="18"/>
          <w:lang w:eastAsia="zh-CN"/>
        </w:rPr>
        <w:t xml:space="preserve"> </w:t>
      </w:r>
      <w:r>
        <w:rPr>
          <w:rFonts w:hint="eastAsia"/>
          <w:sz w:val="28"/>
          <w:szCs w:val="28"/>
          <w:lang w:eastAsia="zh-CN"/>
        </w:rPr>
        <w:t>方</w:t>
      </w:r>
      <w:r>
        <w:rPr>
          <w:rFonts w:hint="eastAsia"/>
          <w:sz w:val="18"/>
          <w:szCs w:val="18"/>
          <w:lang w:eastAsia="zh-CN"/>
        </w:rPr>
        <w:t xml:space="preserve"> </w:t>
      </w:r>
      <w:r>
        <w:rPr>
          <w:rFonts w:hint="eastAsia"/>
          <w:sz w:val="28"/>
          <w:szCs w:val="28"/>
          <w:lang w:eastAsia="zh-CN"/>
        </w:rPr>
        <w:t>式：</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通</w:t>
      </w:r>
      <w:r>
        <w:rPr>
          <w:rFonts w:hint="eastAsia"/>
          <w:sz w:val="18"/>
          <w:szCs w:val="18"/>
          <w:lang w:eastAsia="zh-CN"/>
        </w:rPr>
        <w:t xml:space="preserve"> </w:t>
      </w:r>
      <w:r>
        <w:rPr>
          <w:rFonts w:hint="eastAsia"/>
          <w:sz w:val="28"/>
          <w:szCs w:val="28"/>
          <w:lang w:eastAsia="zh-CN"/>
        </w:rPr>
        <w:t>讯</w:t>
      </w:r>
      <w:r>
        <w:rPr>
          <w:rFonts w:hint="eastAsia"/>
          <w:sz w:val="18"/>
          <w:szCs w:val="18"/>
          <w:lang w:eastAsia="zh-CN"/>
        </w:rPr>
        <w:t xml:space="preserve"> </w:t>
      </w:r>
      <w:r>
        <w:rPr>
          <w:rFonts w:hint="eastAsia"/>
          <w:sz w:val="28"/>
          <w:szCs w:val="28"/>
          <w:lang w:eastAsia="zh-CN"/>
        </w:rPr>
        <w:t>地</w:t>
      </w:r>
      <w:r>
        <w:rPr>
          <w:rFonts w:hint="eastAsia"/>
          <w:sz w:val="18"/>
          <w:szCs w:val="18"/>
          <w:lang w:eastAsia="zh-CN"/>
        </w:rPr>
        <w:t xml:space="preserve"> </w:t>
      </w:r>
      <w:r>
        <w:rPr>
          <w:rFonts w:hint="eastAsia"/>
          <w:sz w:val="28"/>
          <w:szCs w:val="28"/>
          <w:lang w:eastAsia="zh-CN"/>
        </w:rPr>
        <w:t>址：</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电</w:t>
      </w:r>
      <w:r>
        <w:rPr>
          <w:rFonts w:hint="eastAsia"/>
          <w:sz w:val="18"/>
          <w:szCs w:val="18"/>
          <w:lang w:eastAsia="zh-CN"/>
        </w:rPr>
        <w:t xml:space="preserve"> </w:t>
      </w:r>
      <w:r>
        <w:rPr>
          <w:rFonts w:hint="eastAsia"/>
          <w:sz w:val="28"/>
          <w:szCs w:val="28"/>
          <w:lang w:eastAsia="zh-CN"/>
        </w:rPr>
        <w:t>子</w:t>
      </w:r>
      <w:r>
        <w:rPr>
          <w:rFonts w:hint="eastAsia"/>
          <w:sz w:val="18"/>
          <w:szCs w:val="18"/>
          <w:lang w:eastAsia="zh-CN"/>
        </w:rPr>
        <w:t xml:space="preserve"> </w:t>
      </w:r>
      <w:r>
        <w:rPr>
          <w:rFonts w:hint="eastAsia"/>
          <w:sz w:val="28"/>
          <w:szCs w:val="28"/>
          <w:lang w:eastAsia="zh-CN"/>
        </w:rPr>
        <w:t>信</w:t>
      </w:r>
      <w:r>
        <w:rPr>
          <w:rFonts w:hint="eastAsia"/>
          <w:sz w:val="18"/>
          <w:szCs w:val="18"/>
          <w:lang w:eastAsia="zh-CN"/>
        </w:rPr>
        <w:t xml:space="preserve"> </w:t>
      </w:r>
      <w:r>
        <w:rPr>
          <w:rFonts w:hint="eastAsia"/>
          <w:sz w:val="28"/>
          <w:szCs w:val="28"/>
          <w:lang w:eastAsia="zh-CN"/>
        </w:rPr>
        <w:t>箱：</w:t>
      </w:r>
      <w:r>
        <w:rPr>
          <w:rFonts w:hint="eastAsia"/>
          <w:sz w:val="28"/>
          <w:szCs w:val="28"/>
          <w:u w:val="single"/>
          <w:lang w:eastAsia="zh-CN"/>
        </w:rPr>
        <w:t xml:space="preserve"> </w:t>
      </w:r>
      <w:r>
        <w:fldChar w:fldCharType="begin"/>
      </w:r>
      <w:r>
        <w:instrText xml:space="preserve"> HYPERLINK "mailto:Paul_Qiao@elumax.com" </w:instrText>
      </w:r>
      <w:r>
        <w:fldChar w:fldCharType="separate"/>
      </w:r>
      <w:r>
        <w:fldChar w:fldCharType="end"/>
      </w:r>
      <w:r>
        <w:rPr>
          <w:rFonts w:hint="eastAsia"/>
          <w:u w:val="single"/>
          <w:lang w:eastAsia="zh-CN"/>
        </w:rPr>
        <w:t xml:space="preserve">        </w:t>
      </w:r>
      <w:r>
        <w:rPr>
          <w:rFonts w:hint="eastAsia"/>
          <w:sz w:val="28"/>
          <w:szCs w:val="28"/>
          <w:u w:val="single"/>
          <w:lang w:eastAsia="zh-CN"/>
        </w:rPr>
        <w:t xml:space="preserve">  </w:t>
      </w: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pStyle w:val="2"/>
      </w:pPr>
    </w:p>
    <w:p>
      <w:pPr>
        <w:spacing w:line="360" w:lineRule="auto"/>
        <w:ind w:firstLine="480" w:firstLineChars="200"/>
        <w:rPr>
          <w:sz w:val="24"/>
          <w:lang w:eastAsia="zh-CN"/>
        </w:rPr>
      </w:pPr>
    </w:p>
    <w:p>
      <w:pPr>
        <w:spacing w:line="360" w:lineRule="auto"/>
        <w:ind w:firstLine="480" w:firstLineChars="200"/>
        <w:rPr>
          <w:sz w:val="24"/>
          <w:u w:val="single"/>
          <w:lang w:eastAsia="zh-CN"/>
        </w:rPr>
      </w:pPr>
      <w:r>
        <w:rPr>
          <w:rFonts w:hint="eastAsia"/>
          <w:sz w:val="24"/>
          <w:lang w:eastAsia="zh-CN"/>
        </w:rPr>
        <w:t>本合同甲方委托乙方就</w:t>
      </w:r>
      <w:r>
        <w:rPr>
          <w:rFonts w:hint="eastAsia"/>
          <w:sz w:val="24"/>
          <w:szCs w:val="24"/>
          <w:u w:val="single"/>
          <w:lang w:eastAsia="zh-CN"/>
        </w:rPr>
        <w:t>热电厂危险化学品重大危险辨识评估项目</w:t>
      </w:r>
      <w:r>
        <w:rPr>
          <w:rFonts w:hint="eastAsia"/>
          <w:sz w:val="24"/>
          <w:lang w:eastAsia="zh-CN"/>
        </w:rPr>
        <w:t>进行有偿的专项技术服务，并支付相应的技术服务报酬。双方经过平等协商，在真实、充分地表达各自意愿的基础上，</w:t>
      </w:r>
      <w:r>
        <w:rPr>
          <w:rFonts w:hint="eastAsia" w:asciiTheme="majorEastAsia" w:hAnsiTheme="majorEastAsia" w:eastAsiaTheme="majorEastAsia"/>
          <w:color w:val="3C3C3C"/>
          <w:sz w:val="24"/>
          <w:szCs w:val="24"/>
          <w:lang w:eastAsia="zh-CN"/>
        </w:rPr>
        <w:t>根据《中华人民共和国民法典》规定</w:t>
      </w:r>
      <w:r>
        <w:rPr>
          <w:rFonts w:hint="eastAsia"/>
          <w:sz w:val="24"/>
          <w:lang w:eastAsia="zh-CN"/>
        </w:rPr>
        <w:t>，达成如下协议，并由双方共同恪守。</w:t>
      </w:r>
    </w:p>
    <w:p>
      <w:pPr>
        <w:numPr>
          <w:ilvl w:val="0"/>
          <w:numId w:val="2"/>
        </w:numPr>
        <w:tabs>
          <w:tab w:val="left" w:pos="0"/>
          <w:tab w:val="clear" w:pos="1215"/>
        </w:tabs>
        <w:autoSpaceDE/>
        <w:autoSpaceDN/>
        <w:spacing w:line="360" w:lineRule="auto"/>
        <w:ind w:hanging="1215"/>
        <w:jc w:val="both"/>
        <w:rPr>
          <w:sz w:val="24"/>
          <w:lang w:eastAsia="zh-CN"/>
        </w:rPr>
      </w:pPr>
      <w:r>
        <w:rPr>
          <w:rFonts w:hint="eastAsia"/>
          <w:sz w:val="24"/>
          <w:lang w:eastAsia="zh-CN"/>
        </w:rPr>
        <w:t xml:space="preserve">  甲方委托乙方进行技术服务的内容如下：</w:t>
      </w:r>
    </w:p>
    <w:p>
      <w:pPr>
        <w:spacing w:line="360" w:lineRule="auto"/>
        <w:rPr>
          <w:sz w:val="24"/>
          <w:lang w:eastAsia="zh-CN"/>
        </w:rPr>
      </w:pPr>
      <w:r>
        <w:rPr>
          <w:rFonts w:hint="eastAsia"/>
          <w:sz w:val="24"/>
          <w:lang w:eastAsia="zh-CN"/>
        </w:rPr>
        <w:t>1、技术服务的目标：详见附件《</w:t>
      </w:r>
      <w:r>
        <w:rPr>
          <w:rFonts w:hint="eastAsia"/>
          <w:sz w:val="24"/>
          <w:szCs w:val="24"/>
          <w:lang w:eastAsia="zh-CN"/>
        </w:rPr>
        <w:t>热电厂危险化学品重大危险辨识评估项目发包说明》</w:t>
      </w:r>
      <w:r>
        <w:rPr>
          <w:rFonts w:hint="eastAsia"/>
          <w:sz w:val="24"/>
          <w:lang w:eastAsia="zh-CN"/>
        </w:rPr>
        <w:t xml:space="preserve"> ；</w:t>
      </w:r>
    </w:p>
    <w:p>
      <w:pPr>
        <w:spacing w:line="360" w:lineRule="auto"/>
        <w:rPr>
          <w:sz w:val="24"/>
          <w:u w:val="single"/>
          <w:lang w:eastAsia="zh-CN"/>
        </w:rPr>
      </w:pPr>
      <w:r>
        <w:rPr>
          <w:rFonts w:hint="eastAsia"/>
          <w:sz w:val="24"/>
          <w:lang w:eastAsia="zh-CN"/>
        </w:rPr>
        <w:t>2、技术服务的内容：</w:t>
      </w:r>
      <w:r>
        <w:rPr>
          <w:rFonts w:hint="eastAsia"/>
          <w:sz w:val="24"/>
          <w:u w:val="single"/>
          <w:lang w:eastAsia="zh-CN"/>
        </w:rPr>
        <w:t xml:space="preserve"> </w:t>
      </w:r>
      <w:r>
        <w:rPr>
          <w:rFonts w:hint="eastAsia"/>
          <w:sz w:val="24"/>
          <w:szCs w:val="24"/>
          <w:u w:val="single"/>
          <w:lang w:eastAsia="zh-CN"/>
        </w:rPr>
        <w:t>热电厂危险化学品重大危险辨识评估项目</w:t>
      </w:r>
      <w:r>
        <w:rPr>
          <w:rFonts w:hint="eastAsia"/>
          <w:sz w:val="24"/>
          <w:u w:val="single"/>
          <w:lang w:eastAsia="zh-CN"/>
        </w:rPr>
        <w:t xml:space="preserve"> </w:t>
      </w:r>
      <w:r>
        <w:rPr>
          <w:rFonts w:hint="eastAsia" w:asciiTheme="majorEastAsia" w:hAnsiTheme="majorEastAsia" w:eastAsiaTheme="majorEastAsia"/>
          <w:sz w:val="24"/>
          <w:szCs w:val="24"/>
          <w:u w:val="single"/>
          <w:lang w:eastAsia="zh-CN"/>
        </w:rPr>
        <w:t xml:space="preserve">。 </w:t>
      </w:r>
    </w:p>
    <w:p>
      <w:pPr>
        <w:spacing w:line="360" w:lineRule="auto"/>
        <w:rPr>
          <w:sz w:val="24"/>
          <w:lang w:eastAsia="zh-CN"/>
        </w:rPr>
      </w:pPr>
      <w:r>
        <w:rPr>
          <w:rFonts w:hint="eastAsia"/>
          <w:sz w:val="24"/>
          <w:lang w:eastAsia="zh-CN"/>
        </w:rPr>
        <w:t>3、技术服务的方式：</w:t>
      </w:r>
      <w:r>
        <w:rPr>
          <w:rFonts w:hint="eastAsia"/>
          <w:sz w:val="24"/>
          <w:u w:val="single"/>
          <w:lang w:eastAsia="zh-CN"/>
        </w:rPr>
        <w:t xml:space="preserve"> 厂区现场服务 </w:t>
      </w:r>
    </w:p>
    <w:p>
      <w:pPr>
        <w:spacing w:line="360" w:lineRule="auto"/>
        <w:rPr>
          <w:sz w:val="24"/>
          <w:lang w:eastAsia="zh-CN"/>
        </w:rPr>
      </w:pPr>
      <w:r>
        <w:rPr>
          <w:rFonts w:hint="eastAsia"/>
          <w:b/>
          <w:sz w:val="28"/>
          <w:szCs w:val="28"/>
          <w:lang w:eastAsia="zh-CN"/>
        </w:rPr>
        <w:t>第二条</w:t>
      </w:r>
      <w:r>
        <w:rPr>
          <w:rFonts w:hint="eastAsia"/>
          <w:sz w:val="24"/>
          <w:lang w:eastAsia="zh-CN"/>
        </w:rPr>
        <w:t xml:space="preserve">     乙方应按下列要求完成技术服务工作：</w:t>
      </w:r>
    </w:p>
    <w:p>
      <w:pPr>
        <w:spacing w:line="360" w:lineRule="auto"/>
        <w:rPr>
          <w:sz w:val="24"/>
          <w:lang w:eastAsia="zh-CN"/>
        </w:rPr>
      </w:pPr>
      <w:r>
        <w:rPr>
          <w:rFonts w:hint="eastAsia"/>
          <w:sz w:val="24"/>
          <w:lang w:eastAsia="zh-CN"/>
        </w:rPr>
        <w:t>1、技术服务地点：</w:t>
      </w:r>
      <w:r>
        <w:rPr>
          <w:rFonts w:hint="eastAsia"/>
          <w:sz w:val="24"/>
          <w:u w:val="single"/>
          <w:lang w:eastAsia="zh-CN"/>
        </w:rPr>
        <w:t xml:space="preserve"> </w:t>
      </w:r>
      <w:r>
        <w:rPr>
          <w:rFonts w:hint="eastAsia"/>
          <w:color w:val="000000"/>
          <w:sz w:val="24"/>
          <w:u w:val="single"/>
          <w:lang w:eastAsia="zh-CN"/>
        </w:rPr>
        <w:t>腾龙芳烃（漳州）有限公司</w:t>
      </w:r>
      <w:r>
        <w:rPr>
          <w:rFonts w:hint="eastAsia"/>
          <w:sz w:val="24"/>
          <w:u w:val="single"/>
          <w:lang w:eastAsia="zh-CN"/>
        </w:rPr>
        <w:t xml:space="preserve"> </w:t>
      </w:r>
    </w:p>
    <w:p>
      <w:pPr>
        <w:pStyle w:val="90"/>
        <w:numPr>
          <w:ilvl w:val="255"/>
          <w:numId w:val="0"/>
        </w:numPr>
        <w:spacing w:beforeLines="50" w:afterLines="50"/>
        <w:rPr>
          <w:sz w:val="24"/>
          <w:lang w:eastAsia="zh-CN"/>
        </w:rPr>
      </w:pPr>
      <w:r>
        <w:rPr>
          <w:rFonts w:hint="eastAsia"/>
          <w:sz w:val="24"/>
          <w:lang w:eastAsia="zh-CN"/>
        </w:rPr>
        <w:t>2、技术服务期限：2022年10月12日完成。</w:t>
      </w:r>
    </w:p>
    <w:p>
      <w:pPr>
        <w:spacing w:line="360" w:lineRule="auto"/>
        <w:rPr>
          <w:sz w:val="24"/>
          <w:lang w:eastAsia="zh-CN"/>
        </w:rPr>
      </w:pPr>
      <w:r>
        <w:rPr>
          <w:rFonts w:hint="eastAsia"/>
          <w:sz w:val="24"/>
          <w:lang w:eastAsia="zh-CN"/>
        </w:rPr>
        <w:t>3、技术服务质量要求：详见附件</w:t>
      </w:r>
      <w:r>
        <w:rPr>
          <w:rFonts w:hint="eastAsia"/>
          <w:sz w:val="24"/>
          <w:u w:val="single"/>
          <w:lang w:eastAsia="zh-CN"/>
        </w:rPr>
        <w:t>《</w:t>
      </w:r>
      <w:r>
        <w:rPr>
          <w:rFonts w:hint="eastAsia"/>
          <w:sz w:val="24"/>
          <w:szCs w:val="24"/>
          <w:u w:val="single"/>
          <w:lang w:eastAsia="zh-CN"/>
        </w:rPr>
        <w:t>热电厂危险化学品重大危险辨识评估项目发包说明》</w:t>
      </w:r>
      <w:r>
        <w:rPr>
          <w:rFonts w:hint="eastAsia" w:asciiTheme="majorEastAsia" w:hAnsiTheme="majorEastAsia" w:eastAsiaTheme="majorEastAsia"/>
          <w:bCs/>
          <w:sz w:val="24"/>
          <w:szCs w:val="24"/>
          <w:lang w:eastAsia="zh-CN"/>
        </w:rPr>
        <w:t>。</w:t>
      </w:r>
    </w:p>
    <w:p>
      <w:pPr>
        <w:spacing w:line="276" w:lineRule="auto"/>
        <w:rPr>
          <w:sz w:val="24"/>
          <w:lang w:eastAsia="zh-CN"/>
        </w:rPr>
      </w:pPr>
      <w:r>
        <w:rPr>
          <w:rFonts w:hint="eastAsia"/>
          <w:b/>
          <w:sz w:val="28"/>
          <w:szCs w:val="28"/>
          <w:lang w:eastAsia="zh-CN"/>
        </w:rPr>
        <w:t>第三条</w:t>
      </w:r>
      <w:r>
        <w:rPr>
          <w:rFonts w:hint="eastAsia"/>
          <w:sz w:val="24"/>
          <w:lang w:eastAsia="zh-CN"/>
        </w:rPr>
        <w:t xml:space="preserve">  为保证乙方有效进行技术服务工作，甲方应当向乙方提供下列工作条件和协作事项：</w:t>
      </w:r>
    </w:p>
    <w:p>
      <w:pPr>
        <w:spacing w:line="276" w:lineRule="auto"/>
        <w:rPr>
          <w:sz w:val="24"/>
          <w:lang w:eastAsia="zh-CN"/>
        </w:rPr>
      </w:pPr>
      <w:r>
        <w:rPr>
          <w:rFonts w:hint="eastAsia"/>
          <w:sz w:val="24"/>
          <w:lang w:eastAsia="zh-CN"/>
        </w:rPr>
        <w:t>1、提供技术资料：</w:t>
      </w:r>
    </w:p>
    <w:p>
      <w:pPr>
        <w:spacing w:line="360" w:lineRule="auto"/>
        <w:rPr>
          <w:sz w:val="24"/>
          <w:lang w:eastAsia="zh-CN"/>
        </w:rPr>
      </w:pPr>
      <w:r>
        <w:rPr>
          <w:rFonts w:hint="eastAsia"/>
          <w:sz w:val="24"/>
          <w:lang w:eastAsia="zh-CN"/>
        </w:rPr>
        <w:t>（1）详见附件</w:t>
      </w:r>
      <w:r>
        <w:rPr>
          <w:rFonts w:hint="eastAsia"/>
          <w:sz w:val="24"/>
          <w:u w:val="single"/>
          <w:lang w:eastAsia="zh-CN"/>
        </w:rPr>
        <w:t>《</w:t>
      </w:r>
      <w:r>
        <w:rPr>
          <w:rFonts w:hint="eastAsia"/>
          <w:sz w:val="24"/>
          <w:szCs w:val="24"/>
          <w:u w:val="single"/>
          <w:lang w:eastAsia="zh-CN"/>
        </w:rPr>
        <w:t>热电厂危险化学品重大危险辨识评估项目发包说明》</w:t>
      </w:r>
      <w:r>
        <w:rPr>
          <w:rFonts w:hint="eastAsia"/>
          <w:sz w:val="24"/>
          <w:lang w:eastAsia="zh-CN"/>
        </w:rPr>
        <w:t>；</w:t>
      </w:r>
    </w:p>
    <w:p>
      <w:pPr>
        <w:spacing w:line="360" w:lineRule="auto"/>
        <w:rPr>
          <w:sz w:val="24"/>
          <w:lang w:eastAsia="zh-CN"/>
        </w:rPr>
      </w:pPr>
      <w:r>
        <w:rPr>
          <w:rFonts w:hint="eastAsia"/>
          <w:sz w:val="24"/>
          <w:lang w:eastAsia="zh-CN"/>
        </w:rPr>
        <w:t>2、提供工作条件：</w:t>
      </w:r>
    </w:p>
    <w:p>
      <w:pPr>
        <w:spacing w:line="360" w:lineRule="auto"/>
        <w:rPr>
          <w:sz w:val="24"/>
          <w:lang w:eastAsia="zh-CN"/>
        </w:rPr>
      </w:pPr>
      <w:r>
        <w:rPr>
          <w:rFonts w:hint="eastAsia"/>
          <w:sz w:val="24"/>
          <w:lang w:eastAsia="zh-CN"/>
        </w:rPr>
        <w:t>（1）</w:t>
      </w:r>
      <w:r>
        <w:rPr>
          <w:rFonts w:hint="eastAsia"/>
          <w:sz w:val="24"/>
          <w:u w:val="single"/>
          <w:lang w:eastAsia="zh-CN"/>
        </w:rPr>
        <w:t xml:space="preserve">甲方协助乙方办理在厂期间的出入证、工作票等 </w:t>
      </w:r>
      <w:r>
        <w:rPr>
          <w:rFonts w:hint="eastAsia"/>
          <w:sz w:val="24"/>
          <w:lang w:eastAsia="zh-CN"/>
        </w:rPr>
        <w:t>；</w:t>
      </w:r>
    </w:p>
    <w:p>
      <w:pPr>
        <w:spacing w:line="360" w:lineRule="auto"/>
        <w:rPr>
          <w:sz w:val="24"/>
          <w:lang w:eastAsia="zh-CN"/>
        </w:rPr>
      </w:pPr>
      <w:r>
        <w:rPr>
          <w:rFonts w:hint="eastAsia"/>
          <w:sz w:val="24"/>
          <w:lang w:eastAsia="zh-CN"/>
        </w:rPr>
        <w:t>（2）</w:t>
      </w:r>
      <w:r>
        <w:rPr>
          <w:rFonts w:hint="eastAsia"/>
          <w:sz w:val="24"/>
          <w:u w:val="single"/>
          <w:lang w:eastAsia="zh-CN"/>
        </w:rPr>
        <w:t>乙方食宿交通自理；</w:t>
      </w:r>
    </w:p>
    <w:p>
      <w:pPr>
        <w:spacing w:line="360" w:lineRule="auto"/>
        <w:rPr>
          <w:sz w:val="24"/>
          <w:lang w:eastAsia="zh-CN"/>
        </w:rPr>
      </w:pPr>
      <w:r>
        <w:rPr>
          <w:rFonts w:hint="eastAsia"/>
          <w:sz w:val="24"/>
          <w:lang w:eastAsia="zh-CN"/>
        </w:rPr>
        <w:t>3、其他：</w:t>
      </w:r>
      <w:r>
        <w:rPr>
          <w:rFonts w:hint="eastAsia"/>
          <w:sz w:val="24"/>
          <w:u w:val="single"/>
          <w:lang w:eastAsia="zh-CN"/>
        </w:rPr>
        <w:t xml:space="preserve"> 无 </w:t>
      </w:r>
      <w:r>
        <w:rPr>
          <w:rFonts w:hint="eastAsia"/>
          <w:sz w:val="24"/>
          <w:lang w:eastAsia="zh-CN"/>
        </w:rPr>
        <w:t>。</w:t>
      </w:r>
    </w:p>
    <w:p>
      <w:pPr>
        <w:spacing w:line="360" w:lineRule="auto"/>
        <w:rPr>
          <w:sz w:val="24"/>
          <w:lang w:eastAsia="zh-CN"/>
        </w:rPr>
      </w:pPr>
      <w:r>
        <w:rPr>
          <w:rFonts w:hint="eastAsia"/>
          <w:sz w:val="24"/>
          <w:lang w:eastAsia="zh-CN"/>
        </w:rPr>
        <w:t>4、甲方提供上述工作条件和协作事项的时间及方式：</w:t>
      </w:r>
      <w:r>
        <w:rPr>
          <w:rFonts w:hint="eastAsia"/>
          <w:sz w:val="24"/>
          <w:u w:val="single"/>
          <w:lang w:eastAsia="zh-CN"/>
        </w:rPr>
        <w:t xml:space="preserve"> 甲方确定。 </w:t>
      </w:r>
    </w:p>
    <w:p>
      <w:pPr>
        <w:spacing w:line="360" w:lineRule="auto"/>
        <w:rPr>
          <w:sz w:val="24"/>
          <w:lang w:eastAsia="zh-CN"/>
        </w:rPr>
      </w:pPr>
      <w:r>
        <w:rPr>
          <w:rFonts w:hint="eastAsia"/>
          <w:b/>
          <w:sz w:val="24"/>
          <w:lang w:eastAsia="zh-CN"/>
        </w:rPr>
        <w:t>第四条</w:t>
      </w:r>
      <w:r>
        <w:rPr>
          <w:rFonts w:hint="eastAsia"/>
          <w:sz w:val="24"/>
          <w:lang w:eastAsia="zh-CN"/>
        </w:rPr>
        <w:t xml:space="preserve">  甲方向乙方支付技术服务报酬及支付方式为：</w:t>
      </w:r>
    </w:p>
    <w:p>
      <w:pPr>
        <w:spacing w:line="360" w:lineRule="auto"/>
        <w:ind w:firstLine="240" w:firstLineChars="100"/>
        <w:rPr>
          <w:sz w:val="24"/>
          <w:lang w:eastAsia="zh-CN"/>
        </w:rPr>
      </w:pPr>
      <w:r>
        <w:rPr>
          <w:rFonts w:hint="eastAsia"/>
          <w:sz w:val="24"/>
          <w:lang w:eastAsia="zh-CN"/>
        </w:rPr>
        <w:t>1、合同价款</w:t>
      </w:r>
    </w:p>
    <w:p>
      <w:pPr>
        <w:spacing w:line="360" w:lineRule="auto"/>
        <w:ind w:firstLine="360" w:firstLineChars="150"/>
        <w:rPr>
          <w:sz w:val="24"/>
          <w:szCs w:val="24"/>
          <w:lang w:eastAsia="zh-CN"/>
        </w:rPr>
      </w:pPr>
      <w:r>
        <w:rPr>
          <w:rFonts w:hint="eastAsia"/>
          <w:sz w:val="24"/>
          <w:szCs w:val="24"/>
          <w:lang w:eastAsia="zh-CN"/>
        </w:rPr>
        <w:t xml:space="preserve">1.1 </w:t>
      </w:r>
      <w:r>
        <w:rPr>
          <w:rFonts w:hint="eastAsia"/>
          <w:sz w:val="24"/>
          <w:lang w:eastAsia="zh-CN"/>
        </w:rPr>
        <w:t>本合同采用固定总价的承包方式，总价为</w:t>
      </w:r>
      <w:r>
        <w:rPr>
          <w:rFonts w:hint="eastAsia" w:asciiTheme="majorEastAsia" w:hAnsiTheme="majorEastAsia" w:eastAsiaTheme="majorEastAsia"/>
          <w:color w:val="3C3C3C"/>
          <w:sz w:val="24"/>
          <w:szCs w:val="24"/>
          <w:lang w:eastAsia="zh-CN"/>
        </w:rPr>
        <w:t xml:space="preserve"> </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 xml:space="preserve"> ，小写 ￥</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元</w:t>
      </w:r>
      <w:r>
        <w:rPr>
          <w:rFonts w:hint="eastAsia"/>
          <w:b/>
          <w:bCs/>
          <w:sz w:val="24"/>
          <w:szCs w:val="24"/>
          <w:lang w:eastAsia="zh-CN"/>
        </w:rPr>
        <w:t>。</w:t>
      </w:r>
      <w:r>
        <w:rPr>
          <w:rFonts w:hint="eastAsia" w:asciiTheme="majorEastAsia" w:hAnsiTheme="majorEastAsia" w:eastAsiaTheme="majorEastAsia"/>
          <w:color w:val="3C3C3C"/>
          <w:sz w:val="24"/>
          <w:szCs w:val="24"/>
          <w:lang w:eastAsia="zh-CN"/>
        </w:rPr>
        <w:t>（含税价税率</w:t>
      </w:r>
      <w:r>
        <w:rPr>
          <w:rFonts w:hint="eastAsia" w:asciiTheme="majorEastAsia" w:hAnsiTheme="majorEastAsia" w:eastAsiaTheme="majorEastAsia"/>
          <w:color w:val="3C3C3C"/>
          <w:sz w:val="24"/>
          <w:szCs w:val="24"/>
          <w:u w:val="single"/>
          <w:lang w:eastAsia="zh-CN"/>
        </w:rPr>
        <w:t xml:space="preserve">     % </w:t>
      </w:r>
      <w:r>
        <w:rPr>
          <w:rFonts w:hint="eastAsia" w:asciiTheme="majorEastAsia" w:hAnsiTheme="majorEastAsia" w:eastAsiaTheme="majorEastAsia"/>
          <w:color w:val="3C3C3C"/>
          <w:sz w:val="24"/>
          <w:szCs w:val="24"/>
          <w:lang w:eastAsia="zh-CN"/>
        </w:rPr>
        <w:t>）。</w:t>
      </w:r>
    </w:p>
    <w:p>
      <w:pPr>
        <w:spacing w:line="360" w:lineRule="auto"/>
        <w:ind w:firstLine="360" w:firstLineChars="150"/>
        <w:rPr>
          <w:sz w:val="24"/>
          <w:lang w:eastAsia="zh-CN"/>
        </w:rPr>
      </w:pPr>
      <w:r>
        <w:rPr>
          <w:rFonts w:hint="eastAsia"/>
          <w:sz w:val="24"/>
          <w:lang w:eastAsia="zh-CN"/>
        </w:rPr>
        <w:t>1.2 乙方开具</w:t>
      </w:r>
      <w:r>
        <w:rPr>
          <w:rFonts w:hint="eastAsia"/>
          <w:sz w:val="24"/>
          <w:u w:val="single"/>
          <w:lang w:eastAsia="zh-CN"/>
        </w:rPr>
        <w:t xml:space="preserve">     </w:t>
      </w:r>
      <w:r>
        <w:rPr>
          <w:sz w:val="24"/>
          <w:lang w:eastAsia="zh-CN"/>
        </w:rPr>
        <w:t>%</w:t>
      </w:r>
      <w:r>
        <w:rPr>
          <w:rFonts w:hint="eastAsia"/>
          <w:sz w:val="24"/>
          <w:lang w:eastAsia="zh-CN"/>
        </w:rPr>
        <w:t>增值税专用发票，包括乙方工作涉及到的人工费、材料费、会务费、专家费（如涉及、管理费、工具费、劳保费、所有税费、各种保险、安全费用、利润、食宿费、加班费、饮用水、办公费、运输费、耗材费及合同涉及到的所有风险、责任、义务等费用，同时还包含了相关的配合政府部门的政策收费所需的全部费用（如果有）。除非双方另有书面约定，甲方不再承担其他费用。</w:t>
      </w:r>
    </w:p>
    <w:p>
      <w:pPr>
        <w:spacing w:line="360" w:lineRule="auto"/>
        <w:ind w:firstLine="360" w:firstLineChars="150"/>
        <w:rPr>
          <w:sz w:val="24"/>
          <w:lang w:eastAsia="zh-CN"/>
        </w:rPr>
      </w:pPr>
      <w:r>
        <w:rPr>
          <w:rFonts w:hint="eastAsia"/>
          <w:sz w:val="24"/>
          <w:lang w:eastAsia="zh-CN"/>
        </w:rPr>
        <w:t>2、付款方式</w:t>
      </w:r>
    </w:p>
    <w:p>
      <w:pPr>
        <w:spacing w:line="360" w:lineRule="auto"/>
        <w:ind w:firstLine="360" w:firstLineChars="150"/>
        <w:rPr>
          <w:sz w:val="24"/>
          <w:lang w:eastAsia="zh-CN"/>
        </w:rPr>
      </w:pPr>
      <w:r>
        <w:rPr>
          <w:rFonts w:hint="eastAsia"/>
          <w:sz w:val="24"/>
          <w:lang w:eastAsia="zh-CN"/>
        </w:rPr>
        <w:t xml:space="preserve">2.1 乙方消防安全评估工作完成，经甲方确认合格后，并通过政府主管部门的备案，收到乙方提供的发票后在60天内支付100%合同款；   </w:t>
      </w:r>
    </w:p>
    <w:p>
      <w:pPr>
        <w:ind w:firstLine="360" w:firstLineChars="150"/>
        <w:rPr>
          <w:lang w:eastAsia="zh-CN"/>
        </w:rPr>
      </w:pPr>
      <w:r>
        <w:rPr>
          <w:rFonts w:hint="eastAsia"/>
          <w:sz w:val="24"/>
          <w:lang w:eastAsia="zh-CN"/>
        </w:rPr>
        <w:t>在支付相关款项前，乙方应提供与应付款项等额的</w:t>
      </w:r>
      <w:r>
        <w:rPr>
          <w:rFonts w:hint="eastAsia"/>
          <w:sz w:val="24"/>
          <w:u w:val="single"/>
          <w:lang w:eastAsia="zh-CN"/>
        </w:rPr>
        <w:t xml:space="preserve">  </w:t>
      </w:r>
      <w:r>
        <w:rPr>
          <w:rFonts w:hint="eastAsia"/>
          <w:sz w:val="24"/>
          <w:lang w:eastAsia="zh-CN"/>
        </w:rPr>
        <w:t xml:space="preserve">增值税专用发票给甲方，以便甲方据以付款（如乙方未提供发票，甲方有权拒付） 。 </w:t>
      </w:r>
    </w:p>
    <w:p>
      <w:pPr>
        <w:spacing w:before="15" w:line="360" w:lineRule="auto"/>
        <w:rPr>
          <w:spacing w:val="20"/>
          <w:sz w:val="24"/>
          <w:lang w:eastAsia="zh-CN"/>
        </w:rPr>
      </w:pPr>
    </w:p>
    <w:p>
      <w:pPr>
        <w:spacing w:line="360" w:lineRule="auto"/>
        <w:rPr>
          <w:b/>
          <w:bCs/>
          <w:sz w:val="24"/>
          <w:lang w:eastAsia="zh-CN"/>
        </w:rPr>
      </w:pPr>
      <w:r>
        <w:rPr>
          <w:rFonts w:hint="eastAsia"/>
          <w:b/>
          <w:bCs/>
          <w:sz w:val="24"/>
          <w:lang w:eastAsia="zh-CN"/>
        </w:rPr>
        <w:t>乙方开户银行名称、地址和帐号为：</w:t>
      </w:r>
    </w:p>
    <w:p>
      <w:pPr>
        <w:spacing w:line="360" w:lineRule="auto"/>
        <w:rPr>
          <w:sz w:val="24"/>
          <w:lang w:eastAsia="zh-CN"/>
        </w:rPr>
      </w:pPr>
      <w:r>
        <w:rPr>
          <w:rFonts w:hint="eastAsia"/>
          <w:sz w:val="24"/>
          <w:lang w:eastAsia="zh-CN"/>
        </w:rPr>
        <w:t>名称：</w:t>
      </w:r>
    </w:p>
    <w:p>
      <w:pPr>
        <w:spacing w:line="360" w:lineRule="auto"/>
        <w:rPr>
          <w:sz w:val="24"/>
          <w:lang w:eastAsia="zh-CN"/>
        </w:rPr>
      </w:pPr>
      <w:r>
        <w:rPr>
          <w:rFonts w:hint="eastAsia"/>
          <w:sz w:val="24"/>
          <w:lang w:eastAsia="zh-CN"/>
        </w:rPr>
        <w:t>税号：</w:t>
      </w:r>
    </w:p>
    <w:p>
      <w:pPr>
        <w:spacing w:line="360" w:lineRule="auto"/>
        <w:rPr>
          <w:sz w:val="24"/>
          <w:lang w:eastAsia="zh-CN"/>
        </w:rPr>
      </w:pPr>
      <w:r>
        <w:rPr>
          <w:rFonts w:hint="eastAsia"/>
          <w:sz w:val="24"/>
          <w:lang w:eastAsia="zh-CN"/>
        </w:rPr>
        <w:t>开户银行：</w:t>
      </w:r>
    </w:p>
    <w:p>
      <w:pPr>
        <w:spacing w:line="360" w:lineRule="auto"/>
        <w:rPr>
          <w:b/>
          <w:sz w:val="24"/>
          <w:lang w:eastAsia="zh-CN"/>
        </w:rPr>
      </w:pPr>
      <w:r>
        <w:rPr>
          <w:rFonts w:hint="eastAsia"/>
          <w:sz w:val="24"/>
          <w:lang w:eastAsia="zh-CN"/>
        </w:rPr>
        <w:t>帐号：</w:t>
      </w:r>
    </w:p>
    <w:p>
      <w:pPr>
        <w:spacing w:line="360" w:lineRule="auto"/>
        <w:rPr>
          <w:sz w:val="24"/>
          <w:lang w:eastAsia="zh-CN"/>
        </w:rPr>
      </w:pPr>
      <w:r>
        <w:rPr>
          <w:rFonts w:hint="eastAsia"/>
          <w:sz w:val="24"/>
          <w:lang w:eastAsia="zh-CN"/>
        </w:rPr>
        <w:t xml:space="preserve">地址： </w:t>
      </w:r>
    </w:p>
    <w:p>
      <w:pPr>
        <w:spacing w:line="360" w:lineRule="auto"/>
        <w:rPr>
          <w:sz w:val="24"/>
          <w:lang w:eastAsia="zh-CN"/>
        </w:rPr>
      </w:pPr>
      <w:r>
        <w:rPr>
          <w:rFonts w:hint="eastAsia"/>
          <w:sz w:val="24"/>
          <w:lang w:eastAsia="zh-CN"/>
        </w:rPr>
        <w:t>电话：</w:t>
      </w:r>
    </w:p>
    <w:p>
      <w:pPr>
        <w:spacing w:line="360" w:lineRule="auto"/>
        <w:rPr>
          <w:sz w:val="24"/>
          <w:lang w:eastAsia="zh-CN"/>
        </w:rPr>
      </w:pPr>
      <w:r>
        <w:rPr>
          <w:rFonts w:hint="eastAsia"/>
          <w:b/>
          <w:sz w:val="24"/>
          <w:lang w:eastAsia="zh-CN"/>
        </w:rPr>
        <w:t xml:space="preserve">第五条 </w:t>
      </w:r>
      <w:r>
        <w:rPr>
          <w:rFonts w:hint="eastAsia"/>
          <w:sz w:val="24"/>
          <w:lang w:eastAsia="zh-CN"/>
        </w:rPr>
        <w:t>双方确定因履行本合同应遵守的保密义务</w:t>
      </w:r>
      <w:r>
        <w:rPr>
          <w:rFonts w:hint="eastAsia" w:asciiTheme="majorEastAsia" w:hAnsiTheme="majorEastAsia" w:eastAsiaTheme="majorEastAsia"/>
          <w:bCs/>
          <w:sz w:val="24"/>
          <w:szCs w:val="24"/>
          <w:u w:val="single"/>
          <w:lang w:eastAsia="zh-CN"/>
        </w:rPr>
        <w:t>见附件</w:t>
      </w:r>
      <w:r>
        <w:rPr>
          <w:rFonts w:hint="eastAsia"/>
          <w:sz w:val="24"/>
          <w:u w:val="single"/>
          <w:lang w:eastAsia="zh-CN"/>
        </w:rPr>
        <w:t>《</w:t>
      </w:r>
      <w:r>
        <w:rPr>
          <w:rFonts w:hint="eastAsia"/>
          <w:sz w:val="24"/>
          <w:szCs w:val="24"/>
          <w:u w:val="single"/>
          <w:lang w:eastAsia="zh-CN"/>
        </w:rPr>
        <w:t>热电厂危险化学品重大危险辨识评估项目发包说明》</w:t>
      </w:r>
      <w:r>
        <w:rPr>
          <w:rFonts w:hint="eastAsia"/>
          <w:sz w:val="24"/>
          <w:u w:val="single"/>
          <w:lang w:eastAsia="zh-CN"/>
        </w:rPr>
        <w:t xml:space="preserve"> </w:t>
      </w:r>
      <w:r>
        <w:rPr>
          <w:rFonts w:hint="eastAsia" w:asciiTheme="majorEastAsia" w:hAnsiTheme="majorEastAsia" w:eastAsiaTheme="majorEastAsia"/>
          <w:bCs/>
          <w:sz w:val="24"/>
          <w:szCs w:val="24"/>
          <w:u w:val="single"/>
          <w:lang w:eastAsia="zh-CN"/>
        </w:rPr>
        <w:t>。</w:t>
      </w:r>
    </w:p>
    <w:p>
      <w:pPr>
        <w:autoSpaceDE/>
        <w:autoSpaceDN/>
        <w:spacing w:line="360" w:lineRule="auto"/>
        <w:jc w:val="both"/>
        <w:rPr>
          <w:sz w:val="24"/>
          <w:lang w:eastAsia="zh-CN"/>
        </w:rPr>
      </w:pPr>
      <w:r>
        <w:rPr>
          <w:rFonts w:hint="eastAsia"/>
          <w:b/>
          <w:sz w:val="24"/>
          <w:lang w:eastAsia="zh-CN"/>
        </w:rPr>
        <w:t xml:space="preserve">第六条 </w:t>
      </w:r>
      <w:r>
        <w:rPr>
          <w:rFonts w:hint="eastAsia"/>
          <w:sz w:val="24"/>
          <w:lang w:eastAsia="zh-CN"/>
        </w:rPr>
        <w:t>本合同的变更必须由双方协商一致，并以书面形式确定。</w:t>
      </w:r>
    </w:p>
    <w:p>
      <w:pPr>
        <w:spacing w:line="360" w:lineRule="auto"/>
        <w:ind w:firstLine="480" w:firstLineChars="200"/>
        <w:rPr>
          <w:sz w:val="24"/>
          <w:lang w:eastAsia="zh-CN"/>
        </w:rPr>
      </w:pPr>
      <w:r>
        <w:rPr>
          <w:rFonts w:hint="eastAsia"/>
          <w:sz w:val="24"/>
          <w:lang w:eastAsia="zh-CN"/>
        </w:rPr>
        <w:t>一方可以向另一方提出变更合同权利与义务的请求，另一方应当在</w:t>
      </w:r>
      <w:r>
        <w:rPr>
          <w:rFonts w:hint="eastAsia"/>
          <w:sz w:val="24"/>
          <w:u w:val="single"/>
          <w:lang w:eastAsia="zh-CN"/>
        </w:rPr>
        <w:t xml:space="preserve"> 15 </w:t>
      </w:r>
      <w:r>
        <w:rPr>
          <w:rFonts w:hint="eastAsia"/>
          <w:sz w:val="24"/>
          <w:lang w:eastAsia="zh-CN"/>
        </w:rPr>
        <w:t>日内予以答复；逾期未予答复的，视为同意：</w:t>
      </w:r>
    </w:p>
    <w:p>
      <w:pPr>
        <w:spacing w:line="360" w:lineRule="auto"/>
        <w:rPr>
          <w:sz w:val="24"/>
          <w:lang w:eastAsia="zh-CN"/>
        </w:rPr>
      </w:pPr>
      <w:r>
        <w:rPr>
          <w:rFonts w:hint="eastAsia"/>
          <w:b/>
          <w:sz w:val="24"/>
          <w:lang w:eastAsia="zh-CN"/>
        </w:rPr>
        <w:t>第七条</w:t>
      </w:r>
      <w:r>
        <w:rPr>
          <w:rFonts w:hint="eastAsia"/>
          <w:sz w:val="24"/>
          <w:lang w:eastAsia="zh-CN"/>
        </w:rPr>
        <w:t xml:space="preserve">  双方确定以下列标准和方式对乙方的技术服务工作成果进行验收：</w:t>
      </w:r>
    </w:p>
    <w:p>
      <w:pPr>
        <w:spacing w:line="360" w:lineRule="auto"/>
        <w:rPr>
          <w:sz w:val="24"/>
          <w:u w:val="single"/>
          <w:lang w:eastAsia="zh-CN"/>
        </w:rPr>
      </w:pPr>
      <w:r>
        <w:rPr>
          <w:rFonts w:hint="eastAsia"/>
          <w:sz w:val="24"/>
          <w:lang w:eastAsia="zh-CN"/>
        </w:rPr>
        <w:t>1、乙方完成技术服务工作的形式：</w:t>
      </w:r>
      <w:r>
        <w:rPr>
          <w:rFonts w:hint="eastAsia"/>
          <w:sz w:val="24"/>
          <w:u w:val="single"/>
          <w:lang w:eastAsia="zh-CN"/>
        </w:rPr>
        <w:t xml:space="preserve"> 详见《</w:t>
      </w:r>
      <w:r>
        <w:rPr>
          <w:rFonts w:hint="eastAsia"/>
          <w:sz w:val="24"/>
          <w:szCs w:val="24"/>
          <w:u w:val="single"/>
          <w:lang w:eastAsia="zh-CN"/>
        </w:rPr>
        <w:t>热电厂危险化学品重大危险辨识评估项目发包说明》</w:t>
      </w:r>
      <w:r>
        <w:rPr>
          <w:rFonts w:hint="eastAsia"/>
          <w:sz w:val="24"/>
          <w:lang w:eastAsia="zh-CN"/>
        </w:rPr>
        <w:t xml:space="preserve">。  </w:t>
      </w:r>
    </w:p>
    <w:p>
      <w:pPr>
        <w:spacing w:line="360" w:lineRule="auto"/>
        <w:rPr>
          <w:sz w:val="24"/>
          <w:lang w:eastAsia="zh-CN"/>
        </w:rPr>
      </w:pPr>
      <w:r>
        <w:rPr>
          <w:rFonts w:hint="eastAsia"/>
          <w:sz w:val="24"/>
          <w:lang w:eastAsia="zh-CN"/>
        </w:rPr>
        <w:t>2、技术服务工作成果的验收方法：按国标或行业标准并符合技术说明要求规定达到甲方需求目的</w:t>
      </w:r>
    </w:p>
    <w:p>
      <w:pPr>
        <w:spacing w:line="360" w:lineRule="auto"/>
        <w:rPr>
          <w:sz w:val="24"/>
          <w:u w:val="single"/>
          <w:lang w:eastAsia="zh-CN"/>
        </w:rPr>
      </w:pPr>
      <w:r>
        <w:rPr>
          <w:rFonts w:hint="eastAsia"/>
          <w:sz w:val="24"/>
          <w:lang w:eastAsia="zh-CN"/>
        </w:rPr>
        <w:t>3、验收的时间和地点：</w:t>
      </w:r>
      <w:r>
        <w:rPr>
          <w:rFonts w:hint="eastAsia"/>
          <w:sz w:val="24"/>
          <w:u w:val="single"/>
          <w:lang w:eastAsia="zh-CN"/>
        </w:rPr>
        <w:t xml:space="preserve"> 详见《</w:t>
      </w:r>
      <w:r>
        <w:rPr>
          <w:rFonts w:hint="eastAsia"/>
          <w:sz w:val="24"/>
          <w:szCs w:val="24"/>
          <w:u w:val="single"/>
          <w:lang w:eastAsia="zh-CN"/>
        </w:rPr>
        <w:t>热电厂危险化学品重大危险辨识评估项目发包说明》</w:t>
      </w:r>
      <w:r>
        <w:rPr>
          <w:rFonts w:hint="eastAsia"/>
          <w:sz w:val="24"/>
          <w:u w:val="single"/>
          <w:lang w:eastAsia="zh-CN"/>
        </w:rPr>
        <w:t>。</w:t>
      </w:r>
    </w:p>
    <w:p>
      <w:pPr>
        <w:spacing w:line="360" w:lineRule="auto"/>
        <w:rPr>
          <w:sz w:val="24"/>
          <w:lang w:eastAsia="zh-CN"/>
        </w:rPr>
      </w:pPr>
      <w:r>
        <w:rPr>
          <w:rFonts w:hint="eastAsia"/>
          <w:b/>
          <w:sz w:val="24"/>
          <w:lang w:eastAsia="zh-CN"/>
        </w:rPr>
        <w:t>第八条</w:t>
      </w:r>
      <w:r>
        <w:rPr>
          <w:rFonts w:hint="eastAsia"/>
          <w:sz w:val="24"/>
          <w:lang w:eastAsia="zh-CN"/>
        </w:rPr>
        <w:t xml:space="preserve">  双方确定：</w:t>
      </w:r>
    </w:p>
    <w:p>
      <w:pPr>
        <w:spacing w:line="360" w:lineRule="auto"/>
        <w:ind w:left="240" w:hanging="240" w:hangingChars="100"/>
        <w:rPr>
          <w:sz w:val="24"/>
          <w:lang w:eastAsia="zh-CN"/>
        </w:rPr>
      </w:pPr>
      <w:r>
        <w:rPr>
          <w:rFonts w:hint="eastAsia"/>
          <w:sz w:val="24"/>
          <w:lang w:eastAsia="zh-CN"/>
        </w:rPr>
        <w:t>1、在本合同有效期内，甲方利用乙方提交的技术服务工作成果所完成的新的技术成果，归</w:t>
      </w:r>
      <w:r>
        <w:rPr>
          <w:rFonts w:hint="eastAsia"/>
          <w:sz w:val="24"/>
          <w:u w:val="single"/>
          <w:lang w:eastAsia="zh-CN"/>
        </w:rPr>
        <w:t xml:space="preserve">   甲 </w:t>
      </w:r>
      <w:r>
        <w:rPr>
          <w:rFonts w:hint="eastAsia"/>
          <w:sz w:val="24"/>
          <w:lang w:eastAsia="zh-CN"/>
        </w:rPr>
        <w:t>（甲、双）方所有。</w:t>
      </w:r>
    </w:p>
    <w:p>
      <w:pPr>
        <w:spacing w:line="360" w:lineRule="auto"/>
        <w:ind w:left="240" w:hanging="240" w:hangingChars="100"/>
        <w:rPr>
          <w:sz w:val="24"/>
          <w:lang w:eastAsia="zh-CN"/>
        </w:rPr>
      </w:pPr>
      <w:r>
        <w:rPr>
          <w:rFonts w:hint="eastAsia"/>
          <w:sz w:val="24"/>
          <w:lang w:eastAsia="zh-CN"/>
        </w:rPr>
        <w:t>2、在本合同有效期内，乙方利用甲方提供的技术资料和工作条件所完成的新的技术成果，归</w:t>
      </w:r>
      <w:r>
        <w:rPr>
          <w:rFonts w:hint="eastAsia"/>
          <w:sz w:val="24"/>
          <w:u w:val="single"/>
          <w:lang w:eastAsia="zh-CN"/>
        </w:rPr>
        <w:t xml:space="preserve"> 双 </w:t>
      </w:r>
      <w:r>
        <w:rPr>
          <w:rFonts w:hint="eastAsia"/>
          <w:sz w:val="24"/>
          <w:lang w:eastAsia="zh-CN"/>
        </w:rPr>
        <w:t>（乙、双）方所有。</w:t>
      </w:r>
    </w:p>
    <w:p>
      <w:pPr>
        <w:spacing w:line="360" w:lineRule="auto"/>
        <w:rPr>
          <w:sz w:val="24"/>
          <w:lang w:eastAsia="zh-CN"/>
        </w:rPr>
      </w:pPr>
      <w:r>
        <w:rPr>
          <w:rFonts w:hint="eastAsia"/>
          <w:b/>
          <w:sz w:val="24"/>
          <w:lang w:eastAsia="zh-CN"/>
        </w:rPr>
        <w:t>第九条</w:t>
      </w:r>
      <w:r>
        <w:rPr>
          <w:rFonts w:hint="eastAsia"/>
          <w:sz w:val="24"/>
          <w:lang w:eastAsia="zh-CN"/>
        </w:rPr>
        <w:t xml:space="preserve">  双方确定，按以下约定承担各自的违约责任：</w:t>
      </w:r>
    </w:p>
    <w:p>
      <w:pPr>
        <w:spacing w:line="360" w:lineRule="auto"/>
        <w:rPr>
          <w:sz w:val="24"/>
          <w:lang w:eastAsia="zh-CN"/>
        </w:rPr>
      </w:pPr>
      <w:r>
        <w:rPr>
          <w:rFonts w:hint="eastAsia"/>
          <w:sz w:val="28"/>
          <w:szCs w:val="28"/>
          <w:lang w:eastAsia="zh-CN"/>
        </w:rPr>
        <w:t>1</w:t>
      </w:r>
      <w:r>
        <w:rPr>
          <w:rFonts w:hint="eastAsia"/>
          <w:sz w:val="24"/>
          <w:lang w:eastAsia="zh-CN"/>
        </w:rPr>
        <w:t>.合同生效后，一方违反双方的约定使合同无法履行或终止法律效力，违约方应向对方支付本合同总价款的 10% 的违约金。</w:t>
      </w:r>
    </w:p>
    <w:p>
      <w:pPr>
        <w:spacing w:line="360" w:lineRule="auto"/>
        <w:rPr>
          <w:sz w:val="24"/>
          <w:lang w:eastAsia="zh-CN"/>
        </w:rPr>
      </w:pPr>
      <w:r>
        <w:rPr>
          <w:rFonts w:hint="eastAsia"/>
          <w:sz w:val="24"/>
          <w:lang w:eastAsia="zh-CN"/>
        </w:rPr>
        <w:t>2.因乙方技术服务人员故意或重大过失行为造成甲方直接损失的，乙方负有赔偿责任,赔偿费用由甲、乙双方协商解决。</w:t>
      </w:r>
    </w:p>
    <w:p>
      <w:pPr>
        <w:spacing w:line="360" w:lineRule="auto"/>
        <w:rPr>
          <w:sz w:val="24"/>
          <w:lang w:eastAsia="zh-CN"/>
        </w:rPr>
      </w:pPr>
      <w:r>
        <w:rPr>
          <w:rFonts w:hint="eastAsia"/>
          <w:sz w:val="24"/>
          <w:lang w:eastAsia="zh-CN"/>
        </w:rPr>
        <w:t>3.甲方延迟付款，按全国银行间同业拆借中心公布的贷款市场报价利率向乙方支付利息。</w:t>
      </w:r>
    </w:p>
    <w:p>
      <w:pPr>
        <w:spacing w:line="360" w:lineRule="auto"/>
        <w:rPr>
          <w:sz w:val="24"/>
          <w:lang w:eastAsia="zh-CN"/>
        </w:rPr>
      </w:pPr>
      <w:r>
        <w:rPr>
          <w:rFonts w:hint="eastAsia"/>
          <w:sz w:val="24"/>
          <w:lang w:eastAsia="zh-CN"/>
        </w:rPr>
        <w:t>4.乙方未在甲方规定的时间内完工的，每逾期一日，应向甲方支付合同总额0.1%的违约金，逾期超过20日的，甲方有权单方解除合同，并要求乙方一次性支付合同总额20%的违约金。</w:t>
      </w:r>
    </w:p>
    <w:p>
      <w:pPr>
        <w:spacing w:line="360" w:lineRule="auto"/>
        <w:rPr>
          <w:sz w:val="24"/>
          <w:lang w:eastAsia="zh-CN"/>
        </w:rPr>
      </w:pPr>
      <w:r>
        <w:rPr>
          <w:rFonts w:hint="eastAsia"/>
          <w:sz w:val="24"/>
          <w:lang w:eastAsia="zh-CN"/>
        </w:rPr>
        <w:t>5.乙方提供的技术服务不符合合同约定的，应根据甲方要求进行整改，由此造成的逾期，参照第四款执行。</w:t>
      </w:r>
    </w:p>
    <w:p>
      <w:pPr>
        <w:spacing w:line="360" w:lineRule="auto"/>
        <w:rPr>
          <w:sz w:val="24"/>
          <w:lang w:eastAsia="zh-CN"/>
        </w:rPr>
      </w:pPr>
      <w:r>
        <w:rPr>
          <w:rFonts w:hint="eastAsia"/>
          <w:b/>
          <w:sz w:val="24"/>
          <w:lang w:eastAsia="zh-CN"/>
        </w:rPr>
        <w:t xml:space="preserve">第十条 </w:t>
      </w:r>
      <w:r>
        <w:rPr>
          <w:rFonts w:hint="eastAsia"/>
          <w:sz w:val="24"/>
          <w:lang w:eastAsia="zh-CN"/>
        </w:rPr>
        <w:t xml:space="preserve"> 双方确定，在本合同有效期内，</w:t>
      </w:r>
    </w:p>
    <w:p>
      <w:pPr>
        <w:spacing w:line="360" w:lineRule="auto"/>
        <w:ind w:firstLine="480" w:firstLineChars="200"/>
        <w:rPr>
          <w:sz w:val="24"/>
          <w:lang w:eastAsia="zh-CN"/>
        </w:rPr>
      </w:pPr>
      <w:r>
        <w:rPr>
          <w:rFonts w:hint="eastAsia"/>
          <w:sz w:val="24"/>
          <w:lang w:eastAsia="zh-CN"/>
        </w:rPr>
        <w:t>甲方联系人：</w:t>
      </w:r>
      <w:r>
        <w:rPr>
          <w:rFonts w:hint="eastAsia"/>
          <w:sz w:val="24"/>
          <w:u w:val="single"/>
          <w:lang w:eastAsia="zh-CN"/>
        </w:rPr>
        <w:t xml:space="preserve">                               </w:t>
      </w:r>
      <w:r>
        <w:rPr>
          <w:rFonts w:hint="eastAsia"/>
          <w:sz w:val="24"/>
          <w:lang w:eastAsia="zh-CN"/>
        </w:rPr>
        <w:t xml:space="preserve"> </w:t>
      </w:r>
    </w:p>
    <w:p>
      <w:pPr>
        <w:spacing w:line="360" w:lineRule="auto"/>
        <w:ind w:firstLine="480" w:firstLineChars="200"/>
        <w:rPr>
          <w:sz w:val="24"/>
          <w:u w:val="single"/>
          <w:lang w:eastAsia="zh-CN"/>
        </w:rPr>
      </w:pPr>
      <w:r>
        <w:rPr>
          <w:rFonts w:hint="eastAsia"/>
          <w:sz w:val="24"/>
          <w:lang w:eastAsia="zh-CN"/>
        </w:rPr>
        <w:t>乙方联系人：</w:t>
      </w:r>
      <w:r>
        <w:rPr>
          <w:rFonts w:hint="eastAsia"/>
          <w:sz w:val="24"/>
          <w:u w:val="single"/>
          <w:lang w:eastAsia="zh-CN"/>
        </w:rPr>
        <w:t xml:space="preserve">                                </w:t>
      </w:r>
    </w:p>
    <w:p>
      <w:pPr>
        <w:spacing w:line="360" w:lineRule="auto"/>
        <w:rPr>
          <w:sz w:val="24"/>
          <w:lang w:eastAsia="zh-CN"/>
        </w:rPr>
      </w:pPr>
      <w:r>
        <w:rPr>
          <w:rFonts w:hint="eastAsia"/>
          <w:sz w:val="24"/>
          <w:lang w:eastAsia="zh-CN"/>
        </w:rPr>
        <w:t>项目联系人承担以下责任：</w:t>
      </w:r>
      <w:r>
        <w:rPr>
          <w:rFonts w:hint="eastAsia"/>
          <w:sz w:val="24"/>
          <w:u w:val="single"/>
          <w:lang w:eastAsia="zh-CN"/>
        </w:rPr>
        <w:t xml:space="preserve"> 联系具体项目进度并实施 </w:t>
      </w:r>
    </w:p>
    <w:p>
      <w:pPr>
        <w:spacing w:line="360" w:lineRule="auto"/>
        <w:rPr>
          <w:sz w:val="24"/>
          <w:lang w:eastAsia="zh-CN"/>
        </w:rPr>
      </w:pPr>
      <w:r>
        <w:rPr>
          <w:rFonts w:hint="eastAsia"/>
          <w:sz w:val="24"/>
          <w:lang w:eastAsia="zh-CN"/>
        </w:rPr>
        <w:t>一方变更项目联系人的，应当及时以书面形式通知另一方。未及时通知并影响本合同履行或造成损失的，应承担相应的责任。</w:t>
      </w:r>
    </w:p>
    <w:p>
      <w:pPr>
        <w:spacing w:line="360" w:lineRule="auto"/>
        <w:rPr>
          <w:sz w:val="24"/>
          <w:lang w:eastAsia="zh-CN"/>
        </w:rPr>
      </w:pPr>
      <w:r>
        <w:rPr>
          <w:rFonts w:hint="eastAsia"/>
          <w:b/>
          <w:sz w:val="24"/>
          <w:lang w:eastAsia="zh-CN"/>
        </w:rPr>
        <w:t>第十一条</w:t>
      </w:r>
      <w:r>
        <w:rPr>
          <w:rFonts w:hint="eastAsia"/>
          <w:sz w:val="24"/>
          <w:lang w:eastAsia="zh-CN"/>
        </w:rPr>
        <w:t xml:space="preserve">  双方确定，出现下列情形，致使本合同的履行成为不必要或不可能的，可以解除本合同：</w:t>
      </w:r>
    </w:p>
    <w:p>
      <w:pPr>
        <w:spacing w:line="360" w:lineRule="auto"/>
        <w:rPr>
          <w:sz w:val="24"/>
          <w:lang w:eastAsia="zh-CN"/>
        </w:rPr>
      </w:pPr>
      <w:r>
        <w:rPr>
          <w:rFonts w:hint="eastAsia"/>
          <w:sz w:val="24"/>
          <w:lang w:eastAsia="zh-CN"/>
        </w:rPr>
        <w:t>1、发生</w:t>
      </w:r>
      <w:r>
        <w:rPr>
          <w:rFonts w:hint="eastAsia"/>
          <w:sz w:val="24"/>
          <w:u w:val="single"/>
          <w:lang w:eastAsia="zh-CN"/>
        </w:rPr>
        <w:t>不可抗力</w:t>
      </w:r>
      <w:r>
        <w:rPr>
          <w:rFonts w:hint="eastAsia"/>
          <w:sz w:val="24"/>
          <w:lang w:eastAsia="zh-CN"/>
        </w:rPr>
        <w:t>；</w:t>
      </w:r>
    </w:p>
    <w:p>
      <w:pPr>
        <w:spacing w:line="360" w:lineRule="auto"/>
        <w:rPr>
          <w:sz w:val="24"/>
          <w:lang w:eastAsia="zh-CN"/>
        </w:rPr>
      </w:pPr>
      <w:r>
        <w:rPr>
          <w:rFonts w:hint="eastAsia"/>
          <w:b/>
          <w:sz w:val="24"/>
          <w:lang w:eastAsia="zh-CN"/>
        </w:rPr>
        <w:t xml:space="preserve">第十二条  </w:t>
      </w:r>
      <w:r>
        <w:rPr>
          <w:rFonts w:hint="eastAsia"/>
          <w:sz w:val="24"/>
          <w:lang w:eastAsia="zh-CN"/>
        </w:rPr>
        <w:t>双方因履行本合同而发生的争议，应协商、调解解决。</w:t>
      </w:r>
    </w:p>
    <w:p>
      <w:pPr>
        <w:spacing w:line="360" w:lineRule="auto"/>
        <w:rPr>
          <w:sz w:val="24"/>
          <w:lang w:eastAsia="zh-CN"/>
        </w:rPr>
      </w:pPr>
      <w:r>
        <w:rPr>
          <w:rFonts w:hint="eastAsia"/>
          <w:sz w:val="24"/>
          <w:lang w:eastAsia="zh-CN"/>
        </w:rPr>
        <w:t>协商、调解不成的，确定按以下第</w:t>
      </w:r>
      <w:r>
        <w:rPr>
          <w:rFonts w:hint="eastAsia"/>
          <w:sz w:val="24"/>
          <w:u w:val="single"/>
          <w:lang w:eastAsia="zh-CN"/>
        </w:rPr>
        <w:t xml:space="preserve"> 2 </w:t>
      </w:r>
      <w:r>
        <w:rPr>
          <w:rFonts w:hint="eastAsia"/>
          <w:sz w:val="24"/>
          <w:lang w:eastAsia="zh-CN"/>
        </w:rPr>
        <w:t>种方式处理：</w:t>
      </w:r>
    </w:p>
    <w:p>
      <w:pPr>
        <w:spacing w:line="360" w:lineRule="auto"/>
        <w:rPr>
          <w:sz w:val="24"/>
          <w:lang w:eastAsia="zh-CN"/>
        </w:rPr>
      </w:pPr>
      <w:r>
        <w:rPr>
          <w:rFonts w:hint="eastAsia"/>
          <w:sz w:val="24"/>
          <w:lang w:eastAsia="zh-CN"/>
        </w:rPr>
        <w:t>1、提交</w:t>
      </w:r>
      <w:r>
        <w:rPr>
          <w:rFonts w:hint="eastAsia"/>
          <w:sz w:val="24"/>
          <w:u w:val="single"/>
          <w:lang w:eastAsia="zh-CN"/>
        </w:rPr>
        <w:t xml:space="preserve">      </w:t>
      </w:r>
      <w:r>
        <w:rPr>
          <w:rFonts w:hint="eastAsia"/>
          <w:sz w:val="24"/>
          <w:lang w:eastAsia="zh-CN"/>
        </w:rPr>
        <w:t>仲裁委员会仲裁；</w:t>
      </w:r>
    </w:p>
    <w:p>
      <w:pPr>
        <w:spacing w:line="360" w:lineRule="auto"/>
        <w:rPr>
          <w:sz w:val="24"/>
          <w:lang w:eastAsia="zh-CN"/>
        </w:rPr>
      </w:pPr>
      <w:r>
        <w:rPr>
          <w:rFonts w:hint="eastAsia"/>
          <w:sz w:val="24"/>
          <w:lang w:eastAsia="zh-CN"/>
        </w:rPr>
        <w:t>2、依法向甲方住所地有管辖权人民法院起诉。</w:t>
      </w:r>
    </w:p>
    <w:p>
      <w:pPr>
        <w:spacing w:line="360" w:lineRule="auto"/>
        <w:rPr>
          <w:sz w:val="24"/>
          <w:lang w:eastAsia="zh-CN"/>
        </w:rPr>
      </w:pPr>
      <w:r>
        <w:rPr>
          <w:rFonts w:hint="eastAsia"/>
          <w:b/>
          <w:sz w:val="24"/>
          <w:lang w:eastAsia="zh-CN"/>
        </w:rPr>
        <w:t xml:space="preserve">第十三条 </w:t>
      </w:r>
      <w:r>
        <w:rPr>
          <w:rFonts w:hint="eastAsia"/>
          <w:sz w:val="24"/>
          <w:lang w:eastAsia="zh-CN"/>
        </w:rPr>
        <w:t xml:space="preserve"> 双方确定：本合同及相关附件中所涉及有关名词和技术术语，其定义和解释如下：</w:t>
      </w:r>
    </w:p>
    <w:p>
      <w:pPr>
        <w:spacing w:line="360" w:lineRule="auto"/>
        <w:rPr>
          <w:sz w:val="24"/>
          <w:lang w:eastAsia="zh-CN"/>
        </w:rPr>
      </w:pPr>
      <w:r>
        <w:rPr>
          <w:rFonts w:hint="eastAsia"/>
          <w:sz w:val="24"/>
          <w:lang w:eastAsia="zh-CN"/>
        </w:rPr>
        <w:t>1、</w:t>
      </w:r>
      <w:r>
        <w:rPr>
          <w:rFonts w:hint="eastAsia"/>
          <w:sz w:val="24"/>
          <w:u w:val="single"/>
          <w:lang w:eastAsia="zh-CN"/>
        </w:rPr>
        <w:t xml:space="preserve">  无 </w:t>
      </w:r>
      <w:r>
        <w:rPr>
          <w:rFonts w:hint="eastAsia"/>
          <w:sz w:val="24"/>
          <w:lang w:eastAsia="zh-CN"/>
        </w:rPr>
        <w:t>；</w:t>
      </w:r>
    </w:p>
    <w:p>
      <w:pPr>
        <w:spacing w:line="360" w:lineRule="auto"/>
        <w:rPr>
          <w:sz w:val="24"/>
          <w:lang w:eastAsia="zh-CN"/>
        </w:rPr>
      </w:pPr>
      <w:r>
        <w:rPr>
          <w:rFonts w:hint="eastAsia"/>
          <w:b/>
          <w:sz w:val="24"/>
          <w:lang w:eastAsia="zh-CN"/>
        </w:rPr>
        <w:t xml:space="preserve">第十四条 </w:t>
      </w:r>
      <w:r>
        <w:rPr>
          <w:rFonts w:hint="eastAsia"/>
          <w:sz w:val="24"/>
          <w:lang w:eastAsia="zh-CN"/>
        </w:rPr>
        <w:t xml:space="preserve"> 双方约定本合同其他相关事项为：</w:t>
      </w:r>
      <w:r>
        <w:rPr>
          <w:sz w:val="24"/>
          <w:lang w:eastAsia="zh-CN"/>
        </w:rPr>
        <w:t>严禁乙方以任何方式向甲方人员提供私人便利、行贿</w:t>
      </w:r>
      <w:r>
        <w:rPr>
          <w:rFonts w:hint="eastAsia"/>
          <w:sz w:val="24"/>
          <w:lang w:eastAsia="zh-CN"/>
        </w:rPr>
        <w:t>、赠送礼金、礼品等私利</w:t>
      </w:r>
      <w:r>
        <w:rPr>
          <w:sz w:val="24"/>
          <w:lang w:eastAsia="zh-CN"/>
        </w:rPr>
        <w:t>或进行非正常商务宴请。如果出现乙方在</w:t>
      </w:r>
      <w:r>
        <w:rPr>
          <w:rFonts w:hint="eastAsia"/>
          <w:sz w:val="24"/>
          <w:lang w:eastAsia="zh-CN"/>
        </w:rPr>
        <w:t>合同签订或</w:t>
      </w:r>
      <w:r>
        <w:rPr>
          <w:sz w:val="24"/>
          <w:lang w:eastAsia="zh-CN"/>
        </w:rPr>
        <w:t>履约过程进行私下</w:t>
      </w:r>
      <w:r>
        <w:rPr>
          <w:rFonts w:hint="eastAsia"/>
          <w:sz w:val="24"/>
          <w:lang w:eastAsia="zh-CN"/>
        </w:rPr>
        <w:t>宴请</w:t>
      </w:r>
      <w:r>
        <w:rPr>
          <w:sz w:val="24"/>
          <w:lang w:eastAsia="zh-CN"/>
        </w:rPr>
        <w:t>、向甲方人员提供私人便利、行贿等一切非正常的经济活动</w:t>
      </w:r>
      <w:r>
        <w:rPr>
          <w:rFonts w:hint="eastAsia"/>
          <w:sz w:val="24"/>
          <w:lang w:eastAsia="zh-CN"/>
        </w:rPr>
        <w:t>，</w:t>
      </w:r>
      <w:r>
        <w:rPr>
          <w:sz w:val="24"/>
          <w:lang w:eastAsia="zh-CN"/>
        </w:rPr>
        <w:t>一经查实，甲方有权单方解除合同，</w:t>
      </w:r>
      <w:r>
        <w:rPr>
          <w:rFonts w:hint="eastAsia"/>
          <w:sz w:val="24"/>
          <w:lang w:eastAsia="zh-CN"/>
        </w:rPr>
        <w:t>并根据具体情节对乙方处以合同总价50％的违约金，</w:t>
      </w:r>
      <w:r>
        <w:rPr>
          <w:sz w:val="24"/>
          <w:lang w:eastAsia="zh-CN"/>
        </w:rPr>
        <w:t>因解除相关合同给甲方造成损失的，由乙方承担赔偿责任；同时，乙方如有</w:t>
      </w:r>
      <w:r>
        <w:rPr>
          <w:rFonts w:hint="eastAsia"/>
          <w:sz w:val="24"/>
          <w:lang w:eastAsia="zh-CN"/>
        </w:rPr>
        <w:t>其它</w:t>
      </w:r>
      <w:r>
        <w:rPr>
          <w:sz w:val="24"/>
          <w:lang w:eastAsia="zh-CN"/>
        </w:rPr>
        <w:t>违约，仍须承担违约责任。</w:t>
      </w:r>
    </w:p>
    <w:p>
      <w:pPr>
        <w:spacing w:line="360" w:lineRule="auto"/>
        <w:rPr>
          <w:sz w:val="24"/>
          <w:lang w:eastAsia="zh-CN"/>
        </w:rPr>
      </w:pPr>
      <w:r>
        <w:rPr>
          <w:rFonts w:hint="eastAsia"/>
          <w:b/>
          <w:sz w:val="24"/>
          <w:lang w:eastAsia="zh-CN"/>
        </w:rPr>
        <w:t>第十五条</w:t>
      </w:r>
      <w:r>
        <w:rPr>
          <w:rFonts w:hint="eastAsia"/>
          <w:sz w:val="24"/>
          <w:lang w:eastAsia="zh-CN"/>
        </w:rPr>
        <w:t xml:space="preserve">   本合同一式</w:t>
      </w:r>
      <w:r>
        <w:rPr>
          <w:rFonts w:hint="eastAsia"/>
          <w:sz w:val="24"/>
          <w:u w:val="single"/>
          <w:lang w:eastAsia="zh-CN"/>
        </w:rPr>
        <w:t>陆</w:t>
      </w:r>
      <w:r>
        <w:rPr>
          <w:rFonts w:hint="eastAsia"/>
          <w:sz w:val="24"/>
          <w:lang w:eastAsia="zh-CN"/>
        </w:rPr>
        <w:t xml:space="preserve">份，甲方持肆份，乙方持贰份，具有同等法律效力。            </w:t>
      </w:r>
    </w:p>
    <w:p>
      <w:pPr>
        <w:spacing w:line="360" w:lineRule="auto"/>
        <w:rPr>
          <w:sz w:val="24"/>
          <w:lang w:eastAsia="zh-CN"/>
        </w:rPr>
      </w:pPr>
      <w:r>
        <w:rPr>
          <w:rFonts w:hint="eastAsia"/>
          <w:b/>
          <w:sz w:val="24"/>
          <w:lang w:eastAsia="zh-CN"/>
        </w:rPr>
        <w:t xml:space="preserve">第十六条  </w:t>
      </w:r>
      <w:r>
        <w:rPr>
          <w:rFonts w:hint="eastAsia"/>
          <w:sz w:val="24"/>
          <w:lang w:eastAsia="zh-CN"/>
        </w:rPr>
        <w:t>本合同经双方盖章后生效。</w:t>
      </w:r>
    </w:p>
    <w:p>
      <w:pPr>
        <w:pStyle w:val="4"/>
        <w:tabs>
          <w:tab w:val="left" w:pos="630"/>
          <w:tab w:val="left" w:pos="840"/>
        </w:tabs>
        <w:spacing w:line="360" w:lineRule="auto"/>
        <w:ind w:left="0"/>
        <w:rPr>
          <w:lang w:eastAsia="zh-CN"/>
        </w:rPr>
      </w:pPr>
    </w:p>
    <w:p>
      <w:pPr>
        <w:pStyle w:val="4"/>
        <w:tabs>
          <w:tab w:val="left" w:pos="630"/>
          <w:tab w:val="left" w:pos="840"/>
        </w:tabs>
        <w:spacing w:line="360" w:lineRule="auto"/>
        <w:ind w:left="0"/>
        <w:rPr>
          <w:bCs w:val="0"/>
          <w:color w:val="000000"/>
          <w:lang w:eastAsia="zh-CN"/>
        </w:rPr>
      </w:pPr>
      <w:r>
        <w:rPr>
          <w:rFonts w:hint="eastAsia"/>
          <w:lang w:eastAsia="zh-CN"/>
        </w:rPr>
        <w:t xml:space="preserve">第十七条   </w:t>
      </w:r>
      <w:r>
        <w:rPr>
          <w:rFonts w:hint="eastAsia"/>
          <w:bCs w:val="0"/>
          <w:color w:val="000000"/>
          <w:lang w:eastAsia="zh-CN"/>
        </w:rPr>
        <w:t>附件:</w:t>
      </w:r>
    </w:p>
    <w:p>
      <w:pPr>
        <w:spacing w:line="360" w:lineRule="auto"/>
        <w:rPr>
          <w:sz w:val="24"/>
          <w:lang w:eastAsia="zh-CN"/>
        </w:rPr>
      </w:pPr>
      <w:r>
        <w:rPr>
          <w:rFonts w:hint="eastAsia"/>
          <w:color w:val="000000"/>
          <w:sz w:val="24"/>
          <w:lang w:eastAsia="zh-CN"/>
        </w:rPr>
        <w:t>1、构成本合同的文件可视为是能互相说明的，如果合同文件存在歧义或不一致，以签订时间在后的为准，时间在后的优先适用，无法确定的则以甲方指定的为准。</w:t>
      </w:r>
      <w:r>
        <w:rPr>
          <w:rFonts w:hint="eastAsia"/>
          <w:sz w:val="24"/>
          <w:lang w:eastAsia="zh-CN"/>
        </w:rPr>
        <w:t>作为本合同组成部分，与本合同具有同等法律效力。</w:t>
      </w:r>
    </w:p>
    <w:p>
      <w:pPr>
        <w:spacing w:line="360" w:lineRule="auto"/>
        <w:ind w:left="1680" w:hanging="1680" w:hangingChars="700"/>
        <w:rPr>
          <w:sz w:val="24"/>
          <w:lang w:eastAsia="zh-CN"/>
        </w:rPr>
      </w:pPr>
      <w:r>
        <w:rPr>
          <w:rFonts w:hint="eastAsia"/>
          <w:sz w:val="24"/>
          <w:lang w:eastAsia="zh-CN"/>
        </w:rPr>
        <w:t xml:space="preserve">   附件一、《</w:t>
      </w:r>
      <w:r>
        <w:rPr>
          <w:rFonts w:hint="eastAsia"/>
          <w:sz w:val="24"/>
          <w:szCs w:val="24"/>
          <w:lang w:eastAsia="zh-CN"/>
        </w:rPr>
        <w:t>热电厂危险化学品重大危险辨识评估项目发包说明》</w:t>
      </w:r>
    </w:p>
    <w:p>
      <w:pPr>
        <w:spacing w:line="360" w:lineRule="auto"/>
        <w:ind w:firstLine="360" w:firstLineChars="150"/>
        <w:rPr>
          <w:sz w:val="24"/>
          <w:lang w:eastAsia="zh-CN"/>
        </w:rPr>
      </w:pPr>
      <w:r>
        <w:rPr>
          <w:rFonts w:hint="eastAsia"/>
          <w:sz w:val="24"/>
          <w:lang w:eastAsia="zh-CN"/>
        </w:rPr>
        <w:t>附件二、《</w:t>
      </w:r>
      <w:r>
        <w:rPr>
          <w:rFonts w:hint="eastAsia" w:cs="Arial"/>
          <w:sz w:val="24"/>
          <w:lang w:eastAsia="zh-CN"/>
        </w:rPr>
        <w:t>安全环保协议》</w:t>
      </w:r>
    </w:p>
    <w:p>
      <w:pPr>
        <w:pStyle w:val="4"/>
        <w:tabs>
          <w:tab w:val="left" w:pos="630"/>
          <w:tab w:val="left" w:pos="840"/>
        </w:tabs>
        <w:spacing w:line="360" w:lineRule="auto"/>
        <w:ind w:left="0"/>
        <w:rPr>
          <w:lang w:eastAsia="zh-CN"/>
        </w:rPr>
      </w:pPr>
      <w:r>
        <w:rPr>
          <w:rFonts w:hint="eastAsia"/>
          <w:b w:val="0"/>
          <w:lang w:eastAsia="zh-CN"/>
        </w:rPr>
        <w:t xml:space="preserve">  </w:t>
      </w:r>
    </w:p>
    <w:p>
      <w:pPr>
        <w:spacing w:line="360" w:lineRule="auto"/>
        <w:ind w:firstLine="360" w:firstLineChars="150"/>
        <w:rPr>
          <w:sz w:val="24"/>
          <w:lang w:eastAsia="zh-CN"/>
        </w:rPr>
      </w:pPr>
    </w:p>
    <w:p>
      <w:pPr>
        <w:spacing w:line="360" w:lineRule="auto"/>
        <w:rPr>
          <w:rFonts w:cs="Arial"/>
          <w:b/>
          <w:sz w:val="24"/>
          <w:lang w:eastAsia="zh-CN"/>
        </w:rPr>
      </w:pPr>
    </w:p>
    <w:p>
      <w:pPr>
        <w:spacing w:line="360" w:lineRule="auto"/>
        <w:rPr>
          <w:rFonts w:cs="Arial"/>
          <w:b/>
          <w:sz w:val="24"/>
          <w:lang w:eastAsia="zh-CN"/>
        </w:rPr>
      </w:pPr>
    </w:p>
    <w:p>
      <w:pPr>
        <w:spacing w:line="360" w:lineRule="auto"/>
        <w:rPr>
          <w:rFonts w:cs="Arial"/>
          <w:b/>
          <w:sz w:val="24"/>
          <w:lang w:eastAsia="zh-CN"/>
        </w:rPr>
      </w:pPr>
      <w:r>
        <w:rPr>
          <w:rFonts w:hint="eastAsia" w:cs="Arial"/>
          <w:b/>
          <w:sz w:val="24"/>
          <w:lang w:eastAsia="zh-CN"/>
        </w:rPr>
        <w:t>（以下为签署栏，无正文）</w:t>
      </w:r>
    </w:p>
    <w:p>
      <w:pPr>
        <w:tabs>
          <w:tab w:val="left" w:pos="2010"/>
        </w:tabs>
        <w:spacing w:line="360" w:lineRule="auto"/>
        <w:rPr>
          <w:rFonts w:cs="Arial"/>
          <w:b/>
          <w:sz w:val="24"/>
          <w:lang w:eastAsia="zh-CN"/>
        </w:rPr>
      </w:pP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spacing w:line="360" w:lineRule="auto"/>
        <w:ind w:right="-147" w:rightChars="-67"/>
        <w:rPr>
          <w:b/>
          <w:sz w:val="24"/>
          <w:lang w:eastAsia="zh-CN"/>
        </w:rPr>
      </w:pPr>
      <w:r>
        <w:rPr>
          <w:rFonts w:hint="eastAsia"/>
          <w:b/>
          <w:spacing w:val="20"/>
          <w:sz w:val="24"/>
          <w:lang w:eastAsia="zh-CN"/>
        </w:rPr>
        <w:t xml:space="preserve">腾龙芳烃（漳州）有限公司          </w:t>
      </w:r>
    </w:p>
    <w:p>
      <w:pPr>
        <w:spacing w:line="360" w:lineRule="auto"/>
        <w:ind w:right="-147" w:rightChars="-67"/>
        <w:rPr>
          <w:rFonts w:cs="Arial"/>
          <w:b/>
          <w:sz w:val="24"/>
          <w:lang w:eastAsia="zh-CN"/>
        </w:rPr>
      </w:pPr>
    </w:p>
    <w:p>
      <w:pPr>
        <w:spacing w:line="360" w:lineRule="auto"/>
        <w:ind w:left="832" w:right="-147" w:rightChars="-67" w:hanging="831" w:hangingChars="378"/>
        <w:rPr>
          <w:szCs w:val="21"/>
          <w:lang w:eastAsia="zh-CN"/>
        </w:rPr>
      </w:pP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 xml:space="preserve">福建省漳州市古雷开发区        </w:t>
      </w:r>
      <w:r>
        <w:rPr>
          <w:rFonts w:hint="eastAsia"/>
          <w:szCs w:val="21"/>
          <w:lang w:eastAsia="zh-CN"/>
        </w:rPr>
        <w:t xml:space="preserve">       地</w:t>
      </w:r>
      <w:r>
        <w:rPr>
          <w:szCs w:val="21"/>
          <w:lang w:eastAsia="zh-CN"/>
        </w:rPr>
        <w:t xml:space="preserve"> </w:t>
      </w:r>
      <w:r>
        <w:rPr>
          <w:rFonts w:hint="eastAsia"/>
          <w:szCs w:val="21"/>
          <w:lang w:eastAsia="zh-CN"/>
        </w:rPr>
        <w:t xml:space="preserve"> 址： </w:t>
      </w:r>
    </w:p>
    <w:p>
      <w:pPr>
        <w:spacing w:line="360" w:lineRule="auto"/>
        <w:ind w:left="832" w:leftChars="378" w:right="-147" w:rightChars="-67"/>
        <w:rPr>
          <w:lang w:eastAsia="zh-CN"/>
        </w:rPr>
      </w:pPr>
      <w:r>
        <w:rPr>
          <w:rFonts w:hint="eastAsia" w:hAnsi="Courier New" w:cs="Courier New"/>
          <w:szCs w:val="21"/>
          <w:lang w:eastAsia="zh-CN"/>
        </w:rPr>
        <w:t xml:space="preserve">腾龙路84号                                    </w:t>
      </w:r>
    </w:p>
    <w:p>
      <w:pPr>
        <w:spacing w:line="360" w:lineRule="auto"/>
        <w:ind w:left="1038" w:right="-147" w:rightChars="-67" w:hanging="1038" w:hangingChars="472"/>
        <w:rPr>
          <w:lang w:eastAsia="zh-CN"/>
        </w:rPr>
      </w:pPr>
      <w:r>
        <w:rPr>
          <w:rFonts w:hint="eastAsia"/>
          <w:szCs w:val="21"/>
          <w:lang w:eastAsia="zh-CN"/>
        </w:rPr>
        <w:t>开户行：中国农业银行股份有限公司漳浦         开户行：</w:t>
      </w:r>
      <w:r>
        <w:rPr>
          <w:rFonts w:hint="eastAsia"/>
          <w:lang w:eastAsia="zh-CN"/>
        </w:rPr>
        <w:t xml:space="preserve"> </w:t>
      </w:r>
    </w:p>
    <w:p>
      <w:pPr>
        <w:spacing w:line="360" w:lineRule="auto"/>
        <w:ind w:left="1038" w:right="-147" w:rightChars="-67" w:hanging="1038" w:hangingChars="472"/>
        <w:rPr>
          <w:lang w:eastAsia="zh-CN"/>
        </w:rPr>
      </w:pPr>
      <w:r>
        <w:rPr>
          <w:rFonts w:hint="eastAsia"/>
          <w:lang w:eastAsia="zh-CN"/>
        </w:rPr>
        <w:t xml:space="preserve">        </w:t>
      </w:r>
      <w:r>
        <w:rPr>
          <w:rFonts w:hint="eastAsia"/>
          <w:szCs w:val="21"/>
          <w:lang w:eastAsia="zh-CN"/>
        </w:rPr>
        <w:t>古雷石化支行</w:t>
      </w:r>
    </w:p>
    <w:p>
      <w:pPr>
        <w:spacing w:line="360" w:lineRule="auto"/>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 13641501040004550                   帐</w:t>
      </w:r>
      <w:r>
        <w:rPr>
          <w:szCs w:val="21"/>
          <w:lang w:eastAsia="zh-CN"/>
        </w:rPr>
        <w:t xml:space="preserve">  </w:t>
      </w:r>
      <w:r>
        <w:rPr>
          <w:rFonts w:hint="eastAsia"/>
          <w:szCs w:val="21"/>
          <w:lang w:eastAsia="zh-CN"/>
        </w:rPr>
        <w:t xml:space="preserve">号： </w:t>
      </w:r>
    </w:p>
    <w:p>
      <w:pPr>
        <w:spacing w:line="360" w:lineRule="auto"/>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w:t>
      </w:r>
    </w:p>
    <w:p>
      <w:pPr>
        <w:spacing w:line="360" w:lineRule="auto"/>
        <w:ind w:right="-147" w:rightChars="-67"/>
        <w:rPr>
          <w:bCs/>
          <w:szCs w:val="21"/>
          <w:lang w:eastAsia="zh-CN"/>
        </w:rPr>
      </w:pPr>
      <w:r>
        <w:rPr>
          <w:rFonts w:hint="eastAsia"/>
          <w:szCs w:val="21"/>
          <w:lang w:eastAsia="zh-CN"/>
        </w:rPr>
        <w:t>电</w:t>
      </w:r>
      <w:r>
        <w:rPr>
          <w:szCs w:val="21"/>
          <w:lang w:eastAsia="zh-CN"/>
        </w:rPr>
        <w:t xml:space="preserve">  </w:t>
      </w:r>
      <w:r>
        <w:rPr>
          <w:rFonts w:hint="eastAsia"/>
          <w:szCs w:val="21"/>
          <w:lang w:eastAsia="zh-CN"/>
        </w:rPr>
        <w:t>话：  0596-6311083                       电</w:t>
      </w:r>
      <w:r>
        <w:rPr>
          <w:szCs w:val="21"/>
          <w:lang w:eastAsia="zh-CN"/>
        </w:rPr>
        <w:t xml:space="preserve">  </w:t>
      </w:r>
      <w:r>
        <w:rPr>
          <w:rFonts w:hint="eastAsia"/>
          <w:szCs w:val="21"/>
          <w:lang w:eastAsia="zh-CN"/>
        </w:rPr>
        <w:t>话：</w:t>
      </w:r>
    </w:p>
    <w:p>
      <w:pPr>
        <w:spacing w:line="360" w:lineRule="auto"/>
        <w:ind w:right="-147" w:rightChars="-67"/>
        <w:rPr>
          <w:szCs w:val="21"/>
          <w:lang w:eastAsia="zh-CN"/>
        </w:rPr>
      </w:pPr>
    </w:p>
    <w:p>
      <w:pPr>
        <w:spacing w:line="520" w:lineRule="exact"/>
        <w:rPr>
          <w:rFonts w:cs="Arial"/>
          <w:b/>
          <w:sz w:val="24"/>
          <w:lang w:eastAsia="zh-CN"/>
        </w:rPr>
      </w:pPr>
      <w:r>
        <w:rPr>
          <w:rFonts w:hint="eastAsia" w:cs="Arial"/>
          <w:b/>
          <w:sz w:val="24"/>
          <w:lang w:eastAsia="zh-CN"/>
        </w:rPr>
        <w:t xml:space="preserve">       </w:t>
      </w:r>
    </w:p>
    <w:p>
      <w:pPr>
        <w:pStyle w:val="2"/>
      </w:pPr>
    </w:p>
    <w:p>
      <w:pPr>
        <w:pStyle w:val="2"/>
      </w:pPr>
    </w:p>
    <w:p>
      <w:pPr>
        <w:pStyle w:val="2"/>
      </w:pPr>
    </w:p>
    <w:p>
      <w:pPr>
        <w:pStyle w:val="2"/>
      </w:pPr>
    </w:p>
    <w:p>
      <w:pPr>
        <w:pStyle w:val="2"/>
      </w:pPr>
    </w:p>
    <w:p>
      <w:pPr>
        <w:pStyle w:val="2"/>
      </w:pPr>
    </w:p>
    <w:p>
      <w:pPr>
        <w:pStyle w:val="2"/>
      </w:pPr>
    </w:p>
    <w:p>
      <w:pPr>
        <w:spacing w:line="520" w:lineRule="exact"/>
        <w:rPr>
          <w:b/>
          <w:sz w:val="28"/>
          <w:szCs w:val="28"/>
          <w:lang w:eastAsia="zh-CN"/>
        </w:rPr>
      </w:pPr>
    </w:p>
    <w:p>
      <w:pPr>
        <w:pStyle w:val="2"/>
        <w:rPr>
          <w:sz w:val="28"/>
          <w:szCs w:val="28"/>
        </w:rPr>
      </w:pPr>
      <w:r>
        <w:rPr>
          <w:rFonts w:hint="eastAsia"/>
          <w:sz w:val="30"/>
          <w:szCs w:val="30"/>
        </w:rPr>
        <w:t>附件一、</w:t>
      </w:r>
    </w:p>
    <w:p>
      <w:pPr>
        <w:ind w:left="1928" w:hanging="1928" w:hangingChars="600"/>
        <w:jc w:val="center"/>
        <w:rPr>
          <w:b/>
          <w:sz w:val="32"/>
          <w:szCs w:val="32"/>
          <w:lang w:eastAsia="zh-CN"/>
        </w:rPr>
      </w:pPr>
      <w:r>
        <w:rPr>
          <w:rFonts w:hint="eastAsia"/>
          <w:b/>
          <w:sz w:val="32"/>
          <w:szCs w:val="32"/>
          <w:lang w:eastAsia="zh-CN"/>
        </w:rPr>
        <w:t>热电厂危险化学品重大危险辨识评估项目</w:t>
      </w:r>
    </w:p>
    <w:p>
      <w:pPr>
        <w:ind w:left="1928" w:hanging="1928" w:hangingChars="600"/>
        <w:jc w:val="center"/>
        <w:rPr>
          <w:b/>
          <w:sz w:val="32"/>
          <w:szCs w:val="32"/>
          <w:lang w:eastAsia="zh-CN"/>
        </w:rPr>
      </w:pPr>
      <w:r>
        <w:rPr>
          <w:rFonts w:hint="eastAsia"/>
          <w:b/>
          <w:sz w:val="32"/>
          <w:szCs w:val="32"/>
          <w:lang w:eastAsia="zh-CN"/>
        </w:rPr>
        <w:t>发包说明</w:t>
      </w:r>
    </w:p>
    <w:p>
      <w:pPr>
        <w:spacing w:beforeLines="50" w:afterLines="50" w:line="360" w:lineRule="auto"/>
        <w:ind w:firstLine="422" w:firstLineChars="150"/>
        <w:rPr>
          <w:b/>
          <w:color w:val="000000"/>
          <w:sz w:val="28"/>
          <w:szCs w:val="28"/>
          <w:lang w:eastAsia="zh-CN"/>
        </w:rPr>
      </w:pPr>
      <w:r>
        <w:rPr>
          <w:rFonts w:hint="eastAsia"/>
          <w:b/>
          <w:sz w:val="28"/>
          <w:szCs w:val="28"/>
          <w:lang w:eastAsia="zh-CN"/>
        </w:rPr>
        <w:t>1、</w:t>
      </w:r>
      <w:r>
        <w:rPr>
          <w:rFonts w:hint="eastAsia"/>
          <w:b/>
          <w:color w:val="000000"/>
          <w:sz w:val="28"/>
          <w:szCs w:val="28"/>
          <w:lang w:eastAsia="zh-CN"/>
        </w:rPr>
        <w:t>项目基本情况：</w:t>
      </w:r>
    </w:p>
    <w:p>
      <w:pPr>
        <w:spacing w:beforeLines="50" w:afterLines="50" w:line="360" w:lineRule="auto"/>
        <w:ind w:left="420"/>
        <w:rPr>
          <w:sz w:val="28"/>
          <w:szCs w:val="28"/>
          <w:lang w:eastAsia="zh-CN"/>
        </w:rPr>
      </w:pPr>
      <w:r>
        <w:rPr>
          <w:rFonts w:hint="eastAsia"/>
          <w:sz w:val="28"/>
          <w:szCs w:val="28"/>
          <w:lang w:eastAsia="zh-CN"/>
        </w:rPr>
        <w:t>1.1项目名称：</w:t>
      </w:r>
    </w:p>
    <w:p>
      <w:pPr>
        <w:spacing w:beforeLines="50" w:afterLines="50" w:line="360" w:lineRule="auto"/>
        <w:ind w:left="440" w:leftChars="200" w:firstLine="560" w:firstLineChars="200"/>
        <w:rPr>
          <w:sz w:val="28"/>
          <w:szCs w:val="28"/>
          <w:lang w:eastAsia="zh-CN"/>
        </w:rPr>
      </w:pPr>
      <w:r>
        <w:rPr>
          <w:rFonts w:hint="eastAsia"/>
          <w:sz w:val="28"/>
          <w:szCs w:val="28"/>
          <w:lang w:eastAsia="zh-CN"/>
        </w:rPr>
        <w:t>（公司名称待定）危险化学品重大危险源辨识评估。</w:t>
      </w:r>
    </w:p>
    <w:p>
      <w:pPr>
        <w:spacing w:beforeLines="50" w:afterLines="50" w:line="360" w:lineRule="auto"/>
        <w:ind w:firstLine="548" w:firstLineChars="196"/>
        <w:rPr>
          <w:sz w:val="28"/>
          <w:szCs w:val="28"/>
          <w:lang w:eastAsia="zh-CN"/>
        </w:rPr>
      </w:pPr>
      <w:r>
        <w:rPr>
          <w:rFonts w:hint="eastAsia"/>
          <w:sz w:val="28"/>
          <w:szCs w:val="28"/>
          <w:lang w:eastAsia="zh-CN"/>
        </w:rPr>
        <w:t>1.2基本概况：</w:t>
      </w:r>
    </w:p>
    <w:p>
      <w:pPr>
        <w:spacing w:beforeLines="50" w:afterLines="50" w:line="360" w:lineRule="auto"/>
        <w:ind w:left="440" w:leftChars="200" w:firstLine="560" w:firstLineChars="200"/>
        <w:rPr>
          <w:sz w:val="28"/>
          <w:szCs w:val="28"/>
          <w:lang w:eastAsia="zh-CN"/>
        </w:rPr>
      </w:pPr>
      <w:r>
        <w:rPr>
          <w:rFonts w:hint="eastAsia"/>
          <w:sz w:val="28"/>
          <w:szCs w:val="28"/>
          <w:lang w:eastAsia="zh-CN"/>
        </w:rPr>
        <w:t>热电厂建有4台670t/h锅炉，3台150MW发电机组以及配套的公用工程、辅助工程、氨区、油罐区、南#8码头（待定）。公司主要产品有：电能、蒸汽、粉煤灰等。</w:t>
      </w:r>
    </w:p>
    <w:p>
      <w:pPr>
        <w:spacing w:beforeLines="50" w:afterLines="50" w:line="360" w:lineRule="auto"/>
        <w:ind w:left="440" w:leftChars="200" w:firstLine="560" w:firstLineChars="200"/>
        <w:rPr>
          <w:sz w:val="28"/>
          <w:szCs w:val="28"/>
          <w:lang w:eastAsia="zh-CN"/>
        </w:rPr>
      </w:pPr>
      <w:r>
        <w:rPr>
          <w:rFonts w:hint="eastAsia"/>
          <w:sz w:val="28"/>
          <w:szCs w:val="28"/>
          <w:lang w:eastAsia="zh-CN"/>
        </w:rPr>
        <w:t>2019年6月，由福州正先安全科技咨询服务有限公司对我司危险化学品重大危险源进行了辨识评估，2019年10月备案至古雷经济开发区应急管理局并取得备案回执。根据《危险化学品重大危险源监督管理暂行规定》（国家安监总局令第40号；安监总局令第79号修改）要求：“</w:t>
      </w:r>
      <w:r>
        <w:rPr>
          <w:sz w:val="28"/>
          <w:szCs w:val="28"/>
          <w:lang w:eastAsia="zh-CN"/>
        </w:rPr>
        <w:t>重大危险源安全评估已满三年的</w:t>
      </w:r>
      <w:r>
        <w:rPr>
          <w:rFonts w:hint="eastAsia"/>
          <w:sz w:val="28"/>
          <w:szCs w:val="28"/>
          <w:lang w:eastAsia="zh-CN"/>
        </w:rPr>
        <w:t>，</w:t>
      </w:r>
      <w:r>
        <w:rPr>
          <w:sz w:val="28"/>
          <w:szCs w:val="28"/>
          <w:lang w:eastAsia="zh-CN"/>
        </w:rPr>
        <w:t>危险化学品单位应当对</w:t>
      </w:r>
      <w:r>
        <w:rPr>
          <w:sz w:val="28"/>
          <w:szCs w:val="28"/>
        </w:rPr>
        <w:fldChar w:fldCharType="begin"/>
      </w:r>
      <w:r>
        <w:rPr>
          <w:sz w:val="28"/>
          <w:szCs w:val="28"/>
          <w:lang w:eastAsia="zh-CN"/>
        </w:rPr>
        <w:instrText xml:space="preserve"> HYPERLINK "https://baike.baidu.com/item/%E9%87%8D%E5%A4%A7%E5%8D%B1%E9%99%A9%E6%BA%90/10983922" \t "_blank" </w:instrText>
      </w:r>
      <w:r>
        <w:rPr>
          <w:sz w:val="28"/>
          <w:szCs w:val="28"/>
        </w:rPr>
        <w:fldChar w:fldCharType="separate"/>
      </w:r>
      <w:r>
        <w:rPr>
          <w:sz w:val="28"/>
          <w:szCs w:val="28"/>
          <w:lang w:eastAsia="zh-CN"/>
        </w:rPr>
        <w:t>重大危险源</w:t>
      </w:r>
      <w:r>
        <w:rPr>
          <w:sz w:val="28"/>
          <w:szCs w:val="28"/>
        </w:rPr>
        <w:fldChar w:fldCharType="end"/>
      </w:r>
      <w:r>
        <w:rPr>
          <w:sz w:val="28"/>
          <w:szCs w:val="28"/>
          <w:lang w:eastAsia="zh-CN"/>
        </w:rPr>
        <w:t>重新进行辨识、</w:t>
      </w:r>
      <w:r>
        <w:rPr>
          <w:sz w:val="28"/>
          <w:szCs w:val="28"/>
        </w:rPr>
        <w:fldChar w:fldCharType="begin"/>
      </w:r>
      <w:r>
        <w:rPr>
          <w:sz w:val="28"/>
          <w:szCs w:val="28"/>
          <w:lang w:eastAsia="zh-CN"/>
        </w:rPr>
        <w:instrText xml:space="preserve"> HYPERLINK "https://baike.baidu.com/item/%E5%AE%89%E5%85%A8%E8%AF%84%E4%BC%B0/3971370" \t "_blank" </w:instrText>
      </w:r>
      <w:r>
        <w:rPr>
          <w:sz w:val="28"/>
          <w:szCs w:val="28"/>
        </w:rPr>
        <w:fldChar w:fldCharType="separate"/>
      </w:r>
      <w:r>
        <w:rPr>
          <w:sz w:val="28"/>
          <w:szCs w:val="28"/>
          <w:lang w:eastAsia="zh-CN"/>
        </w:rPr>
        <w:t>安全评估</w:t>
      </w:r>
      <w:r>
        <w:rPr>
          <w:sz w:val="28"/>
          <w:szCs w:val="28"/>
        </w:rPr>
        <w:fldChar w:fldCharType="end"/>
      </w:r>
      <w:r>
        <w:rPr>
          <w:sz w:val="28"/>
          <w:szCs w:val="28"/>
          <w:lang w:eastAsia="zh-CN"/>
        </w:rPr>
        <w:t>及分级</w:t>
      </w:r>
      <w:r>
        <w:rPr>
          <w:rFonts w:hint="eastAsia"/>
          <w:sz w:val="28"/>
          <w:szCs w:val="28"/>
          <w:lang w:eastAsia="zh-CN"/>
        </w:rPr>
        <w:t>”，因此申请开展公司危险化学品重大危险源辨识评估工作。</w:t>
      </w:r>
    </w:p>
    <w:p>
      <w:pPr>
        <w:spacing w:beforeLines="50" w:afterLines="50" w:line="360" w:lineRule="auto"/>
        <w:ind w:left="420"/>
        <w:rPr>
          <w:b/>
          <w:sz w:val="28"/>
          <w:szCs w:val="28"/>
          <w:lang w:eastAsia="zh-CN"/>
        </w:rPr>
      </w:pPr>
      <w:r>
        <w:rPr>
          <w:rFonts w:hint="eastAsia"/>
          <w:b/>
          <w:sz w:val="28"/>
          <w:szCs w:val="28"/>
          <w:lang w:eastAsia="zh-CN"/>
        </w:rPr>
        <w:t>2、项目需开展工作的采购要求</w:t>
      </w:r>
    </w:p>
    <w:p>
      <w:pPr>
        <w:spacing w:beforeLines="50" w:afterLines="50" w:line="360" w:lineRule="auto"/>
        <w:ind w:firstLine="495" w:firstLineChars="177"/>
        <w:rPr>
          <w:sz w:val="28"/>
          <w:szCs w:val="28"/>
          <w:lang w:eastAsia="zh-CN"/>
        </w:rPr>
      </w:pPr>
      <w:r>
        <w:rPr>
          <w:rFonts w:hint="eastAsia"/>
          <w:sz w:val="28"/>
          <w:szCs w:val="28"/>
          <w:lang w:eastAsia="zh-CN"/>
        </w:rPr>
        <w:t>2.1资质、工作范围及进度等特殊要求：</w:t>
      </w:r>
    </w:p>
    <w:p>
      <w:pPr>
        <w:spacing w:beforeLines="50" w:afterLines="50" w:line="360" w:lineRule="auto"/>
        <w:ind w:left="444" w:leftChars="202" w:firstLine="427"/>
        <w:rPr>
          <w:sz w:val="28"/>
          <w:szCs w:val="28"/>
          <w:lang w:eastAsia="zh-CN"/>
        </w:rPr>
      </w:pPr>
      <w:r>
        <w:rPr>
          <w:rFonts w:hint="eastAsia"/>
          <w:sz w:val="28"/>
          <w:szCs w:val="28"/>
          <w:lang w:eastAsia="zh-CN"/>
        </w:rPr>
        <w:t>2.1.1资质要求：受托方应满足</w:t>
      </w:r>
      <w:r>
        <w:rPr>
          <w:sz w:val="28"/>
          <w:szCs w:val="28"/>
          <w:lang w:eastAsia="zh-CN"/>
        </w:rPr>
        <w:t>《安全评价检测检验机构管理办法》</w:t>
      </w:r>
      <w:r>
        <w:rPr>
          <w:rFonts w:hint="eastAsia"/>
          <w:sz w:val="28"/>
          <w:szCs w:val="28"/>
          <w:lang w:eastAsia="zh-CN"/>
        </w:rPr>
        <w:t>（2019安监总局第1号令）中，具备承担危险化学品生产和储存安全评价的资质要求，并提供企业营业执照、项目负责人身份证，法人委托书原件及复印件，且资质在有效期内。投标人须具有独立法人资格，不得以挂靠公司形式参与投标。</w:t>
      </w:r>
    </w:p>
    <w:p>
      <w:pPr>
        <w:spacing w:beforeLines="50" w:afterLines="50" w:line="360" w:lineRule="auto"/>
        <w:ind w:left="444" w:leftChars="202" w:firstLine="427"/>
        <w:rPr>
          <w:sz w:val="28"/>
          <w:szCs w:val="28"/>
          <w:lang w:eastAsia="zh-CN"/>
        </w:rPr>
      </w:pPr>
      <w:r>
        <w:rPr>
          <w:rFonts w:hint="eastAsia"/>
          <w:sz w:val="28"/>
          <w:szCs w:val="28"/>
          <w:lang w:eastAsia="zh-CN"/>
        </w:rPr>
        <w:t>2.1.2 业绩要求：投标人在近3年（20</w:t>
      </w:r>
      <w:r>
        <w:rPr>
          <w:sz w:val="28"/>
          <w:szCs w:val="28"/>
          <w:lang w:eastAsia="zh-CN"/>
        </w:rPr>
        <w:t>1</w:t>
      </w:r>
      <w:r>
        <w:rPr>
          <w:rFonts w:hint="eastAsia"/>
          <w:sz w:val="28"/>
          <w:szCs w:val="28"/>
          <w:lang w:eastAsia="zh-CN"/>
        </w:rPr>
        <w:t>9-20</w:t>
      </w:r>
      <w:r>
        <w:rPr>
          <w:sz w:val="28"/>
          <w:szCs w:val="28"/>
          <w:lang w:eastAsia="zh-CN"/>
        </w:rPr>
        <w:t>21</w:t>
      </w:r>
      <w:r>
        <w:rPr>
          <w:rFonts w:hint="eastAsia"/>
          <w:sz w:val="28"/>
          <w:szCs w:val="28"/>
          <w:lang w:eastAsia="zh-CN"/>
        </w:rPr>
        <w:t>）主持完成1</w:t>
      </w:r>
      <w:r>
        <w:rPr>
          <w:sz w:val="28"/>
          <w:szCs w:val="28"/>
          <w:lang w:eastAsia="zh-CN"/>
        </w:rPr>
        <w:t>个及以上</w:t>
      </w:r>
      <w:r>
        <w:rPr>
          <w:rFonts w:hint="eastAsia"/>
          <w:sz w:val="28"/>
          <w:szCs w:val="28"/>
          <w:lang w:eastAsia="zh-CN"/>
        </w:rPr>
        <w:t>石油化工项目（单个项目投资总额在5亿元以上）或燃煤发电厂项目（单个项目装机容量大于150MW）的重大危险源评估</w:t>
      </w:r>
      <w:r>
        <w:rPr>
          <w:sz w:val="28"/>
          <w:szCs w:val="28"/>
          <w:lang w:eastAsia="zh-CN"/>
        </w:rPr>
        <w:t>技术服务</w:t>
      </w:r>
      <w:r>
        <w:rPr>
          <w:rFonts w:hint="eastAsia"/>
          <w:sz w:val="28"/>
          <w:szCs w:val="28"/>
          <w:lang w:eastAsia="zh-CN"/>
        </w:rPr>
        <w:t>业绩，并获得主管部门批复（需提供业绩合同及主管部门批复）。</w:t>
      </w:r>
    </w:p>
    <w:p>
      <w:pPr>
        <w:spacing w:beforeLines="50" w:afterLines="50" w:line="360" w:lineRule="auto"/>
        <w:ind w:left="444" w:leftChars="202" w:firstLine="427"/>
        <w:rPr>
          <w:sz w:val="28"/>
          <w:szCs w:val="28"/>
          <w:lang w:eastAsia="zh-CN"/>
        </w:rPr>
      </w:pPr>
      <w:r>
        <w:rPr>
          <w:rFonts w:hint="eastAsia"/>
          <w:sz w:val="28"/>
          <w:szCs w:val="28"/>
          <w:lang w:eastAsia="zh-CN"/>
        </w:rPr>
        <w:t>2.1.3工作范围：编制符合《危险化学品重大危险源辨识》（GB18218-2018）标准要求的危险化学品重大危险源辨识评估报告，并满足地方政府主管部门的监管要求。</w:t>
      </w:r>
    </w:p>
    <w:p>
      <w:pPr>
        <w:spacing w:beforeLines="50" w:afterLines="50" w:line="360" w:lineRule="auto"/>
        <w:ind w:left="444" w:leftChars="202" w:firstLine="427"/>
        <w:rPr>
          <w:sz w:val="28"/>
          <w:szCs w:val="28"/>
        </w:rPr>
      </w:pPr>
      <w:r>
        <w:rPr>
          <w:rFonts w:hint="eastAsia"/>
          <w:sz w:val="28"/>
          <w:szCs w:val="28"/>
        </w:rPr>
        <w:t>2.1.4工期要求：2022年10月12日完成。</w:t>
      </w:r>
    </w:p>
    <w:p>
      <w:pPr>
        <w:spacing w:beforeLines="50" w:afterLines="50" w:line="360" w:lineRule="auto"/>
        <w:ind w:left="444" w:leftChars="202" w:firstLine="425"/>
        <w:rPr>
          <w:sz w:val="28"/>
          <w:szCs w:val="28"/>
          <w:lang w:eastAsia="zh-CN"/>
        </w:rPr>
      </w:pPr>
      <w:r>
        <w:rPr>
          <w:rFonts w:hint="eastAsia"/>
          <w:sz w:val="28"/>
          <w:szCs w:val="28"/>
          <w:lang w:eastAsia="zh-CN"/>
        </w:rPr>
        <w:t xml:space="preserve">2.1.5其他要求：进入甲方现场人员，需提供100万元及以上意外伤害险证明。 </w:t>
      </w:r>
    </w:p>
    <w:p>
      <w:pPr>
        <w:spacing w:beforeLines="50" w:afterLines="50" w:line="360" w:lineRule="auto"/>
        <w:ind w:firstLine="495" w:firstLineChars="177"/>
        <w:rPr>
          <w:sz w:val="28"/>
          <w:szCs w:val="28"/>
          <w:lang w:eastAsia="zh-CN"/>
        </w:rPr>
      </w:pPr>
      <w:r>
        <w:rPr>
          <w:rFonts w:hint="eastAsia"/>
          <w:sz w:val="28"/>
          <w:szCs w:val="28"/>
          <w:lang w:eastAsia="zh-CN"/>
        </w:rPr>
        <w:t>2.2工作开展的要求：</w:t>
      </w:r>
    </w:p>
    <w:p>
      <w:pPr>
        <w:spacing w:beforeLines="50" w:afterLines="50" w:line="360" w:lineRule="auto"/>
        <w:ind w:left="444" w:leftChars="202" w:firstLine="427"/>
        <w:rPr>
          <w:sz w:val="28"/>
          <w:szCs w:val="28"/>
          <w:lang w:eastAsia="zh-CN"/>
        </w:rPr>
      </w:pPr>
      <w:r>
        <w:rPr>
          <w:rFonts w:hint="eastAsia"/>
          <w:sz w:val="28"/>
          <w:szCs w:val="28"/>
          <w:lang w:eastAsia="zh-CN"/>
        </w:rPr>
        <w:t>2.2.1 乙方负责开展相应的工作，依要求编制相应的报告书, 引用资料及所叙述内容应真实可靠，所得结论应有理有据，论证充分，并以乙方名义出版(含盖章确认)，以便甲方开展与项目相关的各项工作。</w:t>
      </w:r>
    </w:p>
    <w:p>
      <w:pPr>
        <w:spacing w:beforeLines="50" w:afterLines="50" w:line="360" w:lineRule="auto"/>
        <w:ind w:left="444" w:leftChars="202" w:firstLine="427"/>
        <w:rPr>
          <w:sz w:val="28"/>
          <w:szCs w:val="28"/>
          <w:lang w:eastAsia="zh-CN"/>
        </w:rPr>
      </w:pPr>
      <w:r>
        <w:rPr>
          <w:rFonts w:hint="eastAsia"/>
          <w:sz w:val="28"/>
          <w:szCs w:val="28"/>
          <w:lang w:eastAsia="zh-CN"/>
        </w:rPr>
        <w:t>2.2.2报告内容应遵守国家、地方相关法律法规、符合相关国家标准及行业实际情况。</w:t>
      </w:r>
    </w:p>
    <w:p>
      <w:pPr>
        <w:spacing w:beforeLines="50" w:afterLines="50" w:line="360" w:lineRule="auto"/>
        <w:ind w:left="444" w:leftChars="202" w:firstLine="427"/>
        <w:rPr>
          <w:sz w:val="28"/>
          <w:szCs w:val="28"/>
          <w:lang w:eastAsia="zh-CN"/>
        </w:rPr>
      </w:pPr>
      <w:r>
        <w:rPr>
          <w:rFonts w:hint="eastAsia"/>
          <w:sz w:val="28"/>
          <w:szCs w:val="28"/>
          <w:lang w:eastAsia="zh-CN"/>
        </w:rPr>
        <w:t>2.2.3报告应做到语句通顺易懂、条理清晰、分析论证充分，排版美观、样式规范。</w:t>
      </w:r>
    </w:p>
    <w:p>
      <w:pPr>
        <w:spacing w:beforeLines="50" w:afterLines="50" w:line="360" w:lineRule="auto"/>
        <w:ind w:left="444" w:leftChars="202" w:firstLine="427"/>
        <w:rPr>
          <w:sz w:val="28"/>
          <w:szCs w:val="28"/>
          <w:lang w:eastAsia="zh-CN"/>
        </w:rPr>
      </w:pPr>
      <w:r>
        <w:rPr>
          <w:rFonts w:hint="eastAsia"/>
          <w:sz w:val="28"/>
          <w:szCs w:val="28"/>
          <w:lang w:eastAsia="zh-CN"/>
        </w:rPr>
        <w:t>2.2.4报告编制的内容应经甲方审核、确认，并接受甲方对相关内容的调整。</w:t>
      </w:r>
    </w:p>
    <w:p>
      <w:pPr>
        <w:spacing w:beforeLines="50" w:afterLines="50" w:line="360" w:lineRule="auto"/>
        <w:ind w:left="444" w:leftChars="202" w:firstLine="427"/>
        <w:rPr>
          <w:sz w:val="28"/>
          <w:szCs w:val="28"/>
          <w:lang w:eastAsia="zh-CN"/>
        </w:rPr>
      </w:pPr>
      <w:r>
        <w:rPr>
          <w:rFonts w:hint="eastAsia"/>
          <w:sz w:val="28"/>
          <w:szCs w:val="28"/>
          <w:lang w:eastAsia="zh-CN"/>
        </w:rPr>
        <w:t>2.2.5乙方负责组织召开专家评审会，评审涉及的</w:t>
      </w:r>
      <w:r>
        <w:rPr>
          <w:rFonts w:hint="eastAsia"/>
          <w:b/>
          <w:sz w:val="28"/>
          <w:szCs w:val="28"/>
          <w:lang w:eastAsia="zh-CN"/>
        </w:rPr>
        <w:t>所有费用由乙方负责</w:t>
      </w:r>
      <w:r>
        <w:rPr>
          <w:rFonts w:hint="eastAsia"/>
          <w:sz w:val="28"/>
          <w:szCs w:val="28"/>
          <w:lang w:eastAsia="zh-CN"/>
        </w:rPr>
        <w:t>。乙方负责报告评审时汇报和解释评审专家提出的问题，协助甲方完成送审工作。报告应满足政府主管部门对相应的报告的编制要求，并被受理；如政府主管部门对报告内容、名称、样式等提出修改要求，则乙方应无条件按要求进行修改。</w:t>
      </w:r>
    </w:p>
    <w:p>
      <w:pPr>
        <w:spacing w:beforeLines="50" w:afterLines="50" w:line="360" w:lineRule="auto"/>
        <w:ind w:left="444" w:leftChars="202" w:firstLine="427"/>
        <w:rPr>
          <w:sz w:val="28"/>
          <w:szCs w:val="28"/>
          <w:lang w:eastAsia="zh-CN"/>
        </w:rPr>
      </w:pPr>
      <w:r>
        <w:rPr>
          <w:rFonts w:hint="eastAsia"/>
          <w:sz w:val="28"/>
          <w:szCs w:val="28"/>
          <w:lang w:eastAsia="zh-CN"/>
        </w:rPr>
        <w:t>2.2.6本项目工作成果的验收方法:通过专家评审及政府相关监管部门认可，并由甲方审查确认。</w:t>
      </w:r>
    </w:p>
    <w:p>
      <w:pPr>
        <w:spacing w:beforeLines="50" w:afterLines="50" w:line="360" w:lineRule="auto"/>
        <w:ind w:left="444" w:leftChars="202" w:firstLine="427"/>
        <w:rPr>
          <w:sz w:val="28"/>
          <w:szCs w:val="28"/>
          <w:lang w:eastAsia="zh-CN"/>
        </w:rPr>
      </w:pPr>
      <w:r>
        <w:rPr>
          <w:rFonts w:hint="eastAsia"/>
          <w:sz w:val="28"/>
          <w:szCs w:val="28"/>
          <w:lang w:eastAsia="zh-CN"/>
        </w:rPr>
        <w:t>2.2.7报告应按标准格式电脑打印，内容齐全，以简体中文叙述。装订成正式文本，除上报外，另加十份印刷文本、一份可编辑电子版和一份盖章扫描版的报告提交我司存档。</w:t>
      </w:r>
    </w:p>
    <w:p>
      <w:pPr>
        <w:spacing w:beforeLines="50" w:afterLines="50" w:line="360" w:lineRule="auto"/>
        <w:ind w:left="444" w:leftChars="202" w:firstLine="427"/>
        <w:rPr>
          <w:sz w:val="28"/>
          <w:szCs w:val="28"/>
          <w:lang w:eastAsia="zh-CN"/>
        </w:rPr>
      </w:pPr>
      <w:r>
        <w:rPr>
          <w:rFonts w:hint="eastAsia"/>
          <w:sz w:val="28"/>
          <w:szCs w:val="28"/>
          <w:lang w:eastAsia="zh-CN"/>
        </w:rPr>
        <w:t>2.2.8乙方根据项目情况编制相应的技术服务协议提供给甲方审核。</w:t>
      </w:r>
    </w:p>
    <w:p>
      <w:pPr>
        <w:spacing w:beforeLines="50" w:afterLines="50" w:line="360" w:lineRule="auto"/>
        <w:ind w:left="444" w:leftChars="202"/>
        <w:rPr>
          <w:b/>
          <w:sz w:val="28"/>
          <w:szCs w:val="28"/>
          <w:lang w:eastAsia="zh-CN"/>
        </w:rPr>
      </w:pPr>
      <w:r>
        <w:rPr>
          <w:rFonts w:hint="eastAsia"/>
          <w:b/>
          <w:sz w:val="28"/>
          <w:szCs w:val="28"/>
          <w:lang w:eastAsia="zh-CN"/>
        </w:rPr>
        <w:t>3、投标报价（</w:t>
      </w:r>
      <w:r>
        <w:rPr>
          <w:rFonts w:hint="eastAsia"/>
          <w:sz w:val="28"/>
          <w:szCs w:val="28"/>
          <w:lang w:eastAsia="zh-CN"/>
        </w:rPr>
        <w:t>含税包干总价</w:t>
      </w:r>
      <w:r>
        <w:rPr>
          <w:rFonts w:hint="eastAsia"/>
          <w:b/>
          <w:sz w:val="28"/>
          <w:szCs w:val="28"/>
          <w:lang w:eastAsia="zh-CN"/>
        </w:rPr>
        <w:t>）</w:t>
      </w:r>
    </w:p>
    <w:p>
      <w:pPr>
        <w:spacing w:beforeLines="50" w:afterLines="50" w:line="360" w:lineRule="auto"/>
        <w:ind w:firstLine="495" w:firstLineChars="177"/>
        <w:rPr>
          <w:sz w:val="28"/>
          <w:szCs w:val="28"/>
          <w:lang w:eastAsia="zh-CN"/>
        </w:rPr>
      </w:pPr>
      <w:r>
        <w:rPr>
          <w:rFonts w:hint="eastAsia"/>
          <w:sz w:val="28"/>
          <w:szCs w:val="28"/>
          <w:lang w:eastAsia="zh-CN"/>
        </w:rPr>
        <w:t>3.1 包括但不限于</w:t>
      </w:r>
      <w:r>
        <w:rPr>
          <w:sz w:val="28"/>
          <w:szCs w:val="28"/>
          <w:lang w:eastAsia="zh-CN"/>
        </w:rPr>
        <w:t>项目</w:t>
      </w:r>
      <w:r>
        <w:rPr>
          <w:rFonts w:hint="eastAsia"/>
          <w:sz w:val="28"/>
          <w:szCs w:val="28"/>
          <w:lang w:eastAsia="zh-CN"/>
        </w:rPr>
        <w:t>评估</w:t>
      </w:r>
      <w:r>
        <w:rPr>
          <w:sz w:val="28"/>
          <w:szCs w:val="28"/>
          <w:lang w:eastAsia="zh-CN"/>
        </w:rPr>
        <w:t>评价报告的编制所需费用</w:t>
      </w:r>
      <w:r>
        <w:rPr>
          <w:rFonts w:hint="eastAsia"/>
          <w:sz w:val="28"/>
          <w:szCs w:val="28"/>
          <w:lang w:eastAsia="zh-CN"/>
        </w:rPr>
        <w:t>，</w:t>
      </w:r>
      <w:r>
        <w:rPr>
          <w:sz w:val="28"/>
          <w:szCs w:val="28"/>
          <w:lang w:eastAsia="zh-CN"/>
        </w:rPr>
        <w:t>为编制报告基础数据</w:t>
      </w:r>
      <w:r>
        <w:rPr>
          <w:rFonts w:hint="eastAsia"/>
          <w:sz w:val="28"/>
          <w:szCs w:val="28"/>
          <w:lang w:eastAsia="zh-CN"/>
        </w:rPr>
        <w:t>收集</w:t>
      </w:r>
      <w:r>
        <w:rPr>
          <w:sz w:val="28"/>
          <w:szCs w:val="28"/>
          <w:lang w:eastAsia="zh-CN"/>
        </w:rPr>
        <w:t>所需费用</w:t>
      </w:r>
      <w:r>
        <w:rPr>
          <w:rFonts w:hint="eastAsia"/>
          <w:sz w:val="28"/>
          <w:szCs w:val="28"/>
          <w:lang w:eastAsia="zh-CN"/>
        </w:rPr>
        <w:t>等</w:t>
      </w:r>
      <w:r>
        <w:rPr>
          <w:sz w:val="28"/>
          <w:szCs w:val="28"/>
          <w:lang w:eastAsia="zh-CN"/>
        </w:rPr>
        <w:t>。</w:t>
      </w:r>
    </w:p>
    <w:p>
      <w:pPr>
        <w:spacing w:beforeLines="50" w:afterLines="50" w:line="360" w:lineRule="auto"/>
        <w:ind w:firstLine="495" w:firstLineChars="177"/>
        <w:rPr>
          <w:sz w:val="28"/>
          <w:szCs w:val="28"/>
          <w:lang w:eastAsia="zh-CN"/>
        </w:rPr>
      </w:pPr>
      <w:r>
        <w:rPr>
          <w:rFonts w:hint="eastAsia"/>
          <w:sz w:val="28"/>
          <w:szCs w:val="28"/>
          <w:lang w:eastAsia="zh-CN"/>
        </w:rPr>
        <w:t>3.2 专家内审会（如有）、专家评审会全部费用（专家费、会议费、餐费、交通费、住宿费等），直至取得政府主管部门备案回执的全部所需费用</w:t>
      </w:r>
      <w:r>
        <w:rPr>
          <w:sz w:val="28"/>
          <w:szCs w:val="28"/>
          <w:lang w:eastAsia="zh-CN"/>
        </w:rPr>
        <w:t>。</w:t>
      </w:r>
    </w:p>
    <w:p>
      <w:pPr>
        <w:spacing w:beforeLines="50" w:afterLines="50" w:line="360" w:lineRule="auto"/>
        <w:ind w:firstLine="562" w:firstLineChars="200"/>
        <w:rPr>
          <w:b/>
          <w:sz w:val="28"/>
          <w:szCs w:val="28"/>
          <w:lang w:eastAsia="zh-CN"/>
        </w:rPr>
      </w:pPr>
      <w:r>
        <w:rPr>
          <w:rFonts w:hint="eastAsia"/>
          <w:b/>
          <w:sz w:val="28"/>
          <w:szCs w:val="28"/>
          <w:lang w:eastAsia="zh-CN"/>
        </w:rPr>
        <w:t>4、评标方式</w:t>
      </w:r>
    </w:p>
    <w:p>
      <w:pPr>
        <w:spacing w:beforeLines="50" w:afterLines="50" w:line="360" w:lineRule="auto"/>
        <w:ind w:firstLine="560" w:firstLineChars="200"/>
        <w:rPr>
          <w:sz w:val="28"/>
          <w:szCs w:val="28"/>
          <w:lang w:eastAsia="zh-CN"/>
        </w:rPr>
      </w:pPr>
      <w:r>
        <w:rPr>
          <w:rFonts w:hint="eastAsia"/>
          <w:sz w:val="28"/>
          <w:szCs w:val="28"/>
          <w:lang w:eastAsia="zh-CN"/>
        </w:rPr>
        <w:t>本案以商务评标的形式进行评标。</w:t>
      </w:r>
    </w:p>
    <w:p>
      <w:pPr>
        <w:spacing w:beforeLines="50" w:afterLines="50" w:line="360" w:lineRule="auto"/>
        <w:ind w:firstLine="562" w:firstLineChars="200"/>
        <w:rPr>
          <w:b/>
          <w:sz w:val="28"/>
          <w:szCs w:val="28"/>
          <w:lang w:eastAsia="zh-CN"/>
        </w:rPr>
      </w:pPr>
      <w:r>
        <w:rPr>
          <w:rFonts w:hint="eastAsia"/>
          <w:b/>
          <w:sz w:val="28"/>
          <w:szCs w:val="28"/>
          <w:lang w:eastAsia="zh-CN"/>
        </w:rPr>
        <w:t>5、资料归档及保密</w:t>
      </w:r>
    </w:p>
    <w:p>
      <w:pPr>
        <w:adjustRightInd w:val="0"/>
        <w:spacing w:beforeLines="50" w:afterLines="50" w:line="360" w:lineRule="auto"/>
        <w:ind w:firstLine="560" w:firstLineChars="200"/>
        <w:rPr>
          <w:sz w:val="28"/>
          <w:szCs w:val="28"/>
          <w:lang w:eastAsia="zh-CN"/>
        </w:rPr>
      </w:pPr>
      <w:r>
        <w:rPr>
          <w:rFonts w:hint="eastAsia"/>
          <w:sz w:val="28"/>
          <w:szCs w:val="28"/>
          <w:lang w:eastAsia="zh-CN"/>
        </w:rPr>
        <w:t>由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p>
    <w:p>
      <w:pPr>
        <w:adjustRightInd w:val="0"/>
        <w:spacing w:beforeLines="50" w:afterLines="50" w:line="360" w:lineRule="auto"/>
        <w:ind w:firstLine="560" w:firstLineChars="200"/>
        <w:rPr>
          <w:sz w:val="28"/>
          <w:szCs w:val="28"/>
          <w:lang w:eastAsia="zh-CN"/>
        </w:rPr>
      </w:pPr>
      <w:r>
        <w:rPr>
          <w:rFonts w:hint="eastAsia"/>
          <w:sz w:val="28"/>
          <w:szCs w:val="28"/>
          <w:lang w:eastAsia="zh-CN"/>
        </w:rPr>
        <w:t>6、其他要求</w:t>
      </w:r>
    </w:p>
    <w:p>
      <w:pPr>
        <w:adjustRightInd w:val="0"/>
        <w:spacing w:beforeLines="50" w:afterLines="50" w:line="360" w:lineRule="auto"/>
        <w:ind w:firstLine="560" w:firstLineChars="200"/>
        <w:rPr>
          <w:sz w:val="28"/>
          <w:szCs w:val="28"/>
          <w:lang w:eastAsia="zh-CN"/>
        </w:rPr>
      </w:pPr>
      <w:r>
        <w:rPr>
          <w:rFonts w:hint="eastAsia"/>
          <w:sz w:val="28"/>
          <w:szCs w:val="28"/>
          <w:lang w:eastAsia="zh-CN"/>
        </w:rPr>
        <w:t>本招标说明未尽事项，可在技术交流阶段澄清。</w:t>
      </w:r>
    </w:p>
    <w:p>
      <w:pPr>
        <w:pStyle w:val="2"/>
      </w:pPr>
    </w:p>
    <w:p>
      <w:pPr>
        <w:snapToGrid w:val="0"/>
        <w:spacing w:beforeLines="50" w:afterLines="50" w:line="360" w:lineRule="auto"/>
        <w:ind w:firstLine="560" w:firstLineChars="200"/>
        <w:rPr>
          <w:sz w:val="28"/>
          <w:szCs w:val="28"/>
          <w:lang w:eastAsia="zh-CN"/>
        </w:rPr>
      </w:pPr>
    </w:p>
    <w:p>
      <w:pPr>
        <w:adjustRightInd w:val="0"/>
        <w:spacing w:beforeLines="50" w:afterLines="50" w:line="360" w:lineRule="auto"/>
        <w:ind w:firstLine="560" w:firstLineChars="200"/>
        <w:rPr>
          <w:color w:val="000000"/>
          <w:sz w:val="28"/>
          <w:szCs w:val="28"/>
          <w:lang w:eastAsia="zh-CN"/>
        </w:rPr>
      </w:pPr>
    </w:p>
    <w:p>
      <w:pPr>
        <w:pStyle w:val="2"/>
        <w:rPr>
          <w:color w:val="000000"/>
          <w:sz w:val="28"/>
          <w:szCs w:val="28"/>
        </w:rPr>
      </w:pPr>
    </w:p>
    <w:p>
      <w:pPr>
        <w:pStyle w:val="2"/>
        <w:rPr>
          <w:color w:val="000000"/>
          <w:sz w:val="28"/>
          <w:szCs w:val="28"/>
        </w:rPr>
      </w:pPr>
    </w:p>
    <w:p>
      <w:pPr>
        <w:pStyle w:val="2"/>
        <w:rPr>
          <w:color w:val="000000"/>
          <w:sz w:val="28"/>
          <w:szCs w:val="28"/>
        </w:rPr>
      </w:pPr>
    </w:p>
    <w:p>
      <w:pPr>
        <w:widowControl/>
        <w:shd w:val="clear" w:color="auto" w:fill="FEFEFE"/>
        <w:spacing w:line="360" w:lineRule="auto"/>
        <w:ind w:firstLine="440" w:firstLineChars="200"/>
        <w:rPr>
          <w:lang w:eastAsia="zh-CN"/>
        </w:rPr>
      </w:pPr>
    </w:p>
    <w:p>
      <w:pPr>
        <w:pStyle w:val="2"/>
      </w:pPr>
    </w:p>
    <w:p>
      <w:pPr>
        <w:spacing w:line="520" w:lineRule="exact"/>
        <w:rPr>
          <w:b/>
          <w:sz w:val="28"/>
          <w:szCs w:val="28"/>
          <w:lang w:eastAsia="zh-CN"/>
        </w:rPr>
      </w:pPr>
      <w:r>
        <w:rPr>
          <w:rFonts w:hint="eastAsia"/>
          <w:b/>
          <w:sz w:val="28"/>
          <w:szCs w:val="28"/>
          <w:lang w:eastAsia="zh-CN"/>
        </w:rPr>
        <w:t>附件2：</w:t>
      </w:r>
    </w:p>
    <w:p>
      <w:pPr>
        <w:pStyle w:val="25"/>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发包单位（以下简称甲方）：</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color w:val="000000"/>
          <w:sz w:val="21"/>
          <w:szCs w:val="21"/>
          <w:u w:val="single"/>
          <w:lang w:eastAsia="zh-CN"/>
        </w:rPr>
        <w:t>腾龙芳烃（漳州）有限公司</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 xml:space="preserve">   </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承包单位（以下简称乙方）：</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 xml:space="preserve">   </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双方就热电厂危险化学品重大危险辨识评估项目签订了</w:t>
      </w:r>
      <w:r>
        <w:rPr>
          <w:rFonts w:hint="eastAsia" w:asciiTheme="majorEastAsia" w:hAnsiTheme="majorEastAsia" w:eastAsiaTheme="majorEastAsia"/>
          <w:sz w:val="21"/>
          <w:szCs w:val="21"/>
          <w:u w:val="single"/>
          <w:lang w:eastAsia="zh-CN"/>
        </w:rPr>
        <w:t xml:space="preserve"> 技术服务  </w:t>
      </w:r>
      <w:r>
        <w:rPr>
          <w:rFonts w:hint="eastAsia" w:asciiTheme="majorEastAsia" w:hAnsiTheme="majorEastAsia" w:eastAsiaTheme="major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一、甲方的权利和义务：</w:t>
      </w:r>
    </w:p>
    <w:p>
      <w:pPr>
        <w:pStyle w:val="90"/>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 甲方有权对乙方的资质进行审查，确认其符合且具备进厂条件，方可进厂施工。</w:t>
      </w:r>
    </w:p>
    <w:p>
      <w:pPr>
        <w:pStyle w:val="90"/>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甲方有权要求乙方维护好甲方相关的安全环保设施、设备和器材。</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5、 甲方有权对乙方不服从管理和严重违章者，驱除施工现场。</w:t>
      </w:r>
    </w:p>
    <w:p>
      <w:pPr>
        <w:pStyle w:val="90"/>
        <w:spacing w:line="360" w:lineRule="auto"/>
        <w:ind w:left="-2"/>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6、 甲方负责对乙方进行厂级和部门级安全培训教育和考核，考核合格方可办理入厂手续。</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7、 甲方负责各装置的工艺处理、退料、置换、吹扫及盲板隔离工作，为本项目提供安全的施工条件。</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甲方应乙方要求，向乙方提供与乙方作业相关的甲方有毒有害、易燃易爆物品的数据。</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甲方在开工前必须对乙方进行全面的安全技术及文明施工交底。</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二、乙方的权利和义务：</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乙方有权对甲方安全管理工作提出合理化建议或改进措施。</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3、 乙方对甲方管理人员违章指挥、强令冒险作业、有权拒绝执行。对打击和报复行为有权向上级和有关部门汇报。 </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乙方对危及生命安全和身体健康的施工作业条件和环境，有权提出整改建议或拒绝施工作业。</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乙方施工过程中在发生严重危及作业人员生命安全的不可抗拒紧急情况时，有权采取必要的避险措施，并立即向管理部门报告。</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 乙方有权要求甲方提供相关的安全资料。</w:t>
      </w:r>
    </w:p>
    <w:p>
      <w:pPr>
        <w:spacing w:line="360" w:lineRule="auto"/>
        <w:ind w:left="-2"/>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 xml:space="preserve">7、 </w:t>
      </w:r>
      <w:r>
        <w:rPr>
          <w:rFonts w:hint="eastAsia" w:cs="Arial" w:asciiTheme="majorEastAsia" w:hAnsiTheme="majorEastAsia" w:eastAsiaTheme="majorEastAsia"/>
          <w:sz w:val="21"/>
          <w:szCs w:val="21"/>
          <w:lang w:eastAsia="zh-CN"/>
        </w:rPr>
        <w:t>乙方必须建立健全HSE管理网络、HSE保证体系和HSE责任制，成立专职HSE管理机构</w:t>
      </w:r>
      <w:r>
        <w:rPr>
          <w:rFonts w:hint="eastAsia" w:asciiTheme="majorEastAsia" w:hAnsiTheme="majorEastAsia" w:eastAsiaTheme="majorEastAsia"/>
          <w:sz w:val="21"/>
          <w:szCs w:val="21"/>
          <w:lang w:eastAsia="zh-CN"/>
        </w:rPr>
        <w:t>，依照《安全生产法》的要求配备专职或兼职安全生产管理人员；施工队伍超过50人的应按比例配足专职安全员，</w:t>
      </w:r>
      <w:r>
        <w:rPr>
          <w:rFonts w:hint="eastAsia" w:cs="Arial" w:asciiTheme="majorEastAsia" w:hAnsiTheme="majorEastAsia" w:eastAsiaTheme="majorEastAsia"/>
          <w:sz w:val="21"/>
          <w:szCs w:val="21"/>
          <w:lang w:eastAsia="zh-CN"/>
        </w:rPr>
        <w:t>并佩戴明显标志；编制和实施各安全环保施工方案和专项应急预案。</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11、乙方应按《中华人民共和国劳动法》等法律、法规、规定用工，严禁使用未成年工和有职业禁忌的人员进行施工作业。</w:t>
      </w:r>
      <w:r>
        <w:rPr>
          <w:rFonts w:asciiTheme="majorEastAsia" w:hAnsiTheme="majorEastAsia" w:eastAsiaTheme="majorEastAsia"/>
          <w:sz w:val="21"/>
          <w:szCs w:val="21"/>
          <w:lang w:eastAsia="zh-CN"/>
        </w:rPr>
        <w:t xml:space="preserve"> </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17、 </w:t>
      </w:r>
      <w:r>
        <w:rPr>
          <w:rFonts w:hint="eastAsia" w:asciiTheme="majorEastAsia" w:hAnsiTheme="majorEastAsia" w:eastAsiaTheme="major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2"/>
        <w:rPr>
          <w:rFonts w:asciiTheme="majorEastAsia" w:hAnsiTheme="majorEastAsia" w:eastAsiaTheme="majorEastAsia"/>
          <w:bCs/>
          <w:sz w:val="21"/>
          <w:szCs w:val="21"/>
          <w:lang w:eastAsia="zh-CN"/>
        </w:rPr>
      </w:pPr>
      <w:r>
        <w:rPr>
          <w:rFonts w:hint="eastAsia" w:asciiTheme="majorEastAsia" w:hAnsiTheme="majorEastAsia" w:eastAsiaTheme="majorEastAsia"/>
          <w:bCs/>
          <w:sz w:val="21"/>
          <w:szCs w:val="21"/>
          <w:lang w:eastAsia="zh-CN"/>
        </w:rPr>
        <w:t xml:space="preserve">18、 </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1"/>
          <w:szCs w:val="21"/>
          <w:lang w:eastAsia="zh-CN"/>
        </w:rPr>
        <w:t>GB 2894-2008）</w:t>
      </w:r>
      <w:r>
        <w:rPr>
          <w:rFonts w:hint="eastAsia" w:asciiTheme="majorEastAsia" w:hAnsiTheme="majorEastAsia" w:eastAsiaTheme="majorEastAsia"/>
          <w:bCs/>
          <w:sz w:val="21"/>
          <w:szCs w:val="21"/>
          <w:lang w:eastAsia="zh-CN"/>
        </w:rPr>
        <w:t>的规定。</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bCs/>
          <w:sz w:val="21"/>
          <w:szCs w:val="21"/>
          <w:lang w:eastAsia="zh-CN"/>
        </w:rPr>
        <w:t>19、</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20、 乙方施工产生的</w:t>
      </w:r>
      <w:r>
        <w:rPr>
          <w:rFonts w:hint="eastAsia" w:asciiTheme="majorEastAsia" w:hAnsiTheme="majorEastAsia" w:eastAsiaTheme="majorEastAsia"/>
          <w:bCs/>
          <w:sz w:val="21"/>
          <w:szCs w:val="21"/>
          <w:lang w:eastAsia="zh-CN"/>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1"/>
          <w:szCs w:val="21"/>
          <w:lang w:eastAsia="zh-CN"/>
        </w:rPr>
        <w:t>产生的废物应进行鉴别，一般固废和危险废物应妥善包装、分类堆放，并及时清理。不能任意排放和丢弃。</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22、 </w:t>
      </w:r>
      <w:r>
        <w:rPr>
          <w:rFonts w:hint="eastAsia" w:asciiTheme="majorEastAsia" w:hAnsiTheme="majorEastAsia" w:eastAsiaTheme="major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asciiTheme="majorEastAsia" w:hAnsiTheme="majorEastAsia" w:eastAsiaTheme="majorEastAsia"/>
          <w:b/>
          <w:sz w:val="21"/>
          <w:szCs w:val="21"/>
        </w:rPr>
      </w:pPr>
      <w:r>
        <w:rPr>
          <w:rFonts w:hint="eastAsia" w:asciiTheme="majorEastAsia" w:hAnsiTheme="majorEastAsia" w:eastAsiaTheme="majorEastAsia"/>
          <w:b/>
          <w:sz w:val="21"/>
          <w:szCs w:val="21"/>
        </w:rPr>
        <w:t>三、违约责任及处理</w:t>
      </w:r>
    </w:p>
    <w:p>
      <w:pPr>
        <w:pStyle w:val="90"/>
        <w:numPr>
          <w:ilvl w:val="0"/>
          <w:numId w:val="3"/>
        </w:numPr>
        <w:autoSpaceDE/>
        <w:autoSpaceDN/>
        <w:spacing w:before="0" w:line="360" w:lineRule="auto"/>
        <w:ind w:left="0" w:firstLine="0"/>
        <w:jc w:val="both"/>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乙方不得将工程违法转包、分包。</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2、发生安全事故时，甲乙双方均有抢险、救灾的义务，所发生的费用由责任方承担。</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4、甲方违约造成的事故，甲方承担全部责任，并按规定追究有关人员责任及上报。</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四、 不可抗力：</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由于不可抗力造成合同项目施工作业事故及产生的损失，甲乙双方各自承担相应的损失。</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五、</w:t>
      </w:r>
      <w:r>
        <w:rPr>
          <w:rFonts w:hint="eastAsia" w:asciiTheme="majorEastAsia" w:hAnsiTheme="majorEastAsia" w:eastAsiaTheme="majorEastAsia"/>
          <w:sz w:val="21"/>
          <w:szCs w:val="21"/>
          <w:lang w:eastAsia="zh-CN"/>
        </w:rPr>
        <w:t>本协议书一式陆份，甲方执四份，乙方执二份。</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六、</w:t>
      </w:r>
      <w:r>
        <w:rPr>
          <w:rFonts w:hint="eastAsia" w:asciiTheme="majorEastAsia" w:hAnsiTheme="majorEastAsia" w:eastAsiaTheme="majorEastAsia"/>
          <w:sz w:val="21"/>
          <w:szCs w:val="21"/>
          <w:lang w:eastAsia="zh-CN"/>
        </w:rPr>
        <w:t>本协议书经双方盖章后生效。</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七、协议期限：</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本协议期限应与主合同期限一致。如果主合同因故需要变更期限，本合同应与主同变更至相同期限。</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（以下无正文）</w:t>
      </w:r>
    </w:p>
    <w:p>
      <w:pPr>
        <w:spacing w:line="276"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 (章)：                                  乙方(章)：</w:t>
      </w:r>
    </w:p>
    <w:p>
      <w:pPr>
        <w:spacing w:line="276" w:lineRule="auto"/>
        <w:rPr>
          <w:rFonts w:asciiTheme="majorEastAsia" w:hAnsiTheme="majorEastAsia" w:eastAsiaTheme="majorEastAsia"/>
          <w:sz w:val="21"/>
          <w:szCs w:val="21"/>
          <w:lang w:eastAsia="zh-CN"/>
        </w:rPr>
      </w:pPr>
      <w:r>
        <w:rPr>
          <w:rFonts w:hint="eastAsia" w:asciiTheme="majorEastAsia" w:hAnsiTheme="majorEastAsia" w:eastAsiaTheme="majorEastAsia"/>
          <w:color w:val="000000"/>
          <w:sz w:val="21"/>
          <w:szCs w:val="21"/>
          <w:lang w:eastAsia="zh-CN"/>
        </w:rPr>
        <w:t>腾龙芳烃（漳州）有限公司</w:t>
      </w:r>
      <w:r>
        <w:rPr>
          <w:rFonts w:hint="eastAsia" w:asciiTheme="majorEastAsia" w:hAnsiTheme="majorEastAsia" w:eastAsiaTheme="majorEastAsia"/>
          <w:sz w:val="21"/>
          <w:szCs w:val="21"/>
          <w:lang w:eastAsia="zh-CN"/>
        </w:rPr>
        <w:t xml:space="preserve">                   </w:t>
      </w:r>
    </w:p>
    <w:p>
      <w:pPr>
        <w:spacing w:line="276" w:lineRule="auto"/>
        <w:rPr>
          <w:rFonts w:asciiTheme="majorEastAsia" w:hAnsiTheme="majorEastAsia" w:eastAsiaTheme="majorEastAsia"/>
          <w:sz w:val="21"/>
          <w:szCs w:val="21"/>
          <w:lang w:eastAsia="zh-CN"/>
        </w:rPr>
      </w:pPr>
    </w:p>
    <w:p>
      <w:pPr>
        <w:spacing w:line="276"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签定日期：    年    月    日                   </w:t>
      </w:r>
    </w:p>
    <w:p>
      <w:pPr>
        <w:rPr>
          <w:lang w:eastAsia="zh-CN"/>
        </w:rPr>
      </w:pPr>
    </w:p>
    <w:p>
      <w:pPr>
        <w:pStyle w:val="2"/>
        <w:sectPr>
          <w:footerReference r:id="rId9" w:type="default"/>
          <w:pgSz w:w="11910" w:h="16840"/>
          <w:pgMar w:top="1480" w:right="1120" w:bottom="740" w:left="1300" w:header="0" w:footer="487" w:gutter="0"/>
          <w:cols w:space="720" w:num="1"/>
        </w:sectPr>
      </w:pPr>
    </w:p>
    <w:p>
      <w:pPr>
        <w:pStyle w:val="2"/>
        <w:rPr>
          <w:b/>
          <w:sz w:val="28"/>
          <w:szCs w:val="28"/>
        </w:rPr>
      </w:pPr>
    </w:p>
    <w:p>
      <w:pPr>
        <w:pStyle w:val="2"/>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spacing w:line="1000" w:lineRule="exact"/>
        <w:ind w:firstLine="1041" w:firstLineChars="200"/>
        <w:rPr>
          <w:rFonts w:ascii="微软雅黑" w:eastAsia="微软雅黑"/>
          <w:b/>
          <w:sz w:val="52"/>
          <w:u w:val="single"/>
          <w:lang w:eastAsia="zh-CN"/>
        </w:rPr>
      </w:pPr>
      <w:r>
        <w:rPr>
          <w:rFonts w:hint="eastAsia" w:ascii="微软雅黑" w:eastAsia="微软雅黑"/>
          <w:b/>
          <w:sz w:val="52"/>
          <w:u w:val="single"/>
          <w:lang w:eastAsia="zh-CN"/>
        </w:rPr>
        <w:t>福建福海创石油化工有限公司</w:t>
      </w:r>
    </w:p>
    <w:p>
      <w:pPr>
        <w:pStyle w:val="25"/>
        <w:spacing w:line="615" w:lineRule="exact"/>
        <w:rPr>
          <w:rFonts w:ascii="方正小标宋简体" w:hAnsi="方正小标宋简体" w:eastAsia="方正小标宋简体" w:cs="方正小标宋简体"/>
          <w:b/>
          <w:sz w:val="44"/>
          <w:szCs w:val="44"/>
          <w:lang w:eastAsia="zh-CN"/>
        </w:rPr>
      </w:pPr>
    </w:p>
    <w:p>
      <w:pPr>
        <w:spacing w:line="1000" w:lineRule="exact"/>
        <w:jc w:val="center"/>
        <w:rPr>
          <w:rFonts w:ascii="微软雅黑" w:eastAsia="微软雅黑"/>
          <w:b/>
          <w:sz w:val="52"/>
          <w:u w:val="single"/>
          <w:lang w:eastAsia="zh-CN"/>
        </w:rPr>
      </w:pPr>
      <w:r>
        <w:rPr>
          <w:rFonts w:hint="eastAsia" w:ascii="微软雅黑" w:eastAsia="微软雅黑"/>
          <w:b/>
          <w:sz w:val="52"/>
          <w:u w:val="single"/>
          <w:lang w:eastAsia="zh-CN"/>
        </w:rPr>
        <w:t>热电厂危险化学品重大危险辨识评估项目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9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9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9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8"/>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6</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7</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r>
              <w:rPr>
                <w:sz w:val="24"/>
                <w:lang w:eastAsia="zh-CN"/>
              </w:rPr>
              <w:t>商务参选文件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8"/>
          <w:szCs w:val="28"/>
          <w:u w:val="single"/>
          <w:lang w:eastAsia="zh-CN"/>
        </w:rPr>
        <w:t xml:space="preserve">                       </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eastAsia="zh-CN"/>
        </w:rPr>
        <w:t>2年  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pStyle w:val="2"/>
      </w:pPr>
    </w:p>
    <w:p>
      <w:pPr>
        <w:pStyle w:val="2"/>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pPr>
    </w:p>
    <w:p>
      <w:pPr>
        <w:pStyle w:val="2"/>
        <w:jc w:val="center"/>
      </w:pPr>
    </w:p>
    <w:p>
      <w:pPr>
        <w:rPr>
          <w:b/>
          <w:sz w:val="36"/>
          <w:szCs w:val="36"/>
          <w:lang w:eastAsia="zh-CN"/>
        </w:rPr>
      </w:pPr>
      <w:r>
        <w:rPr>
          <w:rFonts w:hint="eastAsia" w:ascii="Times New Roman" w:hAnsi="Times New Roman" w:cs="Times New Roman"/>
          <w:b/>
          <w:sz w:val="36"/>
          <w:szCs w:val="36"/>
          <w:lang w:eastAsia="zh-CN"/>
        </w:rPr>
        <w:t>参选报价单</w:t>
      </w:r>
    </w:p>
    <w:p>
      <w:pPr>
        <w:jc w:val="center"/>
        <w:rPr>
          <w:b/>
          <w:sz w:val="36"/>
          <w:szCs w:val="36"/>
          <w:lang w:eastAsia="zh-CN"/>
        </w:rPr>
      </w:pPr>
      <w:r>
        <w:rPr>
          <w:rFonts w:hint="eastAsia"/>
          <w:b/>
          <w:sz w:val="36"/>
          <w:szCs w:val="36"/>
          <w:lang w:eastAsia="zh-CN"/>
        </w:rPr>
        <w:t>报 价 单</w:t>
      </w:r>
    </w:p>
    <w:p>
      <w:pPr>
        <w:pStyle w:val="93"/>
        <w:spacing w:beforeLines="0" w:afterLines="0" w:line="240" w:lineRule="auto"/>
        <w:ind w:firstLineChars="0"/>
        <w:rPr>
          <w:rFonts w:ascii="Times New Roman" w:hAnsi="Times New Roman" w:cs="Times New Roman"/>
          <w:b/>
          <w:color w:val="FF0000"/>
          <w:sz w:val="24"/>
          <w:szCs w:val="24"/>
          <w:lang w:eastAsia="zh-CN"/>
        </w:rPr>
      </w:pPr>
    </w:p>
    <w:p>
      <w:pPr>
        <w:pStyle w:val="93"/>
        <w:spacing w:beforeLines="0" w:afterLines="0"/>
        <w:ind w:firstLine="0" w:firstLineChars="0"/>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w:t>
      </w:r>
      <w:r>
        <w:rPr>
          <w:rFonts w:hint="eastAsia"/>
          <w:sz w:val="24"/>
          <w:szCs w:val="24"/>
          <w:u w:val="single"/>
          <w:lang w:eastAsia="zh-CN"/>
        </w:rPr>
        <w:t xml:space="preserve">                                   </w:t>
      </w:r>
    </w:p>
    <w:p>
      <w:pPr>
        <w:pStyle w:val="20"/>
        <w:spacing w:line="360" w:lineRule="auto"/>
        <w:ind w:right="121"/>
        <w:jc w:val="both"/>
        <w:rPr>
          <w:lang w:eastAsia="zh-CN"/>
        </w:rPr>
      </w:pPr>
    </w:p>
    <w:p>
      <w:pPr>
        <w:pStyle w:val="20"/>
        <w:spacing w:line="360" w:lineRule="auto"/>
        <w:ind w:right="121"/>
        <w:jc w:val="both"/>
        <w:rPr>
          <w:color w:val="000000" w:themeColor="text1"/>
          <w:u w:val="single"/>
          <w:lang w:eastAsia="zh-CN"/>
          <w14:textFill>
            <w14:solidFill>
              <w14:schemeClr w14:val="tx1"/>
            </w14:solidFill>
          </w14:textFill>
        </w:rPr>
      </w:pPr>
      <w:r>
        <w:rPr>
          <w:rFonts w:hint="eastAsia"/>
          <w:lang w:eastAsia="zh-CN"/>
        </w:rPr>
        <w:t>项目名称：</w:t>
      </w:r>
      <w:r>
        <w:rPr>
          <w:rFonts w:hint="eastAsia"/>
          <w:color w:val="000000" w:themeColor="text1"/>
          <w:u w:val="single"/>
          <w:lang w:eastAsia="zh-CN"/>
          <w14:textFill>
            <w14:solidFill>
              <w14:schemeClr w14:val="tx1"/>
            </w14:solidFill>
          </w14:textFill>
        </w:rPr>
        <w:t>福建福海创石油化工有限公司热电厂危险化学品重大危险辨识评估项目</w:t>
      </w:r>
    </w:p>
    <w:p>
      <w:pPr>
        <w:spacing w:line="360" w:lineRule="auto"/>
        <w:ind w:firstLine="480" w:firstLineChars="200"/>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参选报价总计：</w:t>
      </w:r>
      <w:r>
        <w:rPr>
          <w:rFonts w:hint="eastAsia"/>
          <w:sz w:val="24"/>
          <w:szCs w:val="24"/>
          <w:u w:val="single"/>
          <w:lang w:eastAsia="zh-CN"/>
        </w:rPr>
        <w:t xml:space="preserve">                </w:t>
      </w:r>
      <w:r>
        <w:rPr>
          <w:rFonts w:hint="eastAsia"/>
          <w:sz w:val="24"/>
          <w:szCs w:val="24"/>
          <w:lang w:eastAsia="zh-CN"/>
        </w:rPr>
        <w:t>元 （包干含税总价）</w:t>
      </w:r>
    </w:p>
    <w:p>
      <w:pPr>
        <w:pStyle w:val="2"/>
        <w:numPr>
          <w:ilvl w:val="255"/>
          <w:numId w:val="0"/>
        </w:numPr>
      </w:pPr>
    </w:p>
    <w:p>
      <w:pPr>
        <w:pStyle w:val="2"/>
        <w:rPr>
          <w:sz w:val="24"/>
          <w:szCs w:val="24"/>
        </w:rPr>
      </w:pPr>
      <w:r>
        <w:rPr>
          <w:rFonts w:hint="eastAsia"/>
        </w:rPr>
        <w:t xml:space="preserve">   </w:t>
      </w:r>
      <w:r>
        <w:rPr>
          <w:rFonts w:hint="eastAsia"/>
          <w:sz w:val="24"/>
          <w:szCs w:val="24"/>
        </w:rPr>
        <w:t>注： 1、价格为含税价，税率：</w:t>
      </w:r>
      <w:r>
        <w:rPr>
          <w:rFonts w:hint="eastAsia"/>
          <w:sz w:val="24"/>
          <w:szCs w:val="24"/>
          <w:u w:val="single"/>
        </w:rPr>
        <w:t xml:space="preserve">         % </w:t>
      </w:r>
      <w:r>
        <w:rPr>
          <w:rFonts w:hint="eastAsia"/>
          <w:sz w:val="24"/>
          <w:szCs w:val="24"/>
        </w:rPr>
        <w:t>；</w:t>
      </w:r>
    </w:p>
    <w:p>
      <w:pPr>
        <w:pStyle w:val="2"/>
        <w:spacing w:line="360" w:lineRule="auto"/>
        <w:rPr>
          <w:sz w:val="24"/>
          <w:szCs w:val="24"/>
        </w:rPr>
      </w:pPr>
      <w:r>
        <w:rPr>
          <w:rFonts w:hint="eastAsia"/>
          <w:sz w:val="24"/>
          <w:szCs w:val="24"/>
        </w:rPr>
        <w:t xml:space="preserve">         2、付款方式：</w:t>
      </w:r>
      <w:r>
        <w:rPr>
          <w:rFonts w:hint="eastAsia"/>
          <w:bCs/>
          <w:sz w:val="24"/>
        </w:rPr>
        <w:t>全部款项均以电汇方式支付，验收合格后支付100%</w:t>
      </w:r>
      <w:r>
        <w:rPr>
          <w:rFonts w:hint="eastAsia"/>
          <w:sz w:val="24"/>
          <w:szCs w:val="24"/>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spacing w:line="360" w:lineRule="auto"/>
        <w:jc w:val="center"/>
        <w:rPr>
          <w:rFonts w:ascii="Times New Roman" w:hAnsi="Times New Roman"/>
          <w:sz w:val="28"/>
          <w:szCs w:val="28"/>
          <w:lang w:eastAsia="zh-CN"/>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bookmarkEnd w:id="0"/>
    <w:p>
      <w:pPr>
        <w:pStyle w:val="2"/>
        <w:jc w:val="left"/>
        <w:rPr>
          <w:sz w:val="21"/>
          <w:szCs w:val="21"/>
        </w:rPr>
      </w:pPr>
    </w:p>
    <w:sectPr>
      <w:footerReference r:id="rId10"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36</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36</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pPr>
                            <w:spacing w:line="219" w:lineRule="exact"/>
                            <w:ind w:left="20"/>
                            <w:rPr>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i9lMHZAAAADQEAAA8AAAAAAAAAAQAgAAAAIgAAAGRycy9kb3ducmV2Lnht&#10;bFBLAQIUABQAAAAIAIdO4kAHzTa5vwEAAIIDAAAOAAAAAAAAAAEAIAAAACgBAABkcnMvZTJvRG9j&#10;LnhtbFBLBQYAAAAABgAGAFkBAABZBQ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5680"/>
    </w:sdtPr>
    <w:sdtContent>
      <w:p>
        <w:pPr>
          <w:pStyle w:val="30"/>
          <w:jc w:val="center"/>
        </w:pPr>
        <w:r>
          <w:fldChar w:fldCharType="begin"/>
        </w:r>
        <w:r>
          <w:instrText xml:space="preserve"> PAGE   \* MERGEFORMAT </w:instrText>
        </w:r>
        <w:r>
          <w:fldChar w:fldCharType="separate"/>
        </w:r>
        <w:r>
          <w:rPr>
            <w:lang w:val="zh-CN"/>
          </w:rPr>
          <w:t>20</w:t>
        </w:r>
        <w:r>
          <w:rPr>
            <w:lang w:val="zh-CN"/>
          </w:rPr>
          <w:fldChar w:fldCharType="end"/>
        </w:r>
      </w:p>
    </w:sdtContent>
  </w:sdt>
  <w:p>
    <w:pPr>
      <w:pStyle w:val="20"/>
      <w:spacing w:line="14" w:lineRule="auto"/>
      <w:rPr>
        <w:sz w:val="1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28</w:t>
        </w:r>
        <w:r>
          <w:fldChar w:fldCharType="end"/>
        </w:r>
      </w:p>
    </w:sdtContent>
  </w:sdt>
  <w:p>
    <w:pPr>
      <w:pStyle w:val="20"/>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1">
    <w:nsid w:val="34D05BB2"/>
    <w:multiLevelType w:val="multilevel"/>
    <w:tmpl w:val="34D05BB2"/>
    <w:lvl w:ilvl="0" w:tentative="0">
      <w:start w:val="1"/>
      <w:numFmt w:val="japaneseCounting"/>
      <w:lvlText w:val="第%1条"/>
      <w:lvlJc w:val="left"/>
      <w:pPr>
        <w:tabs>
          <w:tab w:val="left" w:pos="1215"/>
        </w:tabs>
        <w:ind w:left="1215" w:hanging="855"/>
      </w:pPr>
      <w:rPr>
        <w:rFonts w:hint="default"/>
        <w:b/>
        <w:sz w:val="28"/>
        <w:szCs w:val="28"/>
      </w:rPr>
    </w:lvl>
    <w:lvl w:ilvl="1" w:tentative="0">
      <w:start w:val="1"/>
      <w:numFmt w:val="decimal"/>
      <w:lvlText w:val="%2、"/>
      <w:lvlJc w:val="left"/>
      <w:pPr>
        <w:tabs>
          <w:tab w:val="left" w:pos="1840"/>
        </w:tabs>
        <w:ind w:left="1840" w:hanging="720"/>
      </w:pPr>
      <w:rPr>
        <w:rFonts w:ascii="Times New Roman" w:hAnsi="Times New Roman" w:eastAsia="Times New Roman" w:cs="Times New Roman"/>
      </w:rPr>
    </w:lvl>
    <w:lvl w:ilvl="2" w:tentative="0">
      <w:start w:val="1"/>
      <w:numFmt w:val="lowerRoman"/>
      <w:lvlText w:val="%3."/>
      <w:lvlJc w:val="right"/>
      <w:pPr>
        <w:tabs>
          <w:tab w:val="left" w:pos="1960"/>
        </w:tabs>
        <w:ind w:left="1960" w:hanging="420"/>
      </w:pPr>
    </w:lvl>
    <w:lvl w:ilvl="3" w:tentative="0">
      <w:start w:val="1"/>
      <w:numFmt w:val="decimal"/>
      <w:lvlText w:val="%4."/>
      <w:lvlJc w:val="left"/>
      <w:pPr>
        <w:tabs>
          <w:tab w:val="left" w:pos="2380"/>
        </w:tabs>
        <w:ind w:left="2380" w:hanging="420"/>
      </w:pPr>
    </w:lvl>
    <w:lvl w:ilvl="4" w:tentative="0">
      <w:start w:val="1"/>
      <w:numFmt w:val="lowerLetter"/>
      <w:lvlText w:val="%5)"/>
      <w:lvlJc w:val="left"/>
      <w:pPr>
        <w:tabs>
          <w:tab w:val="left" w:pos="2800"/>
        </w:tabs>
        <w:ind w:left="2800" w:hanging="420"/>
      </w:pPr>
    </w:lvl>
    <w:lvl w:ilvl="5" w:tentative="0">
      <w:start w:val="1"/>
      <w:numFmt w:val="lowerRoman"/>
      <w:lvlText w:val="%6."/>
      <w:lvlJc w:val="right"/>
      <w:pPr>
        <w:tabs>
          <w:tab w:val="left" w:pos="3220"/>
        </w:tabs>
        <w:ind w:left="3220" w:hanging="420"/>
      </w:pPr>
    </w:lvl>
    <w:lvl w:ilvl="6" w:tentative="0">
      <w:start w:val="1"/>
      <w:numFmt w:val="decimal"/>
      <w:lvlText w:val="%7."/>
      <w:lvlJc w:val="left"/>
      <w:pPr>
        <w:tabs>
          <w:tab w:val="left" w:pos="3640"/>
        </w:tabs>
        <w:ind w:left="3640" w:hanging="420"/>
      </w:pPr>
    </w:lvl>
    <w:lvl w:ilvl="7" w:tentative="0">
      <w:start w:val="1"/>
      <w:numFmt w:val="lowerLetter"/>
      <w:lvlText w:val="%8)"/>
      <w:lvlJc w:val="left"/>
      <w:pPr>
        <w:tabs>
          <w:tab w:val="left" w:pos="4060"/>
        </w:tabs>
        <w:ind w:left="4060" w:hanging="420"/>
      </w:pPr>
    </w:lvl>
    <w:lvl w:ilvl="8" w:tentative="0">
      <w:start w:val="1"/>
      <w:numFmt w:val="lowerRoman"/>
      <w:lvlText w:val="%9."/>
      <w:lvlJc w:val="right"/>
      <w:pPr>
        <w:tabs>
          <w:tab w:val="left" w:pos="4480"/>
        </w:tabs>
        <w:ind w:left="4480" w:hanging="420"/>
      </w:pPr>
    </w:lvl>
  </w:abstractNum>
  <w:abstractNum w:abstractNumId="2">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ZDdhODNlMmM3NjQ3OGUyNjYwYTRmNmIzZTYzMjQifQ=="/>
  </w:docVars>
  <w:rsids>
    <w:rsidRoot w:val="00967702"/>
    <w:rsid w:val="000004E6"/>
    <w:rsid w:val="000010FA"/>
    <w:rsid w:val="00001416"/>
    <w:rsid w:val="000034C1"/>
    <w:rsid w:val="00004C5E"/>
    <w:rsid w:val="00024184"/>
    <w:rsid w:val="00025717"/>
    <w:rsid w:val="000277D1"/>
    <w:rsid w:val="000337DE"/>
    <w:rsid w:val="000367ED"/>
    <w:rsid w:val="00037D7F"/>
    <w:rsid w:val="00052C0E"/>
    <w:rsid w:val="00053AFA"/>
    <w:rsid w:val="00055F7B"/>
    <w:rsid w:val="00057E4C"/>
    <w:rsid w:val="000600D0"/>
    <w:rsid w:val="00060DB7"/>
    <w:rsid w:val="00065E22"/>
    <w:rsid w:val="0006689C"/>
    <w:rsid w:val="000674E3"/>
    <w:rsid w:val="000718A1"/>
    <w:rsid w:val="00074760"/>
    <w:rsid w:val="00074EAF"/>
    <w:rsid w:val="00076011"/>
    <w:rsid w:val="00085CA2"/>
    <w:rsid w:val="00092243"/>
    <w:rsid w:val="0009500D"/>
    <w:rsid w:val="000962C0"/>
    <w:rsid w:val="000A1C86"/>
    <w:rsid w:val="000A6182"/>
    <w:rsid w:val="000B0914"/>
    <w:rsid w:val="000B2F35"/>
    <w:rsid w:val="000C1FAD"/>
    <w:rsid w:val="000C57EB"/>
    <w:rsid w:val="000C629C"/>
    <w:rsid w:val="000C6E84"/>
    <w:rsid w:val="000D1175"/>
    <w:rsid w:val="000D1AB8"/>
    <w:rsid w:val="000D35CF"/>
    <w:rsid w:val="000D51F3"/>
    <w:rsid w:val="000E505B"/>
    <w:rsid w:val="000F116F"/>
    <w:rsid w:val="000F15E9"/>
    <w:rsid w:val="000F27AD"/>
    <w:rsid w:val="000F39C1"/>
    <w:rsid w:val="000F4255"/>
    <w:rsid w:val="00101100"/>
    <w:rsid w:val="00105AC2"/>
    <w:rsid w:val="0011079D"/>
    <w:rsid w:val="00111D19"/>
    <w:rsid w:val="00112B7E"/>
    <w:rsid w:val="001150C5"/>
    <w:rsid w:val="00122E24"/>
    <w:rsid w:val="00124CF9"/>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1851"/>
    <w:rsid w:val="0025699E"/>
    <w:rsid w:val="002578E6"/>
    <w:rsid w:val="00263085"/>
    <w:rsid w:val="002648A2"/>
    <w:rsid w:val="0026725A"/>
    <w:rsid w:val="00270CE4"/>
    <w:rsid w:val="00273DCB"/>
    <w:rsid w:val="002855A5"/>
    <w:rsid w:val="002859D4"/>
    <w:rsid w:val="00285F4F"/>
    <w:rsid w:val="00287A75"/>
    <w:rsid w:val="00290ADB"/>
    <w:rsid w:val="00290B7A"/>
    <w:rsid w:val="002971E6"/>
    <w:rsid w:val="002A37F4"/>
    <w:rsid w:val="002A4126"/>
    <w:rsid w:val="002A68F0"/>
    <w:rsid w:val="002B042F"/>
    <w:rsid w:val="002B3B47"/>
    <w:rsid w:val="002B6416"/>
    <w:rsid w:val="002C6A2D"/>
    <w:rsid w:val="002D4CF8"/>
    <w:rsid w:val="002E0F0C"/>
    <w:rsid w:val="002E3036"/>
    <w:rsid w:val="002E49DF"/>
    <w:rsid w:val="002E4DB0"/>
    <w:rsid w:val="002E53B4"/>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0BF1"/>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53F00"/>
    <w:rsid w:val="0046376D"/>
    <w:rsid w:val="00465443"/>
    <w:rsid w:val="00465D19"/>
    <w:rsid w:val="004717A1"/>
    <w:rsid w:val="0047282D"/>
    <w:rsid w:val="0047402F"/>
    <w:rsid w:val="00481DEF"/>
    <w:rsid w:val="004835AF"/>
    <w:rsid w:val="0048638A"/>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191E"/>
    <w:rsid w:val="005C3517"/>
    <w:rsid w:val="005C6A76"/>
    <w:rsid w:val="005D5BB2"/>
    <w:rsid w:val="005E2211"/>
    <w:rsid w:val="005E2CFD"/>
    <w:rsid w:val="005E2EB3"/>
    <w:rsid w:val="005E7AF2"/>
    <w:rsid w:val="005F21D1"/>
    <w:rsid w:val="005F32BA"/>
    <w:rsid w:val="005F4BA4"/>
    <w:rsid w:val="00603968"/>
    <w:rsid w:val="006051AD"/>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11DBA"/>
    <w:rsid w:val="008153CC"/>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67180"/>
    <w:rsid w:val="008725C6"/>
    <w:rsid w:val="00876586"/>
    <w:rsid w:val="00881942"/>
    <w:rsid w:val="00884F0D"/>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26A3C"/>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E7D8D"/>
    <w:rsid w:val="009F0778"/>
    <w:rsid w:val="009F2485"/>
    <w:rsid w:val="009F26B5"/>
    <w:rsid w:val="009F6299"/>
    <w:rsid w:val="00A06684"/>
    <w:rsid w:val="00A149E5"/>
    <w:rsid w:val="00A153FC"/>
    <w:rsid w:val="00A2542D"/>
    <w:rsid w:val="00A278D7"/>
    <w:rsid w:val="00A33603"/>
    <w:rsid w:val="00A367C8"/>
    <w:rsid w:val="00A37693"/>
    <w:rsid w:val="00A40E04"/>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3161"/>
    <w:rsid w:val="00AD4DAF"/>
    <w:rsid w:val="00AD66E2"/>
    <w:rsid w:val="00AF42BA"/>
    <w:rsid w:val="00AF45D7"/>
    <w:rsid w:val="00AF5870"/>
    <w:rsid w:val="00B04CA6"/>
    <w:rsid w:val="00B101F1"/>
    <w:rsid w:val="00B135AA"/>
    <w:rsid w:val="00B17438"/>
    <w:rsid w:val="00B2137B"/>
    <w:rsid w:val="00B3047D"/>
    <w:rsid w:val="00B31994"/>
    <w:rsid w:val="00B33D45"/>
    <w:rsid w:val="00B34D76"/>
    <w:rsid w:val="00B36554"/>
    <w:rsid w:val="00B415F9"/>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026"/>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2C3E"/>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55E"/>
    <w:rsid w:val="00C5267D"/>
    <w:rsid w:val="00C53E9A"/>
    <w:rsid w:val="00C563B3"/>
    <w:rsid w:val="00C6183F"/>
    <w:rsid w:val="00C620EB"/>
    <w:rsid w:val="00C6491F"/>
    <w:rsid w:val="00C71916"/>
    <w:rsid w:val="00C76112"/>
    <w:rsid w:val="00C8037B"/>
    <w:rsid w:val="00C8060B"/>
    <w:rsid w:val="00C85C83"/>
    <w:rsid w:val="00C864FC"/>
    <w:rsid w:val="00C8727A"/>
    <w:rsid w:val="00C87DC5"/>
    <w:rsid w:val="00C913CE"/>
    <w:rsid w:val="00C92DBD"/>
    <w:rsid w:val="00C93BEF"/>
    <w:rsid w:val="00CA54A9"/>
    <w:rsid w:val="00CB104E"/>
    <w:rsid w:val="00CB2E01"/>
    <w:rsid w:val="00CB3440"/>
    <w:rsid w:val="00CB5189"/>
    <w:rsid w:val="00CB5372"/>
    <w:rsid w:val="00CB5E29"/>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2854"/>
    <w:rsid w:val="00D265B9"/>
    <w:rsid w:val="00D31E91"/>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2DCE"/>
    <w:rsid w:val="00DA5752"/>
    <w:rsid w:val="00DA7F1E"/>
    <w:rsid w:val="00DC4B10"/>
    <w:rsid w:val="00DD3B90"/>
    <w:rsid w:val="00DD56C2"/>
    <w:rsid w:val="00DD73F9"/>
    <w:rsid w:val="00DE0812"/>
    <w:rsid w:val="00DE1B99"/>
    <w:rsid w:val="00DE1DCB"/>
    <w:rsid w:val="00DE63EC"/>
    <w:rsid w:val="00DF35F4"/>
    <w:rsid w:val="00DF41E5"/>
    <w:rsid w:val="00DF463A"/>
    <w:rsid w:val="00DF71FF"/>
    <w:rsid w:val="00E00780"/>
    <w:rsid w:val="00E068F1"/>
    <w:rsid w:val="00E12E5B"/>
    <w:rsid w:val="00E13875"/>
    <w:rsid w:val="00E155F5"/>
    <w:rsid w:val="00E21054"/>
    <w:rsid w:val="00E23C5D"/>
    <w:rsid w:val="00E265D8"/>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0605"/>
    <w:rsid w:val="00EA2B35"/>
    <w:rsid w:val="00EA5A6E"/>
    <w:rsid w:val="00EC4D7E"/>
    <w:rsid w:val="00EC50D4"/>
    <w:rsid w:val="00EC5462"/>
    <w:rsid w:val="00ED19AE"/>
    <w:rsid w:val="00ED20C8"/>
    <w:rsid w:val="00ED2C9E"/>
    <w:rsid w:val="00ED4FC5"/>
    <w:rsid w:val="00EF1FCA"/>
    <w:rsid w:val="00EF29C6"/>
    <w:rsid w:val="00EF5762"/>
    <w:rsid w:val="00EF6FC7"/>
    <w:rsid w:val="00EF7961"/>
    <w:rsid w:val="00F024A8"/>
    <w:rsid w:val="00F04BFC"/>
    <w:rsid w:val="00F04FCE"/>
    <w:rsid w:val="00F076B3"/>
    <w:rsid w:val="00F10B09"/>
    <w:rsid w:val="00F115FB"/>
    <w:rsid w:val="00F11707"/>
    <w:rsid w:val="00F16EFB"/>
    <w:rsid w:val="00F17C03"/>
    <w:rsid w:val="00F17FFC"/>
    <w:rsid w:val="00F2580C"/>
    <w:rsid w:val="00F264D9"/>
    <w:rsid w:val="00F33B6B"/>
    <w:rsid w:val="00F37425"/>
    <w:rsid w:val="00F418B2"/>
    <w:rsid w:val="00F43F82"/>
    <w:rsid w:val="00F51F3C"/>
    <w:rsid w:val="00F53D9C"/>
    <w:rsid w:val="00F5592F"/>
    <w:rsid w:val="00F6409E"/>
    <w:rsid w:val="00F67332"/>
    <w:rsid w:val="00F67E1E"/>
    <w:rsid w:val="00F73211"/>
    <w:rsid w:val="00F77283"/>
    <w:rsid w:val="00F772C3"/>
    <w:rsid w:val="00F80338"/>
    <w:rsid w:val="00F81A93"/>
    <w:rsid w:val="00F84F93"/>
    <w:rsid w:val="00F8501D"/>
    <w:rsid w:val="00F863A4"/>
    <w:rsid w:val="00FA12B9"/>
    <w:rsid w:val="00FA78C0"/>
    <w:rsid w:val="00FB0C70"/>
    <w:rsid w:val="00FB7A38"/>
    <w:rsid w:val="00FC6A22"/>
    <w:rsid w:val="00FD0D54"/>
    <w:rsid w:val="00FD1B14"/>
    <w:rsid w:val="00FD1DC9"/>
    <w:rsid w:val="00FD29D5"/>
    <w:rsid w:val="00FE65F9"/>
    <w:rsid w:val="00FF49E8"/>
    <w:rsid w:val="00FF5F83"/>
    <w:rsid w:val="00FF6972"/>
    <w:rsid w:val="023F7DE1"/>
    <w:rsid w:val="03380F32"/>
    <w:rsid w:val="0367315B"/>
    <w:rsid w:val="03B3341D"/>
    <w:rsid w:val="061139E5"/>
    <w:rsid w:val="06F50B00"/>
    <w:rsid w:val="076E1278"/>
    <w:rsid w:val="08D1141D"/>
    <w:rsid w:val="0B296DE2"/>
    <w:rsid w:val="0D1B22D7"/>
    <w:rsid w:val="10294AA3"/>
    <w:rsid w:val="10E40CA0"/>
    <w:rsid w:val="10F038ED"/>
    <w:rsid w:val="11501AE0"/>
    <w:rsid w:val="131773B4"/>
    <w:rsid w:val="136130D9"/>
    <w:rsid w:val="13805E8A"/>
    <w:rsid w:val="14762538"/>
    <w:rsid w:val="15800409"/>
    <w:rsid w:val="15836462"/>
    <w:rsid w:val="15902B35"/>
    <w:rsid w:val="173600E6"/>
    <w:rsid w:val="18DD4F7E"/>
    <w:rsid w:val="195B58A2"/>
    <w:rsid w:val="1989465C"/>
    <w:rsid w:val="19C972E2"/>
    <w:rsid w:val="1CA924ED"/>
    <w:rsid w:val="1E085A14"/>
    <w:rsid w:val="1FF43DDB"/>
    <w:rsid w:val="2167018C"/>
    <w:rsid w:val="21933AA2"/>
    <w:rsid w:val="22C30E7A"/>
    <w:rsid w:val="22F62969"/>
    <w:rsid w:val="25BF356F"/>
    <w:rsid w:val="25DB0C2D"/>
    <w:rsid w:val="269469E7"/>
    <w:rsid w:val="26EF5299"/>
    <w:rsid w:val="27064A3F"/>
    <w:rsid w:val="27EE0826"/>
    <w:rsid w:val="2998140D"/>
    <w:rsid w:val="29FC3B14"/>
    <w:rsid w:val="2A1E72AE"/>
    <w:rsid w:val="2A8D0A71"/>
    <w:rsid w:val="2B11792E"/>
    <w:rsid w:val="2C7C6C0E"/>
    <w:rsid w:val="2DC757D9"/>
    <w:rsid w:val="2F724BD0"/>
    <w:rsid w:val="30E829F3"/>
    <w:rsid w:val="31C54755"/>
    <w:rsid w:val="3216608C"/>
    <w:rsid w:val="33791178"/>
    <w:rsid w:val="34CE14C6"/>
    <w:rsid w:val="34D84CEC"/>
    <w:rsid w:val="35560C7C"/>
    <w:rsid w:val="37AF5AB7"/>
    <w:rsid w:val="38127D26"/>
    <w:rsid w:val="39B6757C"/>
    <w:rsid w:val="3B1C3371"/>
    <w:rsid w:val="3C922DFF"/>
    <w:rsid w:val="3CC23198"/>
    <w:rsid w:val="3DDF4815"/>
    <w:rsid w:val="3EAE0563"/>
    <w:rsid w:val="3F027B25"/>
    <w:rsid w:val="3FE669E5"/>
    <w:rsid w:val="43EC4B0B"/>
    <w:rsid w:val="462A54F2"/>
    <w:rsid w:val="484F4A34"/>
    <w:rsid w:val="49C8064F"/>
    <w:rsid w:val="4A6A5207"/>
    <w:rsid w:val="4C8175A5"/>
    <w:rsid w:val="4E581BBB"/>
    <w:rsid w:val="50F63E28"/>
    <w:rsid w:val="5221007F"/>
    <w:rsid w:val="52926B5A"/>
    <w:rsid w:val="52F74B88"/>
    <w:rsid w:val="545C5E51"/>
    <w:rsid w:val="5486175B"/>
    <w:rsid w:val="54C676FE"/>
    <w:rsid w:val="551D3B87"/>
    <w:rsid w:val="55E32A21"/>
    <w:rsid w:val="57667D24"/>
    <w:rsid w:val="57CE5BC3"/>
    <w:rsid w:val="59C5385A"/>
    <w:rsid w:val="5A2D3E44"/>
    <w:rsid w:val="5A3260D4"/>
    <w:rsid w:val="5AE1516A"/>
    <w:rsid w:val="5B6A3A79"/>
    <w:rsid w:val="5B847843"/>
    <w:rsid w:val="5C1A5F7B"/>
    <w:rsid w:val="5D7A3273"/>
    <w:rsid w:val="5E2B4120"/>
    <w:rsid w:val="5EE536B6"/>
    <w:rsid w:val="5F9C62EA"/>
    <w:rsid w:val="610976C7"/>
    <w:rsid w:val="628D3982"/>
    <w:rsid w:val="62DF663A"/>
    <w:rsid w:val="645771F8"/>
    <w:rsid w:val="66197DFB"/>
    <w:rsid w:val="66CC0AF0"/>
    <w:rsid w:val="671D5FAE"/>
    <w:rsid w:val="676640B6"/>
    <w:rsid w:val="693C3D94"/>
    <w:rsid w:val="6A54112D"/>
    <w:rsid w:val="6A701C86"/>
    <w:rsid w:val="6AA035AE"/>
    <w:rsid w:val="6BCB034D"/>
    <w:rsid w:val="6C0E1756"/>
    <w:rsid w:val="6C3B7BA1"/>
    <w:rsid w:val="6DC956E5"/>
    <w:rsid w:val="6E0F2E14"/>
    <w:rsid w:val="6E8118C3"/>
    <w:rsid w:val="6F1E141D"/>
    <w:rsid w:val="6F5354F8"/>
    <w:rsid w:val="71DE66EF"/>
    <w:rsid w:val="727810B8"/>
    <w:rsid w:val="740A2BDE"/>
    <w:rsid w:val="751839E0"/>
    <w:rsid w:val="76274F93"/>
    <w:rsid w:val="79EB3F2F"/>
    <w:rsid w:val="79FD3C4B"/>
    <w:rsid w:val="7B11789E"/>
    <w:rsid w:val="7D250FF6"/>
    <w:rsid w:val="7D434948"/>
    <w:rsid w:val="7D7801C5"/>
    <w:rsid w:val="7DC94A0A"/>
    <w:rsid w:val="7F3C61CA"/>
    <w:rsid w:val="7FE75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99" w:semiHidden="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7"/>
    <w:qFormat/>
    <w:uiPriority w:val="0"/>
    <w:pPr>
      <w:ind w:left="538"/>
      <w:outlineLvl w:val="0"/>
    </w:pPr>
    <w:rPr>
      <w:b/>
      <w:bCs/>
      <w:sz w:val="28"/>
      <w:szCs w:val="28"/>
    </w:rPr>
  </w:style>
  <w:style w:type="paragraph" w:styleId="4">
    <w:name w:val="heading 2"/>
    <w:basedOn w:val="1"/>
    <w:next w:val="1"/>
    <w:link w:val="58"/>
    <w:qFormat/>
    <w:uiPriority w:val="0"/>
    <w:pPr>
      <w:ind w:left="629"/>
      <w:outlineLvl w:val="1"/>
    </w:pPr>
    <w:rPr>
      <w:b/>
      <w:bCs/>
      <w:sz w:val="24"/>
      <w:szCs w:val="24"/>
    </w:rPr>
  </w:style>
  <w:style w:type="paragraph" w:styleId="5">
    <w:name w:val="heading 3"/>
    <w:basedOn w:val="1"/>
    <w:next w:val="1"/>
    <w:link w:val="59"/>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0"/>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1"/>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2"/>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4"/>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5"/>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6"/>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0">
    <w:name w:val="Default Paragraph Font"/>
    <w:semiHidden/>
    <w:unhideWhenUsed/>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16">
    <w:name w:val="Document Map"/>
    <w:basedOn w:val="1"/>
    <w:link w:val="67"/>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68"/>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69"/>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0"/>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1"/>
    <w:qFormat/>
    <w:uiPriority w:val="0"/>
    <w:rPr>
      <w:sz w:val="24"/>
      <w:szCs w:val="24"/>
    </w:rPr>
  </w:style>
  <w:style w:type="paragraph" w:styleId="21">
    <w:name w:val="Body Text Indent"/>
    <w:basedOn w:val="1"/>
    <w:link w:val="72"/>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39"/>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3"/>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74"/>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7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76"/>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7"/>
    <w:qFormat/>
    <w:uiPriority w:val="99"/>
    <w:pPr>
      <w:tabs>
        <w:tab w:val="center" w:pos="4153"/>
        <w:tab w:val="right" w:pos="8306"/>
      </w:tabs>
      <w:snapToGrid w:val="0"/>
    </w:pPr>
    <w:rPr>
      <w:sz w:val="18"/>
      <w:szCs w:val="18"/>
    </w:rPr>
  </w:style>
  <w:style w:type="paragraph" w:styleId="31">
    <w:name w:val="header"/>
    <w:basedOn w:val="1"/>
    <w:link w:val="7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79"/>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List"/>
    <w:basedOn w:val="1"/>
    <w:qFormat/>
    <w:uiPriority w:val="0"/>
    <w:pPr>
      <w:widowControl/>
      <w:autoSpaceDE/>
      <w:autoSpaceDN/>
      <w:ind w:left="420" w:hanging="420"/>
    </w:pPr>
    <w:rPr>
      <w:rFonts w:hAnsi="Times New Roman" w:cs="Times New Roman"/>
      <w:szCs w:val="20"/>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0"/>
    <w:qFormat/>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qFormat/>
    <w:uiPriority w:val="39"/>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1"/>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84"/>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5"/>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6">
    <w:name w:val="annotation subject"/>
    <w:basedOn w:val="17"/>
    <w:next w:val="17"/>
    <w:link w:val="86"/>
    <w:qFormat/>
    <w:uiPriority w:val="0"/>
    <w:pPr>
      <w:widowControl/>
    </w:pPr>
    <w:rPr>
      <w:b/>
      <w:bCs/>
      <w:sz w:val="24"/>
      <w:szCs w:val="24"/>
    </w:rPr>
  </w:style>
  <w:style w:type="paragraph" w:styleId="47">
    <w:name w:val="Body Text First Indent"/>
    <w:basedOn w:val="20"/>
    <w:link w:val="87"/>
    <w:qFormat/>
    <w:uiPriority w:val="0"/>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22"/>
    <w:rPr>
      <w:b/>
      <w:bCs/>
    </w:rPr>
  </w:style>
  <w:style w:type="character" w:styleId="52">
    <w:name w:val="page number"/>
    <w:basedOn w:val="50"/>
    <w:qFormat/>
    <w:uiPriority w:val="0"/>
  </w:style>
  <w:style w:type="character" w:styleId="53">
    <w:name w:val="FollowedHyperlink"/>
    <w:basedOn w:val="50"/>
    <w:qFormat/>
    <w:uiPriority w:val="99"/>
    <w:rPr>
      <w:color w:val="800080"/>
      <w:u w:val="single"/>
    </w:rPr>
  </w:style>
  <w:style w:type="character" w:styleId="54">
    <w:name w:val="Emphasis"/>
    <w:basedOn w:val="50"/>
    <w:qFormat/>
    <w:uiPriority w:val="0"/>
  </w:style>
  <w:style w:type="character" w:styleId="55">
    <w:name w:val="Hyperlink"/>
    <w:basedOn w:val="50"/>
    <w:qFormat/>
    <w:uiPriority w:val="99"/>
    <w:rPr>
      <w:color w:val="0000FF" w:themeColor="hyperlink"/>
      <w:u w:val="single"/>
      <w14:textFill>
        <w14:solidFill>
          <w14:schemeClr w14:val="hlink"/>
        </w14:solidFill>
      </w14:textFill>
    </w:rPr>
  </w:style>
  <w:style w:type="character" w:styleId="56">
    <w:name w:val="annotation reference"/>
    <w:basedOn w:val="50"/>
    <w:qFormat/>
    <w:uiPriority w:val="0"/>
    <w:rPr>
      <w:sz w:val="21"/>
      <w:szCs w:val="21"/>
    </w:rPr>
  </w:style>
  <w:style w:type="character" w:customStyle="1" w:styleId="57">
    <w:name w:val="标题 1 Char"/>
    <w:basedOn w:val="50"/>
    <w:link w:val="3"/>
    <w:qFormat/>
    <w:uiPriority w:val="0"/>
    <w:rPr>
      <w:rFonts w:ascii="宋体" w:hAnsi="宋体" w:cs="宋体"/>
      <w:b/>
      <w:bCs/>
      <w:sz w:val="28"/>
      <w:szCs w:val="28"/>
      <w:lang w:eastAsia="en-US"/>
    </w:rPr>
  </w:style>
  <w:style w:type="character" w:customStyle="1" w:styleId="58">
    <w:name w:val="标题 2 Char"/>
    <w:basedOn w:val="50"/>
    <w:link w:val="4"/>
    <w:qFormat/>
    <w:uiPriority w:val="0"/>
    <w:rPr>
      <w:rFonts w:ascii="宋体" w:hAnsi="宋体" w:cs="宋体"/>
      <w:b/>
      <w:bCs/>
      <w:sz w:val="24"/>
      <w:szCs w:val="24"/>
      <w:lang w:eastAsia="en-US"/>
    </w:rPr>
  </w:style>
  <w:style w:type="character" w:customStyle="1" w:styleId="59">
    <w:name w:val="标题 3 Char"/>
    <w:basedOn w:val="50"/>
    <w:link w:val="5"/>
    <w:qFormat/>
    <w:uiPriority w:val="0"/>
    <w:rPr>
      <w:b/>
      <w:bCs/>
      <w:kern w:val="2"/>
      <w:sz w:val="32"/>
      <w:szCs w:val="32"/>
    </w:rPr>
  </w:style>
  <w:style w:type="character" w:customStyle="1" w:styleId="60">
    <w:name w:val="标题 4 Char"/>
    <w:basedOn w:val="50"/>
    <w:link w:val="6"/>
    <w:qFormat/>
    <w:uiPriority w:val="0"/>
    <w:rPr>
      <w:b/>
      <w:kern w:val="2"/>
      <w:sz w:val="24"/>
      <w:szCs w:val="24"/>
    </w:rPr>
  </w:style>
  <w:style w:type="character" w:customStyle="1" w:styleId="61">
    <w:name w:val="标题 5 Char"/>
    <w:basedOn w:val="50"/>
    <w:link w:val="7"/>
    <w:qFormat/>
    <w:uiPriority w:val="0"/>
    <w:rPr>
      <w:b/>
      <w:bCs/>
      <w:kern w:val="2"/>
      <w:sz w:val="28"/>
      <w:szCs w:val="28"/>
    </w:rPr>
  </w:style>
  <w:style w:type="character" w:customStyle="1" w:styleId="62">
    <w:name w:val="标题 6 Char"/>
    <w:basedOn w:val="50"/>
    <w:link w:val="8"/>
    <w:qFormat/>
    <w:uiPriority w:val="0"/>
    <w:rPr>
      <w:b/>
      <w:sz w:val="24"/>
    </w:rPr>
  </w:style>
  <w:style w:type="character" w:customStyle="1" w:styleId="63">
    <w:name w:val="正文缩进 Char"/>
    <w:basedOn w:val="50"/>
    <w:link w:val="10"/>
    <w:qFormat/>
    <w:uiPriority w:val="0"/>
    <w:rPr>
      <w:sz w:val="24"/>
    </w:rPr>
  </w:style>
  <w:style w:type="character" w:customStyle="1" w:styleId="64">
    <w:name w:val="标题 7 Char"/>
    <w:basedOn w:val="50"/>
    <w:link w:val="9"/>
    <w:qFormat/>
    <w:uiPriority w:val="0"/>
    <w:rPr>
      <w:b/>
      <w:kern w:val="2"/>
      <w:sz w:val="24"/>
    </w:rPr>
  </w:style>
  <w:style w:type="character" w:customStyle="1" w:styleId="65">
    <w:name w:val="标题 8 Char"/>
    <w:basedOn w:val="50"/>
    <w:link w:val="11"/>
    <w:qFormat/>
    <w:uiPriority w:val="0"/>
    <w:rPr>
      <w:rFonts w:ascii="Arial" w:hAnsi="Arial" w:eastAsia="黑体"/>
      <w:kern w:val="2"/>
      <w:sz w:val="24"/>
    </w:rPr>
  </w:style>
  <w:style w:type="character" w:customStyle="1" w:styleId="66">
    <w:name w:val="标题 9 Char"/>
    <w:basedOn w:val="50"/>
    <w:link w:val="12"/>
    <w:qFormat/>
    <w:uiPriority w:val="0"/>
    <w:rPr>
      <w:rFonts w:ascii="Arial" w:hAnsi="Arial" w:eastAsia="黑体"/>
      <w:kern w:val="2"/>
      <w:sz w:val="21"/>
    </w:rPr>
  </w:style>
  <w:style w:type="character" w:customStyle="1" w:styleId="67">
    <w:name w:val="文档结构图 Char"/>
    <w:basedOn w:val="50"/>
    <w:link w:val="16"/>
    <w:qFormat/>
    <w:uiPriority w:val="0"/>
    <w:rPr>
      <w:rFonts w:ascii="宋体"/>
      <w:sz w:val="28"/>
      <w:shd w:val="clear" w:color="auto" w:fill="000080"/>
    </w:rPr>
  </w:style>
  <w:style w:type="character" w:customStyle="1" w:styleId="68">
    <w:name w:val="批注文字 Char"/>
    <w:basedOn w:val="50"/>
    <w:link w:val="17"/>
    <w:qFormat/>
    <w:uiPriority w:val="0"/>
    <w:rPr>
      <w:kern w:val="2"/>
      <w:sz w:val="21"/>
    </w:rPr>
  </w:style>
  <w:style w:type="character" w:customStyle="1" w:styleId="69">
    <w:name w:val="正文文本 3 Char"/>
    <w:basedOn w:val="50"/>
    <w:link w:val="18"/>
    <w:qFormat/>
    <w:uiPriority w:val="0"/>
    <w:rPr>
      <w:color w:val="0000FF"/>
      <w:kern w:val="2"/>
      <w:sz w:val="24"/>
      <w:szCs w:val="24"/>
    </w:rPr>
  </w:style>
  <w:style w:type="character" w:customStyle="1" w:styleId="70">
    <w:name w:val="结束语 Char"/>
    <w:basedOn w:val="50"/>
    <w:link w:val="19"/>
    <w:qFormat/>
    <w:uiPriority w:val="99"/>
    <w:rPr>
      <w:b/>
      <w:kern w:val="2"/>
      <w:sz w:val="21"/>
    </w:rPr>
  </w:style>
  <w:style w:type="character" w:customStyle="1" w:styleId="71">
    <w:name w:val="正文文本 Char1"/>
    <w:basedOn w:val="50"/>
    <w:link w:val="20"/>
    <w:qFormat/>
    <w:uiPriority w:val="0"/>
    <w:rPr>
      <w:rFonts w:ascii="宋体" w:hAnsi="宋体" w:cs="宋体"/>
      <w:sz w:val="24"/>
      <w:szCs w:val="24"/>
      <w:lang w:eastAsia="en-US"/>
    </w:rPr>
  </w:style>
  <w:style w:type="character" w:customStyle="1" w:styleId="72">
    <w:name w:val="正文文本缩进 Char"/>
    <w:basedOn w:val="50"/>
    <w:link w:val="21"/>
    <w:qFormat/>
    <w:uiPriority w:val="0"/>
    <w:rPr>
      <w:i/>
      <w:iCs/>
      <w:kern w:val="2"/>
      <w:sz w:val="21"/>
    </w:rPr>
  </w:style>
  <w:style w:type="character" w:customStyle="1" w:styleId="73">
    <w:name w:val="纯文本 Char"/>
    <w:basedOn w:val="50"/>
    <w:link w:val="25"/>
    <w:qFormat/>
    <w:uiPriority w:val="99"/>
    <w:rPr>
      <w:rFonts w:ascii="宋体" w:hAnsi="Courier New" w:cs="Courier New"/>
      <w:sz w:val="22"/>
      <w:szCs w:val="21"/>
      <w:lang w:eastAsia="en-US"/>
    </w:rPr>
  </w:style>
  <w:style w:type="character" w:customStyle="1" w:styleId="74">
    <w:name w:val="日期 Char"/>
    <w:basedOn w:val="50"/>
    <w:link w:val="27"/>
    <w:qFormat/>
    <w:uiPriority w:val="0"/>
    <w:rPr>
      <w:kern w:val="2"/>
      <w:sz w:val="21"/>
      <w:szCs w:val="24"/>
    </w:rPr>
  </w:style>
  <w:style w:type="character" w:customStyle="1" w:styleId="75">
    <w:name w:val="正文文本缩进 2 Char"/>
    <w:basedOn w:val="50"/>
    <w:link w:val="28"/>
    <w:qFormat/>
    <w:uiPriority w:val="0"/>
    <w:rPr>
      <w:rFonts w:ascii="宋体" w:hAnsi="宋体"/>
      <w:iCs/>
      <w:kern w:val="2"/>
      <w:sz w:val="24"/>
      <w:szCs w:val="24"/>
    </w:rPr>
  </w:style>
  <w:style w:type="character" w:customStyle="1" w:styleId="76">
    <w:name w:val="批注框文本 Char"/>
    <w:basedOn w:val="50"/>
    <w:link w:val="29"/>
    <w:qFormat/>
    <w:uiPriority w:val="0"/>
    <w:rPr>
      <w:kern w:val="2"/>
      <w:sz w:val="18"/>
      <w:szCs w:val="18"/>
    </w:rPr>
  </w:style>
  <w:style w:type="character" w:customStyle="1" w:styleId="77">
    <w:name w:val="页脚 Char"/>
    <w:basedOn w:val="50"/>
    <w:link w:val="30"/>
    <w:qFormat/>
    <w:uiPriority w:val="99"/>
    <w:rPr>
      <w:rFonts w:ascii="宋体" w:hAnsi="宋体" w:cs="宋体"/>
      <w:sz w:val="18"/>
      <w:szCs w:val="18"/>
      <w:lang w:eastAsia="en-US"/>
    </w:rPr>
  </w:style>
  <w:style w:type="character" w:customStyle="1" w:styleId="78">
    <w:name w:val="页眉 Char"/>
    <w:basedOn w:val="50"/>
    <w:link w:val="31"/>
    <w:qFormat/>
    <w:uiPriority w:val="0"/>
    <w:rPr>
      <w:rFonts w:ascii="宋体" w:hAnsi="宋体" w:cs="宋体"/>
      <w:sz w:val="18"/>
      <w:szCs w:val="22"/>
      <w:lang w:eastAsia="en-US"/>
    </w:rPr>
  </w:style>
  <w:style w:type="character" w:customStyle="1" w:styleId="79">
    <w:name w:val="副标题 Char"/>
    <w:link w:val="34"/>
    <w:qFormat/>
    <w:uiPriority w:val="0"/>
    <w:rPr>
      <w:rFonts w:ascii="Cambria" w:hAnsi="Cambria"/>
      <w:b/>
      <w:bCs/>
      <w:kern w:val="28"/>
      <w:sz w:val="24"/>
      <w:szCs w:val="32"/>
    </w:rPr>
  </w:style>
  <w:style w:type="character" w:customStyle="1" w:styleId="80">
    <w:name w:val="正文文本缩进 3 Char"/>
    <w:basedOn w:val="50"/>
    <w:link w:val="37"/>
    <w:qFormat/>
    <w:uiPriority w:val="0"/>
    <w:rPr>
      <w:kern w:val="2"/>
      <w:sz w:val="28"/>
    </w:rPr>
  </w:style>
  <w:style w:type="character" w:customStyle="1" w:styleId="81">
    <w:name w:val="正文文本 2 Char"/>
    <w:basedOn w:val="50"/>
    <w:link w:val="40"/>
    <w:qFormat/>
    <w:uiPriority w:val="0"/>
    <w:rPr>
      <w:kern w:val="2"/>
      <w:sz w:val="21"/>
      <w:szCs w:val="24"/>
    </w:rPr>
  </w:style>
  <w:style w:type="character" w:customStyle="1" w:styleId="82">
    <w:name w:val="信息标题 Char"/>
    <w:basedOn w:val="50"/>
    <w:link w:val="41"/>
    <w:qFormat/>
    <w:uiPriority w:val="0"/>
    <w:rPr>
      <w:rFonts w:ascii="Arial" w:hAnsi="Arial" w:cs="Arial"/>
      <w:kern w:val="2"/>
      <w:sz w:val="24"/>
      <w:szCs w:val="24"/>
      <w:shd w:val="pct20" w:color="auto" w:fill="auto"/>
    </w:rPr>
  </w:style>
  <w:style w:type="character" w:customStyle="1" w:styleId="83">
    <w:name w:val="HTML 预设格式 Char"/>
    <w:basedOn w:val="50"/>
    <w:link w:val="42"/>
    <w:qFormat/>
    <w:uiPriority w:val="0"/>
    <w:rPr>
      <w:rFonts w:ascii="Arial Unicode MS" w:hAnsi="Arial Unicode MS" w:eastAsia="Courier New" w:cs="Courier New"/>
    </w:rPr>
  </w:style>
  <w:style w:type="character" w:customStyle="1" w:styleId="84">
    <w:name w:val="普通(网站) Char"/>
    <w:basedOn w:val="50"/>
    <w:link w:val="43"/>
    <w:qFormat/>
    <w:locked/>
    <w:uiPriority w:val="0"/>
    <w:rPr>
      <w:rFonts w:ascii="宋体" w:hAnsi="宋体" w:cs="宋体"/>
      <w:sz w:val="24"/>
      <w:szCs w:val="24"/>
    </w:rPr>
  </w:style>
  <w:style w:type="character" w:customStyle="1" w:styleId="85">
    <w:name w:val="标题 Char"/>
    <w:basedOn w:val="50"/>
    <w:link w:val="45"/>
    <w:qFormat/>
    <w:uiPriority w:val="0"/>
    <w:rPr>
      <w:rFonts w:ascii="Arial" w:hAnsi="Arial" w:cs="Arial"/>
      <w:b/>
      <w:bCs/>
      <w:sz w:val="44"/>
      <w:szCs w:val="32"/>
    </w:rPr>
  </w:style>
  <w:style w:type="character" w:customStyle="1" w:styleId="86">
    <w:name w:val="批注主题 Char"/>
    <w:basedOn w:val="68"/>
    <w:link w:val="46"/>
    <w:qFormat/>
    <w:uiPriority w:val="0"/>
    <w:rPr>
      <w:b/>
      <w:bCs/>
      <w:kern w:val="2"/>
      <w:sz w:val="24"/>
      <w:szCs w:val="24"/>
    </w:rPr>
  </w:style>
  <w:style w:type="character" w:customStyle="1" w:styleId="87">
    <w:name w:val="正文首行缩进 Char"/>
    <w:basedOn w:val="88"/>
    <w:link w:val="47"/>
    <w:qFormat/>
    <w:uiPriority w:val="0"/>
    <w:rPr>
      <w:rFonts w:eastAsia="宋体"/>
      <w:sz w:val="21"/>
      <w:szCs w:val="21"/>
      <w:lang w:val="en-US" w:eastAsia="zh-CN" w:bidi="ar-SA"/>
    </w:rPr>
  </w:style>
  <w:style w:type="character" w:customStyle="1" w:styleId="88">
    <w:name w:val="正文文本 Char"/>
    <w:basedOn w:val="50"/>
    <w:qFormat/>
    <w:uiPriority w:val="0"/>
    <w:rPr>
      <w:rFonts w:eastAsia="宋体"/>
      <w:sz w:val="24"/>
      <w:szCs w:val="24"/>
      <w:lang w:val="en-US" w:eastAsia="zh-CN" w:bidi="ar-SA"/>
    </w:rPr>
  </w:style>
  <w:style w:type="table" w:customStyle="1" w:styleId="89">
    <w:name w:val="Table Normal"/>
    <w:semiHidden/>
    <w:unhideWhenUsed/>
    <w:qFormat/>
    <w:uiPriority w:val="2"/>
    <w:tblPr>
      <w:tblCellMar>
        <w:top w:w="0" w:type="dxa"/>
        <w:left w:w="0" w:type="dxa"/>
        <w:bottom w:w="0" w:type="dxa"/>
        <w:right w:w="0" w:type="dxa"/>
      </w:tblCellMar>
    </w:tblPr>
  </w:style>
  <w:style w:type="paragraph" w:styleId="90">
    <w:name w:val="List Paragraph"/>
    <w:basedOn w:val="1"/>
    <w:link w:val="91"/>
    <w:qFormat/>
    <w:uiPriority w:val="34"/>
    <w:pPr>
      <w:spacing w:before="206"/>
      <w:ind w:left="959" w:hanging="361"/>
    </w:pPr>
  </w:style>
  <w:style w:type="character" w:customStyle="1" w:styleId="91">
    <w:name w:val="列出段落 Char"/>
    <w:link w:val="90"/>
    <w:qFormat/>
    <w:uiPriority w:val="0"/>
    <w:rPr>
      <w:rFonts w:ascii="宋体" w:hAnsi="宋体" w:cs="宋体"/>
      <w:sz w:val="22"/>
      <w:szCs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6">
    <w:name w:val="xdrichtextbox2"/>
    <w:basedOn w:val="50"/>
    <w:qFormat/>
    <w:uiPriority w:val="0"/>
    <w:rPr>
      <w:color w:val="0000FF"/>
      <w:sz w:val="18"/>
      <w:szCs w:val="18"/>
      <w:u w:val="none"/>
      <w:bdr w:val="single" w:color="DCDCDC" w:sz="8" w:space="0"/>
      <w:shd w:val="clear" w:color="auto" w:fill="FFFFFF"/>
    </w:rPr>
  </w:style>
  <w:style w:type="character" w:customStyle="1" w:styleId="97">
    <w:name w:val="apple-converted-space"/>
    <w:basedOn w:val="50"/>
    <w:qFormat/>
    <w:uiPriority w:val="0"/>
  </w:style>
  <w:style w:type="character" w:customStyle="1" w:styleId="98">
    <w:name w:val="无间隔 Char"/>
    <w:basedOn w:val="50"/>
    <w:link w:val="99"/>
    <w:qFormat/>
    <w:uiPriority w:val="0"/>
    <w:rPr>
      <w:rFonts w:ascii="Calibri" w:hAnsi="Calibri"/>
      <w:sz w:val="22"/>
      <w:szCs w:val="22"/>
    </w:rPr>
  </w:style>
  <w:style w:type="paragraph" w:styleId="99">
    <w:name w:val="No Spacing"/>
    <w:link w:val="98"/>
    <w:qFormat/>
    <w:uiPriority w:val="0"/>
    <w:rPr>
      <w:rFonts w:ascii="Calibri" w:hAnsi="Calibri" w:eastAsia="宋体" w:cs="Times New Roman"/>
      <w:sz w:val="22"/>
      <w:szCs w:val="22"/>
      <w:lang w:val="en-US" w:eastAsia="zh-CN" w:bidi="ar-SA"/>
    </w:rPr>
  </w:style>
  <w:style w:type="character" w:customStyle="1" w:styleId="100">
    <w:name w:val="en1"/>
    <w:basedOn w:val="50"/>
    <w:qFormat/>
    <w:uiPriority w:val="0"/>
    <w:rPr>
      <w:b/>
      <w:bCs/>
      <w:color w:val="154C7F"/>
      <w:sz w:val="24"/>
      <w:szCs w:val="24"/>
    </w:rPr>
  </w:style>
  <w:style w:type="character" w:customStyle="1" w:styleId="101">
    <w:name w:val="font01"/>
    <w:basedOn w:val="50"/>
    <w:qFormat/>
    <w:uiPriority w:val="0"/>
    <w:rPr>
      <w:rFonts w:hint="eastAsia" w:ascii="宋体" w:hAnsi="宋体" w:eastAsia="宋体" w:cs="宋体"/>
      <w:color w:val="000000"/>
      <w:sz w:val="20"/>
      <w:szCs w:val="20"/>
      <w:u w:val="none"/>
    </w:rPr>
  </w:style>
  <w:style w:type="character" w:customStyle="1" w:styleId="102">
    <w:name w:val="font11"/>
    <w:basedOn w:val="50"/>
    <w:qFormat/>
    <w:uiPriority w:val="0"/>
    <w:rPr>
      <w:rFonts w:hint="default" w:ascii="Times New Roman" w:hAnsi="Times New Roman" w:cs="Times New Roman"/>
      <w:color w:val="000000"/>
      <w:sz w:val="20"/>
      <w:szCs w:val="20"/>
      <w:u w:val="none"/>
    </w:rPr>
  </w:style>
  <w:style w:type="character" w:customStyle="1" w:styleId="103">
    <w:name w:val="glossaryitem"/>
    <w:basedOn w:val="50"/>
    <w:qFormat/>
    <w:uiPriority w:val="0"/>
    <w:rPr>
      <w:u w:val="none"/>
    </w:rPr>
  </w:style>
  <w:style w:type="paragraph" w:customStyle="1" w:styleId="104">
    <w:name w:val="标题3(小3号)"/>
    <w:basedOn w:val="5"/>
    <w:next w:val="105"/>
    <w:qFormat/>
    <w:uiPriority w:val="0"/>
    <w:pPr>
      <w:widowControl/>
      <w:spacing w:before="0" w:after="0" w:line="420" w:lineRule="exact"/>
    </w:pPr>
    <w:rPr>
      <w:b w:val="0"/>
      <w:bCs w:val="0"/>
      <w:color w:val="000000"/>
      <w:kern w:val="0"/>
      <w:sz w:val="30"/>
      <w:szCs w:val="21"/>
    </w:rPr>
  </w:style>
  <w:style w:type="paragraph" w:customStyle="1" w:styleId="105">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1"/>
    <w:qFormat/>
    <w:uiPriority w:val="0"/>
    <w:rPr>
      <w:rFonts w:ascii="宋体" w:hAnsi="宋体" w:cs="宋体"/>
      <w:sz w:val="24"/>
      <w:szCs w:val="24"/>
      <w:lang w:eastAsia="en-US"/>
    </w:rPr>
  </w:style>
  <w:style w:type="character" w:customStyle="1" w:styleId="107">
    <w:name w:val="正文文本 3 Char1"/>
    <w:basedOn w:val="50"/>
    <w:qFormat/>
    <w:uiPriority w:val="0"/>
    <w:rPr>
      <w:rFonts w:ascii="宋体" w:hAnsi="宋体" w:cs="宋体"/>
      <w:sz w:val="16"/>
      <w:szCs w:val="16"/>
      <w:lang w:eastAsia="en-US"/>
    </w:rPr>
  </w:style>
  <w:style w:type="paragraph" w:customStyle="1" w:styleId="108">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50"/>
    <w:qFormat/>
    <w:uiPriority w:val="0"/>
    <w:rPr>
      <w:rFonts w:ascii="宋体" w:hAnsi="宋体" w:cs="宋体"/>
      <w:sz w:val="22"/>
      <w:szCs w:val="22"/>
      <w:lang w:eastAsia="en-US"/>
    </w:rPr>
  </w:style>
  <w:style w:type="character" w:customStyle="1" w:styleId="111">
    <w:name w:val="批注文字 Char1"/>
    <w:basedOn w:val="50"/>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50"/>
    <w:qFormat/>
    <w:uiPriority w:val="0"/>
    <w:rPr>
      <w:rFonts w:ascii="宋体" w:hAnsi="宋体" w:cs="宋体"/>
      <w:sz w:val="18"/>
      <w:szCs w:val="18"/>
      <w:lang w:eastAsia="en-US"/>
    </w:rPr>
  </w:style>
  <w:style w:type="character" w:customStyle="1" w:styleId="116">
    <w:name w:val="日期 Char1"/>
    <w:basedOn w:val="50"/>
    <w:qFormat/>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50"/>
    <w:qFormat/>
    <w:uiPriority w:val="0"/>
    <w:rPr>
      <w:rFonts w:ascii="Courier New" w:hAnsi="Courier New" w:cs="Courier New"/>
      <w:lang w:eastAsia="en-US"/>
    </w:rPr>
  </w:style>
  <w:style w:type="character" w:customStyle="1" w:styleId="121">
    <w:name w:val="正文文本缩进 Char1"/>
    <w:basedOn w:val="50"/>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50"/>
    <w:qFormat/>
    <w:uiPriority w:val="0"/>
    <w:rPr>
      <w:rFonts w:ascii="宋体" w:hAnsi="宋体" w:cs="宋体"/>
      <w:sz w:val="22"/>
      <w:szCs w:val="22"/>
      <w:lang w:eastAsia="en-US"/>
    </w:rPr>
  </w:style>
  <w:style w:type="character" w:customStyle="1" w:styleId="129">
    <w:name w:val="标题 Char1"/>
    <w:basedOn w:val="50"/>
    <w:qFormat/>
    <w:uiPriority w:val="0"/>
    <w:rPr>
      <w:rFonts w:asciiTheme="majorHAnsi" w:hAnsiTheme="majorHAnsi" w:cstheme="majorBidi"/>
      <w:b/>
      <w:bCs/>
      <w:sz w:val="32"/>
      <w:szCs w:val="32"/>
      <w:lang w:eastAsia="en-US"/>
    </w:rPr>
  </w:style>
  <w:style w:type="character" w:customStyle="1" w:styleId="130">
    <w:name w:val="正文文本缩进 3 Char1"/>
    <w:basedOn w:val="50"/>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50"/>
    <w:qFormat/>
    <w:uiPriority w:val="0"/>
    <w:rPr>
      <w:rFonts w:ascii="宋体" w:hAnsi="宋体" w:cs="宋体"/>
      <w:sz w:val="18"/>
      <w:szCs w:val="18"/>
      <w:lang w:eastAsia="en-US"/>
    </w:rPr>
  </w:style>
  <w:style w:type="character" w:customStyle="1" w:styleId="134">
    <w:name w:val="批注主题 Char1"/>
    <w:basedOn w:val="111"/>
    <w:qFormat/>
    <w:uiPriority w:val="0"/>
    <w:rPr>
      <w:rFonts w:ascii="宋体" w:hAnsi="宋体" w:cs="宋体"/>
      <w:b/>
      <w:bCs/>
      <w:sz w:val="22"/>
      <w:szCs w:val="22"/>
      <w:lang w:eastAsia="en-US"/>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5"/>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05"/>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outlineLvl w:val="3"/>
    </w:pPr>
  </w:style>
  <w:style w:type="paragraph" w:customStyle="1" w:styleId="188">
    <w:name w:val="大纲5"/>
    <w:basedOn w:val="187"/>
    <w:qFormat/>
    <w:uiPriority w:val="0"/>
    <w:pPr>
      <w:tabs>
        <w:tab w:val="left" w:pos="360"/>
      </w:tabs>
      <w:outlineLvl w:val="4"/>
    </w:pPr>
    <w:rPr>
      <w:b w:val="0"/>
      <w:szCs w:val="36"/>
    </w:rPr>
  </w:style>
  <w:style w:type="paragraph" w:customStyle="1" w:styleId="189">
    <w:name w:val="大纲6"/>
    <w:basedOn w:val="188"/>
    <w:qFormat/>
    <w:uiPriority w:val="0"/>
    <w:p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50"/>
    <w:qFormat/>
    <w:uiPriority w:val="0"/>
  </w:style>
  <w:style w:type="character" w:customStyle="1" w:styleId="207">
    <w:name w:val="xdrichtextbox3"/>
    <w:basedOn w:val="50"/>
    <w:qFormat/>
    <w:uiPriority w:val="0"/>
    <w:rPr>
      <w:color w:val="auto"/>
      <w:u w:val="none"/>
      <w:bdr w:val="single" w:color="DCDCDC" w:sz="8" w:space="0"/>
      <w:shd w:val="clear" w:color="auto" w:fill="FFFFFF"/>
    </w:rPr>
  </w:style>
  <w:style w:type="paragraph" w:customStyle="1" w:styleId="208">
    <w:name w:val="TOC 标题1"/>
    <w:basedOn w:val="3"/>
    <w:next w:val="1"/>
    <w:unhideWhenUsed/>
    <w:qFormat/>
    <w:uiPriority w:val="39"/>
    <w:pPr>
      <w:keepNext/>
      <w:keepLines/>
      <w:spacing w:before="340" w:after="330" w:line="578" w:lineRule="auto"/>
      <w:ind w:left="0"/>
      <w:outlineLvl w:val="9"/>
    </w:pPr>
    <w:rPr>
      <w:kern w:val="44"/>
      <w:sz w:val="44"/>
      <w:szCs w:val="44"/>
    </w:rPr>
  </w:style>
  <w:style w:type="character" w:customStyle="1" w:styleId="209">
    <w:name w:val="副标题 Char1"/>
    <w:basedOn w:val="50"/>
    <w:qFormat/>
    <w:uiPriority w:val="0"/>
    <w:rPr>
      <w:rFonts w:asciiTheme="majorHAnsi" w:hAnsiTheme="majorHAnsi" w:cstheme="majorBidi"/>
      <w:b/>
      <w:bCs/>
      <w:kern w:val="28"/>
      <w:sz w:val="32"/>
      <w:szCs w:val="32"/>
      <w:lang w:eastAsia="en-US"/>
    </w:rPr>
  </w:style>
  <w:style w:type="paragraph" w:customStyle="1" w:styleId="210">
    <w:name w:val="CM7"/>
    <w:basedOn w:val="94"/>
    <w:next w:val="94"/>
    <w:unhideWhenUsed/>
    <w:qFormat/>
    <w:uiPriority w:val="99"/>
    <w:pPr>
      <w:spacing w:after="320"/>
    </w:pPr>
  </w:style>
  <w:style w:type="paragraph" w:customStyle="1" w:styleId="211">
    <w:name w:val="WPS Plain"/>
    <w:qFormat/>
    <w:uiPriority w:val="0"/>
    <w:rPr>
      <w:rFonts w:ascii="Times New Roman" w:hAnsi="Times New Roman" w:eastAsia="宋体" w:cs="Times New Roman"/>
      <w:lang w:val="en-US" w:eastAsia="zh-CN" w:bidi="ar-SA"/>
    </w:rPr>
  </w:style>
  <w:style w:type="paragraph" w:customStyle="1" w:styleId="212">
    <w:name w:val="Bg"/>
    <w:basedOn w:val="1"/>
    <w:qFormat/>
    <w:uiPriority w:val="0"/>
    <w:pPr>
      <w:topLinePunct/>
      <w:snapToGrid w:val="0"/>
      <w:spacing w:before="60" w:after="60"/>
      <w:jc w:val="center"/>
    </w:pPr>
    <w:rPr>
      <w:kern w:val="2"/>
      <w:sz w:val="18"/>
    </w:rPr>
  </w:style>
  <w:style w:type="paragraph" w:customStyle="1" w:styleId="213">
    <w:name w:val="正文格式"/>
    <w:basedOn w:val="1"/>
    <w:qFormat/>
    <w:uiPriority w:val="0"/>
    <w:pPr>
      <w:topLinePunct/>
      <w:ind w:firstLine="420" w:firstLineChars="200"/>
    </w:pPr>
    <w:rPr>
      <w:kern w:val="2"/>
      <w:sz w:val="21"/>
    </w:rPr>
  </w:style>
  <w:style w:type="paragraph" w:customStyle="1" w:styleId="214">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5">
    <w:name w:val="特点 Char"/>
    <w:qFormat/>
    <w:locked/>
    <w:uiPriority w:val="0"/>
    <w:rPr>
      <w:rFonts w:eastAsia="宋体"/>
      <w:kern w:val="2"/>
      <w:sz w:val="21"/>
      <w:lang w:val="en-US" w:eastAsia="zh-CN" w:bidi="ar-SA"/>
    </w:rPr>
  </w:style>
  <w:style w:type="character" w:customStyle="1" w:styleId="216">
    <w:name w:val="纯文本 Char1"/>
    <w:qFormat/>
    <w:uiPriority w:val="0"/>
    <w:rPr>
      <w:rFonts w:ascii="宋体" w:hAnsi="Courier New" w:eastAsia="宋体" w:cs="Courier New"/>
      <w:kern w:val="0"/>
      <w:sz w:val="22"/>
      <w:szCs w:val="21"/>
      <w:lang w:eastAsia="en-US"/>
    </w:rPr>
  </w:style>
  <w:style w:type="paragraph" w:customStyle="1" w:styleId="217">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paragraph" w:customStyle="1" w:styleId="218">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219">
    <w:name w:val="书籍标题1"/>
    <w:basedOn w:val="50"/>
    <w:qFormat/>
    <w:uiPriority w:val="33"/>
    <w:rPr>
      <w:b/>
      <w:bCs/>
      <w:smallCaps/>
      <w:spacing w:val="5"/>
    </w:rPr>
  </w:style>
  <w:style w:type="paragraph" w:customStyle="1" w:styleId="220">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paragraph" w:customStyle="1" w:styleId="221">
    <w:name w:val="样式 标题 2 + 宋体 五号 行距: 单倍行距"/>
    <w:basedOn w:val="4"/>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222">
    <w:name w:val="TOC 标题2"/>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223">
    <w:name w:val="默认段落字体 Para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24">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225">
    <w:name w:val="font21"/>
    <w:qFormat/>
    <w:uiPriority w:val="0"/>
    <w:rPr>
      <w:rFonts w:hint="eastAsia" w:ascii="宋体" w:hAnsi="宋体" w:eastAsia="宋体" w:cs="宋体"/>
      <w:color w:val="000000"/>
      <w:sz w:val="20"/>
      <w:szCs w:val="20"/>
      <w:u w:val="none"/>
    </w:rPr>
  </w:style>
  <w:style w:type="character" w:customStyle="1" w:styleId="226">
    <w:name w:val="普通文字 Char2"/>
    <w:basedOn w:val="50"/>
    <w:qFormat/>
    <w:uiPriority w:val="99"/>
    <w:rPr>
      <w:rFonts w:ascii="宋体" w:hAnsi="Courier New" w:cs="Courier New"/>
      <w:sz w:val="22"/>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A4CC63-8F2D-4050-9D6C-D1EB3013089E}">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36</Pages>
  <Words>13959</Words>
  <Characters>14509</Characters>
  <Lines>121</Lines>
  <Paragraphs>34</Paragraphs>
  <TotalTime>297</TotalTime>
  <ScaleCrop>false</ScaleCrop>
  <LinksUpToDate>false</LinksUpToDate>
  <CharactersWithSpaces>15966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2022-08-15T03:02:57Z</dcterms:modified>
  <dc:title>公开招标文件（货物服务类）</dc:title>
  <cp:revision>458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2052-11.1.0.12302</vt:lpwstr>
  </property>
  <property fmtid="{D5CDD505-2E9C-101B-9397-08002B2CF9AE}" pid="6" name="ICV">
    <vt:lpwstr>A583A60D7BA94CDDB0027A9EA5BDC5F4</vt:lpwstr>
  </property>
</Properties>
</file>