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lang w:val="en-US" w:eastAsia="zh-CN"/>
        </w:rPr>
        <w:t>阻爆燃型管道阻火器采购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MR2206010002</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七</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hint="eastAsia" w:ascii="黑体" w:eastAsia="黑体"/>
          <w:sz w:val="32"/>
          <w:lang w:eastAsia="zh-CN"/>
        </w:r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芳烃团队</w:t>
      </w:r>
      <w:r>
        <w:rPr>
          <w:rFonts w:hint="eastAsia" w:asciiTheme="majorEastAsia" w:hAnsiTheme="majorEastAsia" w:eastAsiaTheme="majorEastAsia"/>
          <w:u w:val="single"/>
          <w:lang w:eastAsia="zh-CN"/>
        </w:rPr>
        <w:t>阻爆燃型管道阻火器采购项目（项目编号：MR2206010002</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u w:val="single"/>
          <w:lang w:eastAsia="zh-CN"/>
        </w:rPr>
        <w:t>阻爆燃型管道阻火器</w:t>
      </w:r>
      <w:r>
        <w:rPr>
          <w:rFonts w:hint="eastAsia" w:asciiTheme="majorEastAsia" w:hAnsiTheme="majorEastAsia" w:eastAsiaTheme="majorEastAsia"/>
          <w:bCs/>
          <w:sz w:val="24"/>
          <w:szCs w:val="24"/>
          <w:u w:val="single"/>
          <w:lang w:eastAsia="zh-CN"/>
        </w:rPr>
        <w:t xml:space="preserve">采购 </w:t>
      </w:r>
    </w:p>
    <w:p>
      <w:pPr>
        <w:ind w:left="0" w:leftChars="0" w:firstLine="499" w:firstLineChars="227"/>
        <w:jc w:val="both"/>
        <w:rPr>
          <w:rFonts w:hint="eastAsia" w:asciiTheme="majorEastAsia" w:hAnsiTheme="majorEastAsia" w:eastAsiaTheme="majorEastAsia"/>
          <w:b w:val="0"/>
          <w:lang w:val="en-US"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详见附件《芳烃团队燃料气阻火器技术要求》</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napToGrid/>
        <w:spacing w:line="360" w:lineRule="auto"/>
        <w:ind w:firstLine="480" w:firstLineChars="200"/>
        <w:jc w:val="both"/>
        <w:outlineLvl w:val="9"/>
        <w:rPr>
          <w:rFonts w:hint="eastAsia"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0"/>
        <w:keepNext w:val="0"/>
        <w:keepLines w:val="0"/>
        <w:pageBreakBefore w:val="0"/>
        <w:kinsoku/>
        <w:wordWrap/>
        <w:overflowPunct/>
        <w:topLinePunct w:val="0"/>
        <w:bidi w:val="0"/>
        <w:snapToGrid/>
        <w:spacing w:line="360" w:lineRule="auto"/>
        <w:ind w:left="817" w:leftChars="209" w:right="121" w:hanging="357" w:hangingChars="149"/>
        <w:jc w:val="left"/>
        <w:outlineLvl w:val="9"/>
        <w:rPr>
          <w:rFonts w:cs="Times New Roman" w:asciiTheme="minorEastAsia" w:hAnsiTheme="minorEastAsia" w:eastAsiaTheme="minorEastAsia"/>
          <w:kern w:val="2"/>
          <w:sz w:val="24"/>
          <w:szCs w:val="24"/>
          <w:lang w:eastAsia="zh-CN"/>
        </w:rPr>
      </w:pPr>
      <w:r>
        <w:rPr>
          <w:rFonts w:hint="eastAsia" w:cs="Times New Roman" w:asciiTheme="minorEastAsia" w:hAnsiTheme="minorEastAsia" w:eastAsiaTheme="minorEastAsia"/>
          <w:kern w:val="2"/>
          <w:sz w:val="24"/>
          <w:szCs w:val="24"/>
          <w:lang w:val="en-US" w:eastAsia="zh-CN"/>
        </w:rPr>
        <w:t xml:space="preserve">2. </w:t>
      </w:r>
      <w:r>
        <w:rPr>
          <w:rFonts w:hint="eastAsia" w:cs="Times New Roman" w:asciiTheme="minorEastAsia" w:hAnsiTheme="minorEastAsia" w:eastAsiaTheme="minorEastAsia"/>
          <w:kern w:val="2"/>
          <w:sz w:val="24"/>
          <w:szCs w:val="24"/>
          <w:lang w:eastAsia="zh-CN"/>
        </w:rPr>
        <w:t>具有石油化工行业呼吸阀类管道元件组合装置制造销及售资质。</w:t>
      </w:r>
    </w:p>
    <w:p>
      <w:pPr>
        <w:keepNext w:val="0"/>
        <w:keepLines w:val="0"/>
        <w:pageBreakBefore w:val="0"/>
        <w:kinsoku/>
        <w:wordWrap/>
        <w:overflowPunct/>
        <w:topLinePunct w:val="0"/>
        <w:bidi w:val="0"/>
        <w:snapToGrid/>
        <w:spacing w:line="360" w:lineRule="auto"/>
        <w:ind w:left="817" w:leftChars="209" w:hanging="357" w:hangingChars="149"/>
        <w:jc w:val="left"/>
        <w:outlineLvl w:val="9"/>
        <w:rPr>
          <w:rFonts w:asciiTheme="minorEastAsia" w:hAnsiTheme="minorEastAsia"/>
          <w:sz w:val="24"/>
          <w:szCs w:val="24"/>
        </w:rPr>
      </w:pPr>
      <w:r>
        <w:rPr>
          <w:rFonts w:hint="eastAsia" w:asciiTheme="minorEastAsia" w:hAnsiTheme="minorEastAsia"/>
          <w:sz w:val="24"/>
          <w:szCs w:val="24"/>
          <w:lang w:val="en-US" w:eastAsia="zh-CN"/>
        </w:rPr>
        <w:t xml:space="preserve">3. </w:t>
      </w:r>
      <w:r>
        <w:rPr>
          <w:rFonts w:hint="eastAsia" w:asciiTheme="minorEastAsia" w:hAnsiTheme="minorEastAsia"/>
          <w:sz w:val="24"/>
          <w:szCs w:val="24"/>
        </w:rPr>
        <w:t>阻火器制造商具有特种设备生产许可证（压力管道元件）、相应阻火器的型式证书；阻火器第三方实验证书上所列出的型号规格应覆盖本次招标所有设备的规格。</w:t>
      </w:r>
    </w:p>
    <w:p>
      <w:pPr>
        <w:keepNext w:val="0"/>
        <w:keepLines w:val="0"/>
        <w:pageBreakBefore w:val="0"/>
        <w:widowControl/>
        <w:kinsoku/>
        <w:wordWrap/>
        <w:overflowPunct/>
        <w:topLinePunct w:val="0"/>
        <w:autoSpaceDE/>
        <w:autoSpaceDN/>
        <w:bidi w:val="0"/>
        <w:snapToGrid/>
        <w:spacing w:line="360" w:lineRule="auto"/>
        <w:ind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3"/>
        <w:keepNext w:val="0"/>
        <w:keepLines w:val="0"/>
        <w:pageBreakBefore w:val="0"/>
        <w:kinsoku/>
        <w:wordWrap/>
        <w:overflowPunct/>
        <w:topLinePunct w:val="0"/>
        <w:autoSpaceDE/>
        <w:autoSpaceDN/>
        <w:bidi w:val="0"/>
        <w:snapToGrid/>
        <w:spacing w:before="0" w:line="360" w:lineRule="auto"/>
        <w:ind w:left="0"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keepNext w:val="0"/>
        <w:keepLines w:val="0"/>
        <w:pageBreakBefore w:val="0"/>
        <w:kinsoku/>
        <w:wordWrap/>
        <w:overflowPunct/>
        <w:topLinePunct w:val="0"/>
        <w:bidi w:val="0"/>
        <w:snapToGrid/>
        <w:spacing w:line="360" w:lineRule="auto"/>
        <w:ind w:firstLine="480" w:firstLineChars="200"/>
        <w:outlineLvl w:val="9"/>
        <w:rPr>
          <w:sz w:val="24"/>
          <w:szCs w:val="24"/>
        </w:rPr>
      </w:pPr>
      <w:r>
        <w:rPr>
          <w:rFonts w:hint="eastAsia"/>
          <w:sz w:val="24"/>
          <w:szCs w:val="24"/>
          <w:lang w:val="en-US" w:eastAsia="zh-CN"/>
        </w:rPr>
        <w:t>6</w:t>
      </w:r>
      <w:r>
        <w:rPr>
          <w:rFonts w:hint="eastAsia"/>
          <w:sz w:val="24"/>
          <w:szCs w:val="24"/>
        </w:rPr>
        <w:t xml:space="preserve">. </w:t>
      </w:r>
      <w:r>
        <w:rPr>
          <w:rFonts w:hint="eastAsia" w:asciiTheme="majorEastAsia" w:hAnsiTheme="majorEastAsia" w:eastAsiaTheme="majorEastAsia"/>
          <w:sz w:val="24"/>
          <w:szCs w:val="24"/>
        </w:rPr>
        <w:t>本项目不接受联合体投标</w:t>
      </w:r>
      <w:r>
        <w:rPr>
          <w:rFonts w:hint="eastAsia"/>
          <w:sz w:val="24"/>
          <w:szCs w:val="24"/>
        </w:rPr>
        <w:t>。</w:t>
      </w:r>
    </w:p>
    <w:p>
      <w:pPr>
        <w:pStyle w:val="33"/>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08</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18</w:t>
      </w:r>
      <w:bookmarkStart w:id="10" w:name="_GoBack"/>
      <w:bookmarkEnd w:id="10"/>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天）</w:t>
      </w:r>
    </w:p>
    <w:p>
      <w:pPr>
        <w:keepNext w:val="0"/>
        <w:keepLines w:val="0"/>
        <w:pageBreakBefore w:val="0"/>
        <w:widowControl w:val="0"/>
        <w:kinsoku/>
        <w:wordWrap/>
        <w:overflowPunct/>
        <w:topLinePunct w:val="0"/>
        <w:bidi w:val="0"/>
        <w:adjustRightInd/>
        <w:snapToGrid/>
        <w:spacing w:line="240" w:lineRule="auto"/>
        <w:ind w:left="817" w:leftChars="209" w:right="0" w:rightChars="0" w:hanging="357" w:hangingChars="149"/>
        <w:jc w:val="left"/>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报名方式：邮件报名（须同时提交盖公章的法定代表人授权书、营业执照扫描件，</w:t>
      </w:r>
      <w:r>
        <w:rPr>
          <w:rFonts w:hint="eastAsia" w:asciiTheme="minorEastAsia" w:hAnsiTheme="minorEastAsia"/>
          <w:sz w:val="24"/>
          <w:szCs w:val="24"/>
        </w:rPr>
        <w:t>报名厂家具有在石油化工行业阻火器供货业绩（务必真实有效，福海创有权要求投标商提供相应佐证材料包括不限于合同和发票等复印件）</w:t>
      </w:r>
      <w:r>
        <w:rPr>
          <w:rFonts w:hint="eastAsia" w:asciiTheme="minorEastAsia" w:hAnsiTheme="minorEastAsia"/>
          <w:sz w:val="24"/>
          <w:szCs w:val="24"/>
          <w:lang w:eastAsia="zh-CN"/>
        </w:rPr>
        <w:t>，</w:t>
      </w:r>
      <w:r>
        <w:rPr>
          <w:rFonts w:hint="eastAsia" w:asciiTheme="majorEastAsia" w:hAnsiTheme="majorEastAsia" w:eastAsiaTheme="majorEastAsia"/>
          <w:bCs/>
          <w:sz w:val="24"/>
          <w:szCs w:val="24"/>
          <w:lang w:eastAsia="zh-CN"/>
        </w:rPr>
        <w:t>邮件发至：</w:t>
      </w:r>
      <w:r>
        <w:fldChar w:fldCharType="begin"/>
      </w:r>
      <w:r>
        <w:instrText xml:space="preserve"> HYPERLINK "mailto:hzji@fhcpec.com.cn" </w:instrText>
      </w:r>
      <w:r>
        <w:fldChar w:fldCharType="separate"/>
      </w:r>
      <w:r>
        <w:rPr>
          <w:rStyle w:val="29"/>
          <w:rFonts w:hint="eastAsia" w:asciiTheme="majorEastAsia" w:hAnsiTheme="majorEastAsia" w:eastAsiaTheme="majorEastAsia"/>
          <w:sz w:val="24"/>
          <w:szCs w:val="24"/>
          <w:lang w:val="en-US" w:eastAsia="zh-CN"/>
        </w:rPr>
        <w:t>huangmq</w:t>
      </w:r>
      <w:r>
        <w:rPr>
          <w:rStyle w:val="29"/>
          <w:rFonts w:hint="eastAsia" w:asciiTheme="majorEastAsia" w:hAnsiTheme="majorEastAsia" w:eastAsiaTheme="majorEastAsia"/>
          <w:sz w:val="24"/>
          <w:szCs w:val="24"/>
          <w:lang w:eastAsia="zh-CN"/>
        </w:rPr>
        <w:t>@f</w:t>
      </w:r>
      <w:r>
        <w:rPr>
          <w:rStyle w:val="29"/>
          <w:rFonts w:hint="eastAsia" w:asciiTheme="majorEastAsia" w:hAnsiTheme="majorEastAsia" w:eastAsiaTheme="majorEastAsia"/>
          <w:sz w:val="24"/>
          <w:szCs w:val="24"/>
          <w:lang w:val="en-US" w:eastAsia="zh-CN"/>
        </w:rPr>
        <w:t>j</w:t>
      </w:r>
      <w:r>
        <w:rPr>
          <w:rStyle w:val="29"/>
          <w:rFonts w:hint="eastAsia" w:asciiTheme="majorEastAsia" w:hAnsiTheme="majorEastAsia" w:eastAsiaTheme="majorEastAsia"/>
          <w:sz w:val="24"/>
          <w:szCs w:val="24"/>
          <w:lang w:eastAsia="zh-CN"/>
        </w:rPr>
        <w:t>pec.com.cn</w:t>
      </w:r>
      <w:r>
        <w:rPr>
          <w:rStyle w:val="29"/>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keepNext w:val="0"/>
        <w:keepLines w:val="0"/>
        <w:pageBreakBefore w:val="0"/>
        <w:widowControl w:val="0"/>
        <w:kinsoku/>
        <w:wordWrap/>
        <w:overflowPunct/>
        <w:topLinePunct w:val="0"/>
        <w:bidi w:val="0"/>
        <w:adjustRightInd/>
        <w:snapToGrid/>
        <w:spacing w:line="240" w:lineRule="auto"/>
        <w:ind w:left="720" w:leftChars="218" w:right="0" w:rightChars="0" w:hanging="240" w:hangingChars="100"/>
        <w:textAlignment w:val="auto"/>
        <w:outlineLvl w:val="9"/>
        <w:rPr>
          <w:rFonts w:asciiTheme="majorEastAsia" w:hAnsiTheme="majorEastAsia" w:eastAsiaTheme="majorEastAsia"/>
          <w:sz w:val="24"/>
          <w:szCs w:val="24"/>
          <w:lang w:eastAsia="zh-CN"/>
        </w:rPr>
      </w:pPr>
      <w:r>
        <w:rPr>
          <w:rFonts w:hint="eastAsia"/>
          <w:sz w:val="24"/>
          <w:szCs w:val="24"/>
        </w:rPr>
        <w:t xml:space="preserve">3. </w:t>
      </w:r>
      <w:r>
        <w:rPr>
          <w:rFonts w:hint="eastAsia" w:asciiTheme="majorEastAsia" w:hAnsiTheme="majorEastAsia" w:eastAsiaTheme="majorEastAsia"/>
          <w:bCs/>
          <w:sz w:val="24"/>
          <w:szCs w:val="24"/>
        </w:rPr>
        <w:t>需进行技术交流并签订技术协议书</w:t>
      </w:r>
      <w:r>
        <w:rPr>
          <w:rFonts w:hint="eastAsia" w:asciiTheme="majorEastAsia" w:hAnsiTheme="majorEastAsia" w:eastAsiaTheme="majorEastAsia"/>
          <w:bCs/>
          <w:sz w:val="24"/>
          <w:szCs w:val="24"/>
          <w:lang w:val="en-US" w:eastAsia="zh-CN"/>
        </w:rPr>
        <w:t>；如未进行技术交流且未签订技术协议书，</w:t>
      </w:r>
      <w:r>
        <w:rPr>
          <w:rFonts w:hint="eastAsia" w:asciiTheme="majorEastAsia" w:hAnsiTheme="majorEastAsia" w:eastAsiaTheme="majorEastAsia"/>
          <w:bCs/>
          <w:sz w:val="24"/>
          <w:szCs w:val="24"/>
          <w:lang w:eastAsia="zh-CN"/>
        </w:rPr>
        <w:t>其参选</w:t>
      </w:r>
      <w:r>
        <w:rPr>
          <w:rFonts w:hint="eastAsia" w:asciiTheme="majorEastAsia" w:hAnsiTheme="majorEastAsia" w:eastAsiaTheme="majorEastAsia"/>
          <w:bCs/>
          <w:sz w:val="24"/>
          <w:szCs w:val="24"/>
          <w:lang w:val="en-US" w:eastAsia="zh-CN"/>
        </w:rPr>
        <w:t>资格</w:t>
      </w:r>
      <w:r>
        <w:rPr>
          <w:rFonts w:hint="eastAsia" w:asciiTheme="majorEastAsia" w:hAnsiTheme="majorEastAsia" w:eastAsiaTheme="majorEastAsia"/>
          <w:bCs/>
          <w:sz w:val="24"/>
          <w:szCs w:val="24"/>
          <w:lang w:eastAsia="zh-CN"/>
        </w:rPr>
        <w:t>将被评标委员会予以否决</w:t>
      </w:r>
      <w:r>
        <w:rPr>
          <w:rFonts w:hint="eastAsia" w:asciiTheme="majorEastAsia" w:hAnsiTheme="majorEastAsia" w:eastAsiaTheme="majorEastAsia"/>
          <w:sz w:val="24"/>
          <w:szCs w:val="24"/>
          <w:lang w:eastAsia="zh-CN"/>
        </w:rPr>
        <w:t>。</w:t>
      </w:r>
    </w:p>
    <w:p>
      <w:pPr>
        <w:pStyle w:val="3"/>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widowControl w:val="0"/>
        <w:kinsoku/>
        <w:wordWrap/>
        <w:overflowPunct/>
        <w:topLinePunct w:val="0"/>
        <w:autoSpaceDE/>
        <w:autoSpaceDN/>
        <w:bidi w:val="0"/>
        <w:adjustRightInd/>
        <w:snapToGrid/>
        <w:spacing w:line="240" w:lineRule="auto"/>
        <w:ind w:left="960" w:leftChars="218" w:right="0" w:rightChars="0" w:hanging="480" w:hangingChars="200"/>
        <w:jc w:val="both"/>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报名且须与工厂技术</w:t>
      </w:r>
      <w:r>
        <w:rPr>
          <w:rFonts w:hint="eastAsia" w:asciiTheme="majorEastAsia" w:hAnsiTheme="majorEastAsia" w:eastAsiaTheme="majorEastAsia"/>
          <w:bCs/>
          <w:sz w:val="24"/>
          <w:szCs w:val="24"/>
          <w:lang w:eastAsia="zh-CN"/>
        </w:rPr>
        <w:t>交流</w:t>
      </w:r>
      <w:r>
        <w:rPr>
          <w:rFonts w:hint="eastAsia" w:asciiTheme="majorEastAsia" w:hAnsiTheme="majorEastAsia" w:eastAsiaTheme="majorEastAsia"/>
          <w:bCs/>
          <w:sz w:val="24"/>
          <w:szCs w:val="24"/>
          <w:lang w:val="en-US" w:eastAsia="zh-CN"/>
        </w:rPr>
        <w:t>并签署技术协议的，请在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12</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（工作日时间上午9:00～12:00，下午13:30～17:00。）将参选文件纸质原件密封送达比选人指定地点。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hint="eastAsia"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fldChar w:fldCharType="begin"/>
      </w:r>
      <w:r>
        <w:rPr>
          <w:rFonts w:hint="eastAsia" w:cs="宋体" w:asciiTheme="majorEastAsia" w:hAnsiTheme="majorEastAsia" w:eastAsiaTheme="majorEastAsia"/>
          <w:bCs/>
          <w:szCs w:val="24"/>
          <w:lang w:val="en-US" w:eastAsia="zh-CN"/>
        </w:rPr>
        <w:instrText xml:space="preserve"> HYPERLINK "mailto:huangmq@fjpec.com.cn" </w:instrText>
      </w:r>
      <w:r>
        <w:rPr>
          <w:rFonts w:hint="eastAsia" w:cs="宋体" w:asciiTheme="majorEastAsia" w:hAnsiTheme="majorEastAsia" w:eastAsiaTheme="majorEastAsia"/>
          <w:bCs/>
          <w:szCs w:val="24"/>
          <w:lang w:val="en-US" w:eastAsia="zh-CN"/>
        </w:rPr>
        <w:fldChar w:fldCharType="separate"/>
      </w:r>
      <w:r>
        <w:rPr>
          <w:rStyle w:val="29"/>
          <w:rFonts w:hint="eastAsia" w:cs="宋体" w:asciiTheme="majorEastAsia" w:hAnsiTheme="majorEastAsia" w:eastAsiaTheme="majorEastAsia"/>
          <w:bCs/>
          <w:szCs w:val="24"/>
          <w:lang w:val="en-US" w:eastAsia="zh-CN"/>
        </w:rPr>
        <w:t>huangmq</w:t>
      </w:r>
      <w:r>
        <w:rPr>
          <w:rStyle w:val="29"/>
          <w:rFonts w:hint="eastAsia" w:cs="宋体" w:asciiTheme="majorEastAsia" w:hAnsiTheme="majorEastAsia" w:eastAsiaTheme="majorEastAsia"/>
          <w:bCs/>
          <w:szCs w:val="24"/>
        </w:rPr>
        <w:t>@f</w:t>
      </w:r>
      <w:r>
        <w:rPr>
          <w:rStyle w:val="29"/>
          <w:rFonts w:hint="eastAsia" w:cs="宋体" w:asciiTheme="majorEastAsia" w:hAnsiTheme="majorEastAsia" w:eastAsiaTheme="majorEastAsia"/>
          <w:bCs/>
          <w:szCs w:val="24"/>
          <w:lang w:val="en-US" w:eastAsia="zh-CN"/>
        </w:rPr>
        <w:t>j</w:t>
      </w:r>
      <w:r>
        <w:rPr>
          <w:rStyle w:val="29"/>
          <w:rFonts w:hint="eastAsia" w:cs="宋体" w:asciiTheme="majorEastAsia" w:hAnsiTheme="majorEastAsia" w:eastAsiaTheme="majorEastAsia"/>
          <w:bCs/>
          <w:szCs w:val="24"/>
        </w:rPr>
        <w:t>pec</w:t>
      </w:r>
      <w:r>
        <w:rPr>
          <w:rStyle w:val="29"/>
          <w:rFonts w:hint="eastAsia" w:cs="宋体" w:asciiTheme="majorEastAsia" w:hAnsiTheme="majorEastAsia" w:eastAsiaTheme="majorEastAsia"/>
          <w:bCs/>
          <w:szCs w:val="24"/>
          <w:lang w:val="en-US" w:eastAsia="zh-CN"/>
        </w:rPr>
        <w:t>.</w:t>
      </w:r>
      <w:r>
        <w:rPr>
          <w:rStyle w:val="29"/>
          <w:rFonts w:hint="eastAsia" w:cs="宋体" w:asciiTheme="majorEastAsia" w:hAnsiTheme="majorEastAsia" w:eastAsiaTheme="majorEastAsia"/>
          <w:bCs/>
          <w:szCs w:val="24"/>
        </w:rPr>
        <w:t>com</w:t>
      </w:r>
      <w:r>
        <w:rPr>
          <w:rStyle w:val="29"/>
          <w:rFonts w:hint="eastAsia" w:cs="宋体" w:asciiTheme="majorEastAsia" w:hAnsiTheme="majorEastAsia" w:eastAsiaTheme="majorEastAsia"/>
          <w:bCs/>
          <w:szCs w:val="24"/>
          <w:lang w:val="en-US" w:eastAsia="zh-CN"/>
        </w:rPr>
        <w:t>.</w:t>
      </w:r>
      <w:r>
        <w:rPr>
          <w:rStyle w:val="29"/>
          <w:rFonts w:hint="eastAsia" w:cs="宋体" w:asciiTheme="majorEastAsia" w:hAnsiTheme="majorEastAsia" w:eastAsiaTheme="majorEastAsia"/>
          <w:bCs/>
          <w:szCs w:val="24"/>
        </w:rPr>
        <w:t>cn</w:t>
      </w:r>
      <w:r>
        <w:rPr>
          <w:rFonts w:hint="eastAsia" w:cs="宋体" w:asciiTheme="majorEastAsia" w:hAnsiTheme="majorEastAsia" w:eastAsiaTheme="majorEastAsia"/>
          <w:bCs/>
          <w:szCs w:val="24"/>
          <w:lang w:val="en-US" w:eastAsia="zh-CN"/>
        </w:rPr>
        <w:fldChar w:fldCharType="end"/>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lang w:val="en-US" w:eastAsia="zh-CN"/>
        </w:rPr>
        <w:t>技术经办：苟随义18993814019</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.0</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07</w:t>
      </w:r>
    </w:p>
    <w:p>
      <w:pPr>
        <w:pStyle w:val="3"/>
        <w:tabs>
          <w:tab w:val="left" w:pos="1262"/>
        </w:tabs>
        <w:spacing w:line="355" w:lineRule="exact"/>
        <w:ind w:left="0" w:right="108"/>
        <w:jc w:val="center"/>
        <w:rPr>
          <w:lang w:eastAsia="zh-CN"/>
        </w:rPr>
        <w:sectPr>
          <w:footerReference r:id="rId3" w:type="default"/>
          <w:pgSz w:w="11910" w:h="16840"/>
          <w:pgMar w:top="106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autoSpaceDE/>
        <w:autoSpaceDN/>
        <w:spacing w:line="360" w:lineRule="auto"/>
        <w:ind w:firstLine="440" w:firstLineChars="200"/>
        <w:jc w:val="both"/>
        <w:rPr>
          <w:rFonts w:hint="eastAsia" w:asciiTheme="majorEastAsia" w:hAnsiTheme="majorEastAsia" w:eastAsiaTheme="majorEastAsia"/>
          <w:bCs/>
          <w:sz w:val="24"/>
          <w:szCs w:val="24"/>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u w:val="single"/>
          <w:lang w:eastAsia="zh-CN"/>
        </w:rPr>
        <w:t>阻爆燃型管道阻火器</w:t>
      </w:r>
      <w:r>
        <w:rPr>
          <w:rFonts w:hint="eastAsia" w:asciiTheme="majorEastAsia" w:hAnsiTheme="majorEastAsia" w:eastAsiaTheme="majorEastAsia"/>
          <w:bCs/>
          <w:sz w:val="24"/>
          <w:szCs w:val="24"/>
          <w:u w:val="single"/>
          <w:lang w:eastAsia="zh-CN"/>
        </w:rPr>
        <w:t xml:space="preserve">采购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autoSpaceDE/>
        <w:autoSpaceDN/>
        <w:spacing w:line="360" w:lineRule="auto"/>
        <w:ind w:firstLine="480" w:firstLineChars="200"/>
        <w:jc w:val="both"/>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u w:val="single"/>
          <w:lang w:eastAsia="zh-CN"/>
        </w:rPr>
        <w:t>阻爆燃型管道阻火器</w:t>
      </w:r>
      <w:r>
        <w:rPr>
          <w:rFonts w:hint="eastAsia" w:asciiTheme="majorEastAsia" w:hAnsiTheme="majorEastAsia" w:eastAsiaTheme="majorEastAsia"/>
          <w:bCs/>
          <w:sz w:val="24"/>
          <w:szCs w:val="24"/>
          <w:u w:val="single"/>
          <w:lang w:eastAsia="zh-CN"/>
        </w:rPr>
        <w:t>采购</w:t>
      </w:r>
      <w:r>
        <w:rPr>
          <w:rFonts w:hint="eastAsia" w:asciiTheme="majorEastAsia" w:hAnsiTheme="majorEastAsia" w:eastAsiaTheme="majorEastAsia"/>
          <w:bCs/>
          <w:sz w:val="24"/>
          <w:szCs w:val="24"/>
          <w:u w:val="single"/>
          <w:lang w:val="en-US" w:eastAsia="zh-CN"/>
        </w:rPr>
        <w:t xml:space="preserve"> </w:t>
      </w:r>
    </w:p>
    <w:p>
      <w:pPr>
        <w:ind w:firstLine="480" w:firstLineChars="200"/>
        <w:jc w:val="both"/>
        <w:rPr>
          <w:rFonts w:asciiTheme="majorEastAsia" w:hAnsiTheme="majorEastAsia" w:eastAsiaTheme="majorEastAsia"/>
          <w:sz w:val="24"/>
          <w:szCs w:val="24"/>
          <w:highlight w:val="none"/>
          <w:lang w:eastAsia="zh-CN"/>
        </w:rPr>
      </w:pPr>
      <w:r>
        <w:rPr>
          <w:rFonts w:hint="eastAsia" w:asciiTheme="majorEastAsia" w:hAnsiTheme="majorEastAsia" w:eastAsiaTheme="majorEastAsia"/>
          <w:sz w:val="24"/>
          <w:szCs w:val="24"/>
          <w:highlight w:val="none"/>
          <w:lang w:eastAsia="zh-CN"/>
        </w:rPr>
        <w:t>2.项目范围及内容：</w:t>
      </w:r>
      <w:r>
        <w:rPr>
          <w:rFonts w:hint="eastAsia" w:asciiTheme="majorEastAsia" w:hAnsiTheme="majorEastAsia" w:eastAsiaTheme="majorEastAsia"/>
          <w:sz w:val="24"/>
          <w:szCs w:val="24"/>
          <w:highlight w:val="none"/>
          <w:u w:val="single"/>
          <w:lang w:val="en-US" w:eastAsia="zh-CN"/>
        </w:rPr>
        <w:t>详见附件《芳烃团队燃料气</w:t>
      </w:r>
      <w:r>
        <w:rPr>
          <w:rFonts w:hint="eastAsia" w:asciiTheme="majorEastAsia" w:hAnsiTheme="majorEastAsia" w:eastAsiaTheme="majorEastAsia"/>
          <w:sz w:val="24"/>
          <w:szCs w:val="24"/>
          <w:highlight w:val="none"/>
          <w:u w:val="single"/>
          <w:lang w:eastAsia="zh-CN"/>
        </w:rPr>
        <w:t>阻火器技术要求</w:t>
      </w:r>
      <w:r>
        <w:rPr>
          <w:rFonts w:hint="eastAsia" w:asciiTheme="majorEastAsia" w:hAnsiTheme="majorEastAsia" w:eastAsiaTheme="majorEastAsia" w:cstheme="minorEastAsia"/>
          <w:kern w:val="59"/>
          <w:sz w:val="24"/>
          <w:szCs w:val="24"/>
          <w:highlight w:val="none"/>
          <w:u w:val="single"/>
          <w:lang w:val="en-US" w:eastAsia="zh-CN"/>
        </w:rPr>
        <w:t>》。</w:t>
      </w:r>
    </w:p>
    <w:p>
      <w:pPr>
        <w:spacing w:line="360" w:lineRule="auto"/>
        <w:ind w:left="720" w:leftChars="218" w:hanging="240" w:hangingChars="100"/>
        <w:rPr>
          <w:rFonts w:hint="eastAsia" w:asciiTheme="majorEastAsia" w:hAnsiTheme="majorEastAsia" w:eastAsiaTheme="majorEastAsia" w:cstheme="minorEastAsia"/>
          <w:kern w:val="59"/>
          <w:sz w:val="24"/>
          <w:szCs w:val="24"/>
          <w:highlight w:val="none"/>
          <w:u w:val="single"/>
          <w:lang w:val="en-US" w:eastAsia="zh-CN"/>
        </w:rPr>
      </w:pPr>
      <w:r>
        <w:rPr>
          <w:rFonts w:hint="eastAsia" w:asciiTheme="majorEastAsia" w:hAnsiTheme="majorEastAsia" w:eastAsiaTheme="majorEastAsia"/>
          <w:sz w:val="24"/>
          <w:szCs w:val="24"/>
          <w:highlight w:val="none"/>
          <w:lang w:eastAsia="zh-CN"/>
        </w:rPr>
        <w:t>3.相关要求标准、规范及规定：</w:t>
      </w:r>
      <w:r>
        <w:rPr>
          <w:rFonts w:hint="eastAsia"/>
          <w:sz w:val="24"/>
          <w:szCs w:val="24"/>
          <w:highlight w:val="none"/>
          <w:lang w:eastAsia="zh-CN"/>
        </w:rPr>
        <w:t>符合现行国家、地方及行业相关设计要求及发包说明书的要求，并通过有关部门验收合格，详见</w:t>
      </w:r>
      <w:r>
        <w:rPr>
          <w:rFonts w:hint="eastAsia"/>
          <w:sz w:val="24"/>
          <w:szCs w:val="24"/>
          <w:highlight w:val="none"/>
          <w:lang w:val="en-US" w:eastAsia="zh-CN"/>
        </w:rPr>
        <w:t>附件</w:t>
      </w:r>
      <w:r>
        <w:rPr>
          <w:rFonts w:hint="eastAsia" w:asciiTheme="majorEastAsia" w:hAnsiTheme="majorEastAsia" w:eastAsiaTheme="majorEastAsia"/>
          <w:sz w:val="24"/>
          <w:szCs w:val="24"/>
          <w:highlight w:val="none"/>
          <w:u w:val="single"/>
          <w:lang w:val="en-US" w:eastAsia="zh-CN"/>
        </w:rPr>
        <w:t>《芳烃团队燃料气</w:t>
      </w:r>
      <w:r>
        <w:rPr>
          <w:rFonts w:hint="eastAsia" w:asciiTheme="majorEastAsia" w:hAnsiTheme="majorEastAsia" w:eastAsiaTheme="majorEastAsia"/>
          <w:sz w:val="24"/>
          <w:szCs w:val="24"/>
          <w:highlight w:val="none"/>
          <w:u w:val="single"/>
          <w:lang w:eastAsia="zh-CN"/>
        </w:rPr>
        <w:t>阻火器技术要求</w:t>
      </w:r>
      <w:r>
        <w:rPr>
          <w:rFonts w:hint="eastAsia" w:asciiTheme="majorEastAsia" w:hAnsiTheme="majorEastAsia" w:eastAsiaTheme="majorEastAsia" w:cstheme="minorEastAsia"/>
          <w:kern w:val="59"/>
          <w:sz w:val="24"/>
          <w:szCs w:val="24"/>
          <w:highlight w:val="none"/>
          <w:u w:val="single"/>
          <w:lang w:val="en-US" w:eastAsia="zh-CN"/>
        </w:rPr>
        <w:t>》。</w:t>
      </w:r>
    </w:p>
    <w:p>
      <w:pPr>
        <w:spacing w:line="360" w:lineRule="auto"/>
        <w:ind w:firstLine="480" w:firstLineChars="200"/>
        <w:rPr>
          <w:rFonts w:asciiTheme="majorEastAsia" w:hAnsiTheme="majorEastAsia" w:eastAsiaTheme="majorEastAsia"/>
          <w:sz w:val="24"/>
          <w:szCs w:val="24"/>
          <w:highlight w:val="none"/>
          <w:lang w:eastAsia="zh-CN"/>
        </w:rPr>
      </w:pPr>
      <w:r>
        <w:rPr>
          <w:rFonts w:hint="eastAsia" w:asciiTheme="majorEastAsia" w:hAnsiTheme="majorEastAsia" w:eastAsiaTheme="majorEastAsia" w:cstheme="minorEastAsia"/>
          <w:kern w:val="59"/>
          <w:sz w:val="24"/>
          <w:szCs w:val="24"/>
          <w:highlight w:val="none"/>
          <w:lang w:val="en-US" w:eastAsia="zh-CN"/>
        </w:rPr>
        <w:t>(五)产品质量：技术要求详见附件</w:t>
      </w:r>
      <w:r>
        <w:rPr>
          <w:rFonts w:hint="eastAsia" w:asciiTheme="majorEastAsia" w:hAnsiTheme="majorEastAsia" w:eastAsiaTheme="majorEastAsia"/>
          <w:sz w:val="24"/>
          <w:szCs w:val="24"/>
          <w:highlight w:val="none"/>
          <w:u w:val="single"/>
          <w:lang w:val="en-US" w:eastAsia="zh-CN"/>
        </w:rPr>
        <w:t>《芳烃团队燃料气</w:t>
      </w:r>
      <w:r>
        <w:rPr>
          <w:rFonts w:hint="eastAsia" w:asciiTheme="majorEastAsia" w:hAnsiTheme="majorEastAsia" w:eastAsiaTheme="majorEastAsia"/>
          <w:sz w:val="24"/>
          <w:szCs w:val="24"/>
          <w:highlight w:val="none"/>
          <w:u w:val="single"/>
          <w:lang w:eastAsia="zh-CN"/>
        </w:rPr>
        <w:t>阻火器技术要求</w:t>
      </w:r>
      <w:r>
        <w:rPr>
          <w:rFonts w:hint="eastAsia" w:asciiTheme="majorEastAsia" w:hAnsiTheme="majorEastAsia" w:eastAsiaTheme="majorEastAsia" w:cstheme="minorEastAsia"/>
          <w:kern w:val="59"/>
          <w:sz w:val="24"/>
          <w:szCs w:val="24"/>
          <w:highlight w:val="none"/>
          <w:u w:val="single"/>
          <w:lang w:val="en-US" w:eastAsia="zh-CN"/>
        </w:rPr>
        <w:t>》。</w:t>
      </w:r>
    </w:p>
    <w:p>
      <w:pPr>
        <w:pStyle w:val="3"/>
        <w:spacing w:line="360" w:lineRule="auto"/>
        <w:rPr>
          <w:rFonts w:asciiTheme="majorEastAsia" w:hAnsiTheme="majorEastAsia" w:eastAsiaTheme="majorEastAsia"/>
          <w:sz w:val="30"/>
          <w:szCs w:val="30"/>
          <w:lang w:eastAsia="zh-CN"/>
        </w:rPr>
      </w:pPr>
      <w:r>
        <w:rPr>
          <w:rFonts w:asciiTheme="majorEastAsia" w:hAnsiTheme="majorEastAsia" w:eastAsiaTheme="majorEastAsia"/>
          <w:w w:val="95"/>
          <w:sz w:val="30"/>
          <w:szCs w:val="30"/>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534" w:firstLineChars="200"/>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0" w:leftChars="0" w:right="191" w:rightChars="87" w:firstLine="458" w:firstLineChars="191"/>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七、参选保证金</w:t>
      </w:r>
    </w:p>
    <w:p>
      <w:pPr>
        <w:pStyle w:val="10"/>
        <w:spacing w:beforeLines="50" w:afterLines="50"/>
        <w:ind w:right="121" w:firstLine="960" w:firstLineChars="400"/>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hint="eastAsia" w:asciiTheme="majorEastAsia" w:hAnsiTheme="majorEastAsia" w:eastAsiaTheme="majorEastAsia"/>
          <w:spacing w:val="-4"/>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苟随义</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电话：18993814019</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hint="eastAsia" w:asciiTheme="majorEastAsia" w:hAnsiTheme="majorEastAsia" w:eastAsiaTheme="majorEastAsia"/>
          <w:w w:val="95"/>
          <w:sz w:val="24"/>
          <w:szCs w:val="24"/>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eastAsia" w:asciiTheme="majorEastAsia" w:hAnsiTheme="majorEastAsia" w:eastAsiaTheme="majorEastAsia"/>
          <w:w w:val="95"/>
          <w:sz w:val="24"/>
          <w:szCs w:val="24"/>
          <w:lang w:eastAsia="zh-CN"/>
        </w:rPr>
      </w:pP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37800</w:t>
      </w:r>
      <w:r>
        <w:rPr>
          <w:rFonts w:hint="eastAsia" w:asciiTheme="majorEastAsia" w:hAnsiTheme="majorEastAsia" w:eastAsiaTheme="majorEastAsia"/>
          <w:b/>
          <w:bCs/>
          <w:sz w:val="24"/>
          <w:szCs w:val="24"/>
          <w:lang w:eastAsia="zh-CN"/>
        </w:rPr>
        <w:t>元</w:t>
      </w:r>
      <w:r>
        <w:rPr>
          <w:rFonts w:hint="eastAsia"/>
          <w:b/>
          <w:lang w:eastAsia="zh-CN"/>
        </w:rPr>
        <w:t>（</w:t>
      </w:r>
      <w:r>
        <w:rPr>
          <w:rFonts w:hint="eastAsia"/>
          <w:b/>
          <w:lang w:val="en-US" w:eastAsia="zh-CN"/>
        </w:rPr>
        <w:t>未</w:t>
      </w:r>
      <w:r>
        <w:rPr>
          <w:rFonts w:hint="eastAsia"/>
          <w:b/>
          <w:lang w:eastAsia="zh-CN"/>
        </w:rPr>
        <w:t>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hint="eastAsia" w:asciiTheme="majorEastAsia" w:hAnsiTheme="majorEastAsia" w:eastAsiaTheme="majorEastAsia"/>
          <w:bCs/>
          <w:spacing w:val="-2"/>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90619"/>
      <w:bookmarkStart w:id="2" w:name="_Toc415567504"/>
      <w:bookmarkStart w:id="3" w:name="_Toc304357904"/>
      <w:bookmarkStart w:id="4" w:name="_Toc430422420"/>
      <w:bookmarkStart w:id="5" w:name="_Toc430489126"/>
      <w:bookmarkStart w:id="6" w:name="_Toc430492133"/>
      <w:bookmarkStart w:id="7" w:name="_Toc430488858"/>
      <w:bookmarkStart w:id="8" w:name="_Toc177186249"/>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378</w:t>
      </w:r>
      <w:r>
        <w:rPr>
          <w:rFonts w:hint="eastAsia"/>
          <w:b/>
          <w:bCs/>
          <w:lang w:eastAsia="zh-CN"/>
        </w:rPr>
        <w:t>0</w:t>
      </w:r>
      <w:r>
        <w:rPr>
          <w:rFonts w:hint="eastAsia"/>
          <w:b/>
          <w:lang w:eastAsia="zh-CN"/>
        </w:rPr>
        <w:t>0元（</w:t>
      </w:r>
      <w:r>
        <w:rPr>
          <w:rFonts w:hint="eastAsia"/>
          <w:b/>
          <w:lang w:val="en-US" w:eastAsia="zh-CN"/>
        </w:rPr>
        <w:t>未</w:t>
      </w:r>
      <w:r>
        <w:rPr>
          <w:rFonts w:hint="eastAsia"/>
          <w:b/>
          <w:lang w:eastAsia="zh-CN"/>
        </w:rPr>
        <w:t>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highlight w:val="yellow"/>
          <w:lang w:eastAsia="zh-CN"/>
        </w:rPr>
      </w:pPr>
    </w:p>
    <w:p>
      <w:pPr>
        <w:pStyle w:val="3"/>
        <w:tabs>
          <w:tab w:val="left" w:pos="4344"/>
        </w:tabs>
        <w:spacing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阻爆燃型管道阻火器采购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spacing w:line="440" w:lineRule="exact"/>
        <w:jc w:val="left"/>
        <w:rPr>
          <w:rFonts w:hint="eastAsia" w:ascii="Times New Roman" w:hAnsi="Times New Roman" w:cs="Times New Roman"/>
          <w:b/>
          <w:sz w:val="32"/>
          <w:szCs w:val="32"/>
          <w:lang w:val="en-US" w:eastAsia="zh-CN"/>
        </w:rPr>
      </w:pPr>
      <w:bookmarkStart w:id="9" w:name="_Toc251742852"/>
      <w:r>
        <w:rPr>
          <w:rFonts w:hint="eastAsia" w:ascii="Times New Roman" w:hAnsi="Times New Roman" w:cs="Times New Roman"/>
          <w:b/>
          <w:sz w:val="32"/>
          <w:szCs w:val="32"/>
          <w:lang w:val="en-US" w:eastAsia="zh-CN"/>
        </w:rPr>
        <w:t>附件一</w:t>
      </w:r>
    </w:p>
    <w:p>
      <w:pPr>
        <w:spacing w:line="440" w:lineRule="exact"/>
        <w:jc w:val="center"/>
        <w:rPr>
          <w:rFonts w:hint="default" w:ascii="Times New Roman" w:hAnsi="Times New Roman" w:eastAsia="宋体" w:cs="Times New Roman"/>
          <w:b/>
          <w:sz w:val="32"/>
          <w:szCs w:val="32"/>
          <w:lang w:eastAsia="zh-CN"/>
        </w:rPr>
      </w:pPr>
      <w:r>
        <w:rPr>
          <w:rFonts w:hint="eastAsia" w:ascii="Times New Roman" w:hAnsi="Times New Roman" w:cs="Times New Roman"/>
          <w:b/>
          <w:sz w:val="32"/>
          <w:szCs w:val="32"/>
          <w:lang w:val="en-US" w:eastAsia="zh-CN"/>
        </w:rPr>
        <w:t>腾龙芳烃</w:t>
      </w:r>
      <w:r>
        <w:rPr>
          <w:rFonts w:hint="default" w:ascii="Times New Roman" w:hAnsi="Times New Roman" w:eastAsia="宋体" w:cs="Times New Roman"/>
          <w:b/>
          <w:sz w:val="32"/>
          <w:szCs w:val="32"/>
          <w:lang w:eastAsia="zh-CN"/>
        </w:rPr>
        <w:t>（漳州）有限公司</w:t>
      </w:r>
    </w:p>
    <w:p>
      <w:pPr>
        <w:pStyle w:val="2"/>
        <w:keepNext w:val="0"/>
        <w:keepLines w:val="0"/>
        <w:pageBreakBefore w:val="0"/>
        <w:widowControl w:val="0"/>
        <w:kinsoku/>
        <w:wordWrap/>
        <w:overflowPunct/>
        <w:topLinePunct w:val="0"/>
        <w:autoSpaceDE/>
        <w:autoSpaceDN/>
        <w:bidi w:val="0"/>
        <w:adjustRightInd w:val="0"/>
        <w:snapToGrid/>
        <w:spacing w:before="157" w:beforeLines="50" w:line="440" w:lineRule="exact"/>
        <w:ind w:left="0" w:leftChars="0" w:right="0" w:rightChars="0" w:firstLine="0" w:firstLineChars="0"/>
        <w:jc w:val="center"/>
        <w:textAlignment w:val="baseline"/>
        <w:outlineLvl w:val="9"/>
        <w:rPr>
          <w:rFonts w:hint="default" w:ascii="Times New Roman" w:hAnsi="Times New Roman" w:eastAsia="宋体" w:cs="Times New Roman"/>
          <w:b/>
          <w:bCs w:val="0"/>
          <w:sz w:val="30"/>
          <w:szCs w:val="30"/>
        </w:rPr>
      </w:pPr>
      <w:r>
        <w:rPr>
          <w:rFonts w:hint="default" w:ascii="Times New Roman" w:hAnsi="Times New Roman" w:eastAsia="宋体" w:cs="Times New Roman"/>
          <w:b/>
          <w:bCs w:val="0"/>
          <w:sz w:val="30"/>
          <w:szCs w:val="30"/>
          <w:u w:val="single"/>
          <w:lang w:val="en-US" w:eastAsia="zh-CN"/>
        </w:rPr>
        <w:t>阻爆燃型管道阻火器</w:t>
      </w:r>
      <w:r>
        <w:rPr>
          <w:rFonts w:hint="default" w:ascii="Times New Roman" w:hAnsi="Times New Roman" w:eastAsia="宋体" w:cs="Times New Roman"/>
          <w:b/>
          <w:bCs w:val="0"/>
          <w:sz w:val="30"/>
          <w:szCs w:val="30"/>
        </w:rPr>
        <w:t>采购合同</w:t>
      </w:r>
    </w:p>
    <w:p>
      <w:pPr>
        <w:pStyle w:val="2"/>
        <w:spacing w:line="440" w:lineRule="exact"/>
        <w:jc w:val="center"/>
        <w:rPr>
          <w:rFonts w:hint="default" w:ascii="Times New Roman" w:hAnsi="Times New Roman" w:eastAsia="宋体" w:cs="Times New Roman"/>
          <w:b/>
          <w:sz w:val="32"/>
          <w:szCs w:val="32"/>
        </w:rPr>
      </w:pPr>
    </w:p>
    <w:tbl>
      <w:tblPr>
        <w:tblStyle w:val="31"/>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8"/>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928" w:type="dxa"/>
            <w:vAlign w:val="center"/>
          </w:tcPr>
          <w:p>
            <w:pPr>
              <w:spacing w:line="360" w:lineRule="auto"/>
              <w:jc w:val="both"/>
              <w:rPr>
                <w:rFonts w:hint="default" w:ascii="Times New Roman" w:hAnsi="Times New Roman" w:eastAsia="宋体" w:cs="Times New Roman"/>
                <w:sz w:val="24"/>
                <w:lang w:eastAsia="zh-CN"/>
              </w:rPr>
            </w:pP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合同编号：</w:t>
            </w:r>
          </w:p>
        </w:tc>
        <w:tc>
          <w:tcPr>
            <w:tcW w:w="3649" w:type="dxa"/>
          </w:tcPr>
          <w:p>
            <w:pPr>
              <w:spacing w:line="360" w:lineRule="auto"/>
              <w:jc w:val="both"/>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甲方（</w:t>
            </w:r>
            <w:r>
              <w:rPr>
                <w:rFonts w:hint="default" w:ascii="Times New Roman" w:hAnsi="Times New Roman" w:eastAsia="宋体" w:cs="Times New Roman"/>
                <w:b/>
                <w:bCs/>
                <w:sz w:val="24"/>
                <w:lang w:val="en-US" w:eastAsia="zh-CN"/>
              </w:rPr>
              <w:t>需方）</w:t>
            </w:r>
            <w:r>
              <w:rPr>
                <w:rFonts w:hint="default" w:ascii="Times New Roman" w:hAnsi="Times New Roman" w:eastAsia="宋体" w:cs="Times New Roman"/>
                <w:b/>
                <w:bCs/>
                <w:sz w:val="24"/>
                <w:lang w:eastAsia="zh-CN"/>
              </w:rPr>
              <w:t>：</w:t>
            </w:r>
            <w:r>
              <w:rPr>
                <w:rFonts w:hint="eastAsia" w:ascii="Times New Roman" w:hAnsi="Times New Roman" w:eastAsia="宋体" w:cs="Times New Roman"/>
                <w:b w:val="0"/>
                <w:bCs w:val="0"/>
                <w:sz w:val="24"/>
                <w:lang w:val="en-US" w:eastAsia="zh-CN"/>
              </w:rPr>
              <w:t>腾龙芳烃</w:t>
            </w:r>
            <w:r>
              <w:rPr>
                <w:rFonts w:hint="default" w:ascii="Times New Roman" w:hAnsi="Times New Roman" w:eastAsia="宋体" w:cs="Times New Roman"/>
                <w:b w:val="0"/>
                <w:bCs w:val="0"/>
                <w:sz w:val="24"/>
                <w:lang w:eastAsia="zh-CN"/>
              </w:rPr>
              <w:t>（漳州）有限公司</w:t>
            </w: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签订地点：</w:t>
            </w:r>
          </w:p>
        </w:tc>
        <w:tc>
          <w:tcPr>
            <w:tcW w:w="3649" w:type="dxa"/>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福建漳浦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乙方（</w:t>
            </w:r>
            <w:r>
              <w:rPr>
                <w:rFonts w:hint="default" w:ascii="Times New Roman" w:hAnsi="Times New Roman" w:eastAsia="宋体" w:cs="Times New Roman"/>
                <w:b/>
                <w:bCs/>
                <w:sz w:val="24"/>
                <w:lang w:val="en-US" w:eastAsia="zh-CN"/>
              </w:rPr>
              <w:t>供方）</w:t>
            </w:r>
            <w:r>
              <w:rPr>
                <w:rFonts w:hint="default" w:ascii="Times New Roman" w:hAnsi="Times New Roman" w:eastAsia="宋体" w:cs="Times New Roman"/>
                <w:b/>
                <w:bCs/>
                <w:sz w:val="24"/>
                <w:lang w:eastAsia="zh-CN"/>
              </w:rPr>
              <w:t>：</w:t>
            </w: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签订日期：</w:t>
            </w:r>
          </w:p>
        </w:tc>
        <w:tc>
          <w:tcPr>
            <w:tcW w:w="3649" w:type="dxa"/>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2022年  月   日  </w:t>
            </w:r>
          </w:p>
        </w:tc>
      </w:tr>
    </w:tbl>
    <w:p>
      <w:pPr>
        <w:spacing w:line="360" w:lineRule="auto"/>
        <w:ind w:firstLine="480" w:firstLineChars="200"/>
        <w:rPr>
          <w:rFonts w:hint="default" w:ascii="Times New Roman" w:hAnsi="Times New Roman" w:eastAsia="宋体" w:cs="Times New Roman"/>
          <w:sz w:val="24"/>
          <w:lang w:eastAsia="zh-CN"/>
        </w:rPr>
      </w:pP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0"/>
        <w:tblpPr w:leftFromText="180" w:rightFromText="180" w:vertAnchor="text" w:horzAnchor="margin" w:tblpXSpec="center" w:tblpY="377"/>
        <w:tblW w:w="9434" w:type="dxa"/>
        <w:tblInd w:w="0" w:type="dxa"/>
        <w:tblLayout w:type="fixed"/>
        <w:tblCellMar>
          <w:top w:w="0" w:type="dxa"/>
          <w:left w:w="108" w:type="dxa"/>
          <w:bottom w:w="0" w:type="dxa"/>
          <w:right w:w="108" w:type="dxa"/>
        </w:tblCellMar>
      </w:tblPr>
      <w:tblGrid>
        <w:gridCol w:w="426"/>
        <w:gridCol w:w="2258"/>
        <w:gridCol w:w="1375"/>
        <w:gridCol w:w="675"/>
        <w:gridCol w:w="775"/>
        <w:gridCol w:w="725"/>
        <w:gridCol w:w="1038"/>
        <w:gridCol w:w="2162"/>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序号</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存货</w:t>
            </w:r>
            <w:r>
              <w:rPr>
                <w:rFonts w:hint="default" w:ascii="Times New Roman" w:hAnsi="Times New Roman" w:eastAsia="宋体" w:cs="Times New Roman"/>
                <w:sz w:val="21"/>
                <w:szCs w:val="21"/>
                <w:lang w:eastAsia="zh-CN"/>
              </w:rPr>
              <w:t>名称</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规格</w:t>
            </w:r>
            <w:r>
              <w:rPr>
                <w:rFonts w:hint="default" w:ascii="Times New Roman" w:hAnsi="Times New Roman" w:eastAsia="宋体" w:cs="Times New Roman"/>
                <w:sz w:val="21"/>
                <w:szCs w:val="21"/>
                <w:lang w:val="en-US" w:eastAsia="zh-CN"/>
              </w:rPr>
              <w:t>与型号</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775"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数量</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含税</w:t>
            </w:r>
          </w:p>
          <w:p>
            <w:pPr>
              <w:widowControl/>
              <w:autoSpaceDE/>
              <w:autoSpaceDN/>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单价</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合计</w:t>
            </w:r>
          </w:p>
          <w:p>
            <w:pPr>
              <w:pStyle w:val="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（元）</w:t>
            </w:r>
          </w:p>
        </w:tc>
        <w:tc>
          <w:tcPr>
            <w:tcW w:w="2162"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阻爆燃型管道阻火器</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详见附件1</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批</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p>
        </w:tc>
        <w:tc>
          <w:tcPr>
            <w:tcW w:w="21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shd w:val="clear" w:color="auto" w:fill="FFFFFF"/>
                <w:lang w:eastAsia="zh-CN"/>
              </w:rPr>
              <w:t>具体要求</w:t>
            </w:r>
            <w:r>
              <w:rPr>
                <w:rFonts w:hint="default" w:ascii="Times New Roman" w:hAnsi="Times New Roman" w:eastAsia="宋体" w:cs="Times New Roman"/>
                <w:sz w:val="21"/>
                <w:szCs w:val="21"/>
                <w:shd w:val="clear" w:color="auto" w:fill="FFFFFF"/>
                <w:lang w:val="en-US" w:eastAsia="zh-CN"/>
              </w:rPr>
              <w:t>详</w:t>
            </w:r>
            <w:r>
              <w:rPr>
                <w:rFonts w:hint="default" w:ascii="Times New Roman" w:hAnsi="Times New Roman" w:eastAsia="宋体" w:cs="Times New Roman"/>
                <w:sz w:val="21"/>
                <w:szCs w:val="21"/>
                <w:shd w:val="clear" w:color="auto" w:fill="FFFFFF"/>
                <w:lang w:eastAsia="zh-CN"/>
              </w:rPr>
              <w:t>见</w:t>
            </w:r>
            <w:r>
              <w:rPr>
                <w:rFonts w:hint="default" w:ascii="Times New Roman" w:hAnsi="Times New Roman" w:eastAsia="宋体" w:cs="Times New Roman"/>
                <w:sz w:val="21"/>
                <w:szCs w:val="21"/>
                <w:shd w:val="clear" w:color="auto" w:fill="FFFFFF"/>
                <w:lang w:val="en-US" w:eastAsia="zh-CN"/>
              </w:rPr>
              <w:t>双方签署的</w:t>
            </w:r>
            <w:r>
              <w:rPr>
                <w:rFonts w:hint="default" w:ascii="Times New Roman" w:hAnsi="Times New Roman" w:eastAsia="宋体" w:cs="Times New Roman"/>
                <w:sz w:val="21"/>
                <w:szCs w:val="21"/>
                <w:shd w:val="clear" w:color="auto" w:fill="FFFFFF"/>
                <w:lang w:eastAsia="zh-CN"/>
              </w:rPr>
              <w:t>“技术协议”</w:t>
            </w:r>
          </w:p>
        </w:tc>
      </w:tr>
      <w:tr>
        <w:tblPrEx>
          <w:tblLayout w:type="fixed"/>
          <w:tblCellMar>
            <w:top w:w="0" w:type="dxa"/>
            <w:left w:w="108" w:type="dxa"/>
            <w:bottom w:w="0" w:type="dxa"/>
            <w:right w:w="108" w:type="dxa"/>
          </w:tblCellMar>
        </w:tblPrEx>
        <w:trPr>
          <w:trHeight w:val="449" w:hRule="atLeast"/>
        </w:trPr>
        <w:tc>
          <w:tcPr>
            <w:tcW w:w="40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合</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eastAsia="zh-CN"/>
              </w:rPr>
              <w:t>计</w:t>
            </w:r>
            <w:r>
              <w:rPr>
                <w:rFonts w:hint="default" w:ascii="Times New Roman" w:hAnsi="Times New Roman" w:eastAsia="宋体" w:cs="Times New Roman"/>
                <w:b/>
                <w:bCs/>
                <w:sz w:val="21"/>
                <w:szCs w:val="21"/>
                <w:lang w:val="en-US" w:eastAsia="zh-CN"/>
              </w:rPr>
              <w:t>(人民币</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元）</w:t>
            </w:r>
          </w:p>
        </w:tc>
        <w:tc>
          <w:tcPr>
            <w:tcW w:w="5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 元整</w:t>
            </w:r>
          </w:p>
        </w:tc>
      </w:tr>
    </w:tbl>
    <w:p>
      <w:pPr>
        <w:pStyle w:val="33"/>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第一条 </w:t>
      </w:r>
      <w:r>
        <w:rPr>
          <w:rFonts w:hint="default" w:ascii="Times New Roman" w:hAnsi="Times New Roman" w:eastAsia="宋体" w:cs="Times New Roman"/>
          <w:b/>
          <w:bCs/>
          <w:sz w:val="24"/>
          <w:lang w:eastAsia="zh-CN"/>
        </w:rPr>
        <w:t>合同标的和合同价格</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合同价格为</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元整，含税价，税率</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上述金额包含了乙方提供本合同约定的产品及相应服务（如有）的全部价格，除非另有约定，甲方不再承担其他费用。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第二条 </w:t>
      </w:r>
      <w:r>
        <w:rPr>
          <w:rFonts w:hint="default" w:ascii="Times New Roman" w:hAnsi="Times New Roman" w:eastAsia="宋体" w:cs="Times New Roman"/>
          <w:b/>
          <w:bCs/>
          <w:sz w:val="24"/>
          <w:lang w:eastAsia="zh-CN"/>
        </w:rPr>
        <w:t>交货</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交货方式：</w:t>
      </w:r>
      <w:r>
        <w:rPr>
          <w:rFonts w:hint="default" w:ascii="Times New Roman" w:hAnsi="Times New Roman" w:eastAsia="宋体" w:cs="Times New Roman"/>
          <w:sz w:val="24"/>
          <w:u w:val="single"/>
          <w:lang w:eastAsia="zh-CN"/>
        </w:rPr>
        <w:t xml:space="preserve">送货到现场 </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2.2</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交货地点：运送到</w:t>
      </w:r>
      <w:r>
        <w:rPr>
          <w:rFonts w:hint="default" w:ascii="Times New Roman" w:hAnsi="Times New Roman" w:eastAsia="宋体" w:cs="Times New Roman"/>
          <w:sz w:val="24"/>
          <w:u w:val="single"/>
          <w:lang w:eastAsia="zh-CN"/>
        </w:rPr>
        <w:t xml:space="preserve"> </w:t>
      </w:r>
      <w:r>
        <w:rPr>
          <w:rFonts w:hint="eastAsia" w:ascii="Times New Roman" w:hAnsi="Times New Roman" w:cs="Times New Roman"/>
          <w:sz w:val="24"/>
          <w:u w:val="single"/>
          <w:lang w:val="en-US" w:eastAsia="zh-CN"/>
        </w:rPr>
        <w:t>腾龙芳烃</w:t>
      </w:r>
      <w:r>
        <w:rPr>
          <w:rFonts w:hint="default" w:ascii="Times New Roman" w:hAnsi="Times New Roman" w:eastAsia="宋体" w:cs="Times New Roman"/>
          <w:sz w:val="24"/>
          <w:u w:val="single"/>
          <w:lang w:eastAsia="zh-CN"/>
        </w:rPr>
        <w:t xml:space="preserve">（漳州）有限公司 </w:t>
      </w:r>
    </w:p>
    <w:p>
      <w:pPr>
        <w:spacing w:line="288" w:lineRule="auto"/>
        <w:jc w:val="both"/>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sz w:val="24"/>
          <w:lang w:eastAsia="zh-CN"/>
        </w:rPr>
        <w:t>2.3</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交货时间：</w:t>
      </w:r>
      <w:r>
        <w:rPr>
          <w:rFonts w:hint="default" w:ascii="Times New Roman" w:hAnsi="Times New Roman" w:eastAsia="宋体" w:cs="Times New Roman"/>
          <w:sz w:val="24"/>
          <w:u w:val="single"/>
          <w:lang w:eastAsia="zh-CN"/>
        </w:rPr>
        <w:t>合同生效后</w:t>
      </w:r>
      <w:r>
        <w:rPr>
          <w:rFonts w:hint="eastAsia" w:ascii="Times New Roman" w:hAnsi="Times New Roman" w:cs="Times New Roman"/>
          <w:sz w:val="24"/>
          <w:u w:val="single"/>
          <w:lang w:val="en-US" w:eastAsia="zh-CN"/>
        </w:rPr>
        <w:t xml:space="preserve">      </w:t>
      </w:r>
      <w:r>
        <w:rPr>
          <w:rFonts w:hint="default" w:ascii="Times New Roman" w:hAnsi="Times New Roman" w:eastAsia="宋体" w:cs="Times New Roman"/>
          <w:sz w:val="24"/>
          <w:u w:val="single"/>
          <w:lang w:val="en-US" w:eastAsia="zh-CN"/>
        </w:rPr>
        <w:t>天</w:t>
      </w:r>
      <w:r>
        <w:rPr>
          <w:rFonts w:hint="default" w:ascii="Times New Roman" w:hAnsi="Times New Roman" w:eastAsia="宋体" w:cs="Times New Roman"/>
          <w:sz w:val="24"/>
          <w:u w:val="single"/>
          <w:lang w:eastAsia="zh-CN"/>
        </w:rPr>
        <w:t>内货到现</w:t>
      </w:r>
      <w:r>
        <w:rPr>
          <w:rFonts w:hint="default" w:ascii="Times New Roman" w:hAnsi="Times New Roman" w:eastAsia="宋体" w:cs="Times New Roman"/>
          <w:sz w:val="24"/>
          <w:highlight w:val="none"/>
          <w:u w:val="single"/>
          <w:lang w:eastAsia="zh-CN"/>
        </w:rPr>
        <w:t>场</w:t>
      </w:r>
      <w:r>
        <w:rPr>
          <w:rFonts w:hint="default" w:ascii="Times New Roman" w:hAnsi="Times New Roman" w:eastAsia="宋体" w:cs="Times New Roman"/>
          <w:color w:val="auto"/>
          <w:sz w:val="24"/>
          <w:szCs w:val="24"/>
          <w:highlight w:val="none"/>
          <w:u w:val="single"/>
          <w:lang w:eastAsia="zh-CN"/>
        </w:rPr>
        <w:t>。</w:t>
      </w:r>
    </w:p>
    <w:p>
      <w:pPr>
        <w:pStyle w:val="2"/>
        <w:ind w:left="379" w:leftChars="0" w:hanging="379" w:hangingChars="158"/>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2.4</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乙方提供产品并承担运输过程中发生的一切费用。在产品交付给甲方之前，相关的毁损、灭失等风险均由乙方自行承担。</w:t>
      </w:r>
    </w:p>
    <w:p>
      <w:pPr>
        <w:pStyle w:val="2"/>
        <w:ind w:left="720" w:hanging="720" w:hangingChars="3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2.5 技术要求及执行标准详见附件</w:t>
      </w:r>
      <w:r>
        <w:rPr>
          <w:rFonts w:hint="eastAsia" w:ascii="Times New Roman" w:hAnsi="Times New Roman" w:eastAsia="宋体" w:cs="Times New Roman"/>
          <w:sz w:val="24"/>
          <w:lang w:val="en-US" w:eastAsia="zh-CN"/>
        </w:rPr>
        <w:t>《芳烃团队燃料气阻火器技术要求》。</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第三条 </w:t>
      </w:r>
      <w:r>
        <w:rPr>
          <w:rFonts w:hint="default" w:ascii="Times New Roman" w:hAnsi="Times New Roman" w:eastAsia="宋体" w:cs="Times New Roman"/>
          <w:b/>
          <w:bCs/>
          <w:sz w:val="24"/>
          <w:lang w:eastAsia="zh-CN"/>
        </w:rPr>
        <w:t>付款方式与条件</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3.1 预付款：无</w:t>
      </w:r>
    </w:p>
    <w:p>
      <w:pPr>
        <w:pStyle w:val="13"/>
        <w:spacing w:line="360" w:lineRule="auto"/>
        <w:ind w:left="480" w:hanging="480" w:hanging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3.2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到货</w:t>
      </w:r>
      <w:r>
        <w:rPr>
          <w:rFonts w:hint="default" w:ascii="Times New Roman" w:hAnsi="Times New Roman" w:eastAsia="宋体" w:cs="Times New Roman"/>
          <w:sz w:val="24"/>
        </w:rPr>
        <w:t>验收款：货到现场，按合同约定标准经甲方验收合格，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3.3</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说明：如未来国家税率变动，应在不含税金额的基础上以新税率调整含税金额后进行付款。</w:t>
      </w:r>
    </w:p>
    <w:p>
      <w:pPr>
        <w:spacing w:line="360" w:lineRule="auto"/>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第四条 </w:t>
      </w:r>
      <w:r>
        <w:rPr>
          <w:rFonts w:hint="default" w:ascii="Times New Roman" w:hAnsi="Times New Roman" w:eastAsia="宋体" w:cs="Times New Roman"/>
          <w:b/>
          <w:bCs/>
          <w:sz w:val="24"/>
          <w:lang w:eastAsia="zh-CN"/>
        </w:rPr>
        <w:t>质量要求和技术标准</w:t>
      </w:r>
    </w:p>
    <w:p>
      <w:pPr>
        <w:spacing w:line="360" w:lineRule="auto"/>
        <w:ind w:left="715" w:leftChars="109" w:hanging="475" w:hangingChars="198"/>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left="715" w:leftChars="109" w:hanging="475" w:hangingChars="198"/>
        <w:rPr>
          <w:rFonts w:hint="default" w:ascii="Times New Roman" w:hAnsi="Times New Roman" w:eastAsia="宋体" w:cs="Times New Roman"/>
          <w:sz w:val="24"/>
        </w:rPr>
      </w:pPr>
      <w:r>
        <w:rPr>
          <w:rFonts w:hint="default" w:ascii="Times New Roman" w:hAnsi="Times New Roman" w:eastAsia="宋体" w:cs="Times New Roman"/>
          <w:sz w:val="24"/>
          <w:szCs w:val="24"/>
        </w:rPr>
        <w:t>4.2</w:t>
      </w:r>
      <w:r>
        <w:rPr>
          <w:rFonts w:hint="default" w:ascii="Times New Roman" w:hAnsi="Times New Roman" w:eastAsia="宋体" w:cs="Times New Roman"/>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default" w:ascii="Times New Roman" w:hAnsi="Times New Roman" w:eastAsia="宋体" w:cs="Times New Roman"/>
          <w:sz w:val="24"/>
          <w:u w:val="single"/>
        </w:rPr>
        <w:t>12个</w:t>
      </w:r>
      <w:r>
        <w:rPr>
          <w:rFonts w:hint="default" w:ascii="Times New Roman" w:hAnsi="Times New Roman" w:eastAsia="宋体" w:cs="Times New Roman"/>
          <w:sz w:val="24"/>
        </w:rPr>
        <w:t>月）内，乙方应当对其交付的产品承担质量保证责任，所需费用由乙方承担。</w:t>
      </w:r>
    </w:p>
    <w:p>
      <w:pPr>
        <w:spacing w:line="360" w:lineRule="auto"/>
        <w:ind w:left="679" w:leftChars="109" w:hanging="439" w:hangingChars="183"/>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ind w:left="679" w:leftChars="109" w:hanging="439" w:hangingChars="183"/>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4.4 乙方不按本合同约定交付产品所产生的任何费用由乙方自己承担。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第五条 </w:t>
      </w:r>
      <w:r>
        <w:rPr>
          <w:rFonts w:hint="default" w:ascii="Times New Roman" w:hAnsi="Times New Roman" w:eastAsia="宋体" w:cs="Times New Roman"/>
          <w:b/>
          <w:bCs/>
          <w:sz w:val="24"/>
          <w:lang w:eastAsia="zh-CN"/>
        </w:rPr>
        <w:t>安装调试、技术服务、人员培训及技术资料</w:t>
      </w:r>
    </w:p>
    <w:p>
      <w:pPr>
        <w:spacing w:line="360" w:lineRule="auto"/>
        <w:ind w:firstLine="240" w:firstLineChars="1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5.1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乙方为甲方提供下列服务（具体以在□内打“√”为准）</w:t>
      </w:r>
    </w:p>
    <w:p>
      <w:pPr>
        <w:spacing w:line="360" w:lineRule="auto"/>
        <w:ind w:firstLine="480" w:firstLineChars="200"/>
        <w:rPr>
          <w:rFonts w:hint="default" w:ascii="Times New Roman" w:hAnsi="Times New Roman" w:eastAsia="宋体" w:cs="Times New Roman"/>
          <w:sz w:val="24"/>
          <w:u w:val="single"/>
          <w:lang w:eastAsia="zh-CN"/>
        </w:rPr>
      </w:pPr>
      <w:sdt>
        <w:sdtPr>
          <w:rPr>
            <w:rFonts w:hint="default" w:ascii="Times New Roman" w:hAnsi="Times New Roman" w:eastAsia="宋体" w:cs="Times New Roman"/>
            <w:sz w:val="24"/>
          </w:rPr>
          <w:id w:val="-22404436"/>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r>
        <w:rPr>
          <w:rFonts w:hint="default" w:ascii="Times New Roman" w:hAnsi="Times New Roman" w:eastAsia="宋体" w:cs="Times New Roman"/>
          <w:sz w:val="24"/>
          <w:lang w:eastAsia="zh-CN"/>
        </w:rPr>
        <w:t>安装调试：</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无 </w:t>
      </w:r>
      <w:r>
        <w:rPr>
          <w:rFonts w:hint="default" w:ascii="Times New Roman" w:hAnsi="Times New Roman" w:eastAsia="宋体" w:cs="Times New Roman"/>
          <w:sz w:val="24"/>
          <w:u w:val="single"/>
          <w:lang w:eastAsia="zh-CN"/>
        </w:rPr>
        <w:t xml:space="preserve"> </w:t>
      </w:r>
    </w:p>
    <w:p>
      <w:pPr>
        <w:spacing w:line="360" w:lineRule="auto"/>
        <w:ind w:firstLine="480" w:firstLineChars="200"/>
        <w:rPr>
          <w:rFonts w:hint="default" w:ascii="Times New Roman" w:hAnsi="Times New Roman" w:eastAsia="宋体" w:cs="Times New Roman"/>
          <w:sz w:val="24"/>
          <w:lang w:eastAsia="zh-CN"/>
        </w:rPr>
      </w:pPr>
      <w:sdt>
        <w:sdtPr>
          <w:rPr>
            <w:rFonts w:hint="default" w:ascii="Times New Roman" w:hAnsi="Times New Roman" w:eastAsia="宋体" w:cs="Times New Roman"/>
            <w:sz w:val="24"/>
          </w:rPr>
          <w:id w:val="-101954568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0"/>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技术服务：</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无 </w:t>
      </w:r>
      <w:r>
        <w:rPr>
          <w:rFonts w:hint="default" w:ascii="Times New Roman" w:hAnsi="Times New Roman" w:eastAsia="宋体" w:cs="Times New Roman"/>
          <w:sz w:val="24"/>
          <w:u w:val="single"/>
          <w:lang w:eastAsia="zh-CN"/>
        </w:rPr>
        <w:t xml:space="preserve"> </w:t>
      </w:r>
    </w:p>
    <w:p>
      <w:pPr>
        <w:spacing w:line="360" w:lineRule="auto"/>
        <w:ind w:firstLine="480" w:firstLineChars="200"/>
        <w:rPr>
          <w:rFonts w:hint="default" w:ascii="Times New Roman" w:hAnsi="Times New Roman" w:eastAsia="宋体" w:cs="Times New Roman"/>
          <w:sz w:val="24"/>
          <w:u w:val="single"/>
          <w:lang w:eastAsia="zh-CN"/>
        </w:rPr>
      </w:pPr>
      <w:sdt>
        <w:sdtPr>
          <w:rPr>
            <w:rFonts w:hint="default" w:ascii="Times New Roman" w:hAnsi="Times New Roman" w:eastAsia="宋体" w:cs="Times New Roman"/>
            <w:sz w:val="24"/>
          </w:rPr>
          <w:id w:val="142753769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1"/>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人员培训：</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无 </w:t>
      </w:r>
      <w:r>
        <w:rPr>
          <w:rFonts w:hint="default" w:ascii="Times New Roman" w:hAnsi="Times New Roman" w:eastAsia="宋体" w:cs="Times New Roman"/>
          <w:sz w:val="24"/>
          <w:u w:val="single"/>
          <w:lang w:eastAsia="zh-CN"/>
        </w:rPr>
        <w:t xml:space="preserve"> </w:t>
      </w:r>
    </w:p>
    <w:p>
      <w:pPr>
        <w:spacing w:line="360" w:lineRule="auto"/>
        <w:ind w:left="497" w:leftChars="226" w:firstLine="0" w:firstLineChars="0"/>
        <w:rPr>
          <w:rFonts w:hint="default" w:ascii="Times New Roman" w:hAnsi="Times New Roman" w:eastAsia="宋体" w:cs="Times New Roman"/>
          <w:sz w:val="24"/>
          <w:u w:val="none"/>
          <w:lang w:val="en-US" w:eastAsia="zh-CN"/>
        </w:rPr>
      </w:pPr>
      <w:sdt>
        <w:sdtPr>
          <w:rPr>
            <w:rFonts w:hint="default" w:ascii="Times New Roman" w:hAnsi="Times New Roman" w:eastAsia="宋体" w:cs="Times New Roman"/>
            <w:sz w:val="24"/>
          </w:rPr>
          <w:id w:val="-125273807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2"/>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技术资料：</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有 </w:t>
      </w:r>
      <w:r>
        <w:rPr>
          <w:rFonts w:hint="default" w:ascii="Times New Roman" w:hAnsi="Times New Roman" w:eastAsia="宋体" w:cs="Times New Roman"/>
          <w:sz w:val="24"/>
          <w:u w:val="none"/>
          <w:lang w:eastAsia="zh-CN"/>
        </w:rPr>
        <w:t>（</w:t>
      </w:r>
      <w:r>
        <w:rPr>
          <w:rFonts w:hint="default" w:ascii="Times New Roman" w:hAnsi="Times New Roman" w:eastAsia="宋体" w:cs="Times New Roman"/>
          <w:sz w:val="24"/>
          <w:u w:val="none"/>
          <w:lang w:val="en-US" w:eastAsia="zh-CN"/>
        </w:rPr>
        <w:t>详见</w:t>
      </w:r>
      <w:r>
        <w:rPr>
          <w:rFonts w:hint="eastAsia" w:ascii="Times New Roman" w:hAnsi="Times New Roman" w:eastAsia="宋体" w:cs="Times New Roman"/>
          <w:sz w:val="24"/>
          <w:u w:val="none"/>
          <w:lang w:val="en-US" w:eastAsia="zh-CN"/>
        </w:rPr>
        <w:t>《芳烃团队燃料气阻火器技术要求》。</w:t>
      </w:r>
      <w:r>
        <w:rPr>
          <w:rFonts w:hint="default" w:ascii="Times New Roman" w:hAnsi="Times New Roman" w:eastAsia="宋体" w:cs="Times New Roman"/>
          <w:sz w:val="24"/>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第六条 </w:t>
      </w:r>
      <w:r>
        <w:rPr>
          <w:rFonts w:hint="default" w:ascii="Times New Roman" w:hAnsi="Times New Roman" w:eastAsia="宋体" w:cs="Times New Roman"/>
          <w:b/>
          <w:bCs/>
          <w:sz w:val="24"/>
          <w:lang w:eastAsia="zh-CN"/>
        </w:rPr>
        <w:t>验收</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6.1 到货验收包括：检查</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sz w:val="24"/>
          <w:lang w:eastAsia="zh-CN"/>
        </w:rPr>
        <w:t>型号、规格、数量、外观质量、及货物包装是否完好。</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6.2 乙方对一次开箱不合格（产品有质量故障）的产品予以换新，承担一切与之有关的费用。</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6.3 乙方应将所提供货物的装箱清单、</w:t>
      </w:r>
      <w:r>
        <w:rPr>
          <w:rFonts w:hint="default" w:ascii="Times New Roman" w:hAnsi="Times New Roman" w:eastAsia="宋体" w:cs="Times New Roman"/>
          <w:sz w:val="24"/>
          <w:lang w:val="en-US" w:eastAsia="zh-CN"/>
        </w:rPr>
        <w:t>材质报告、质量合格证明材料</w:t>
      </w:r>
      <w:r>
        <w:rPr>
          <w:rFonts w:hint="default" w:ascii="Times New Roman" w:hAnsi="Times New Roman" w:eastAsia="宋体" w:cs="Times New Roman"/>
          <w:sz w:val="24"/>
          <w:lang w:eastAsia="zh-CN"/>
        </w:rPr>
        <w:t>交付给甲方；乙方不能完整交付货物及本款规定</w:t>
      </w:r>
      <w:r>
        <w:rPr>
          <w:rFonts w:hint="default" w:ascii="Times New Roman" w:hAnsi="Times New Roman" w:eastAsia="宋体" w:cs="Times New Roman"/>
          <w:sz w:val="24"/>
          <w:lang w:val="en-US" w:eastAsia="zh-CN"/>
        </w:rPr>
        <w:t>的材料</w:t>
      </w:r>
      <w:r>
        <w:rPr>
          <w:rFonts w:hint="default" w:ascii="Times New Roman" w:hAnsi="Times New Roman" w:eastAsia="宋体" w:cs="Times New Roman"/>
          <w:sz w:val="24"/>
          <w:lang w:eastAsia="zh-CN"/>
        </w:rPr>
        <w:t>，视为未按合同约定交货，乙方负责补齐，因此导致逾期交付的，由乙方承担相关的违约责任。</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 xml:space="preserve">6.5 </w:t>
      </w:r>
      <w:r>
        <w:rPr>
          <w:rFonts w:hint="default" w:ascii="Times New Roman" w:hAnsi="Times New Roman" w:eastAsia="宋体" w:cs="Times New Roman"/>
          <w:bCs/>
          <w:sz w:val="24"/>
          <w:szCs w:val="24"/>
        </w:rPr>
        <w:t>本条款规定了合同设备的供货范围，卖方保证所提供设备为全新的、先进的、成熟的、完整的和安全可靠的，且设备的技术性能、功能符合技术条件的要求。</w:t>
      </w:r>
    </w:p>
    <w:p>
      <w:pPr>
        <w:spacing w:line="360" w:lineRule="auto"/>
        <w:ind w:left="388" w:leftChars="0" w:hanging="388" w:hangingChars="162"/>
        <w:rPr>
          <w:rFonts w:hint="default" w:ascii="Times New Roman" w:hAnsi="Times New Roman" w:eastAsia="宋体" w:cs="Times New Roman"/>
          <w:lang w:val="en-US" w:eastAsia="zh-CN"/>
        </w:rPr>
      </w:pPr>
      <w:r>
        <w:rPr>
          <w:rFonts w:hint="default" w:ascii="Times New Roman" w:hAnsi="Times New Roman" w:eastAsia="宋体" w:cs="Times New Roman"/>
          <w:bCs/>
          <w:sz w:val="24"/>
          <w:szCs w:val="24"/>
          <w:lang w:val="en-US" w:eastAsia="zh-CN"/>
        </w:rPr>
        <w:t xml:space="preserve">6.6 </w:t>
      </w:r>
      <w:r>
        <w:rPr>
          <w:rFonts w:hint="default" w:ascii="Times New Roman" w:hAnsi="Times New Roman" w:eastAsia="宋体" w:cs="Times New Roman"/>
          <w:bCs/>
          <w:sz w:val="24"/>
          <w:szCs w:val="24"/>
        </w:rPr>
        <w:t>卖方确保货物完整，能满足用户安装、运行要求为原则，在技术规范中涉及的供货要求也作为本供货范围的补充，即使未列入供货表中，若在安装、调试、运行中发现缺项也应由卖方无偿补充。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第七条 </w:t>
      </w:r>
      <w:r>
        <w:rPr>
          <w:rFonts w:hint="default" w:ascii="Times New Roman" w:hAnsi="Times New Roman" w:eastAsia="宋体" w:cs="Times New Roman"/>
          <w:b/>
          <w:bCs/>
          <w:sz w:val="24"/>
          <w:lang w:eastAsia="zh-CN"/>
        </w:rPr>
        <w:t>质量保证</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lang w:eastAsia="zh-CN"/>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第八条 </w:t>
      </w:r>
      <w:r>
        <w:rPr>
          <w:rFonts w:hint="default" w:ascii="Times New Roman" w:hAnsi="Times New Roman" w:eastAsia="宋体" w:cs="Times New Roman"/>
          <w:b/>
          <w:bCs/>
          <w:sz w:val="24"/>
          <w:lang w:eastAsia="zh-CN"/>
        </w:rPr>
        <w:t>违约责任</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8.1 乙方逾期交货的，每日按照合同总额的</w:t>
      </w:r>
      <w:r>
        <w:rPr>
          <w:rFonts w:hint="default" w:ascii="Times New Roman" w:hAnsi="Times New Roman" w:eastAsia="宋体" w:cs="Times New Roman"/>
          <w:sz w:val="24"/>
          <w:u w:val="single"/>
          <w:lang w:eastAsia="zh-CN"/>
        </w:rPr>
        <w:t xml:space="preserve"> 0.1 </w:t>
      </w:r>
      <w:r>
        <w:rPr>
          <w:rFonts w:hint="default" w:ascii="Times New Roman" w:hAnsi="Times New Roman" w:eastAsia="宋体" w:cs="Times New Roman"/>
          <w:sz w:val="24"/>
          <w:lang w:eastAsia="zh-CN"/>
        </w:rPr>
        <w:t>%向甲方支付违约金，逾期超过</w:t>
      </w:r>
      <w:r>
        <w:rPr>
          <w:rFonts w:hint="default" w:ascii="Times New Roman" w:hAnsi="Times New Roman" w:eastAsia="宋体" w:cs="Times New Roman"/>
          <w:sz w:val="24"/>
          <w:u w:val="single"/>
          <w:lang w:eastAsia="zh-CN"/>
        </w:rPr>
        <w:t xml:space="preserve"> 20 </w:t>
      </w:r>
      <w:r>
        <w:rPr>
          <w:rFonts w:hint="default" w:ascii="Times New Roman" w:hAnsi="Times New Roman" w:eastAsia="宋体" w:cs="Times New Roman"/>
          <w:sz w:val="24"/>
          <w:lang w:eastAsia="zh-CN"/>
        </w:rPr>
        <w:t>日的，甲方还有权解除合同，并要求乙方一次性支付合同总额</w:t>
      </w:r>
      <w:r>
        <w:rPr>
          <w:rFonts w:hint="default" w:ascii="Times New Roman" w:hAnsi="Times New Roman" w:eastAsia="宋体" w:cs="Times New Roman"/>
          <w:sz w:val="24"/>
          <w:u w:val="single"/>
          <w:lang w:eastAsia="zh-CN"/>
        </w:rPr>
        <w:t xml:space="preserve"> 20 </w:t>
      </w:r>
      <w:r>
        <w:rPr>
          <w:rFonts w:hint="default" w:ascii="Times New Roman" w:hAnsi="Times New Roman" w:eastAsia="宋体" w:cs="Times New Roman"/>
          <w:sz w:val="24"/>
          <w:lang w:eastAsia="zh-CN"/>
        </w:rPr>
        <w:t>%的违约金。乙方部分交货不合格的，均按照逾期交货处理。</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8.2 乙方交付的产品经甲方验收不合格的，应根据甲方要求进行更换或采取其他补救措施。累计</w:t>
      </w:r>
      <w:r>
        <w:rPr>
          <w:rFonts w:hint="default" w:ascii="Times New Roman" w:hAnsi="Times New Roman" w:eastAsia="宋体" w:cs="Times New Roman"/>
          <w:sz w:val="24"/>
          <w:u w:val="single"/>
          <w:lang w:eastAsia="zh-CN"/>
        </w:rPr>
        <w:t xml:space="preserve"> 3 </w:t>
      </w:r>
      <w:r>
        <w:rPr>
          <w:rFonts w:hint="default" w:ascii="Times New Roman" w:hAnsi="Times New Roman" w:eastAsia="宋体" w:cs="Times New Roman"/>
          <w:sz w:val="24"/>
          <w:lang w:eastAsia="zh-CN"/>
        </w:rPr>
        <w:t>次验收不合格的，甲方还有权解除合同、拒绝支付任何费用。</w:t>
      </w:r>
    </w:p>
    <w:p>
      <w:pPr>
        <w:spacing w:line="360" w:lineRule="auto"/>
        <w:ind w:left="416" w:leftChars="9" w:hanging="396" w:hangingChars="165"/>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lang w:eastAsia="zh-CN"/>
        </w:rPr>
        <w:t xml:space="preserve">8.3 </w:t>
      </w:r>
      <w:r>
        <w:rPr>
          <w:rFonts w:hint="default" w:ascii="Times New Roman" w:hAnsi="Times New Roman" w:eastAsia="宋体" w:cs="Times New Roman"/>
          <w:sz w:val="24"/>
          <w:szCs w:val="24"/>
          <w:highlight w:val="none"/>
          <w:lang w:eastAsia="zh-CN"/>
        </w:rPr>
        <w:t>如甲方逾期付款，应按全国银行间同业拆借中心公布的贷款市场报价利率向乙方支付利息</w:t>
      </w:r>
      <w:r>
        <w:rPr>
          <w:rFonts w:hint="default" w:ascii="Times New Roman" w:hAnsi="Times New Roman" w:eastAsia="宋体" w:cs="Times New Roman"/>
          <w:sz w:val="24"/>
          <w:highlight w:val="none"/>
          <w:lang w:eastAsia="zh-CN"/>
        </w:rPr>
        <w:t>。</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8.4 一方的违约行为给对方造成的损失超过本合同约定的违约金数额的，超出部分，违约方应予以赔偿。</w:t>
      </w:r>
    </w:p>
    <w:p>
      <w:pPr>
        <w:pStyle w:val="2"/>
        <w:spacing w:line="360" w:lineRule="auto"/>
        <w:ind w:left="416" w:leftChars="9" w:hanging="396" w:hangingChars="16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8.5甲方已就本合同项下涉及乙方重大利害关系的条款向乙方作出详细说明，乙方充分理解上述条款含义，并自愿签订本合同。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b/>
          <w:bCs/>
          <w:sz w:val="24"/>
          <w:lang w:val="en-US" w:eastAsia="zh-CN"/>
        </w:rPr>
        <w:t xml:space="preserve">第九条 </w:t>
      </w:r>
      <w:r>
        <w:rPr>
          <w:rFonts w:hint="default" w:ascii="Times New Roman" w:hAnsi="Times New Roman" w:eastAsia="宋体" w:cs="Times New Roman"/>
          <w:b/>
          <w:bCs/>
          <w:sz w:val="24"/>
          <w:lang w:eastAsia="zh-CN"/>
        </w:rPr>
        <w:t>法律的适用及争议解决方式</w:t>
      </w:r>
    </w:p>
    <w:p>
      <w:pPr>
        <w:spacing w:line="360" w:lineRule="auto"/>
        <w:ind w:left="329" w:leftChars="-18" w:hanging="369" w:hangingChars="154"/>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本合同的效力、解释及履行均适用中华人民共和国法律。</w:t>
      </w:r>
    </w:p>
    <w:p>
      <w:pPr>
        <w:spacing w:line="360" w:lineRule="auto"/>
        <w:ind w:left="329" w:leftChars="-18" w:hanging="369" w:hangingChars="154"/>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9.2</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第十条</w:t>
      </w:r>
      <w:r>
        <w:rPr>
          <w:rFonts w:hint="default" w:ascii="Times New Roman" w:hAnsi="Times New Roman" w:eastAsia="宋体" w:cs="Times New Roman"/>
          <w:b/>
          <w:bCs/>
          <w:sz w:val="24"/>
          <w:lang w:eastAsia="zh-CN"/>
        </w:rPr>
        <w:t xml:space="preserve"> 合同变更与解除 </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第十一条 </w:t>
      </w:r>
      <w:r>
        <w:rPr>
          <w:rFonts w:hint="default" w:ascii="Times New Roman" w:hAnsi="Times New Roman" w:eastAsia="宋体" w:cs="Times New Roman"/>
          <w:b/>
          <w:bCs/>
          <w:sz w:val="24"/>
          <w:lang w:eastAsia="zh-CN"/>
        </w:rPr>
        <w:t>通知</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b/>
          <w:bCs/>
          <w:sz w:val="24"/>
          <w:lang w:val="en-US" w:eastAsia="zh-CN"/>
        </w:rPr>
        <w:t>第十二条</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本合同一式</w:t>
      </w:r>
      <w:r>
        <w:rPr>
          <w:rFonts w:hint="default" w:ascii="Times New Roman" w:hAnsi="Times New Roman" w:eastAsia="宋体" w:cs="Times New Roman"/>
          <w:b/>
          <w:bCs/>
          <w:sz w:val="24"/>
          <w:u w:val="single"/>
          <w:lang w:val="en-US" w:eastAsia="zh-CN"/>
        </w:rPr>
        <w:t xml:space="preserve"> 肆 </w:t>
      </w:r>
      <w:r>
        <w:rPr>
          <w:rFonts w:hint="default" w:ascii="Times New Roman" w:hAnsi="Times New Roman" w:eastAsia="宋体" w:cs="Times New Roman"/>
          <w:sz w:val="24"/>
          <w:lang w:eastAsia="zh-CN"/>
        </w:rPr>
        <w:t>份，经双方盖章后生效，甲方执</w:t>
      </w:r>
      <w:r>
        <w:rPr>
          <w:rFonts w:hint="default" w:ascii="Times New Roman" w:hAnsi="Times New Roman" w:eastAsia="宋体" w:cs="Times New Roman"/>
          <w:b/>
          <w:bCs/>
          <w:sz w:val="24"/>
          <w:u w:val="single"/>
          <w:lang w:val="en-US" w:eastAsia="zh-CN"/>
        </w:rPr>
        <w:t xml:space="preserve"> 叁 </w:t>
      </w:r>
      <w:r>
        <w:rPr>
          <w:rFonts w:hint="default" w:ascii="Times New Roman" w:hAnsi="Times New Roman" w:eastAsia="宋体" w:cs="Times New Roman"/>
          <w:sz w:val="24"/>
          <w:lang w:eastAsia="zh-CN"/>
        </w:rPr>
        <w:t>份、乙方执</w:t>
      </w:r>
      <w:r>
        <w:rPr>
          <w:rFonts w:hint="default" w:ascii="Times New Roman" w:hAnsi="Times New Roman" w:eastAsia="宋体" w:cs="Times New Roman"/>
          <w:b/>
          <w:bCs/>
          <w:sz w:val="24"/>
          <w:u w:val="single"/>
          <w:lang w:val="en-US" w:eastAsia="zh-CN"/>
        </w:rPr>
        <w:t xml:space="preserve"> 壹 </w:t>
      </w:r>
      <w:r>
        <w:rPr>
          <w:rFonts w:hint="default" w:ascii="Times New Roman" w:hAnsi="Times New Roman" w:eastAsia="宋体" w:cs="Times New Roman"/>
          <w:sz w:val="24"/>
          <w:lang w:eastAsia="zh-CN"/>
        </w:rPr>
        <w:t>份，合同与附件具有同等</w:t>
      </w:r>
      <w:r>
        <w:rPr>
          <w:rFonts w:hint="default" w:ascii="Times New Roman" w:hAnsi="Times New Roman" w:eastAsia="宋体" w:cs="Times New Roman"/>
          <w:sz w:val="24"/>
          <w:lang w:val="en-US" w:eastAsia="zh-CN"/>
        </w:rPr>
        <w:t>法律</w:t>
      </w:r>
      <w:r>
        <w:rPr>
          <w:rFonts w:hint="default" w:ascii="Times New Roman" w:hAnsi="Times New Roman" w:eastAsia="宋体" w:cs="Times New Roman"/>
          <w:sz w:val="24"/>
          <w:lang w:eastAsia="zh-CN"/>
        </w:rPr>
        <w:t>效力。</w:t>
      </w:r>
    </w:p>
    <w:p>
      <w:pPr>
        <w:pStyle w:val="2"/>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（本页为签署栏，无正文）</w:t>
      </w: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tbl>
      <w:tblPr>
        <w:tblStyle w:val="31"/>
        <w:tblW w:w="102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6"/>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甲方（</w:t>
            </w:r>
            <w:r>
              <w:rPr>
                <w:rFonts w:hint="default" w:ascii="Times New Roman" w:hAnsi="Times New Roman" w:eastAsia="宋体" w:cs="Times New Roman"/>
                <w:b/>
                <w:bCs/>
                <w:sz w:val="24"/>
                <w:lang w:val="en-US" w:eastAsia="zh-CN"/>
              </w:rPr>
              <w:t>需方）</w:t>
            </w:r>
            <w:r>
              <w:rPr>
                <w:rFonts w:hint="default" w:ascii="Times New Roman" w:hAnsi="Times New Roman" w:eastAsia="宋体" w:cs="Times New Roman"/>
                <w:b/>
                <w:bCs/>
                <w:sz w:val="24"/>
                <w:lang w:eastAsia="zh-CN"/>
              </w:rPr>
              <w:t>：</w:t>
            </w:r>
            <w:r>
              <w:rPr>
                <w:rFonts w:hint="eastAsia" w:ascii="Times New Roman" w:hAnsi="Times New Roman" w:cs="Times New Roman"/>
                <w:b/>
                <w:bCs/>
                <w:sz w:val="24"/>
                <w:lang w:val="en-US" w:eastAsia="zh-CN"/>
              </w:rPr>
              <w:t>腾龙芳烃</w:t>
            </w:r>
            <w:r>
              <w:rPr>
                <w:rFonts w:hint="default" w:ascii="Times New Roman" w:hAnsi="Times New Roman" w:eastAsia="宋体" w:cs="Times New Roman"/>
                <w:b/>
                <w:bCs/>
                <w:sz w:val="24"/>
                <w:lang w:eastAsia="zh-CN"/>
              </w:rPr>
              <w:t>（漳州）有限公司</w:t>
            </w:r>
          </w:p>
        </w:tc>
        <w:tc>
          <w:tcPr>
            <w:tcW w:w="4456"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乙方（</w:t>
            </w:r>
            <w:r>
              <w:rPr>
                <w:rFonts w:hint="default" w:ascii="Times New Roman" w:hAnsi="Times New Roman" w:eastAsia="宋体" w:cs="Times New Roman"/>
                <w:b/>
                <w:bCs/>
                <w:sz w:val="24"/>
                <w:lang w:val="en-US" w:eastAsia="zh-CN"/>
              </w:rPr>
              <w:t>供方）</w:t>
            </w:r>
            <w:r>
              <w:rPr>
                <w:rFonts w:hint="default" w:ascii="Times New Roman" w:hAnsi="Times New Roman" w:eastAsia="宋体" w:cs="Times New Roman"/>
                <w:b/>
                <w:bCs/>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地址：福建省漳州市古雷港经济开发区腾龙路8</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lang w:eastAsia="zh-CN"/>
              </w:rPr>
              <w:t>号</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电话：0596-63110</w:t>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lang w:eastAsia="zh-CN"/>
              </w:rPr>
              <w:t>3</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电话</w:t>
            </w:r>
            <w:r>
              <w:rPr>
                <w:rFonts w:hint="default" w:ascii="Times New Roman" w:hAnsi="Times New Roman" w:eastAsia="宋体" w:cs="Times New Roman"/>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联系人：黄梅钦</w:t>
            </w:r>
          </w:p>
        </w:tc>
        <w:tc>
          <w:tcPr>
            <w:tcW w:w="4456" w:type="dxa"/>
            <w:vAlign w:val="center"/>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开户银行：兴业银行漳州古雷支行</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账号：162070100100021585</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税号：913506006765392255</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税号：</w:t>
            </w:r>
          </w:p>
        </w:tc>
      </w:tr>
      <w:bookmarkEnd w:id="9"/>
    </w:tbl>
    <w:p>
      <w:pPr>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sectPr>
          <w:headerReference r:id="rId4" w:type="default"/>
          <w:footerReference r:id="rId5" w:type="default"/>
          <w:pgSz w:w="11910" w:h="16840"/>
          <w:pgMar w:top="1500" w:right="770" w:bottom="1040" w:left="1240" w:header="0" w:footer="551" w:gutter="0"/>
          <w:pgNumType w:fmt="decimal"/>
          <w:cols w:space="720" w:num="1"/>
          <w:docGrid w:type="lines" w:linePitch="312" w:charSpace="0"/>
        </w:sectPr>
      </w:pPr>
    </w:p>
    <w:p>
      <w:pPr>
        <w:pStyle w:val="2"/>
        <w:rPr>
          <w:rFonts w:hint="default" w:ascii="Times New Roman" w:hAnsi="Times New Roman" w:eastAsia="宋体" w:cs="Times New Roman"/>
          <w:b/>
          <w:bCs/>
          <w:sz w:val="32"/>
          <w:szCs w:val="32"/>
          <w:lang w:eastAsia="zh-CN"/>
        </w:rPr>
      </w:pPr>
    </w:p>
    <w:tbl>
      <w:tblPr>
        <w:tblStyle w:val="30"/>
        <w:tblW w:w="14600" w:type="dxa"/>
        <w:tblInd w:w="232" w:type="dxa"/>
        <w:tblLayout w:type="fixed"/>
        <w:tblCellMar>
          <w:top w:w="0" w:type="dxa"/>
          <w:left w:w="0" w:type="dxa"/>
          <w:bottom w:w="0" w:type="dxa"/>
          <w:right w:w="0" w:type="dxa"/>
        </w:tblCellMar>
      </w:tblPr>
      <w:tblGrid>
        <w:gridCol w:w="621"/>
        <w:gridCol w:w="1477"/>
        <w:gridCol w:w="1243"/>
        <w:gridCol w:w="2011"/>
        <w:gridCol w:w="3652"/>
        <w:gridCol w:w="1389"/>
        <w:gridCol w:w="582"/>
        <w:gridCol w:w="596"/>
        <w:gridCol w:w="992"/>
        <w:gridCol w:w="1029"/>
        <w:gridCol w:w="1008"/>
      </w:tblGrid>
      <w:tr>
        <w:tblPrEx>
          <w:tblLayout w:type="fixed"/>
          <w:tblCellMar>
            <w:top w:w="0" w:type="dxa"/>
            <w:left w:w="0" w:type="dxa"/>
            <w:bottom w:w="0" w:type="dxa"/>
            <w:right w:w="0" w:type="dxa"/>
          </w:tblCellMar>
        </w:tblPrEx>
        <w:trPr>
          <w:trHeight w:val="738" w:hRule="atLeast"/>
        </w:trPr>
        <w:tc>
          <w:tcPr>
            <w:tcW w:w="10393"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422" w:firstLineChars="20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
                <w:i w:val="0"/>
                <w:color w:val="auto"/>
                <w:kern w:val="0"/>
                <w:sz w:val="21"/>
                <w:szCs w:val="21"/>
                <w:u w:val="none"/>
                <w:lang w:val="en-US" w:eastAsia="zh-CN" w:bidi="ar"/>
              </w:rPr>
              <w:t>合同</w:t>
            </w:r>
            <w:r>
              <w:rPr>
                <w:rFonts w:hint="default" w:ascii="Times New Roman" w:hAnsi="Times New Roman" w:eastAsia="宋体" w:cs="Times New Roman"/>
                <w:b/>
                <w:i w:val="0"/>
                <w:color w:val="auto"/>
                <w:kern w:val="0"/>
                <w:sz w:val="21"/>
                <w:szCs w:val="21"/>
                <w:u w:val="none"/>
                <w:lang w:val="en-US" w:eastAsia="zh-CN" w:bidi="ar"/>
              </w:rPr>
              <w:t xml:space="preserve">附件1 </w:t>
            </w:r>
            <w:r>
              <w:rPr>
                <w:rFonts w:hint="default" w:ascii="Times New Roman" w:hAnsi="Times New Roman" w:eastAsia="宋体" w:cs="Times New Roman"/>
                <w:b w:val="0"/>
                <w:bCs/>
                <w:i w:val="0"/>
                <w:color w:val="auto"/>
                <w:kern w:val="0"/>
                <w:sz w:val="21"/>
                <w:szCs w:val="21"/>
                <w:u w:val="none"/>
                <w:lang w:val="en-US" w:eastAsia="zh-CN" w:bidi="ar"/>
              </w:rPr>
              <w:t>（表1/1）</w:t>
            </w:r>
          </w:p>
        </w:tc>
        <w:tc>
          <w:tcPr>
            <w:tcW w:w="4207"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firstLine="220" w:firstLineChars="1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合同编号：</w:t>
            </w:r>
          </w:p>
        </w:tc>
      </w:tr>
      <w:tr>
        <w:tblPrEx>
          <w:tblLayout w:type="fixed"/>
          <w:tblCellMar>
            <w:top w:w="0" w:type="dxa"/>
            <w:left w:w="0" w:type="dxa"/>
            <w:bottom w:w="0" w:type="dxa"/>
            <w:right w:w="0" w:type="dxa"/>
          </w:tblCellMar>
        </w:tblPrEx>
        <w:trPr>
          <w:trHeight w:val="738"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序号</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请购单号</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存货编码</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存货名称</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4"/>
                <w:rFonts w:hint="default" w:ascii="Times New Roman" w:hAnsi="Times New Roman" w:eastAsia="宋体" w:cs="Times New Roman"/>
                <w:b w:val="0"/>
                <w:bCs w:val="0"/>
                <w:sz w:val="21"/>
                <w:szCs w:val="21"/>
                <w:lang w:val="en-US" w:eastAsia="zh-CN" w:bidi="ar"/>
              </w:rPr>
            </w:pPr>
            <w:r>
              <w:rPr>
                <w:rStyle w:val="74"/>
                <w:rFonts w:hint="default" w:ascii="Times New Roman" w:hAnsi="Times New Roman" w:eastAsia="宋体" w:cs="Times New Roman"/>
                <w:b w:val="0"/>
                <w:bCs w:val="0"/>
                <w:sz w:val="21"/>
                <w:szCs w:val="21"/>
                <w:lang w:val="en-US" w:eastAsia="zh-CN" w:bidi="ar"/>
              </w:rPr>
              <w:t>规格</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4"/>
                <w:rFonts w:hint="default" w:ascii="Times New Roman" w:hAnsi="Times New Roman" w:eastAsia="宋体" w:cs="Times New Roman"/>
                <w:b w:val="0"/>
                <w:bCs w:val="0"/>
                <w:sz w:val="21"/>
                <w:szCs w:val="21"/>
                <w:lang w:val="en-US" w:eastAsia="zh-CN" w:bidi="ar"/>
              </w:rPr>
            </w:pPr>
            <w:r>
              <w:rPr>
                <w:rStyle w:val="74"/>
                <w:rFonts w:hint="default" w:ascii="Times New Roman" w:hAnsi="Times New Roman" w:eastAsia="宋体" w:cs="Times New Roman"/>
                <w:b w:val="0"/>
                <w:bCs w:val="0"/>
                <w:sz w:val="21"/>
                <w:szCs w:val="21"/>
                <w:lang w:val="en-US" w:eastAsia="zh-CN" w:bidi="ar"/>
              </w:rPr>
              <w:t>型号</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单位</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数量</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含税单价</w:t>
            </w: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含税总价</w:t>
            </w: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774"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QG2206090045</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3009220025</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CS.RF.2".150LB.温度＜300℃.</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介质：氢气，按GB13347-92标准执行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GZW-1，DN50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QG2206090046</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3009220026</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CS.RF.DN80CL150.温度＜100℃.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DN80CL150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QG2206090047</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3009220029</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CS.RF.DN40CL150.温度＜100℃.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DN40CL150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13</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QG2206090048</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3009220027</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CS.RF.DN150CL150.温度＜100℃.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DN150CL150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QG2206090049</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3009220030</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CS.RF.DN100CL150.温度＜100℃.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DN100CL150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QG2206090050</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3009220028</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CS.RF.DN200CL150.温度＜100℃.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DN200CL150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32"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Style w:val="76"/>
                <w:rFonts w:hint="default" w:ascii="Times New Roman" w:hAnsi="Times New Roman" w:eastAsia="宋体" w:cs="Times New Roman"/>
                <w:b w:val="0"/>
                <w:bCs/>
                <w:sz w:val="21"/>
                <w:szCs w:val="21"/>
                <w:lang w:val="en-US" w:eastAsia="zh-CN" w:bidi="ar"/>
              </w:rPr>
            </w:pPr>
            <w:r>
              <w:rPr>
                <w:rStyle w:val="76"/>
                <w:rFonts w:hint="default" w:ascii="Times New Roman" w:hAnsi="Times New Roman" w:eastAsia="宋体" w:cs="Times New Roman"/>
                <w:b/>
                <w:bCs w:val="0"/>
                <w:sz w:val="21"/>
                <w:szCs w:val="21"/>
                <w:lang w:val="en-US" w:eastAsia="zh-CN" w:bidi="ar"/>
              </w:rPr>
              <w:t>交货地点：</w:t>
            </w:r>
            <w:r>
              <w:rPr>
                <w:rStyle w:val="76"/>
                <w:rFonts w:hint="default" w:ascii="Times New Roman" w:hAnsi="Times New Roman" w:eastAsia="宋体" w:cs="Times New Roman"/>
                <w:b w:val="0"/>
                <w:bCs/>
                <w:sz w:val="21"/>
                <w:szCs w:val="21"/>
                <w:lang w:val="en-US" w:eastAsia="zh-CN" w:bidi="ar"/>
              </w:rPr>
              <w:t xml:space="preserve">福建省漳州市漳浦县古雷开发区腾龙路（福海创石油化工有限公司 </w:t>
            </w:r>
            <w:r>
              <w:rPr>
                <w:rStyle w:val="76"/>
                <w:rFonts w:hint="eastAsia" w:ascii="Times New Roman" w:hAnsi="Times New Roman" w:cs="Times New Roman"/>
                <w:b w:val="0"/>
                <w:bCs/>
                <w:sz w:val="21"/>
                <w:szCs w:val="21"/>
                <w:lang w:val="en-US" w:eastAsia="zh-CN" w:bidi="ar"/>
              </w:rPr>
              <w:t>腾龙芳烃</w:t>
            </w:r>
            <w:r>
              <w:rPr>
                <w:rStyle w:val="76"/>
                <w:rFonts w:hint="default" w:ascii="Times New Roman" w:hAnsi="Times New Roman" w:eastAsia="宋体" w:cs="Times New Roman"/>
                <w:b w:val="0"/>
                <w:bCs/>
                <w:sz w:val="21"/>
                <w:szCs w:val="21"/>
                <w:lang w:val="en-US" w:eastAsia="zh-CN" w:bidi="ar"/>
              </w:rPr>
              <w:t>工厂）</w:t>
            </w:r>
          </w:p>
          <w:p>
            <w:pPr>
              <w:jc w:val="center"/>
              <w:rPr>
                <w:rStyle w:val="77"/>
                <w:rFonts w:hint="default" w:ascii="Times New Roman" w:hAnsi="Times New Roman" w:eastAsia="宋体" w:cs="Times New Roman"/>
                <w:b w:val="0"/>
                <w:bCs w:val="0"/>
                <w:sz w:val="21"/>
                <w:szCs w:val="21"/>
                <w:lang w:val="en-US" w:eastAsia="zh-CN" w:bidi="ar"/>
              </w:rPr>
            </w:pPr>
            <w:r>
              <w:rPr>
                <w:rFonts w:hint="default" w:ascii="Times New Roman" w:hAnsi="Times New Roman" w:eastAsia="宋体" w:cs="Times New Roman"/>
                <w:b/>
                <w:bCs/>
                <w:color w:val="auto"/>
                <w:kern w:val="0"/>
                <w:sz w:val="21"/>
                <w:szCs w:val="21"/>
                <w:lang w:bidi="ar"/>
              </w:rPr>
              <w:t>收货</w:t>
            </w:r>
            <w:r>
              <w:rPr>
                <w:rFonts w:hint="default" w:ascii="Times New Roman" w:hAnsi="Times New Roman" w:eastAsia="宋体" w:cs="Times New Roman"/>
                <w:b/>
                <w:bCs/>
                <w:color w:val="auto"/>
                <w:kern w:val="0"/>
                <w:sz w:val="21"/>
                <w:szCs w:val="21"/>
                <w:lang w:val="en-US" w:eastAsia="zh-CN" w:bidi="ar"/>
              </w:rPr>
              <w:t>联系人</w:t>
            </w:r>
            <w:r>
              <w:rPr>
                <w:rFonts w:hint="default" w:ascii="Times New Roman" w:hAnsi="Times New Roman" w:eastAsia="宋体" w:cs="Times New Roman"/>
                <w:b/>
                <w:bCs/>
                <w:color w:val="auto"/>
                <w:kern w:val="0"/>
                <w:sz w:val="21"/>
                <w:szCs w:val="21"/>
                <w:lang w:bidi="ar"/>
              </w:rPr>
              <w:t>：</w:t>
            </w:r>
            <w:r>
              <w:rPr>
                <w:rFonts w:hint="default" w:ascii="Times New Roman" w:hAnsi="Times New Roman" w:eastAsia="宋体" w:cs="Times New Roman"/>
                <w:b/>
                <w:bCs/>
                <w:color w:val="auto"/>
                <w:kern w:val="0"/>
                <w:sz w:val="21"/>
                <w:szCs w:val="21"/>
                <w:lang w:val="en-US" w:eastAsia="zh-CN" w:bidi="ar"/>
              </w:rPr>
              <w:t>赵靖辉</w:t>
            </w:r>
            <w:r>
              <w:rPr>
                <w:rFonts w:hint="default" w:ascii="Times New Roman" w:hAnsi="Times New Roman" w:eastAsia="宋体" w:cs="Times New Roman"/>
                <w:sz w:val="24"/>
                <w:szCs w:val="24"/>
              </w:rPr>
              <w:t>13235969578,0596-6311364</w:t>
            </w:r>
            <w:r>
              <w:rPr>
                <w:rFonts w:hint="default" w:ascii="Times New Roman" w:hAnsi="Times New Roman" w:eastAsia="宋体" w:cs="Times New Roman"/>
                <w:b w:val="0"/>
                <w:bCs w:val="0"/>
                <w:color w:val="auto"/>
                <w:kern w:val="0"/>
                <w:sz w:val="21"/>
                <w:szCs w:val="21"/>
                <w:lang w:val="en-US" w:eastAsia="zh-CN" w:bidi="ar"/>
              </w:rPr>
              <w:t xml:space="preserve"> </w:t>
            </w:r>
            <w:r>
              <w:rPr>
                <w:rStyle w:val="76"/>
                <w:rFonts w:hint="default" w:ascii="Times New Roman" w:hAnsi="Times New Roman" w:eastAsia="宋体" w:cs="Times New Roman"/>
                <w:b w:val="0"/>
                <w:bCs w:val="0"/>
                <w:color w:val="auto"/>
                <w:sz w:val="21"/>
                <w:szCs w:val="21"/>
                <w:lang w:val="en-US" w:eastAsia="zh-CN" w:bidi="ar"/>
              </w:rPr>
              <w:t>（厂内）</w:t>
            </w:r>
          </w:p>
        </w:tc>
      </w:tr>
      <w:tr>
        <w:tblPrEx>
          <w:tblLayout w:type="fixed"/>
          <w:tblCellMar>
            <w:top w:w="0" w:type="dxa"/>
            <w:left w:w="0" w:type="dxa"/>
            <w:bottom w:w="0" w:type="dxa"/>
            <w:right w:w="0" w:type="dxa"/>
          </w:tblCellMar>
        </w:tblPrEx>
        <w:trPr>
          <w:trHeight w:val="577"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6"/>
                <w:rFonts w:hint="default" w:ascii="Times New Roman" w:hAnsi="Times New Roman" w:eastAsia="宋体" w:cs="Times New Roman"/>
                <w:sz w:val="21"/>
                <w:szCs w:val="21"/>
                <w:lang w:val="en-US" w:eastAsia="zh-CN" w:bidi="ar"/>
              </w:rPr>
            </w:pPr>
            <w:r>
              <w:rPr>
                <w:rStyle w:val="76"/>
                <w:rFonts w:hint="default" w:ascii="Times New Roman" w:hAnsi="Times New Roman" w:eastAsia="宋体" w:cs="Times New Roman"/>
                <w:sz w:val="21"/>
                <w:szCs w:val="21"/>
                <w:lang w:val="en-US" w:eastAsia="zh-CN" w:bidi="ar"/>
              </w:rPr>
              <w:t>以上总价合计（含</w:t>
            </w:r>
            <w:r>
              <w:rPr>
                <w:rStyle w:val="78"/>
                <w:rFonts w:hint="default" w:ascii="Times New Roman" w:hAnsi="Times New Roman" w:eastAsia="宋体" w:cs="Times New Roman"/>
                <w:sz w:val="21"/>
                <w:szCs w:val="21"/>
                <w:lang w:val="en-US" w:eastAsia="zh-CN" w:bidi="ar"/>
              </w:rPr>
              <w:t>13%</w:t>
            </w:r>
            <w:r>
              <w:rPr>
                <w:rStyle w:val="78"/>
                <w:rFonts w:hint="default" w:ascii="Times New Roman" w:hAnsi="Times New Roman" w:eastAsia="宋体" w:cs="Times New Roman"/>
                <w:color w:val="auto"/>
                <w:sz w:val="21"/>
                <w:szCs w:val="21"/>
                <w:lang w:val="en-US" w:eastAsia="zh-CN" w:bidi="ar"/>
              </w:rPr>
              <w:t>VAT</w:t>
            </w:r>
            <w:r>
              <w:rPr>
                <w:rStyle w:val="76"/>
                <w:rFonts w:hint="default" w:ascii="Times New Roman" w:hAnsi="Times New Roman" w:eastAsia="宋体" w:cs="Times New Roman"/>
                <w:i w:val="0"/>
                <w:color w:val="auto"/>
                <w:sz w:val="21"/>
                <w:szCs w:val="21"/>
                <w:lang w:val="en-US" w:eastAsia="zh-CN" w:bidi="ar"/>
              </w:rPr>
              <w:t>）：      元</w:t>
            </w:r>
          </w:p>
        </w:tc>
      </w:tr>
      <w:tr>
        <w:tblPrEx>
          <w:tblLayout w:type="fixed"/>
          <w:tblCellMar>
            <w:top w:w="0" w:type="dxa"/>
            <w:left w:w="0" w:type="dxa"/>
            <w:bottom w:w="0" w:type="dxa"/>
            <w:right w:w="0" w:type="dxa"/>
          </w:tblCellMar>
        </w:tblPrEx>
        <w:trPr>
          <w:trHeight w:val="507"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Style w:val="76"/>
                <w:rFonts w:hint="default" w:ascii="Times New Roman" w:hAnsi="Times New Roman" w:eastAsia="宋体" w:cs="Times New Roman"/>
                <w:sz w:val="21"/>
                <w:szCs w:val="21"/>
                <w:lang w:val="en-US" w:eastAsia="zh-CN" w:bidi="ar"/>
              </w:rPr>
            </w:pPr>
            <w:r>
              <w:rPr>
                <w:rStyle w:val="76"/>
                <w:rFonts w:hint="default" w:ascii="Times New Roman" w:hAnsi="Times New Roman" w:eastAsia="宋体" w:cs="Times New Roman"/>
                <w:b w:val="0"/>
                <w:bCs/>
                <w:sz w:val="21"/>
                <w:szCs w:val="21"/>
                <w:lang w:val="en-US" w:eastAsia="zh-CN" w:bidi="ar"/>
              </w:rPr>
              <w:t>商务联系人</w:t>
            </w:r>
            <w:r>
              <w:rPr>
                <w:rStyle w:val="76"/>
                <w:rFonts w:hint="default" w:ascii="Times New Roman" w:hAnsi="Times New Roman" w:eastAsia="宋体" w:cs="Times New Roman"/>
                <w:b w:val="0"/>
                <w:bCs/>
                <w:sz w:val="21"/>
                <w:szCs w:val="21"/>
                <w:lang w:bidi="ar"/>
              </w:rPr>
              <w:t>及电话:  黄梅钦  0592-5229120  13806001925</w:t>
            </w:r>
            <w:r>
              <w:rPr>
                <w:rStyle w:val="76"/>
                <w:rFonts w:hint="default" w:ascii="Times New Roman" w:hAnsi="Times New Roman" w:eastAsia="宋体" w:cs="Times New Roman"/>
                <w:b w:val="0"/>
                <w:bCs/>
                <w:sz w:val="21"/>
                <w:szCs w:val="21"/>
                <w:lang w:val="en-US" w:eastAsia="zh-CN" w:bidi="ar"/>
              </w:rPr>
              <w:t xml:space="preserve">   (厂外）</w:t>
            </w:r>
          </w:p>
        </w:tc>
      </w:tr>
      <w:tr>
        <w:tblPrEx>
          <w:tblLayout w:type="fixed"/>
          <w:tblCellMar>
            <w:top w:w="0" w:type="dxa"/>
            <w:left w:w="0" w:type="dxa"/>
            <w:bottom w:w="0" w:type="dxa"/>
            <w:right w:w="0" w:type="dxa"/>
          </w:tblCellMar>
        </w:tblPrEx>
        <w:trPr>
          <w:trHeight w:val="507"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210" w:firstLineChars="100"/>
              <w:jc w:val="left"/>
              <w:textAlignment w:val="center"/>
              <w:rPr>
                <w:rStyle w:val="76"/>
                <w:rFonts w:hint="default" w:ascii="Times New Roman" w:hAnsi="Times New Roman" w:eastAsia="宋体" w:cs="Times New Roman"/>
                <w:b w:val="0"/>
                <w:bCs/>
                <w:sz w:val="21"/>
                <w:szCs w:val="21"/>
                <w:lang w:val="en-US" w:eastAsia="zh-CN" w:bidi="ar"/>
              </w:rPr>
            </w:pPr>
            <w:r>
              <w:rPr>
                <w:rStyle w:val="76"/>
                <w:rFonts w:hint="eastAsia" w:ascii="Times New Roman" w:hAnsi="Times New Roman" w:cs="Times New Roman"/>
                <w:b w:val="0"/>
                <w:bCs/>
                <w:sz w:val="21"/>
                <w:szCs w:val="21"/>
                <w:lang w:val="en-US" w:eastAsia="zh-CN" w:bidi="ar"/>
              </w:rPr>
              <w:t>备注：需与工厂签署技术协议书。</w:t>
            </w:r>
          </w:p>
        </w:tc>
      </w:tr>
    </w:tbl>
    <w:p>
      <w:pPr>
        <w:pStyle w:val="2"/>
        <w:rPr>
          <w:rFonts w:hint="default" w:ascii="Times New Roman" w:hAnsi="Times New Roman" w:eastAsia="宋体" w:cs="Times New Roman"/>
          <w:b/>
          <w:sz w:val="28"/>
          <w:szCs w:val="28"/>
        </w:rPr>
        <w:sectPr>
          <w:pgSz w:w="16840" w:h="11910" w:orient="landscape"/>
          <w:pgMar w:top="1242" w:right="1500" w:bottom="992" w:left="1040" w:header="0" w:footer="550" w:gutter="0"/>
          <w:pgNumType w:fmt="decimal"/>
          <w:cols w:space="0" w:num="1"/>
          <w:rtlGutter w:val="0"/>
          <w:docGrid w:type="lines" w:linePitch="312" w:charSpace="0"/>
        </w:sectPr>
      </w:pPr>
    </w:p>
    <w:p>
      <w:pPr>
        <w:ind w:firstLine="1405" w:firstLineChars="500"/>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芳烃团队燃料气</w:t>
      </w:r>
      <w:r>
        <w:rPr>
          <w:rFonts w:hint="default" w:ascii="Times New Roman" w:hAnsi="Times New Roman" w:eastAsia="宋体" w:cs="Times New Roman"/>
          <w:b/>
          <w:bCs/>
          <w:sz w:val="28"/>
          <w:szCs w:val="28"/>
        </w:rPr>
        <w:t>阻火器（防爆轰）技术要求</w:t>
      </w:r>
    </w:p>
    <w:p>
      <w:pPr>
        <w:numPr>
          <w:ilvl w:val="0"/>
          <w:numId w:val="3"/>
        </w:numPr>
        <w:spacing w:line="540" w:lineRule="exac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报名要求：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397" w:leftChars="-9" w:right="121" w:hanging="417" w:hangingChars="199"/>
        <w:jc w:val="both"/>
        <w:textAlignment w:val="auto"/>
        <w:outlineLvl w:val="9"/>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r>
        <w:rPr>
          <w:rFonts w:hint="eastAsia" w:ascii="Times New Roman" w:hAnsi="Times New Roman"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阻火器厂商必须具备独立法人资格，具备有效的企业法人营业执照，具有石油化工行业呼吸阀类管道元件组合装置制造销及售资质。</w:t>
      </w:r>
    </w:p>
    <w:p>
      <w:pPr>
        <w:keepNext w:val="0"/>
        <w:keepLines w:val="0"/>
        <w:pageBreakBefore w:val="0"/>
        <w:widowControl w:val="0"/>
        <w:kinsoku/>
        <w:wordWrap/>
        <w:overflowPunct/>
        <w:topLinePunct w:val="0"/>
        <w:autoSpaceDE w:val="0"/>
        <w:autoSpaceDN w:val="0"/>
        <w:bidi w:val="0"/>
        <w:adjustRightInd/>
        <w:snapToGrid/>
        <w:spacing w:line="360" w:lineRule="auto"/>
        <w:ind w:left="397" w:leftChars="-9" w:hanging="417" w:hangingChars="199"/>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阻火器制造商具有特种设备生产许可证（压力管道元件）、相应阻火器的型式证书；阻火器第三方实验证书上所列出的型号规格应覆盖本次招标所有设备的规格。</w:t>
      </w:r>
    </w:p>
    <w:p>
      <w:pPr>
        <w:keepNext w:val="0"/>
        <w:keepLines w:val="0"/>
        <w:pageBreakBefore w:val="0"/>
        <w:widowControl w:val="0"/>
        <w:kinsoku/>
        <w:wordWrap/>
        <w:overflowPunct/>
        <w:topLinePunct w:val="0"/>
        <w:autoSpaceDE w:val="0"/>
        <w:autoSpaceDN w:val="0"/>
        <w:bidi w:val="0"/>
        <w:adjustRightInd/>
        <w:snapToGrid/>
        <w:spacing w:line="360" w:lineRule="auto"/>
        <w:ind w:left="397" w:leftChars="-9" w:hanging="417" w:hangingChars="199"/>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报名厂家具有在石油化工行业阻火器供货业绩（务必真实有效，福海创有权要求投标商提供相应佐证材料包括不限于合同和发票等复印件）。</w:t>
      </w:r>
    </w:p>
    <w:p>
      <w:pPr>
        <w:spacing w:line="480" w:lineRule="auto"/>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二、执行标准：</w:t>
      </w:r>
    </w:p>
    <w:tbl>
      <w:tblPr>
        <w:tblStyle w:val="3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
      <w:tblGrid>
        <w:gridCol w:w="2555"/>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ISO16852</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《阻火器-性能要求、试验方法和使用限制》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GB/T13347-2010</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《石油气体管道阻火器》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GB/T5908</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《石油储罐阻火器阻火性能和实验方法》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SH/T3413-2019</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《石油化工石油气管道阻火器选用、检验及验收》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GB50160-2015 </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《石油化工企业设计防火规范》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ASME B16.5</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《管法兰和管件》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HG/T20615-2009</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《钢制管法兰、垫片和紧固件》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 xml:space="preserve">GB/T13384-2008   </w:t>
            </w:r>
          </w:p>
        </w:tc>
        <w:tc>
          <w:tcPr>
            <w:tcW w:w="5967" w:type="dxa"/>
            <w:shd w:val="clear" w:color="000000" w:fill="auto"/>
            <w:vAlign w:val="center"/>
          </w:tcPr>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《标牌》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GB/T9969-2008</w:t>
            </w:r>
          </w:p>
        </w:tc>
        <w:tc>
          <w:tcPr>
            <w:tcW w:w="5967" w:type="dxa"/>
            <w:shd w:val="clear" w:color="000000" w:fill="auto"/>
            <w:vAlign w:val="center"/>
          </w:tcPr>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《工业产品使用说明书》</w:t>
            </w:r>
          </w:p>
        </w:tc>
      </w:tr>
    </w:tbl>
    <w:p>
      <w:pPr>
        <w:pStyle w:val="33"/>
        <w:numPr>
          <w:ilvl w:val="0"/>
          <w:numId w:val="4"/>
        </w:numPr>
        <w:spacing w:line="540" w:lineRule="exact"/>
        <w:ind w:firstLine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技术要求：</w:t>
      </w:r>
    </w:p>
    <w:p>
      <w:pPr>
        <w:spacing w:line="360" w:lineRule="auto"/>
        <w:ind w:left="1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3.1阻火器按照设计资料《阻火器规格书》（详见附件）的要求设计、制造及验收。</w:t>
      </w:r>
    </w:p>
    <w:p>
      <w:pPr>
        <w:spacing w:line="360" w:lineRule="auto"/>
        <w:ind w:firstLine="105" w:firstLineChar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3.2卖方提供的阻火器须通过现行的GB/T13347-2010《石油气体管道阻火器》规定的制造及检验要求，并由具备检测能力的第三方权威机构出</w:t>
      </w:r>
      <w:r>
        <w:rPr>
          <w:rFonts w:hint="default" w:ascii="Times New Roman" w:hAnsi="Times New Roman" w:eastAsia="宋体" w:cs="Times New Roman"/>
          <w:b/>
          <w:bCs/>
          <w:sz w:val="21"/>
          <w:szCs w:val="21"/>
        </w:rPr>
        <w:t>具实验验证文件。“试验验证文件”所标注的生产厂家名称及型号应与阻火器生产合格证书</w:t>
      </w:r>
      <w:r>
        <w:rPr>
          <w:rFonts w:hint="default" w:ascii="Times New Roman" w:hAnsi="Times New Roman" w:eastAsia="宋体" w:cs="Times New Roman"/>
          <w:sz w:val="21"/>
          <w:szCs w:val="21"/>
        </w:rPr>
        <w:t>上厂家名称和型号完全一致。</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阻火器选用管道双向阻爆轰型阻火器（附结构说明）。按照标准规定的测试要求进行阻爆燃、阻爆轰及短时间耐烧测试，并出具相应型式认证证书。该证书应标明阻爆轰阻火器型号及规格、阻火盘缝隙、测试条件（温度、介质爆炸等级）、阻火性能测试内容及结果（阻爆燃、阻爆轰、短时间耐烧）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3.4卖方应出具选型数据表和同一第三方认证的压降-流量曲线或图表。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 阻火元件应为可拆卸和更换式，并设置可用于吊装的部件；阻火器应设置防堵措施；阻火器前后应具有排凝接口。阻火芯与阻火器壳体之间要采用可拆卸连接型式，确保阻火器一旦堵塞，阻火芯可以拆下清洗或更换</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3.6阻火器在制造过程中卖方对设计的任何变更及材料代用都必须得到设计方的书面认可。</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3.7阀门铭牌要求使用不锈钢。内容包括工位号、型号、规格、设定压力出厂编号等。</w:t>
      </w:r>
      <w:r>
        <w:rPr>
          <w:rFonts w:hint="default" w:ascii="Times New Roman" w:hAnsi="Times New Roman" w:eastAsia="宋体" w:cs="Times New Roman"/>
          <w:sz w:val="21"/>
          <w:szCs w:val="21"/>
        </w:rPr>
        <w:br w:type="textWrapping" w:clear="all"/>
      </w:r>
      <w:r>
        <w:rPr>
          <w:rFonts w:hint="default" w:ascii="Times New Roman" w:hAnsi="Times New Roman" w:eastAsia="宋体" w:cs="Times New Roman"/>
          <w:b/>
          <w:sz w:val="21"/>
          <w:szCs w:val="21"/>
        </w:rPr>
        <w:t>四、技术资料交付表</w:t>
      </w:r>
    </w:p>
    <w:tbl>
      <w:tblPr>
        <w:tblStyle w:val="30"/>
        <w:tblW w:w="92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2449"/>
        <w:gridCol w:w="2736"/>
        <w:gridCol w:w="33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文件名称</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交付时间</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交付份数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第三方实验报告</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安装、使用说明书</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产品合格证</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材质证明书</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产品试压检验报告</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装箱单</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原件1+2份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外形尺寸图</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原件1+2份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型式认证证书</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2份</w:t>
            </w:r>
          </w:p>
        </w:tc>
      </w:tr>
    </w:tbl>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五、供货范围</w:t>
      </w:r>
    </w:p>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1.本条款规定了合同设备的供货范围，卖方保证所提供设备为全新的、先进的、成熟的、完整的和安全可靠的，且设备的技术性能、功能符合技术条件的要求。</w:t>
      </w:r>
    </w:p>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2.卖方确保货物完整，能满足用户安装、运行要求为原则，在技术规范中涉及的供货要求也作为本供货范围的补充，即使未列入供货表中，若在安装、调试、运行中发现缺项也应由卖方无偿补充。</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（1）阻火器</w:t>
      </w:r>
    </w:p>
    <w:tbl>
      <w:tblPr>
        <w:tblStyle w:val="30"/>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3"/>
        <w:gridCol w:w="2102"/>
        <w:gridCol w:w="3689"/>
        <w:gridCol w:w="1538"/>
        <w:gridCol w:w="662"/>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存货编码</w:t>
            </w:r>
          </w:p>
        </w:tc>
        <w:tc>
          <w:tcPr>
            <w:tcW w:w="21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名称</w:t>
            </w:r>
          </w:p>
        </w:tc>
        <w:tc>
          <w:tcPr>
            <w:tcW w:w="3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型号</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3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3009220025</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CS.RF.2".150LB.温度＜300℃.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介质：氢气，按GB13347-92标准执行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GZW-1，DN50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3009220026</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CS.RF.DN80CL150.温度＜100℃.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DN80CL150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3009220029</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CS.RF.DN40CL150.温度＜100℃.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DN40CL150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3009220027</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CS.RF.DN150CL150.温度＜100℃.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DN150CL150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3009220030</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DN100CL150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3009220028</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CS.RF.DN200CL150.温度＜100℃.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DN200CL150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r>
    </w:tbl>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注：1）详细参数见设计数据表；</w:t>
      </w:r>
    </w:p>
    <w:p>
      <w:pPr>
        <w:pStyle w:val="33"/>
        <w:spacing w:line="120" w:lineRule="auto"/>
        <w:ind w:left="0" w:leftChars="0" w:firstLine="0" w:firstLineChars="0"/>
        <w:jc w:val="left"/>
        <w:rPr>
          <w:rFonts w:hint="eastAsia" w:hAnsi="宋体" w:cs="宋体" w:eastAsiaTheme="minorEastAsia"/>
          <w:kern w:val="2"/>
          <w:sz w:val="24"/>
          <w:szCs w:val="24"/>
        </w:rPr>
      </w:pPr>
      <w:r>
        <w:rPr>
          <w:rFonts w:hint="default" w:ascii="Times New Roman" w:hAnsi="Times New Roman" w:eastAsia="宋体" w:cs="Times New Roman"/>
          <w:b/>
          <w:sz w:val="21"/>
          <w:szCs w:val="21"/>
        </w:rPr>
        <w:t>六、交货期</w:t>
      </w:r>
      <w:r>
        <w:rPr>
          <w:rFonts w:hint="eastAsia" w:ascii="Times New Roman" w:hAnsi="Times New Roman" w:cs="Times New Roman"/>
          <w:b/>
          <w:sz w:val="21"/>
          <w:szCs w:val="21"/>
          <w:lang w:eastAsia="zh-CN"/>
        </w:rPr>
        <w:t>：</w:t>
      </w:r>
      <w:r>
        <w:rPr>
          <w:rFonts w:hint="default" w:ascii="Times New Roman" w:hAnsi="Times New Roman" w:eastAsia="宋体" w:cs="Times New Roman"/>
          <w:sz w:val="21"/>
          <w:szCs w:val="21"/>
        </w:rPr>
        <w:t>合同签订后40天内</w:t>
      </w:r>
      <w:r>
        <w:rPr>
          <w:rFonts w:hint="eastAsia" w:ascii="Times New Roman" w:hAnsi="Times New Roman" w:cs="Times New Roman"/>
          <w:sz w:val="21"/>
          <w:szCs w:val="21"/>
          <w:lang w:eastAsia="zh-CN"/>
        </w:rPr>
        <w:t>。</w:t>
      </w:r>
    </w:p>
    <w:p>
      <w:pPr>
        <w:pStyle w:val="2"/>
        <w:spacing w:line="360" w:lineRule="auto"/>
        <w:rPr>
          <w:rFonts w:hAnsi="宋体" w:cs="宋体" w:eastAsiaTheme="minorEastAsia"/>
          <w:kern w:val="2"/>
          <w:sz w:val="24"/>
          <w:szCs w:val="24"/>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阻爆燃型管道阻火器</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 xml:space="preserve"> 7</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5"/>
        <w:spacing w:beforeLines="0" w:afterLines="0" w:line="240" w:lineRule="auto"/>
        <w:ind w:firstLine="618" w:firstLineChars="221"/>
        <w:rPr>
          <w:rFonts w:ascii="Times New Roman" w:hAnsi="Times New Roman" w:cs="Times New Roman"/>
          <w:bCs w:val="0"/>
          <w:color w:val="C00000"/>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冷冻式干燥机采购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asciiTheme="minorEastAsia" w:hAnsiTheme="minorEastAsia" w:eastAsiaTheme="minorEastAsia"/>
          <w:b/>
          <w:bCs/>
          <w:sz w:val="24"/>
          <w:szCs w:val="24"/>
          <w:u w:val="single"/>
          <w:lang w:eastAsia="zh-CN"/>
        </w:rPr>
        <w:t>阻爆燃型管道阻火器采购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阻爆燃型管道阻火器</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w:t>
      </w:r>
      <w:r>
        <w:rPr>
          <w:rFonts w:hint="eastAsia"/>
          <w:sz w:val="24"/>
          <w:szCs w:val="24"/>
          <w:lang w:val="en-US" w:eastAsia="zh-CN"/>
        </w:rPr>
        <w:t>100</w:t>
      </w:r>
      <w:r>
        <w:rPr>
          <w:rFonts w:hint="eastAsia"/>
          <w:sz w:val="24"/>
          <w:szCs w:val="24"/>
        </w:rPr>
        <w:t>%</w:t>
      </w:r>
      <w:r>
        <w:rPr>
          <w:rFonts w:hint="eastAsia"/>
          <w:sz w:val="24"/>
          <w:szCs w:val="24"/>
          <w:lang w:eastAsia="zh-CN"/>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pStyle w:val="35"/>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val="en-US" w:eastAsia="zh-CN"/>
        </w:rPr>
      </w:pPr>
      <w:r>
        <w:rPr>
          <w:rFonts w:hint="eastAsia" w:cs="宋体"/>
          <w:sz w:val="24"/>
          <w:szCs w:val="24"/>
          <w:lang w:val="en-US" w:eastAsia="zh-CN"/>
        </w:rPr>
        <w:t>备注：详细报价详见附表</w:t>
      </w:r>
    </w:p>
    <w:p>
      <w:pPr>
        <w:pStyle w:val="35"/>
        <w:spacing w:beforeLines="0" w:afterLines="0"/>
        <w:ind w:firstLine="0" w:firstLineChars="0"/>
        <w:rPr>
          <w:rFonts w:ascii="Times New Roman"/>
          <w:bCs w:val="0"/>
          <w:sz w:val="24"/>
          <w:szCs w:val="24"/>
          <w:lang w:eastAsia="zh-CN"/>
        </w:rPr>
      </w:pPr>
    </w:p>
    <w:p>
      <w:pPr>
        <w:pStyle w:val="35"/>
        <w:spacing w:beforeLines="0" w:afterLines="0"/>
        <w:ind w:firstLine="0" w:firstLineChars="0"/>
        <w:rPr>
          <w:rFonts w:ascii="Times New Roman"/>
          <w:bCs w:val="0"/>
          <w:sz w:val="24"/>
          <w:szCs w:val="24"/>
          <w:lang w:eastAsia="zh-CN"/>
        </w:rPr>
        <w:sectPr>
          <w:headerReference r:id="rId6" w:type="default"/>
          <w:pgSz w:w="11910" w:h="16840"/>
          <w:pgMar w:top="1500" w:right="1210" w:bottom="740" w:left="1460" w:header="0" w:footer="551" w:gutter="0"/>
          <w:cols w:space="720" w:num="1"/>
          <w:docGrid w:type="lines" w:linePitch="312" w:charSpace="0"/>
        </w:sectPr>
      </w:pPr>
    </w:p>
    <w:tbl>
      <w:tblPr>
        <w:tblStyle w:val="30"/>
        <w:tblW w:w="15020" w:type="dxa"/>
        <w:jc w:val="center"/>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1"/>
        <w:gridCol w:w="1510"/>
        <w:gridCol w:w="1257"/>
        <w:gridCol w:w="2142"/>
        <w:gridCol w:w="1460"/>
        <w:gridCol w:w="3842"/>
        <w:gridCol w:w="855"/>
        <w:gridCol w:w="1088"/>
        <w:gridCol w:w="1088"/>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8" w:hRule="atLeast"/>
          <w:jc w:val="center"/>
        </w:trPr>
        <w:tc>
          <w:tcPr>
            <w:tcW w:w="204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附表：</w:t>
            </w:r>
          </w:p>
        </w:tc>
        <w:tc>
          <w:tcPr>
            <w:tcW w:w="12979"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9" w:hRule="atLeast"/>
          <w:jc w:val="center"/>
        </w:trPr>
        <w:tc>
          <w:tcPr>
            <w:tcW w:w="531"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151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请购单号</w:t>
            </w:r>
          </w:p>
        </w:tc>
        <w:tc>
          <w:tcPr>
            <w:tcW w:w="125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存货编码</w:t>
            </w:r>
          </w:p>
        </w:tc>
        <w:tc>
          <w:tcPr>
            <w:tcW w:w="214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存货名称</w:t>
            </w:r>
          </w:p>
        </w:tc>
        <w:tc>
          <w:tcPr>
            <w:tcW w:w="146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规格</w:t>
            </w:r>
          </w:p>
        </w:tc>
        <w:tc>
          <w:tcPr>
            <w:tcW w:w="384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型号</w:t>
            </w:r>
          </w:p>
        </w:tc>
        <w:tc>
          <w:tcPr>
            <w:tcW w:w="85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计量</w:t>
            </w:r>
            <w:r>
              <w:rPr>
                <w:rStyle w:val="72"/>
                <w:rFonts w:hint="default" w:ascii="Times New Roman" w:hAnsi="Times New Roman" w:eastAsia="宋体" w:cs="Times New Roman"/>
                <w:sz w:val="21"/>
                <w:szCs w:val="21"/>
                <w:lang w:val="en-US" w:eastAsia="zh-CN" w:bidi="ar"/>
              </w:rPr>
              <w:br w:type="textWrapping"/>
            </w:r>
            <w:r>
              <w:rPr>
                <w:rStyle w:val="73"/>
                <w:rFonts w:hint="default" w:ascii="Times New Roman" w:hAnsi="Times New Roman" w:eastAsia="宋体" w:cs="Times New Roman"/>
                <w:sz w:val="21"/>
                <w:szCs w:val="21"/>
                <w:lang w:val="en-US" w:eastAsia="zh-CN" w:bidi="ar"/>
              </w:rPr>
              <w:t>单位</w:t>
            </w:r>
          </w:p>
        </w:tc>
        <w:tc>
          <w:tcPr>
            <w:tcW w:w="10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10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到厂</w:t>
            </w:r>
            <w:r>
              <w:rPr>
                <w:rStyle w:val="72"/>
                <w:rFonts w:hint="default" w:ascii="Times New Roman" w:hAnsi="Times New Roman" w:eastAsia="宋体" w:cs="Times New Roman"/>
                <w:sz w:val="21"/>
                <w:szCs w:val="21"/>
                <w:lang w:val="en-US" w:eastAsia="zh-CN" w:bidi="ar"/>
              </w:rPr>
              <w:br w:type="textWrapping"/>
            </w:r>
            <w:r>
              <w:rPr>
                <w:rStyle w:val="73"/>
                <w:rFonts w:hint="default" w:ascii="Times New Roman" w:hAnsi="Times New Roman" w:eastAsia="宋体" w:cs="Times New Roman"/>
                <w:sz w:val="21"/>
                <w:szCs w:val="21"/>
                <w:lang w:val="en-US" w:eastAsia="zh-CN" w:bidi="ar"/>
              </w:rPr>
              <w:t>含税单价</w:t>
            </w:r>
          </w:p>
        </w:tc>
        <w:tc>
          <w:tcPr>
            <w:tcW w:w="1247"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小计</w:t>
            </w:r>
            <w:r>
              <w:rPr>
                <w:rStyle w:val="72"/>
                <w:rFonts w:hint="default" w:ascii="Times New Roman" w:hAnsi="Times New Roman" w:eastAsia="宋体" w:cs="Times New Roman"/>
                <w:sz w:val="21"/>
                <w:szCs w:val="21"/>
                <w:lang w:val="en-US" w:eastAsia="zh-CN" w:bidi="ar"/>
              </w:rPr>
              <w:br w:type="textWrapping"/>
            </w:r>
            <w:r>
              <w:rPr>
                <w:rStyle w:val="73"/>
                <w:rFonts w:hint="default" w:ascii="Times New Roman" w:hAnsi="Times New Roman" w:eastAsia="宋体" w:cs="Times New Roman"/>
                <w:sz w:val="21"/>
                <w:szCs w:val="21"/>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3009220025</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GZW-1，DN50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CS.RF.2".150LB.温度＜300℃.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介质：氢气，按GB13347-92标准执行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3009220026</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DN80CL150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CS.RF.DN80CL150.温度＜100℃.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3009220027</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DN150CL150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CS.RF.DN150CL150.温度＜100℃.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3009220028</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DN200CL150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CS.RF.DN200CL150.温度＜100℃.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3009220029</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DN40CL150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CS.RF.DN40CL150.温度＜100℃.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5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QG2206090050</w:t>
            </w:r>
          </w:p>
        </w:tc>
        <w:tc>
          <w:tcPr>
            <w:tcW w:w="125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3009220030</w:t>
            </w:r>
          </w:p>
        </w:tc>
        <w:tc>
          <w:tcPr>
            <w:tcW w:w="214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DN100CL150</w:t>
            </w:r>
          </w:p>
        </w:tc>
        <w:tc>
          <w:tcPr>
            <w:tcW w:w="384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088" w:type="dxa"/>
            <w:tcBorders>
              <w:top w:val="single" w:color="000000" w:sz="4" w:space="0"/>
              <w:left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9" w:hRule="atLeast"/>
          <w:jc w:val="center"/>
        </w:trPr>
        <w:tc>
          <w:tcPr>
            <w:tcW w:w="10742" w:type="dxa"/>
            <w:gridSpan w:val="6"/>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合计（人民币：元）</w:t>
            </w:r>
          </w:p>
        </w:tc>
        <w:tc>
          <w:tcPr>
            <w:tcW w:w="4278" w:type="dxa"/>
            <w:gridSpan w:val="4"/>
            <w:tcBorders>
              <w:top w:val="single" w:color="000000" w:sz="12" w:space="0"/>
              <w:left w:val="single" w:color="000000" w:sz="4"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bl>
    <w:p>
      <w:pPr>
        <w:pStyle w:val="35"/>
        <w:spacing w:beforeLines="0" w:afterLines="0"/>
        <w:ind w:firstLine="0" w:firstLineChars="0"/>
        <w:rPr>
          <w:rFonts w:ascii="Times New Roman"/>
          <w:bCs w:val="0"/>
          <w:sz w:val="24"/>
          <w:szCs w:val="24"/>
          <w:lang w:eastAsia="zh-CN"/>
        </w:rPr>
      </w:pPr>
    </w:p>
    <w:sectPr>
      <w:pgSz w:w="16840" w:h="11910" w:orient="landscape"/>
      <w:pgMar w:top="1463" w:right="1500" w:bottom="1208" w:left="740" w:header="0" w:footer="550"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4144;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SDtOh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81229"/>
    <w:multiLevelType w:val="singleLevel"/>
    <w:tmpl w:val="97781229"/>
    <w:lvl w:ilvl="0" w:tentative="0">
      <w:start w:val="1"/>
      <w:numFmt w:val="chineseCounting"/>
      <w:suff w:val="nothing"/>
      <w:lvlText w:val="%1、"/>
      <w:lvlJc w:val="left"/>
      <w:rPr>
        <w:rFonts w:hint="eastAsia"/>
      </w:r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7D5A43FD"/>
    <w:multiLevelType w:val="multilevel"/>
    <w:tmpl w:val="7D5A43FD"/>
    <w:lvl w:ilvl="0" w:tentative="0">
      <w:start w:val="3"/>
      <w:numFmt w:val="japaneseCounting"/>
      <w:lvlText w:val="%1、"/>
      <w:lvlJc w:val="left"/>
      <w:pPr>
        <w:ind w:left="742" w:hanging="60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9"/>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B296DE2"/>
    <w:rsid w:val="0B983CE8"/>
    <w:rsid w:val="0CEC2637"/>
    <w:rsid w:val="0D704EEE"/>
    <w:rsid w:val="0EEC5213"/>
    <w:rsid w:val="0FBB2AA9"/>
    <w:rsid w:val="10294AA3"/>
    <w:rsid w:val="10E40CA0"/>
    <w:rsid w:val="136130D9"/>
    <w:rsid w:val="15342061"/>
    <w:rsid w:val="1571589E"/>
    <w:rsid w:val="164500FE"/>
    <w:rsid w:val="18D85DB9"/>
    <w:rsid w:val="18DD4F7E"/>
    <w:rsid w:val="195B58A2"/>
    <w:rsid w:val="1AD26D88"/>
    <w:rsid w:val="1E085A14"/>
    <w:rsid w:val="1EB71B1C"/>
    <w:rsid w:val="1EE21CAD"/>
    <w:rsid w:val="1FA4685B"/>
    <w:rsid w:val="1FF43DDB"/>
    <w:rsid w:val="20E43EB1"/>
    <w:rsid w:val="21933AA2"/>
    <w:rsid w:val="22AA7317"/>
    <w:rsid w:val="2564247D"/>
    <w:rsid w:val="25BF356F"/>
    <w:rsid w:val="25DB0C2D"/>
    <w:rsid w:val="269469E7"/>
    <w:rsid w:val="29886A00"/>
    <w:rsid w:val="29FC3B14"/>
    <w:rsid w:val="2B11792E"/>
    <w:rsid w:val="2CA57894"/>
    <w:rsid w:val="2F3936CE"/>
    <w:rsid w:val="2F6B5F0C"/>
    <w:rsid w:val="306C6CAE"/>
    <w:rsid w:val="31C54755"/>
    <w:rsid w:val="3216608C"/>
    <w:rsid w:val="34CE14C6"/>
    <w:rsid w:val="34D84CEC"/>
    <w:rsid w:val="37AF5AB7"/>
    <w:rsid w:val="3B1C3371"/>
    <w:rsid w:val="3CC23198"/>
    <w:rsid w:val="3CC5127A"/>
    <w:rsid w:val="3DDF4815"/>
    <w:rsid w:val="3E9E45D1"/>
    <w:rsid w:val="3FE669E5"/>
    <w:rsid w:val="44F473B8"/>
    <w:rsid w:val="46C04F53"/>
    <w:rsid w:val="471660FA"/>
    <w:rsid w:val="48862C99"/>
    <w:rsid w:val="49A31EDC"/>
    <w:rsid w:val="4F3A01F0"/>
    <w:rsid w:val="500F48EF"/>
    <w:rsid w:val="50F63E28"/>
    <w:rsid w:val="52105747"/>
    <w:rsid w:val="5221007F"/>
    <w:rsid w:val="52926B5A"/>
    <w:rsid w:val="545C5E51"/>
    <w:rsid w:val="5486175B"/>
    <w:rsid w:val="57667D24"/>
    <w:rsid w:val="57CE5BC3"/>
    <w:rsid w:val="59F5351B"/>
    <w:rsid w:val="5AE1516A"/>
    <w:rsid w:val="5B6A3A79"/>
    <w:rsid w:val="5B712E82"/>
    <w:rsid w:val="5C1A5F7B"/>
    <w:rsid w:val="5C8277EA"/>
    <w:rsid w:val="5E88034A"/>
    <w:rsid w:val="627C4924"/>
    <w:rsid w:val="645771F8"/>
    <w:rsid w:val="64E26B11"/>
    <w:rsid w:val="65585CE2"/>
    <w:rsid w:val="68B757AA"/>
    <w:rsid w:val="6A54112D"/>
    <w:rsid w:val="6AA035AE"/>
    <w:rsid w:val="6E0F2E14"/>
    <w:rsid w:val="6E1A1323"/>
    <w:rsid w:val="6F1E141D"/>
    <w:rsid w:val="6F5354F8"/>
    <w:rsid w:val="740A2BDE"/>
    <w:rsid w:val="751839E0"/>
    <w:rsid w:val="76274F93"/>
    <w:rsid w:val="778B1930"/>
    <w:rsid w:val="78DC4EE3"/>
    <w:rsid w:val="79EB3F2F"/>
    <w:rsid w:val="7A6B547E"/>
    <w:rsid w:val="7ABD761B"/>
    <w:rsid w:val="7B11789E"/>
    <w:rsid w:val="7BE61E03"/>
    <w:rsid w:val="7DC94A0A"/>
    <w:rsid w:val="7E07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qFormat/>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uiPriority w:val="0"/>
    <w:pPr>
      <w:widowControl/>
      <w:autoSpaceDE/>
      <w:autoSpaceDN/>
      <w:ind w:left="420" w:hanging="420"/>
    </w:pPr>
    <w:rPr>
      <w:rFonts w:hAnsi="Times New Roman" w:cs="Times New Roman"/>
      <w:szCs w:val="20"/>
      <w:lang w:eastAsia="zh-CN"/>
    </w:rPr>
  </w:style>
  <w:style w:type="paragraph" w:styleId="22">
    <w:name w:val="Body Text 2"/>
    <w:basedOn w:val="1"/>
    <w:link w:val="48"/>
    <w:qFormat/>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2">
    <w:name w:val="Table Normal"/>
    <w:unhideWhenUsed/>
    <w:qFormat/>
    <w:uiPriority w:val="2"/>
    <w:tblPr>
      <w:tblLayout w:type="fixed"/>
      <w:tblCellMar>
        <w:top w:w="0" w:type="dxa"/>
        <w:left w:w="0" w:type="dxa"/>
        <w:bottom w:w="0" w:type="dxa"/>
        <w:right w:w="0" w:type="dxa"/>
      </w:tblCellMar>
    </w:tblPr>
  </w:style>
  <w:style w:type="paragraph" w:customStyle="1" w:styleId="33">
    <w:name w:val="List Paragraph"/>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4"/>
    <w:link w:val="14"/>
    <w:qFormat/>
    <w:uiPriority w:val="99"/>
    <w:rPr>
      <w:rFonts w:asciiTheme="minorHAnsi" w:hAnsiTheme="minorHAnsi" w:eastAsiaTheme="minorEastAsia" w:cstheme="minorBidi"/>
      <w:kern w:val="2"/>
      <w:sz w:val="21"/>
      <w:szCs w:val="22"/>
    </w:rPr>
  </w:style>
  <w:style w:type="paragraph" w:customStyle="1" w:styleId="3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4"/>
    <w:qFormat/>
    <w:uiPriority w:val="0"/>
    <w:rPr>
      <w:color w:val="0000FF"/>
      <w:sz w:val="18"/>
      <w:szCs w:val="18"/>
      <w:u w:val="none"/>
      <w:bdr w:val="single" w:color="DCDCDC" w:sz="8" w:space="0"/>
      <w:shd w:val="clear" w:color="auto" w:fill="FFFFFF"/>
    </w:rPr>
  </w:style>
  <w:style w:type="character" w:customStyle="1" w:styleId="40">
    <w:name w:val="批注框文本 Char"/>
    <w:basedOn w:val="24"/>
    <w:link w:val="16"/>
    <w:qFormat/>
    <w:uiPriority w:val="99"/>
    <w:rPr>
      <w:rFonts w:ascii="宋体" w:hAnsi="宋体" w:cs="宋体"/>
      <w:sz w:val="18"/>
      <w:szCs w:val="18"/>
      <w:lang w:eastAsia="en-US"/>
    </w:rPr>
  </w:style>
  <w:style w:type="character" w:customStyle="1" w:styleId="41">
    <w:name w:val="页脚 Char"/>
    <w:basedOn w:val="24"/>
    <w:link w:val="17"/>
    <w:qFormat/>
    <w:uiPriority w:val="99"/>
    <w:rPr>
      <w:rFonts w:ascii="宋体" w:hAnsi="宋体" w:cs="宋体"/>
      <w:sz w:val="18"/>
      <w:szCs w:val="18"/>
      <w:lang w:eastAsia="en-US"/>
    </w:rPr>
  </w:style>
  <w:style w:type="paragraph" w:customStyle="1" w:styleId="4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4"/>
    <w:qFormat/>
    <w:uiPriority w:val="0"/>
  </w:style>
  <w:style w:type="paragraph" w:customStyle="1" w:styleId="4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4"/>
    <w:link w:val="5"/>
    <w:qFormat/>
    <w:uiPriority w:val="0"/>
    <w:rPr>
      <w:rFonts w:ascii="宋体" w:hAnsi="宋体" w:cs="宋体"/>
      <w:b/>
      <w:bCs/>
      <w:sz w:val="32"/>
      <w:szCs w:val="32"/>
      <w:lang w:eastAsia="en-US"/>
    </w:rPr>
  </w:style>
  <w:style w:type="character" w:customStyle="1" w:styleId="46">
    <w:name w:val="批注文字 Char"/>
    <w:basedOn w:val="24"/>
    <w:link w:val="9"/>
    <w:qFormat/>
    <w:uiPriority w:val="99"/>
    <w:rPr>
      <w:kern w:val="2"/>
      <w:sz w:val="21"/>
    </w:rPr>
  </w:style>
  <w:style w:type="paragraph" w:customStyle="1" w:styleId="4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4"/>
    <w:link w:val="22"/>
    <w:qFormat/>
    <w:uiPriority w:val="0"/>
    <w:rPr>
      <w:rFonts w:ascii="宋体" w:hAnsi="宋体" w:cs="宋体"/>
      <w:sz w:val="22"/>
      <w:szCs w:val="22"/>
      <w:lang w:eastAsia="en-US"/>
    </w:rPr>
  </w:style>
  <w:style w:type="character" w:customStyle="1" w:styleId="49">
    <w:name w:val="正文文本缩进 2 Char"/>
    <w:basedOn w:val="24"/>
    <w:link w:val="15"/>
    <w:qFormat/>
    <w:uiPriority w:val="0"/>
    <w:rPr>
      <w:rFonts w:ascii="宋体" w:hAnsi="宋体" w:cs="宋体"/>
      <w:sz w:val="22"/>
      <w:szCs w:val="22"/>
      <w:lang w:eastAsia="en-US"/>
    </w:rPr>
  </w:style>
  <w:style w:type="character" w:customStyle="1" w:styleId="50">
    <w:name w:val="纯文本 Char1"/>
    <w:basedOn w:val="24"/>
    <w:link w:val="13"/>
    <w:qFormat/>
    <w:uiPriority w:val="0"/>
    <w:rPr>
      <w:rFonts w:ascii="宋体" w:hAnsi="Courier New" w:cs="Courier New"/>
      <w:sz w:val="22"/>
      <w:szCs w:val="21"/>
      <w:lang w:eastAsia="en-US"/>
    </w:rPr>
  </w:style>
  <w:style w:type="paragraph" w:customStyle="1" w:styleId="51">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4"/>
    <w:link w:val="4"/>
    <w:qFormat/>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4"/>
    <w:link w:val="10"/>
    <w:qFormat/>
    <w:uiPriority w:val="0"/>
    <w:rPr>
      <w:rFonts w:ascii="宋体" w:hAnsi="宋体" w:cs="宋体"/>
      <w:sz w:val="24"/>
      <w:szCs w:val="24"/>
      <w:lang w:eastAsia="en-US"/>
    </w:rPr>
  </w:style>
  <w:style w:type="character" w:customStyle="1" w:styleId="55">
    <w:name w:val="普通文字 Char2"/>
    <w:basedOn w:val="24"/>
    <w:qFormat/>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4"/>
    <w:link w:val="2"/>
    <w:qFormat/>
    <w:locked/>
    <w:uiPriority w:val="0"/>
    <w:rPr>
      <w:rFonts w:ascii="宋体" w:hAnsi="Calibri"/>
      <w:sz w:val="34"/>
      <w:szCs w:val="22"/>
    </w:rPr>
  </w:style>
  <w:style w:type="character" w:customStyle="1" w:styleId="58">
    <w:name w:val="正文文本缩进 Char"/>
    <w:basedOn w:val="24"/>
    <w:link w:val="11"/>
    <w:qFormat/>
    <w:uiPriority w:val="0"/>
    <w:rPr>
      <w:rFonts w:ascii="宋体" w:hAnsi="宋体" w:cs="宋体"/>
      <w:sz w:val="22"/>
      <w:szCs w:val="22"/>
      <w:lang w:eastAsia="en-US"/>
    </w:rPr>
  </w:style>
  <w:style w:type="paragraph" w:customStyle="1" w:styleId="59">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4"/>
    <w:link w:val="6"/>
    <w:qFormat/>
    <w:uiPriority w:val="99"/>
    <w:rPr>
      <w:rFonts w:ascii="Arial" w:hAnsi="Arial" w:eastAsia="黑体"/>
      <w:b/>
      <w:bCs/>
      <w:kern w:val="2"/>
      <w:sz w:val="28"/>
      <w:szCs w:val="28"/>
    </w:rPr>
  </w:style>
  <w:style w:type="character" w:customStyle="1" w:styleId="61">
    <w:name w:val="文档结构图 Char"/>
    <w:basedOn w:val="24"/>
    <w:link w:val="8"/>
    <w:qFormat/>
    <w:uiPriority w:val="99"/>
    <w:rPr>
      <w:rFonts w:ascii="宋体"/>
      <w:kern w:val="2"/>
      <w:sz w:val="18"/>
      <w:szCs w:val="18"/>
    </w:rPr>
  </w:style>
  <w:style w:type="character" w:customStyle="1" w:styleId="62">
    <w:name w:val="副标题 Char"/>
    <w:basedOn w:val="24"/>
    <w:link w:val="20"/>
    <w:qFormat/>
    <w:uiPriority w:val="99"/>
    <w:rPr>
      <w:rFonts w:ascii="Cambria" w:hAnsi="Cambria"/>
      <w:b/>
      <w:bCs/>
      <w:kern w:val="28"/>
      <w:sz w:val="32"/>
      <w:szCs w:val="32"/>
    </w:rPr>
  </w:style>
  <w:style w:type="character" w:customStyle="1" w:styleId="63">
    <w:name w:val="标题 Char"/>
    <w:basedOn w:val="24"/>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4"/>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2">
    <w:name w:val="font51"/>
    <w:basedOn w:val="24"/>
    <w:qFormat/>
    <w:uiPriority w:val="0"/>
    <w:rPr>
      <w:rFonts w:hint="default" w:ascii="Dialog" w:hAnsi="Dialog" w:eastAsia="Dialog" w:cs="Dialog"/>
      <w:color w:val="000000"/>
      <w:sz w:val="20"/>
      <w:szCs w:val="20"/>
      <w:u w:val="none"/>
    </w:rPr>
  </w:style>
  <w:style w:type="character" w:customStyle="1" w:styleId="73">
    <w:name w:val="font61"/>
    <w:basedOn w:val="24"/>
    <w:qFormat/>
    <w:uiPriority w:val="0"/>
    <w:rPr>
      <w:rFonts w:hint="eastAsia" w:ascii="宋体" w:hAnsi="宋体" w:eastAsia="宋体" w:cs="宋体"/>
      <w:color w:val="000000"/>
      <w:sz w:val="20"/>
      <w:szCs w:val="20"/>
      <w:u w:val="none"/>
    </w:rPr>
  </w:style>
  <w:style w:type="character" w:customStyle="1" w:styleId="74">
    <w:name w:val="font81"/>
    <w:basedOn w:val="24"/>
    <w:qFormat/>
    <w:uiPriority w:val="0"/>
    <w:rPr>
      <w:rFonts w:hint="eastAsia" w:ascii="宋体" w:hAnsi="宋体" w:eastAsia="宋体" w:cs="宋体"/>
      <w:color w:val="auto"/>
      <w:sz w:val="22"/>
      <w:szCs w:val="22"/>
      <w:u w:val="none"/>
    </w:rPr>
  </w:style>
  <w:style w:type="character" w:customStyle="1" w:styleId="75">
    <w:name w:val="font11"/>
    <w:basedOn w:val="24"/>
    <w:uiPriority w:val="0"/>
    <w:rPr>
      <w:rFonts w:hint="eastAsia" w:ascii="宋体" w:hAnsi="宋体" w:eastAsia="宋体" w:cs="宋体"/>
      <w:color w:val="000000"/>
      <w:sz w:val="22"/>
      <w:szCs w:val="22"/>
      <w:u w:val="none"/>
    </w:rPr>
  </w:style>
  <w:style w:type="character" w:customStyle="1" w:styleId="76">
    <w:name w:val="font121"/>
    <w:basedOn w:val="24"/>
    <w:qFormat/>
    <w:uiPriority w:val="0"/>
    <w:rPr>
      <w:rFonts w:hint="eastAsia" w:ascii="宋体" w:hAnsi="宋体" w:eastAsia="宋体" w:cs="宋体"/>
      <w:b/>
      <w:color w:val="000000"/>
      <w:sz w:val="22"/>
      <w:szCs w:val="22"/>
      <w:u w:val="none"/>
    </w:rPr>
  </w:style>
  <w:style w:type="character" w:customStyle="1" w:styleId="77">
    <w:name w:val="font101"/>
    <w:basedOn w:val="24"/>
    <w:qFormat/>
    <w:uiPriority w:val="0"/>
    <w:rPr>
      <w:rFonts w:hint="eastAsia" w:ascii="宋体" w:hAnsi="宋体" w:eastAsia="宋体" w:cs="宋体"/>
      <w:color w:val="000000"/>
      <w:sz w:val="22"/>
      <w:szCs w:val="22"/>
      <w:u w:val="none"/>
    </w:rPr>
  </w:style>
  <w:style w:type="character" w:customStyle="1" w:styleId="78">
    <w:name w:val="font111"/>
    <w:basedOn w:val="24"/>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57</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2022-08-11T07:13:33Z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