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电气团队消控室新增视频监控LED显示大屏发包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FHC-PTCG20220816002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福建福海创石油化工有限公司电气团队消控室新增视频监控LED显示大屏发包比选公告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福建福海创石油化工有限公司电气团队消控室新增视频监控LED显示大屏</w:t>
      </w:r>
      <w:r>
        <w:rPr>
          <w:rFonts w:hint="eastAsia"/>
          <w:color w:val="000000" w:themeColor="text1"/>
          <w:u w:val="single"/>
          <w:lang w:val="en-US" w:eastAsia="zh-CN"/>
        </w:rPr>
        <w:t>采购</w:t>
      </w:r>
      <w:r>
        <w:rPr>
          <w:rFonts w:hint="eastAsia"/>
          <w:color w:val="000000" w:themeColor="text1"/>
          <w:u w:val="single"/>
          <w:lang w:eastAsia="zh-CN"/>
        </w:rPr>
        <w:t>（项目编号：FHC-PTCG20220816002）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项目名称：福海创电气团队消控室新增视频监控LED显示大屏采购发包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比选项目简要说明：消防综合楼消防控制室内安装一套壁挂式LED拼接屏，通过备用光纤，将厂区的视频监控管理平台投到该拼接屏，实现远程观看调度指挥功能。</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工期要求</w:t>
      </w:r>
      <w:r>
        <w:rPr>
          <w:rFonts w:hint="eastAsia"/>
          <w:sz w:val="24"/>
          <w:szCs w:val="24"/>
          <w:lang w:eastAsia="zh-CN"/>
        </w:rPr>
        <w:t>：</w:t>
      </w:r>
      <w:r>
        <w:rPr>
          <w:rFonts w:hint="eastAsia"/>
          <w:sz w:val="24"/>
          <w:szCs w:val="24"/>
          <w:lang w:val="en-US" w:eastAsia="zh-CN"/>
        </w:rPr>
        <w:t>合同生效之日起30天内完成</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4.预算控制价：63000元（不含税）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参选人需持有电子与智能化承包二级，LED拼接屏安装、调试经验。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   月   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val="en-US" w:eastAsia="zh-CN"/>
        </w:rPr>
        <w:t>1000元。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福海创电气团队消控室新增视频监控LED显示大屏采购发包项目</w:t>
      </w:r>
      <w:r>
        <w:rPr>
          <w:rFonts w:hint="eastAsia"/>
          <w:color w:val="000000" w:themeColor="text1"/>
          <w:lang w:eastAsia="zh-CN"/>
        </w:rPr>
        <w:t>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技术联系人：罗琦 电话：13599900778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luoq@fhcpec.com.cn</w:t>
      </w:r>
      <w:r>
        <w:rPr>
          <w:rFonts w:hint="eastAsia"/>
          <w:lang w:val="en-US" w:eastAsia="zh-CN"/>
        </w:rPr>
        <w:fldChar w:fldCharType="end"/>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pPr>
      <w:r>
        <w:rPr>
          <w:rFonts w:hint="eastAsia"/>
          <w:sz w:val="24"/>
          <w:szCs w:val="24"/>
          <w:lang w:eastAsia="zh-CN"/>
        </w:rPr>
        <w:t xml:space="preserve">                                          </w:t>
      </w: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福海创电气团队消控室新增视频监控LED显示大屏采购发包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w:t>
      </w:r>
      <w:r>
        <w:rPr>
          <w:rFonts w:hint="eastAsia"/>
          <w:lang w:val="en-US" w:eastAsia="zh-CN"/>
        </w:rPr>
        <w:t>总价</w:t>
      </w:r>
    </w:p>
    <w:p>
      <w:pPr>
        <w:pStyle w:val="20"/>
        <w:spacing w:line="360" w:lineRule="auto"/>
        <w:ind w:right="121"/>
        <w:jc w:val="both"/>
        <w:rPr>
          <w:rFonts w:hint="default"/>
          <w:lang w:val="en-US" w:eastAsia="zh-CN"/>
        </w:rPr>
      </w:pPr>
      <w:r>
        <w:rPr>
          <w:rFonts w:hint="eastAsia"/>
          <w:lang w:eastAsia="zh-CN"/>
        </w:rPr>
        <w:t xml:space="preserve">    4.项目工作范围及技术要求：见</w:t>
      </w:r>
      <w:r>
        <w:rPr>
          <w:rFonts w:hint="eastAsia"/>
          <w:lang w:val="en-US" w:eastAsia="zh-CN"/>
        </w:rPr>
        <w:t>附件发包要求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技术联系人：罗琦 电话：13599900778 邮箱：luoq@fhcpec.com.cn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2.参选人没有失信黑名单记录（以最高院失信被执行人系统发布信息为准）。</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4.参选人需持有电子与智能化承包二级，LED拼接屏安装、调试经验。</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val="en-US" w:eastAsia="zh-CN"/>
        </w:rPr>
        <w:t>1000元。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福海创电气团队消控室新增视频监控LED显示大屏采购发包项目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2</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0" w:firstLineChars="200"/>
        <w:jc w:val="both"/>
        <w:rPr>
          <w:lang w:eastAsia="zh-CN"/>
        </w:rPr>
      </w:pPr>
      <w:r>
        <w:rPr>
          <w:rFonts w:hint="eastAsia"/>
          <w:lang w:eastAsia="zh-CN"/>
        </w:rPr>
        <w:t>本项目设置最高控制价</w:t>
      </w:r>
      <w:r>
        <w:rPr>
          <w:rFonts w:hint="eastAsia"/>
          <w:lang w:val="en-US" w:eastAsia="zh-CN"/>
        </w:rPr>
        <w:t>63000</w:t>
      </w:r>
      <w:r>
        <w:rPr>
          <w:rFonts w:hint="eastAsia"/>
          <w:lang w:eastAsia="zh-CN"/>
        </w:rPr>
        <w:t>元整（</w:t>
      </w:r>
      <w:r>
        <w:rPr>
          <w:rFonts w:hint="eastAsia"/>
          <w:lang w:val="en-US" w:eastAsia="zh-CN"/>
        </w:rPr>
        <w:t>不含税</w:t>
      </w:r>
      <w:r>
        <w:rPr>
          <w:rFonts w:hint="eastAsia"/>
          <w:lang w:eastAsia="zh-CN"/>
        </w:rPr>
        <w:t>）</w:t>
      </w:r>
      <w:r>
        <w:rPr>
          <w:rFonts w:hint="eastAsia"/>
          <w:lang w:eastAsia="zh-CN"/>
        </w:rPr>
        <w:t>。参选人所填报的报价高于最高限价的，其参选比选小组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408" w:tblpY="29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127"/>
        <w:gridCol w:w="1701"/>
        <w:gridCol w:w="141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795"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795"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sz w:val="24"/>
              </w:rPr>
            </w:pPr>
            <w:r>
              <w:rPr>
                <w:rFonts w:hint="eastAsia"/>
                <w:sz w:val="24"/>
              </w:rPr>
              <w:t>合同金额合计</w:t>
            </w:r>
          </w:p>
        </w:tc>
        <w:tc>
          <w:tcPr>
            <w:tcW w:w="7040"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90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400" w:lineRule="exact"/>
        <w:jc w:val="center"/>
        <w:rPr>
          <w:rFonts w:ascii="宋体" w:hAnsi="宋体"/>
          <w:b/>
          <w:sz w:val="36"/>
          <w:szCs w:val="36"/>
        </w:rPr>
      </w:pPr>
      <w:bookmarkStart w:id="1" w:name="OLE_LINK2"/>
      <w:r>
        <w:rPr>
          <w:rFonts w:hint="eastAsia" w:ascii="宋体" w:hAnsi="宋体"/>
          <w:b/>
          <w:sz w:val="36"/>
          <w:szCs w:val="36"/>
        </w:rPr>
        <w:t>消控室新增视频监控LED显示大屏</w:t>
      </w:r>
    </w:p>
    <w:p>
      <w:pPr>
        <w:spacing w:line="400" w:lineRule="exact"/>
        <w:jc w:val="center"/>
        <w:rPr>
          <w:rFonts w:ascii="宋体" w:hAnsi="宋体"/>
          <w:b/>
          <w:sz w:val="36"/>
          <w:szCs w:val="36"/>
        </w:rPr>
      </w:pPr>
      <w:r>
        <w:rPr>
          <w:rFonts w:hint="eastAsia" w:ascii="宋体" w:hAnsi="宋体"/>
          <w:b/>
          <w:sz w:val="36"/>
          <w:szCs w:val="36"/>
        </w:rPr>
        <w:t>工程</w:t>
      </w:r>
      <w:bookmarkEnd w:id="1"/>
      <w:r>
        <w:rPr>
          <w:rFonts w:hint="eastAsia" w:ascii="宋体" w:hAnsi="宋体"/>
          <w:b/>
          <w:sz w:val="36"/>
          <w:szCs w:val="36"/>
        </w:rPr>
        <w:t>发包说明</w:t>
      </w:r>
    </w:p>
    <w:p>
      <w:pPr>
        <w:spacing w:line="400" w:lineRule="exact"/>
        <w:jc w:val="center"/>
        <w:rPr>
          <w:rFonts w:hint="eastAsia" w:ascii="宋体" w:hAnsi="宋体"/>
          <w:b/>
          <w:sz w:val="36"/>
          <w:szCs w:val="36"/>
        </w:rPr>
      </w:pPr>
    </w:p>
    <w:p>
      <w:pPr>
        <w:numPr>
          <w:ilvl w:val="0"/>
          <w:numId w:val="8"/>
        </w:numPr>
        <w:spacing w:line="420" w:lineRule="exact"/>
        <w:rPr>
          <w:rFonts w:hint="eastAsia" w:ascii="宋体" w:hAnsi="宋体"/>
          <w:b/>
          <w:bCs/>
          <w:sz w:val="28"/>
          <w:szCs w:val="28"/>
        </w:rPr>
      </w:pPr>
      <w:r>
        <w:rPr>
          <w:rFonts w:hint="eastAsia" w:ascii="宋体" w:hAnsi="宋体"/>
          <w:b/>
          <w:bCs/>
          <w:sz w:val="28"/>
          <w:szCs w:val="28"/>
        </w:rPr>
        <w:t>工程说明</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根据我司Q</w:t>
      </w:r>
      <w:r>
        <w:rPr>
          <w:rFonts w:ascii="宋体" w:hAnsi="宋体"/>
          <w:bCs/>
          <w:sz w:val="24"/>
        </w:rPr>
        <w:t>HSE部关于消防综合楼消防控制室</w:t>
      </w:r>
      <w:r>
        <w:rPr>
          <w:rFonts w:hint="eastAsia" w:ascii="宋体" w:hAnsi="宋体"/>
          <w:bCs/>
          <w:sz w:val="24"/>
        </w:rPr>
        <w:t>“五定表”整改要求，需要将我司的消控室功能进行相应完善。消防系统整改已经提起集采逐步整改完善中，现还需要安装一套L</w:t>
      </w:r>
      <w:r>
        <w:rPr>
          <w:rFonts w:ascii="宋体" w:hAnsi="宋体"/>
          <w:bCs/>
          <w:sz w:val="24"/>
        </w:rPr>
        <w:t>ED拼接屏</w:t>
      </w:r>
      <w:r>
        <w:rPr>
          <w:rFonts w:hint="eastAsia" w:ascii="宋体" w:hAnsi="宋体"/>
          <w:bCs/>
          <w:sz w:val="24"/>
        </w:rPr>
        <w:t>，</w:t>
      </w:r>
      <w:r>
        <w:rPr>
          <w:rFonts w:ascii="宋体" w:hAnsi="宋体"/>
          <w:bCs/>
          <w:sz w:val="24"/>
        </w:rPr>
        <w:t>用于</w:t>
      </w:r>
      <w:r>
        <w:rPr>
          <w:rFonts w:hint="eastAsia" w:ascii="宋体" w:hAnsi="宋体"/>
          <w:bCs/>
          <w:sz w:val="24"/>
        </w:rPr>
        <w:t>视频监控系统显示。</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工程名称：消控室新增视频监控LED显示大屏工程</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工程地点：腾龙芳烃（漳州）有限公司</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 xml:space="preserve">工程期限： </w:t>
      </w:r>
      <w:r>
        <w:rPr>
          <w:rFonts w:ascii="宋体" w:hAnsi="宋体"/>
          <w:bCs/>
          <w:sz w:val="24"/>
        </w:rPr>
        <w:t>30</w:t>
      </w:r>
      <w:r>
        <w:rPr>
          <w:rFonts w:hint="eastAsia" w:ascii="宋体" w:hAnsi="宋体"/>
          <w:bCs/>
          <w:sz w:val="24"/>
        </w:rPr>
        <w:t>个日历天</w:t>
      </w:r>
    </w:p>
    <w:p>
      <w:pPr>
        <w:numPr>
          <w:ilvl w:val="0"/>
          <w:numId w:val="8"/>
        </w:numPr>
        <w:spacing w:before="160" w:beforeLines="50" w:line="420" w:lineRule="exact"/>
        <w:rPr>
          <w:rFonts w:hint="eastAsia" w:ascii="宋体" w:hAnsi="宋体"/>
          <w:bCs/>
          <w:sz w:val="24"/>
        </w:rPr>
      </w:pPr>
      <w:r>
        <w:rPr>
          <w:rFonts w:hint="eastAsia" w:ascii="宋体" w:hAnsi="宋体"/>
          <w:b/>
          <w:bCs/>
          <w:sz w:val="28"/>
          <w:szCs w:val="28"/>
        </w:rPr>
        <w:t>工程内容：</w:t>
      </w:r>
    </w:p>
    <w:p>
      <w:pPr>
        <w:widowControl/>
        <w:shd w:val="clear" w:color="auto" w:fill="FFFFFF"/>
        <w:spacing w:line="460" w:lineRule="exact"/>
        <w:ind w:firstLine="480" w:firstLineChars="200"/>
        <w:rPr>
          <w:rFonts w:ascii="宋体" w:hAnsi="宋体"/>
          <w:bCs/>
          <w:sz w:val="24"/>
        </w:rPr>
      </w:pPr>
      <w:r>
        <w:rPr>
          <w:rFonts w:ascii="宋体" w:hAnsi="宋体"/>
          <w:bCs/>
          <w:sz w:val="24"/>
        </w:rPr>
        <w:t>消防综合楼消防控制室</w:t>
      </w:r>
      <w:r>
        <w:rPr>
          <w:rFonts w:hint="eastAsia" w:ascii="宋体" w:hAnsi="宋体"/>
          <w:bCs/>
          <w:sz w:val="24"/>
        </w:rPr>
        <w:t>内安装一套壁挂式LED拼接屏，通过备用光纤，将厂区的视频监控管理平台投到该拼接屏，实现远程观看调度指挥功能。</w:t>
      </w:r>
    </w:p>
    <w:p>
      <w:pPr>
        <w:numPr>
          <w:ilvl w:val="0"/>
          <w:numId w:val="8"/>
        </w:numPr>
        <w:spacing w:before="160" w:beforeLines="50" w:line="420" w:lineRule="exact"/>
        <w:rPr>
          <w:rFonts w:ascii="宋体" w:hAnsi="宋体"/>
          <w:b/>
          <w:bCs/>
          <w:sz w:val="28"/>
        </w:rPr>
      </w:pPr>
      <w:r>
        <w:rPr>
          <w:rFonts w:hint="eastAsia" w:ascii="宋体" w:hAnsi="宋体"/>
          <w:b/>
          <w:bCs/>
          <w:sz w:val="28"/>
        </w:rPr>
        <w:t>工程量表</w:t>
      </w:r>
    </w:p>
    <w:p>
      <w:pPr>
        <w:spacing w:line="420" w:lineRule="exact"/>
        <w:ind w:left="720"/>
        <w:rPr>
          <w:rFonts w:hint="eastAsia" w:ascii="宋体" w:hAnsi="宋体"/>
          <w:b/>
          <w:bCs/>
          <w:sz w:val="28"/>
        </w:rPr>
      </w:pPr>
    </w:p>
    <w:tbl>
      <w:tblPr>
        <w:tblStyle w:val="46"/>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
        <w:gridCol w:w="935"/>
        <w:gridCol w:w="214"/>
        <w:gridCol w:w="1593"/>
        <w:gridCol w:w="88"/>
        <w:gridCol w:w="3468"/>
        <w:gridCol w:w="76"/>
        <w:gridCol w:w="991"/>
        <w:gridCol w:w="52"/>
        <w:gridCol w:w="1214"/>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529" w:hRule="atLeast"/>
          <w:tblHeader/>
          <w:jc w:val="center"/>
        </w:trPr>
        <w:tc>
          <w:tcPr>
            <w:tcW w:w="8681" w:type="dxa"/>
            <w:gridSpan w:val="10"/>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LED</w:t>
            </w:r>
            <w:r>
              <w:rPr>
                <w:rFonts w:ascii="宋体" w:hAnsi="宋体"/>
                <w:bCs/>
                <w:i w:val="0"/>
                <w:iCs w:val="0"/>
              </w:rPr>
              <w:t>液晶拼接</w:t>
            </w:r>
            <w:r>
              <w:rPr>
                <w:rFonts w:hint="eastAsia" w:ascii="宋体" w:hAnsi="宋体"/>
                <w:bCs/>
                <w:i w:val="0"/>
                <w:iCs w:val="0"/>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529" w:hRule="atLeast"/>
          <w:tblHeader/>
          <w:jc w:val="center"/>
        </w:trPr>
        <w:tc>
          <w:tcPr>
            <w:tcW w:w="816"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序号</w:t>
            </w:r>
          </w:p>
        </w:tc>
        <w:tc>
          <w:tcPr>
            <w:tcW w:w="1910"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名称</w:t>
            </w:r>
          </w:p>
        </w:tc>
        <w:tc>
          <w:tcPr>
            <w:tcW w:w="3837" w:type="dxa"/>
            <w:gridSpan w:val="3"/>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型号/规格</w:t>
            </w:r>
          </w:p>
        </w:tc>
        <w:tc>
          <w:tcPr>
            <w:tcW w:w="85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数量</w:t>
            </w:r>
          </w:p>
        </w:tc>
        <w:tc>
          <w:tcPr>
            <w:tcW w:w="1267"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529" w:hRule="atLeast"/>
          <w:tblHeader/>
          <w:jc w:val="center"/>
        </w:trPr>
        <w:tc>
          <w:tcPr>
            <w:tcW w:w="816" w:type="dxa"/>
            <w:gridSpan w:val="2"/>
            <w:noWrap w:val="0"/>
            <w:vAlign w:val="center"/>
          </w:tcPr>
          <w:p>
            <w:pPr>
              <w:pStyle w:val="21"/>
              <w:spacing w:line="500" w:lineRule="exact"/>
              <w:ind w:left="0"/>
              <w:jc w:val="center"/>
              <w:rPr>
                <w:rFonts w:hint="eastAsia" w:ascii="宋体" w:hAnsi="宋体"/>
                <w:bCs/>
                <w:i w:val="0"/>
                <w:iCs w:val="0"/>
              </w:rPr>
            </w:pPr>
            <w:r>
              <w:rPr>
                <w:rFonts w:ascii="宋体" w:hAnsi="宋体"/>
                <w:bCs/>
                <w:i w:val="0"/>
                <w:iCs w:val="0"/>
              </w:rPr>
              <w:t>1</w:t>
            </w:r>
          </w:p>
        </w:tc>
        <w:tc>
          <w:tcPr>
            <w:tcW w:w="1910"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液晶拼接单元</w:t>
            </w:r>
          </w:p>
        </w:tc>
        <w:tc>
          <w:tcPr>
            <w:tcW w:w="3837" w:type="dxa"/>
            <w:gridSpan w:val="3"/>
            <w:noWrap w:val="0"/>
            <w:vAlign w:val="center"/>
          </w:tcPr>
          <w:p>
            <w:pPr>
              <w:pStyle w:val="21"/>
              <w:ind w:left="0"/>
              <w:jc w:val="center"/>
              <w:rPr>
                <w:rFonts w:ascii="宋体" w:hAnsi="宋体"/>
                <w:bCs/>
                <w:i w:val="0"/>
                <w:iCs w:val="0"/>
              </w:rPr>
            </w:pPr>
            <w:r>
              <w:rPr>
                <w:rFonts w:ascii="宋体" w:hAnsi="宋体"/>
                <w:bCs/>
                <w:i w:val="0"/>
                <w:iCs w:val="0"/>
              </w:rPr>
              <w:t>DHL550UDM-EG</w:t>
            </w:r>
          </w:p>
          <w:p>
            <w:pPr>
              <w:pStyle w:val="21"/>
              <w:ind w:left="0"/>
              <w:jc w:val="center"/>
              <w:rPr>
                <w:rFonts w:hint="eastAsia" w:ascii="宋体" w:hAnsi="宋体"/>
                <w:bCs/>
                <w:i w:val="0"/>
                <w:iCs w:val="0"/>
              </w:rPr>
            </w:pPr>
            <w:r>
              <w:rPr>
                <w:rFonts w:hint="eastAsia" w:ascii="宋体" w:hAnsi="宋体"/>
                <w:bCs/>
                <w:i w:val="0"/>
                <w:iCs w:val="0"/>
              </w:rPr>
              <w:t>1、产品尺寸：55英寸</w:t>
            </w:r>
          </w:p>
          <w:p>
            <w:pPr>
              <w:pStyle w:val="21"/>
              <w:ind w:left="0"/>
              <w:jc w:val="center"/>
              <w:rPr>
                <w:rFonts w:hint="eastAsia" w:ascii="宋体" w:hAnsi="宋体"/>
                <w:bCs/>
                <w:i w:val="0"/>
                <w:iCs w:val="0"/>
              </w:rPr>
            </w:pPr>
            <w:r>
              <w:rPr>
                <w:rFonts w:hint="eastAsia" w:ascii="宋体" w:hAnsi="宋体"/>
                <w:bCs/>
                <w:i w:val="0"/>
                <w:iCs w:val="0"/>
              </w:rPr>
              <w:t>2、双边拼缝：1.8mm</w:t>
            </w:r>
          </w:p>
          <w:p>
            <w:pPr>
              <w:pStyle w:val="21"/>
              <w:ind w:left="0"/>
              <w:jc w:val="center"/>
              <w:rPr>
                <w:rFonts w:hint="eastAsia" w:ascii="宋体" w:hAnsi="宋体"/>
                <w:bCs/>
                <w:i w:val="0"/>
                <w:iCs w:val="0"/>
              </w:rPr>
            </w:pPr>
            <w:r>
              <w:rPr>
                <w:rFonts w:hint="eastAsia" w:ascii="宋体" w:hAnsi="宋体"/>
                <w:bCs/>
                <w:i w:val="0"/>
                <w:iCs w:val="0"/>
              </w:rPr>
              <w:t>3、分辨率：1920*1080</w:t>
            </w:r>
          </w:p>
          <w:p>
            <w:pPr>
              <w:pStyle w:val="21"/>
              <w:ind w:left="0"/>
              <w:jc w:val="center"/>
              <w:rPr>
                <w:rFonts w:hint="eastAsia" w:ascii="宋体" w:hAnsi="宋体"/>
                <w:bCs/>
                <w:i w:val="0"/>
                <w:iCs w:val="0"/>
              </w:rPr>
            </w:pPr>
            <w:r>
              <w:rPr>
                <w:rFonts w:hint="eastAsia" w:ascii="宋体" w:hAnsi="宋体"/>
                <w:bCs/>
                <w:i w:val="0"/>
                <w:iCs w:val="0"/>
              </w:rPr>
              <w:t>4、亮度：≥</w:t>
            </w:r>
            <w:r>
              <w:rPr>
                <w:rFonts w:ascii="宋体" w:hAnsi="宋体"/>
                <w:bCs/>
                <w:i w:val="0"/>
                <w:iCs w:val="0"/>
              </w:rPr>
              <w:t>5</w:t>
            </w:r>
            <w:r>
              <w:rPr>
                <w:rFonts w:hint="eastAsia" w:ascii="宋体" w:hAnsi="宋体"/>
                <w:bCs/>
                <w:i w:val="0"/>
                <w:iCs w:val="0"/>
              </w:rPr>
              <w:t>00cd/m2</w:t>
            </w:r>
          </w:p>
          <w:p>
            <w:pPr>
              <w:pStyle w:val="21"/>
              <w:ind w:left="0"/>
              <w:jc w:val="center"/>
              <w:rPr>
                <w:rFonts w:hint="eastAsia" w:ascii="宋体" w:hAnsi="宋体"/>
                <w:bCs/>
                <w:i w:val="0"/>
                <w:iCs w:val="0"/>
              </w:rPr>
            </w:pPr>
            <w:r>
              <w:rPr>
                <w:rFonts w:hint="eastAsia" w:ascii="宋体" w:hAnsi="宋体"/>
                <w:bCs/>
                <w:i w:val="0"/>
                <w:iCs w:val="0"/>
              </w:rPr>
              <w:t>5、输入接口：VGA(D-Sub)*1、CVBS(BNC)*2、DVI-D*1、HDMI*1、RS232(RJ45)*1、USB（升级和多媒体）*1</w:t>
            </w:r>
          </w:p>
          <w:p>
            <w:pPr>
              <w:pStyle w:val="21"/>
              <w:ind w:left="0"/>
              <w:jc w:val="center"/>
              <w:rPr>
                <w:rFonts w:hint="eastAsia" w:ascii="宋体" w:hAnsi="宋体"/>
                <w:bCs/>
                <w:i w:val="0"/>
                <w:iCs w:val="0"/>
              </w:rPr>
            </w:pPr>
            <w:r>
              <w:rPr>
                <w:rFonts w:hint="eastAsia" w:ascii="宋体" w:hAnsi="宋体"/>
                <w:bCs/>
                <w:i w:val="0"/>
                <w:iCs w:val="0"/>
              </w:rPr>
              <w:t>6、输出接口：CVBS(BNC)*2、RS232(</w:t>
            </w:r>
            <w:bookmarkStart w:id="30" w:name="_GoBack"/>
            <w:bookmarkEnd w:id="30"/>
            <w:r>
              <w:rPr>
                <w:rFonts w:hint="eastAsia" w:ascii="宋体" w:hAnsi="宋体"/>
                <w:bCs/>
                <w:i w:val="0"/>
                <w:iCs w:val="0"/>
              </w:rPr>
              <w:t>RJ45)*1</w:t>
            </w:r>
          </w:p>
        </w:tc>
        <w:tc>
          <w:tcPr>
            <w:tcW w:w="851" w:type="dxa"/>
            <w:noWrap w:val="0"/>
            <w:vAlign w:val="center"/>
          </w:tcPr>
          <w:p>
            <w:pPr>
              <w:pStyle w:val="21"/>
              <w:ind w:left="0"/>
              <w:jc w:val="center"/>
              <w:rPr>
                <w:rFonts w:hint="eastAsia" w:ascii="宋体" w:hAnsi="宋体"/>
                <w:bCs/>
                <w:i w:val="0"/>
                <w:iCs w:val="0"/>
              </w:rPr>
            </w:pPr>
            <w:r>
              <w:rPr>
                <w:rFonts w:ascii="宋体" w:hAnsi="宋体"/>
                <w:bCs/>
                <w:i w:val="0"/>
                <w:iCs w:val="0"/>
              </w:rPr>
              <w:t>4</w:t>
            </w:r>
            <w:r>
              <w:rPr>
                <w:rFonts w:hint="eastAsia" w:ascii="宋体" w:hAnsi="宋体"/>
                <w:bCs/>
                <w:i w:val="0"/>
                <w:iCs w:val="0"/>
              </w:rPr>
              <w:t>台</w:t>
            </w:r>
          </w:p>
        </w:tc>
        <w:tc>
          <w:tcPr>
            <w:tcW w:w="1267"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907" w:hRule="atLeast"/>
          <w:tblHeader/>
          <w:jc w:val="center"/>
        </w:trPr>
        <w:tc>
          <w:tcPr>
            <w:tcW w:w="816" w:type="dxa"/>
            <w:gridSpan w:val="2"/>
            <w:noWrap w:val="0"/>
            <w:vAlign w:val="center"/>
          </w:tcPr>
          <w:p>
            <w:pPr>
              <w:pStyle w:val="21"/>
              <w:spacing w:line="500" w:lineRule="exact"/>
              <w:ind w:left="0"/>
              <w:jc w:val="center"/>
              <w:rPr>
                <w:rFonts w:hint="eastAsia" w:ascii="宋体" w:hAnsi="宋体"/>
                <w:bCs/>
                <w:i w:val="0"/>
                <w:iCs w:val="0"/>
              </w:rPr>
            </w:pPr>
            <w:r>
              <w:rPr>
                <w:rFonts w:ascii="宋体" w:hAnsi="宋体"/>
                <w:bCs/>
                <w:i w:val="0"/>
                <w:iCs w:val="0"/>
              </w:rPr>
              <w:t>2</w:t>
            </w:r>
          </w:p>
        </w:tc>
        <w:tc>
          <w:tcPr>
            <w:tcW w:w="1910"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前维护支架</w:t>
            </w:r>
          </w:p>
        </w:tc>
        <w:tc>
          <w:tcPr>
            <w:tcW w:w="3837" w:type="dxa"/>
            <w:gridSpan w:val="3"/>
            <w:noWrap w:val="0"/>
            <w:vAlign w:val="center"/>
          </w:tcPr>
          <w:p>
            <w:pPr>
              <w:pStyle w:val="21"/>
              <w:ind w:firstLine="1155" w:firstLineChars="550"/>
              <w:jc w:val="center"/>
              <w:rPr>
                <w:rFonts w:hint="eastAsia" w:ascii="宋体" w:hAnsi="宋体"/>
                <w:bCs/>
                <w:i w:val="0"/>
                <w:iCs w:val="0"/>
              </w:rPr>
            </w:pPr>
            <w:r>
              <w:rPr>
                <w:rFonts w:hint="eastAsia" w:ascii="宋体" w:hAnsi="宋体"/>
                <w:bCs/>
                <w:i w:val="0"/>
                <w:iCs w:val="0"/>
              </w:rPr>
              <w:t>定制</w:t>
            </w:r>
          </w:p>
        </w:tc>
        <w:tc>
          <w:tcPr>
            <w:tcW w:w="851" w:type="dxa"/>
            <w:noWrap w:val="0"/>
            <w:vAlign w:val="center"/>
          </w:tcPr>
          <w:p>
            <w:pPr>
              <w:pStyle w:val="21"/>
              <w:ind w:left="0"/>
              <w:jc w:val="center"/>
              <w:rPr>
                <w:rFonts w:hint="eastAsia" w:ascii="宋体" w:hAnsi="宋体"/>
                <w:bCs/>
                <w:i w:val="0"/>
                <w:iCs w:val="0"/>
              </w:rPr>
            </w:pPr>
            <w:r>
              <w:rPr>
                <w:rFonts w:hint="eastAsia" w:ascii="宋体" w:hAnsi="宋体"/>
                <w:bCs/>
                <w:i w:val="0"/>
                <w:iCs w:val="0"/>
              </w:rPr>
              <w:t>4个</w:t>
            </w:r>
          </w:p>
        </w:tc>
        <w:tc>
          <w:tcPr>
            <w:tcW w:w="1267" w:type="dxa"/>
            <w:gridSpan w:val="2"/>
            <w:noWrap w:val="0"/>
            <w:vAlign w:val="center"/>
          </w:tcPr>
          <w:p>
            <w:pPr>
              <w:pStyle w:val="21"/>
              <w:ind w:left="0" w:firstLine="210" w:firstLineChars="100"/>
              <w:jc w:val="center"/>
              <w:rPr>
                <w:rFonts w:hint="eastAsia" w:ascii="宋体" w:hAnsi="宋体"/>
                <w:bCs/>
                <w:i w:val="0"/>
                <w:iCs w:val="0"/>
              </w:rPr>
            </w:pPr>
            <w:r>
              <w:rPr>
                <w:rFonts w:hint="eastAsia" w:ascii="宋体" w:hAnsi="宋体"/>
                <w:bCs/>
                <w:i w:val="0"/>
                <w:iCs w:val="0"/>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529" w:hRule="atLeast"/>
          <w:tblHeader/>
          <w:jc w:val="center"/>
        </w:trPr>
        <w:tc>
          <w:tcPr>
            <w:tcW w:w="816" w:type="dxa"/>
            <w:gridSpan w:val="2"/>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4</w:t>
            </w:r>
          </w:p>
        </w:tc>
        <w:tc>
          <w:tcPr>
            <w:tcW w:w="1910"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包边</w:t>
            </w:r>
          </w:p>
        </w:tc>
        <w:tc>
          <w:tcPr>
            <w:tcW w:w="3837" w:type="dxa"/>
            <w:gridSpan w:val="3"/>
            <w:noWrap w:val="0"/>
            <w:vAlign w:val="center"/>
          </w:tcPr>
          <w:p>
            <w:pPr>
              <w:pStyle w:val="21"/>
              <w:ind w:left="0"/>
              <w:jc w:val="center"/>
              <w:rPr>
                <w:rFonts w:hint="eastAsia" w:ascii="宋体" w:hAnsi="宋体"/>
                <w:bCs/>
                <w:i w:val="0"/>
                <w:iCs w:val="0"/>
              </w:rPr>
            </w:pPr>
            <w:r>
              <w:rPr>
                <w:rFonts w:hint="eastAsia" w:ascii="宋体" w:hAnsi="宋体"/>
                <w:bCs/>
                <w:i w:val="0"/>
                <w:iCs w:val="0"/>
              </w:rPr>
              <w:t>定制</w:t>
            </w:r>
          </w:p>
        </w:tc>
        <w:tc>
          <w:tcPr>
            <w:tcW w:w="851" w:type="dxa"/>
            <w:noWrap w:val="0"/>
            <w:vAlign w:val="center"/>
          </w:tcPr>
          <w:p>
            <w:pPr>
              <w:pStyle w:val="21"/>
              <w:ind w:left="0"/>
              <w:jc w:val="center"/>
              <w:rPr>
                <w:rFonts w:hint="eastAsia" w:ascii="宋体" w:hAnsi="宋体"/>
                <w:bCs/>
                <w:i w:val="0"/>
                <w:iCs w:val="0"/>
              </w:rPr>
            </w:pPr>
            <w:r>
              <w:rPr>
                <w:rFonts w:ascii="宋体" w:hAnsi="宋体"/>
                <w:bCs/>
                <w:i w:val="0"/>
                <w:iCs w:val="0"/>
              </w:rPr>
              <w:t>1项</w:t>
            </w:r>
          </w:p>
        </w:tc>
        <w:tc>
          <w:tcPr>
            <w:tcW w:w="1267"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529" w:hRule="atLeast"/>
          <w:tblHeader/>
          <w:jc w:val="center"/>
        </w:trPr>
        <w:tc>
          <w:tcPr>
            <w:tcW w:w="816" w:type="dxa"/>
            <w:gridSpan w:val="2"/>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5</w:t>
            </w:r>
          </w:p>
        </w:tc>
        <w:tc>
          <w:tcPr>
            <w:tcW w:w="1910"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线材</w:t>
            </w:r>
          </w:p>
        </w:tc>
        <w:tc>
          <w:tcPr>
            <w:tcW w:w="3837" w:type="dxa"/>
            <w:gridSpan w:val="3"/>
            <w:noWrap w:val="0"/>
            <w:vAlign w:val="center"/>
          </w:tcPr>
          <w:p>
            <w:pPr>
              <w:pStyle w:val="21"/>
              <w:ind w:left="0"/>
              <w:jc w:val="center"/>
              <w:rPr>
                <w:rFonts w:hint="eastAsia" w:ascii="宋体" w:hAnsi="宋体"/>
                <w:bCs/>
                <w:i w:val="0"/>
                <w:iCs w:val="0"/>
              </w:rPr>
            </w:pPr>
            <w:r>
              <w:rPr>
                <w:rFonts w:hint="eastAsia" w:ascii="宋体" w:hAnsi="宋体"/>
                <w:bCs/>
                <w:i w:val="0"/>
                <w:iCs w:val="0"/>
              </w:rPr>
              <w:t>HDMI</w:t>
            </w:r>
          </w:p>
        </w:tc>
        <w:tc>
          <w:tcPr>
            <w:tcW w:w="851" w:type="dxa"/>
            <w:noWrap w:val="0"/>
            <w:vAlign w:val="center"/>
          </w:tcPr>
          <w:p>
            <w:pPr>
              <w:pStyle w:val="21"/>
              <w:ind w:left="0"/>
              <w:jc w:val="center"/>
              <w:rPr>
                <w:rFonts w:hint="eastAsia" w:ascii="宋体" w:hAnsi="宋体"/>
                <w:bCs/>
                <w:i w:val="0"/>
                <w:iCs w:val="0"/>
              </w:rPr>
            </w:pPr>
            <w:r>
              <w:rPr>
                <w:rFonts w:hint="eastAsia" w:ascii="宋体" w:hAnsi="宋体"/>
                <w:bCs/>
                <w:i w:val="0"/>
                <w:iCs w:val="0"/>
              </w:rPr>
              <w:t>4条</w:t>
            </w:r>
          </w:p>
        </w:tc>
        <w:tc>
          <w:tcPr>
            <w:tcW w:w="1267"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631" w:hRule="atLeast"/>
          <w:tblHeader/>
          <w:jc w:val="center"/>
        </w:trPr>
        <w:tc>
          <w:tcPr>
            <w:tcW w:w="816" w:type="dxa"/>
            <w:gridSpan w:val="2"/>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6</w:t>
            </w:r>
          </w:p>
        </w:tc>
        <w:tc>
          <w:tcPr>
            <w:tcW w:w="1910"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4进4出矩阵</w:t>
            </w:r>
          </w:p>
        </w:tc>
        <w:tc>
          <w:tcPr>
            <w:tcW w:w="3837" w:type="dxa"/>
            <w:gridSpan w:val="3"/>
            <w:noWrap w:val="0"/>
            <w:vAlign w:val="center"/>
          </w:tcPr>
          <w:p>
            <w:pPr>
              <w:pStyle w:val="21"/>
              <w:ind w:left="0"/>
              <w:jc w:val="center"/>
              <w:rPr>
                <w:rFonts w:hint="eastAsia" w:ascii="宋体" w:hAnsi="宋体"/>
                <w:bCs/>
                <w:i w:val="0"/>
                <w:iCs w:val="0"/>
              </w:rPr>
            </w:pPr>
            <w:r>
              <w:rPr>
                <w:rFonts w:hint="eastAsia" w:ascii="宋体" w:hAnsi="宋体"/>
                <w:bCs/>
                <w:i w:val="0"/>
                <w:iCs w:val="0"/>
              </w:rPr>
              <w:t>4进4出矩阵</w:t>
            </w:r>
          </w:p>
        </w:tc>
        <w:tc>
          <w:tcPr>
            <w:tcW w:w="851" w:type="dxa"/>
            <w:noWrap w:val="0"/>
            <w:vAlign w:val="center"/>
          </w:tcPr>
          <w:p>
            <w:pPr>
              <w:pStyle w:val="21"/>
              <w:ind w:left="0"/>
              <w:jc w:val="center"/>
              <w:rPr>
                <w:rFonts w:hint="eastAsia" w:ascii="宋体" w:hAnsi="宋体"/>
                <w:bCs/>
                <w:i w:val="0"/>
                <w:iCs w:val="0"/>
              </w:rPr>
            </w:pPr>
            <w:r>
              <w:rPr>
                <w:rFonts w:hint="eastAsia" w:ascii="宋体" w:hAnsi="宋体"/>
                <w:bCs/>
                <w:i w:val="0"/>
                <w:iCs w:val="0"/>
              </w:rPr>
              <w:t>1套</w:t>
            </w:r>
          </w:p>
        </w:tc>
        <w:tc>
          <w:tcPr>
            <w:tcW w:w="1267"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cantSplit/>
          <w:trHeight w:val="631" w:hRule="atLeast"/>
          <w:tblHeader/>
          <w:jc w:val="center"/>
        </w:trPr>
        <w:tc>
          <w:tcPr>
            <w:tcW w:w="816"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7</w:t>
            </w:r>
          </w:p>
        </w:tc>
        <w:tc>
          <w:tcPr>
            <w:tcW w:w="1910"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配件</w:t>
            </w:r>
          </w:p>
        </w:tc>
        <w:tc>
          <w:tcPr>
            <w:tcW w:w="3837" w:type="dxa"/>
            <w:gridSpan w:val="3"/>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w:t>
            </w:r>
          </w:p>
        </w:tc>
        <w:tc>
          <w:tcPr>
            <w:tcW w:w="85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1</w:t>
            </w:r>
            <w:r>
              <w:rPr>
                <w:rFonts w:ascii="宋体" w:hAnsi="宋体"/>
                <w:bCs/>
                <w:i w:val="0"/>
                <w:iCs w:val="0"/>
              </w:rPr>
              <w:t>项</w:t>
            </w:r>
          </w:p>
        </w:tc>
        <w:tc>
          <w:tcPr>
            <w:tcW w:w="1267" w:type="dxa"/>
            <w:gridSpan w:val="2"/>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529" w:hRule="atLeast"/>
          <w:tblHeader/>
          <w:jc w:val="center"/>
        </w:trPr>
        <w:tc>
          <w:tcPr>
            <w:tcW w:w="8681" w:type="dxa"/>
            <w:gridSpan w:val="10"/>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LED</w:t>
            </w:r>
            <w:r>
              <w:rPr>
                <w:rFonts w:ascii="宋体" w:hAnsi="宋体"/>
                <w:bCs/>
                <w:i w:val="0"/>
                <w:iCs w:val="0"/>
              </w:rPr>
              <w:t>液晶拼接</w:t>
            </w:r>
            <w:r>
              <w:rPr>
                <w:rFonts w:hint="eastAsia" w:ascii="宋体" w:hAnsi="宋体"/>
                <w:bCs/>
                <w:i w:val="0"/>
                <w:iCs w:val="0"/>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529" w:hRule="atLeast"/>
          <w:tblHeader/>
          <w:jc w:val="center"/>
        </w:trPr>
        <w:tc>
          <w:tcPr>
            <w:tcW w:w="991"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序号</w:t>
            </w:r>
          </w:p>
        </w:tc>
        <w:tc>
          <w:tcPr>
            <w:tcW w:w="1792"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名称</w:t>
            </w:r>
          </w:p>
        </w:tc>
        <w:tc>
          <w:tcPr>
            <w:tcW w:w="3647"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型号/规格</w:t>
            </w:r>
          </w:p>
        </w:tc>
        <w:tc>
          <w:tcPr>
            <w:tcW w:w="991" w:type="dxa"/>
            <w:gridSpan w:val="3"/>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数量</w:t>
            </w:r>
          </w:p>
        </w:tc>
        <w:tc>
          <w:tcPr>
            <w:tcW w:w="1260"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529" w:hRule="atLeast"/>
          <w:tblHeader/>
          <w:jc w:val="center"/>
        </w:trPr>
        <w:tc>
          <w:tcPr>
            <w:tcW w:w="991" w:type="dxa"/>
            <w:gridSpan w:val="2"/>
            <w:noWrap w:val="0"/>
            <w:vAlign w:val="center"/>
          </w:tcPr>
          <w:p>
            <w:pPr>
              <w:pStyle w:val="21"/>
              <w:spacing w:line="500" w:lineRule="exact"/>
              <w:ind w:left="0"/>
              <w:jc w:val="center"/>
              <w:rPr>
                <w:rFonts w:hint="eastAsia" w:ascii="宋体" w:hAnsi="宋体"/>
                <w:bCs/>
                <w:i w:val="0"/>
                <w:iCs w:val="0"/>
              </w:rPr>
            </w:pPr>
            <w:r>
              <w:rPr>
                <w:rFonts w:ascii="宋体" w:hAnsi="宋体"/>
                <w:bCs/>
                <w:i w:val="0"/>
                <w:iCs w:val="0"/>
              </w:rPr>
              <w:t>1</w:t>
            </w:r>
          </w:p>
        </w:tc>
        <w:tc>
          <w:tcPr>
            <w:tcW w:w="1792"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液晶拼接单元</w:t>
            </w:r>
          </w:p>
        </w:tc>
        <w:tc>
          <w:tcPr>
            <w:tcW w:w="3647" w:type="dxa"/>
            <w:noWrap w:val="0"/>
            <w:vAlign w:val="center"/>
          </w:tcPr>
          <w:p>
            <w:pPr>
              <w:pStyle w:val="21"/>
              <w:ind w:left="0"/>
              <w:jc w:val="center"/>
              <w:rPr>
                <w:rFonts w:ascii="宋体" w:hAnsi="宋体"/>
                <w:bCs/>
                <w:i w:val="0"/>
                <w:iCs w:val="0"/>
              </w:rPr>
            </w:pPr>
            <w:r>
              <w:rPr>
                <w:rFonts w:ascii="宋体" w:hAnsi="宋体"/>
                <w:bCs/>
                <w:i w:val="0"/>
                <w:iCs w:val="0"/>
              </w:rPr>
              <w:t>DHL550UDM-EG</w:t>
            </w:r>
          </w:p>
          <w:p>
            <w:pPr>
              <w:pStyle w:val="21"/>
              <w:ind w:left="0"/>
              <w:jc w:val="center"/>
              <w:rPr>
                <w:rFonts w:hint="eastAsia" w:ascii="宋体" w:hAnsi="宋体"/>
                <w:bCs/>
                <w:i w:val="0"/>
                <w:iCs w:val="0"/>
              </w:rPr>
            </w:pPr>
            <w:r>
              <w:rPr>
                <w:rFonts w:hint="eastAsia" w:ascii="宋体" w:hAnsi="宋体"/>
                <w:bCs/>
                <w:i w:val="0"/>
                <w:iCs w:val="0"/>
              </w:rPr>
              <w:t>1、产品尺寸：55英寸</w:t>
            </w:r>
          </w:p>
          <w:p>
            <w:pPr>
              <w:pStyle w:val="21"/>
              <w:ind w:left="0"/>
              <w:jc w:val="center"/>
              <w:rPr>
                <w:rFonts w:hint="eastAsia" w:ascii="宋体" w:hAnsi="宋体"/>
                <w:bCs/>
                <w:i w:val="0"/>
                <w:iCs w:val="0"/>
              </w:rPr>
            </w:pPr>
            <w:r>
              <w:rPr>
                <w:rFonts w:hint="eastAsia" w:ascii="宋体" w:hAnsi="宋体"/>
                <w:bCs/>
                <w:i w:val="0"/>
                <w:iCs w:val="0"/>
              </w:rPr>
              <w:t>2、双边拼缝：1.8mm</w:t>
            </w:r>
          </w:p>
          <w:p>
            <w:pPr>
              <w:pStyle w:val="21"/>
              <w:ind w:left="0"/>
              <w:jc w:val="center"/>
              <w:rPr>
                <w:rFonts w:hint="eastAsia" w:ascii="宋体" w:hAnsi="宋体"/>
                <w:bCs/>
                <w:i w:val="0"/>
                <w:iCs w:val="0"/>
              </w:rPr>
            </w:pPr>
            <w:r>
              <w:rPr>
                <w:rFonts w:hint="eastAsia" w:ascii="宋体" w:hAnsi="宋体"/>
                <w:bCs/>
                <w:i w:val="0"/>
                <w:iCs w:val="0"/>
              </w:rPr>
              <w:t>3、分辨率：1920*1080</w:t>
            </w:r>
          </w:p>
          <w:p>
            <w:pPr>
              <w:pStyle w:val="21"/>
              <w:ind w:left="0"/>
              <w:jc w:val="center"/>
              <w:rPr>
                <w:rFonts w:hint="eastAsia" w:ascii="宋体" w:hAnsi="宋体"/>
                <w:bCs/>
                <w:i w:val="0"/>
                <w:iCs w:val="0"/>
              </w:rPr>
            </w:pPr>
            <w:r>
              <w:rPr>
                <w:rFonts w:hint="eastAsia" w:ascii="宋体" w:hAnsi="宋体"/>
                <w:bCs/>
                <w:i w:val="0"/>
                <w:iCs w:val="0"/>
              </w:rPr>
              <w:t>4、亮度：≥</w:t>
            </w:r>
            <w:r>
              <w:rPr>
                <w:rFonts w:ascii="宋体" w:hAnsi="宋体"/>
                <w:bCs/>
                <w:i w:val="0"/>
                <w:iCs w:val="0"/>
              </w:rPr>
              <w:t>5</w:t>
            </w:r>
            <w:r>
              <w:rPr>
                <w:rFonts w:hint="eastAsia" w:ascii="宋体" w:hAnsi="宋体"/>
                <w:bCs/>
                <w:i w:val="0"/>
                <w:iCs w:val="0"/>
              </w:rPr>
              <w:t>00cd/m2</w:t>
            </w:r>
          </w:p>
          <w:p>
            <w:pPr>
              <w:pStyle w:val="21"/>
              <w:ind w:left="0"/>
              <w:jc w:val="center"/>
              <w:rPr>
                <w:rFonts w:hint="eastAsia" w:ascii="宋体" w:hAnsi="宋体"/>
                <w:bCs/>
                <w:i w:val="0"/>
                <w:iCs w:val="0"/>
              </w:rPr>
            </w:pPr>
            <w:r>
              <w:rPr>
                <w:rFonts w:hint="eastAsia" w:ascii="宋体" w:hAnsi="宋体"/>
                <w:bCs/>
                <w:i w:val="0"/>
                <w:iCs w:val="0"/>
              </w:rPr>
              <w:t>5、输入接口：VGA(D-Sub)*1、CVBS(BNC)*2、DVI-D*1、HDMI*1、RS232(RJ45)*1、USB（升级和多媒体）*1</w:t>
            </w:r>
          </w:p>
          <w:p>
            <w:pPr>
              <w:pStyle w:val="21"/>
              <w:ind w:left="0"/>
              <w:jc w:val="center"/>
              <w:rPr>
                <w:rFonts w:hint="eastAsia" w:ascii="宋体" w:hAnsi="宋体"/>
                <w:bCs/>
                <w:i w:val="0"/>
                <w:iCs w:val="0"/>
              </w:rPr>
            </w:pPr>
            <w:r>
              <w:rPr>
                <w:rFonts w:hint="eastAsia" w:ascii="宋体" w:hAnsi="宋体"/>
                <w:bCs/>
                <w:i w:val="0"/>
                <w:iCs w:val="0"/>
              </w:rPr>
              <w:t>6、输出接口：CVBS(BNC)*2、RS232(RJ45)*1</w:t>
            </w:r>
          </w:p>
        </w:tc>
        <w:tc>
          <w:tcPr>
            <w:tcW w:w="991" w:type="dxa"/>
            <w:gridSpan w:val="3"/>
            <w:noWrap w:val="0"/>
            <w:vAlign w:val="center"/>
          </w:tcPr>
          <w:p>
            <w:pPr>
              <w:pStyle w:val="21"/>
              <w:ind w:left="0"/>
              <w:jc w:val="center"/>
              <w:rPr>
                <w:rFonts w:hint="eastAsia" w:ascii="宋体" w:hAnsi="宋体"/>
                <w:bCs/>
                <w:i w:val="0"/>
                <w:iCs w:val="0"/>
              </w:rPr>
            </w:pPr>
            <w:r>
              <w:rPr>
                <w:rFonts w:ascii="宋体" w:hAnsi="宋体"/>
                <w:bCs/>
                <w:i w:val="0"/>
                <w:iCs w:val="0"/>
              </w:rPr>
              <w:t>4</w:t>
            </w:r>
            <w:r>
              <w:rPr>
                <w:rFonts w:hint="eastAsia" w:ascii="宋体" w:hAnsi="宋体"/>
                <w:bCs/>
                <w:i w:val="0"/>
                <w:iCs w:val="0"/>
              </w:rPr>
              <w:t>台</w:t>
            </w:r>
          </w:p>
        </w:tc>
        <w:tc>
          <w:tcPr>
            <w:tcW w:w="1260"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907" w:hRule="atLeast"/>
          <w:tblHeader/>
          <w:jc w:val="center"/>
        </w:trPr>
        <w:tc>
          <w:tcPr>
            <w:tcW w:w="991" w:type="dxa"/>
            <w:gridSpan w:val="2"/>
            <w:noWrap w:val="0"/>
            <w:vAlign w:val="center"/>
          </w:tcPr>
          <w:p>
            <w:pPr>
              <w:pStyle w:val="21"/>
              <w:spacing w:line="500" w:lineRule="exact"/>
              <w:ind w:left="0"/>
              <w:jc w:val="center"/>
              <w:rPr>
                <w:rFonts w:hint="eastAsia" w:ascii="宋体" w:hAnsi="宋体"/>
                <w:bCs/>
                <w:i w:val="0"/>
                <w:iCs w:val="0"/>
              </w:rPr>
            </w:pPr>
            <w:r>
              <w:rPr>
                <w:rFonts w:ascii="宋体" w:hAnsi="宋体"/>
                <w:bCs/>
                <w:i w:val="0"/>
                <w:iCs w:val="0"/>
              </w:rPr>
              <w:t>2</w:t>
            </w:r>
          </w:p>
        </w:tc>
        <w:tc>
          <w:tcPr>
            <w:tcW w:w="1792"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前维护支架</w:t>
            </w:r>
          </w:p>
        </w:tc>
        <w:tc>
          <w:tcPr>
            <w:tcW w:w="3647" w:type="dxa"/>
            <w:noWrap w:val="0"/>
            <w:vAlign w:val="center"/>
          </w:tcPr>
          <w:p>
            <w:pPr>
              <w:pStyle w:val="21"/>
              <w:ind w:firstLine="1155" w:firstLineChars="550"/>
              <w:jc w:val="center"/>
              <w:rPr>
                <w:rFonts w:hint="eastAsia" w:ascii="宋体" w:hAnsi="宋体"/>
                <w:bCs/>
                <w:i w:val="0"/>
                <w:iCs w:val="0"/>
              </w:rPr>
            </w:pPr>
            <w:r>
              <w:rPr>
                <w:rFonts w:hint="eastAsia" w:ascii="宋体" w:hAnsi="宋体"/>
                <w:bCs/>
                <w:i w:val="0"/>
                <w:iCs w:val="0"/>
              </w:rPr>
              <w:t>定制</w:t>
            </w:r>
          </w:p>
        </w:tc>
        <w:tc>
          <w:tcPr>
            <w:tcW w:w="991" w:type="dxa"/>
            <w:gridSpan w:val="3"/>
            <w:noWrap w:val="0"/>
            <w:vAlign w:val="center"/>
          </w:tcPr>
          <w:p>
            <w:pPr>
              <w:pStyle w:val="21"/>
              <w:ind w:left="0"/>
              <w:jc w:val="center"/>
              <w:rPr>
                <w:rFonts w:hint="eastAsia" w:ascii="宋体" w:hAnsi="宋体"/>
                <w:bCs/>
                <w:i w:val="0"/>
                <w:iCs w:val="0"/>
              </w:rPr>
            </w:pPr>
            <w:r>
              <w:rPr>
                <w:rFonts w:hint="eastAsia" w:ascii="宋体" w:hAnsi="宋体"/>
                <w:bCs/>
                <w:i w:val="0"/>
                <w:iCs w:val="0"/>
              </w:rPr>
              <w:t>4个</w:t>
            </w:r>
          </w:p>
        </w:tc>
        <w:tc>
          <w:tcPr>
            <w:tcW w:w="1260" w:type="dxa"/>
            <w:gridSpan w:val="2"/>
            <w:noWrap w:val="0"/>
            <w:vAlign w:val="center"/>
          </w:tcPr>
          <w:p>
            <w:pPr>
              <w:pStyle w:val="21"/>
              <w:ind w:left="0" w:firstLine="210" w:firstLineChars="100"/>
              <w:jc w:val="center"/>
              <w:rPr>
                <w:rFonts w:hint="eastAsia" w:ascii="宋体" w:hAnsi="宋体"/>
                <w:bCs/>
                <w:i w:val="0"/>
                <w:iCs w:val="0"/>
              </w:rPr>
            </w:pPr>
            <w:r>
              <w:rPr>
                <w:rFonts w:hint="eastAsia" w:ascii="宋体" w:hAnsi="宋体"/>
                <w:bCs/>
                <w:i w:val="0"/>
                <w:iCs w:val="0"/>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529" w:hRule="atLeast"/>
          <w:tblHeader/>
          <w:jc w:val="center"/>
        </w:trPr>
        <w:tc>
          <w:tcPr>
            <w:tcW w:w="991" w:type="dxa"/>
            <w:gridSpan w:val="2"/>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4</w:t>
            </w:r>
          </w:p>
        </w:tc>
        <w:tc>
          <w:tcPr>
            <w:tcW w:w="1792"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包边</w:t>
            </w:r>
          </w:p>
        </w:tc>
        <w:tc>
          <w:tcPr>
            <w:tcW w:w="3647" w:type="dxa"/>
            <w:noWrap w:val="0"/>
            <w:vAlign w:val="center"/>
          </w:tcPr>
          <w:p>
            <w:pPr>
              <w:pStyle w:val="21"/>
              <w:ind w:left="0"/>
              <w:jc w:val="center"/>
              <w:rPr>
                <w:rFonts w:hint="eastAsia" w:ascii="宋体" w:hAnsi="宋体"/>
                <w:bCs/>
                <w:i w:val="0"/>
                <w:iCs w:val="0"/>
              </w:rPr>
            </w:pPr>
            <w:r>
              <w:rPr>
                <w:rFonts w:hint="eastAsia" w:ascii="宋体" w:hAnsi="宋体"/>
                <w:bCs/>
                <w:i w:val="0"/>
                <w:iCs w:val="0"/>
              </w:rPr>
              <w:t>定制</w:t>
            </w:r>
          </w:p>
        </w:tc>
        <w:tc>
          <w:tcPr>
            <w:tcW w:w="991" w:type="dxa"/>
            <w:gridSpan w:val="3"/>
            <w:noWrap w:val="0"/>
            <w:vAlign w:val="center"/>
          </w:tcPr>
          <w:p>
            <w:pPr>
              <w:pStyle w:val="21"/>
              <w:ind w:left="0"/>
              <w:jc w:val="center"/>
              <w:rPr>
                <w:rFonts w:hint="eastAsia" w:ascii="宋体" w:hAnsi="宋体"/>
                <w:bCs/>
                <w:i w:val="0"/>
                <w:iCs w:val="0"/>
              </w:rPr>
            </w:pPr>
            <w:r>
              <w:rPr>
                <w:rFonts w:ascii="宋体" w:hAnsi="宋体"/>
                <w:bCs/>
                <w:i w:val="0"/>
                <w:iCs w:val="0"/>
              </w:rPr>
              <w:t>1项</w:t>
            </w:r>
          </w:p>
        </w:tc>
        <w:tc>
          <w:tcPr>
            <w:tcW w:w="1260"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529" w:hRule="atLeast"/>
          <w:tblHeader/>
          <w:jc w:val="center"/>
        </w:trPr>
        <w:tc>
          <w:tcPr>
            <w:tcW w:w="991" w:type="dxa"/>
            <w:gridSpan w:val="2"/>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5</w:t>
            </w:r>
          </w:p>
        </w:tc>
        <w:tc>
          <w:tcPr>
            <w:tcW w:w="1792"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线材</w:t>
            </w:r>
          </w:p>
        </w:tc>
        <w:tc>
          <w:tcPr>
            <w:tcW w:w="3647" w:type="dxa"/>
            <w:noWrap w:val="0"/>
            <w:vAlign w:val="center"/>
          </w:tcPr>
          <w:p>
            <w:pPr>
              <w:pStyle w:val="21"/>
              <w:ind w:left="0"/>
              <w:jc w:val="center"/>
              <w:rPr>
                <w:rFonts w:hint="eastAsia" w:ascii="宋体" w:hAnsi="宋体"/>
                <w:bCs/>
                <w:i w:val="0"/>
                <w:iCs w:val="0"/>
              </w:rPr>
            </w:pPr>
            <w:r>
              <w:rPr>
                <w:rFonts w:hint="eastAsia" w:ascii="宋体" w:hAnsi="宋体"/>
                <w:bCs/>
                <w:i w:val="0"/>
                <w:iCs w:val="0"/>
              </w:rPr>
              <w:t>HDMI</w:t>
            </w:r>
          </w:p>
        </w:tc>
        <w:tc>
          <w:tcPr>
            <w:tcW w:w="991" w:type="dxa"/>
            <w:gridSpan w:val="3"/>
            <w:noWrap w:val="0"/>
            <w:vAlign w:val="center"/>
          </w:tcPr>
          <w:p>
            <w:pPr>
              <w:pStyle w:val="21"/>
              <w:ind w:left="0"/>
              <w:jc w:val="center"/>
              <w:rPr>
                <w:rFonts w:hint="eastAsia" w:ascii="宋体" w:hAnsi="宋体"/>
                <w:bCs/>
                <w:i w:val="0"/>
                <w:iCs w:val="0"/>
              </w:rPr>
            </w:pPr>
            <w:r>
              <w:rPr>
                <w:rFonts w:hint="eastAsia" w:ascii="宋体" w:hAnsi="宋体"/>
                <w:bCs/>
                <w:i w:val="0"/>
                <w:iCs w:val="0"/>
              </w:rPr>
              <w:t>4条</w:t>
            </w:r>
          </w:p>
        </w:tc>
        <w:tc>
          <w:tcPr>
            <w:tcW w:w="1260"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631" w:hRule="atLeast"/>
          <w:tblHeader/>
          <w:jc w:val="center"/>
        </w:trPr>
        <w:tc>
          <w:tcPr>
            <w:tcW w:w="991" w:type="dxa"/>
            <w:gridSpan w:val="2"/>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6</w:t>
            </w:r>
          </w:p>
        </w:tc>
        <w:tc>
          <w:tcPr>
            <w:tcW w:w="1792" w:type="dxa"/>
            <w:gridSpan w:val="2"/>
            <w:noWrap w:val="0"/>
            <w:vAlign w:val="center"/>
          </w:tcPr>
          <w:p>
            <w:pPr>
              <w:pStyle w:val="21"/>
              <w:ind w:left="0"/>
              <w:jc w:val="center"/>
              <w:rPr>
                <w:rFonts w:hint="eastAsia" w:ascii="宋体" w:hAnsi="宋体"/>
                <w:bCs/>
                <w:i w:val="0"/>
                <w:iCs w:val="0"/>
              </w:rPr>
            </w:pPr>
            <w:r>
              <w:rPr>
                <w:rFonts w:hint="eastAsia" w:ascii="宋体" w:hAnsi="宋体"/>
                <w:bCs/>
                <w:i w:val="0"/>
                <w:iCs w:val="0"/>
              </w:rPr>
              <w:t>4进4出矩阵</w:t>
            </w:r>
          </w:p>
        </w:tc>
        <w:tc>
          <w:tcPr>
            <w:tcW w:w="3647" w:type="dxa"/>
            <w:noWrap w:val="0"/>
            <w:vAlign w:val="center"/>
          </w:tcPr>
          <w:p>
            <w:pPr>
              <w:pStyle w:val="21"/>
              <w:ind w:left="0"/>
              <w:jc w:val="center"/>
              <w:rPr>
                <w:rFonts w:hint="eastAsia" w:ascii="宋体" w:hAnsi="宋体"/>
                <w:bCs/>
                <w:i w:val="0"/>
                <w:iCs w:val="0"/>
              </w:rPr>
            </w:pPr>
            <w:r>
              <w:rPr>
                <w:rFonts w:hint="eastAsia" w:ascii="宋体" w:hAnsi="宋体"/>
                <w:bCs/>
                <w:i w:val="0"/>
                <w:iCs w:val="0"/>
              </w:rPr>
              <w:t>4进4出矩阵</w:t>
            </w:r>
          </w:p>
        </w:tc>
        <w:tc>
          <w:tcPr>
            <w:tcW w:w="991" w:type="dxa"/>
            <w:gridSpan w:val="3"/>
            <w:noWrap w:val="0"/>
            <w:vAlign w:val="center"/>
          </w:tcPr>
          <w:p>
            <w:pPr>
              <w:pStyle w:val="21"/>
              <w:ind w:left="0"/>
              <w:jc w:val="center"/>
              <w:rPr>
                <w:rFonts w:hint="eastAsia" w:ascii="宋体" w:hAnsi="宋体"/>
                <w:bCs/>
                <w:i w:val="0"/>
                <w:iCs w:val="0"/>
              </w:rPr>
            </w:pPr>
            <w:r>
              <w:rPr>
                <w:rFonts w:hint="eastAsia" w:ascii="宋体" w:hAnsi="宋体"/>
                <w:bCs/>
                <w:i w:val="0"/>
                <w:iCs w:val="0"/>
              </w:rPr>
              <w:t>1套</w:t>
            </w:r>
          </w:p>
        </w:tc>
        <w:tc>
          <w:tcPr>
            <w:tcW w:w="1260"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cantSplit/>
          <w:trHeight w:val="631" w:hRule="atLeast"/>
          <w:tblHeader/>
          <w:jc w:val="center"/>
        </w:trPr>
        <w:tc>
          <w:tcPr>
            <w:tcW w:w="991"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7</w:t>
            </w:r>
          </w:p>
        </w:tc>
        <w:tc>
          <w:tcPr>
            <w:tcW w:w="1792" w:type="dxa"/>
            <w:gridSpan w:val="2"/>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配件</w:t>
            </w:r>
          </w:p>
        </w:tc>
        <w:tc>
          <w:tcPr>
            <w:tcW w:w="3647"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w:t>
            </w:r>
          </w:p>
        </w:tc>
        <w:tc>
          <w:tcPr>
            <w:tcW w:w="991" w:type="dxa"/>
            <w:gridSpan w:val="3"/>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1</w:t>
            </w:r>
            <w:r>
              <w:rPr>
                <w:rFonts w:ascii="宋体" w:hAnsi="宋体"/>
                <w:bCs/>
                <w:i w:val="0"/>
                <w:iCs w:val="0"/>
              </w:rPr>
              <w:t>项</w:t>
            </w:r>
          </w:p>
        </w:tc>
        <w:tc>
          <w:tcPr>
            <w:tcW w:w="1260" w:type="dxa"/>
            <w:gridSpan w:val="2"/>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安装、调试</w:t>
            </w:r>
          </w:p>
        </w:tc>
      </w:tr>
    </w:tbl>
    <w:p>
      <w:pPr>
        <w:numPr>
          <w:ilvl w:val="0"/>
          <w:numId w:val="8"/>
        </w:numPr>
        <w:spacing w:line="420" w:lineRule="exact"/>
        <w:rPr>
          <w:rFonts w:hint="eastAsia" w:ascii="宋体" w:hAnsi="宋体"/>
          <w:b/>
          <w:bCs/>
          <w:sz w:val="28"/>
        </w:rPr>
      </w:pPr>
      <w:r>
        <w:rPr>
          <w:rFonts w:hint="eastAsia" w:ascii="宋体" w:hAnsi="宋体"/>
          <w:b/>
          <w:bCs/>
          <w:sz w:val="28"/>
        </w:rPr>
        <w:t>技术要求</w:t>
      </w:r>
    </w:p>
    <w:p>
      <w:pPr>
        <w:widowControl/>
        <w:shd w:val="clear" w:color="auto" w:fill="FFFFFF"/>
        <w:spacing w:line="460" w:lineRule="exact"/>
        <w:ind w:firstLine="480" w:firstLineChars="200"/>
        <w:rPr>
          <w:rFonts w:ascii="宋体" w:hAnsi="宋体"/>
          <w:bCs/>
          <w:sz w:val="24"/>
        </w:rPr>
      </w:pPr>
      <w:r>
        <w:rPr>
          <w:rFonts w:ascii="宋体" w:hAnsi="宋体"/>
          <w:bCs/>
          <w:sz w:val="24"/>
        </w:rPr>
        <w:t>1</w:t>
      </w:r>
      <w:r>
        <w:rPr>
          <w:rFonts w:hint="eastAsia" w:ascii="宋体" w:hAnsi="宋体"/>
          <w:bCs/>
          <w:sz w:val="24"/>
        </w:rPr>
        <w:t>、液晶拼接屏应参考知名品牌三星、L</w:t>
      </w:r>
      <w:r>
        <w:rPr>
          <w:rFonts w:ascii="宋体" w:hAnsi="宋体"/>
          <w:bCs/>
          <w:sz w:val="24"/>
        </w:rPr>
        <w:t>G</w:t>
      </w:r>
      <w:r>
        <w:rPr>
          <w:rFonts w:hint="eastAsia" w:ascii="宋体" w:hAnsi="宋体"/>
          <w:bCs/>
          <w:sz w:val="24"/>
        </w:rPr>
        <w:t>、</w:t>
      </w:r>
      <w:r>
        <w:rPr>
          <w:rFonts w:ascii="宋体" w:hAnsi="宋体"/>
          <w:bCs/>
          <w:sz w:val="24"/>
        </w:rPr>
        <w:t>海康</w:t>
      </w:r>
      <w:r>
        <w:rPr>
          <w:rFonts w:hint="eastAsia" w:ascii="宋体" w:hAnsi="宋体"/>
          <w:bCs/>
          <w:sz w:val="24"/>
        </w:rPr>
        <w:t>、</w:t>
      </w:r>
      <w:r>
        <w:rPr>
          <w:rFonts w:ascii="宋体" w:hAnsi="宋体"/>
          <w:bCs/>
          <w:sz w:val="24"/>
        </w:rPr>
        <w:t>大华等技术要求</w:t>
      </w:r>
      <w:r>
        <w:rPr>
          <w:rFonts w:hint="eastAsia" w:ascii="宋体" w:hAnsi="宋体"/>
          <w:bCs/>
          <w:sz w:val="24"/>
        </w:rPr>
        <w:t>，承包商应提供液晶拼接屏制造商的安全生产资质、ISO质量管理体系认证、3C认证等原厂相关的检测报告证明。</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2</w:t>
      </w:r>
      <w:r>
        <w:rPr>
          <w:rFonts w:hint="eastAsia" w:ascii="宋体" w:hAnsi="宋体"/>
          <w:bCs/>
          <w:sz w:val="24"/>
        </w:rPr>
        <w:t>、液晶拼接屏要求是金属外壳，防辐射、防磁场、防强电场干扰；</w:t>
      </w:r>
    </w:p>
    <w:p>
      <w:pPr>
        <w:widowControl/>
        <w:shd w:val="clear" w:color="auto" w:fill="FFFFFF"/>
        <w:spacing w:line="460" w:lineRule="exact"/>
        <w:ind w:firstLine="480" w:firstLineChars="200"/>
        <w:rPr>
          <w:rFonts w:hint="eastAsia" w:ascii="宋体" w:hAnsi="宋体"/>
          <w:b/>
          <w:bCs/>
          <w:sz w:val="28"/>
        </w:rPr>
      </w:pPr>
      <w:r>
        <w:rPr>
          <w:rFonts w:ascii="宋体" w:hAnsi="宋体"/>
          <w:bCs/>
          <w:sz w:val="24"/>
        </w:rPr>
        <w:t>3、</w:t>
      </w:r>
      <w:r>
        <w:rPr>
          <w:rFonts w:hint="eastAsia" w:ascii="宋体" w:hAnsi="宋体"/>
          <w:bCs/>
          <w:sz w:val="24"/>
        </w:rPr>
        <w:t>本案施工全过程由承包商负责施工区域设备、材料、工器具、临设的保卫、防护工作，如遇损坏、丢失、火灾等意外均由承包商负责。</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4、</w:t>
      </w:r>
      <w:r>
        <w:rPr>
          <w:rFonts w:hint="eastAsia" w:ascii="宋体" w:hAnsi="宋体"/>
          <w:bCs/>
          <w:sz w:val="24"/>
        </w:rPr>
        <w:t>严格执行我司相关《承包商管理规定》和《作业安全管理规定》。</w:t>
      </w:r>
    </w:p>
    <w:p>
      <w:pPr>
        <w:numPr>
          <w:ilvl w:val="0"/>
          <w:numId w:val="8"/>
        </w:numPr>
        <w:spacing w:line="420" w:lineRule="exact"/>
        <w:rPr>
          <w:rFonts w:ascii="宋体" w:hAnsi="宋体"/>
          <w:b/>
          <w:bCs/>
          <w:sz w:val="28"/>
        </w:rPr>
      </w:pPr>
      <w:r>
        <w:rPr>
          <w:rFonts w:hint="eastAsia" w:ascii="宋体" w:hAnsi="宋体"/>
          <w:b/>
          <w:bCs/>
          <w:sz w:val="28"/>
        </w:rPr>
        <w:t>承包商资质和工期要求</w:t>
      </w:r>
    </w:p>
    <w:p>
      <w:pPr>
        <w:widowControl/>
        <w:numPr>
          <w:ilvl w:val="0"/>
          <w:numId w:val="9"/>
        </w:numPr>
        <w:shd w:val="clear" w:color="auto" w:fill="FFFFFF"/>
        <w:spacing w:line="460" w:lineRule="exact"/>
        <w:rPr>
          <w:rFonts w:ascii="宋体" w:hAnsi="宋体"/>
          <w:bCs/>
          <w:sz w:val="24"/>
        </w:rPr>
      </w:pPr>
      <w:r>
        <w:rPr>
          <w:rFonts w:hint="eastAsia" w:ascii="宋体" w:hAnsi="宋体"/>
          <w:bCs/>
          <w:sz w:val="24"/>
        </w:rPr>
        <w:t>承包商具有独立企业法人资格；</w:t>
      </w:r>
    </w:p>
    <w:p>
      <w:pPr>
        <w:widowControl/>
        <w:numPr>
          <w:ilvl w:val="0"/>
          <w:numId w:val="9"/>
        </w:numPr>
        <w:shd w:val="clear" w:color="auto" w:fill="FFFFFF"/>
        <w:spacing w:line="460" w:lineRule="exact"/>
        <w:rPr>
          <w:rFonts w:ascii="宋体" w:hAnsi="宋体"/>
          <w:bCs/>
          <w:sz w:val="24"/>
        </w:rPr>
      </w:pPr>
      <w:r>
        <w:rPr>
          <w:rFonts w:hint="eastAsia" w:ascii="宋体" w:hAnsi="宋体"/>
          <w:bCs/>
          <w:sz w:val="24"/>
        </w:rPr>
        <w:t>承包商持有电子与智能化承包二级，LED拼接屏安装、调试经验。</w:t>
      </w:r>
    </w:p>
    <w:p>
      <w:pPr>
        <w:widowControl/>
        <w:numPr>
          <w:ilvl w:val="0"/>
          <w:numId w:val="9"/>
        </w:numPr>
        <w:shd w:val="clear" w:color="auto" w:fill="FFFFFF"/>
        <w:spacing w:line="460" w:lineRule="exact"/>
        <w:rPr>
          <w:rFonts w:hint="eastAsia" w:ascii="宋体" w:hAnsi="宋体"/>
          <w:bCs/>
          <w:sz w:val="24"/>
        </w:rPr>
      </w:pPr>
      <w:r>
        <w:rPr>
          <w:rFonts w:hint="eastAsia" w:ascii="宋体" w:hAnsi="宋体"/>
          <w:bCs/>
          <w:sz w:val="24"/>
        </w:rPr>
        <w:t>工期要求为合同生效之日起3</w:t>
      </w:r>
      <w:r>
        <w:rPr>
          <w:rFonts w:ascii="宋体" w:hAnsi="宋体"/>
          <w:bCs/>
          <w:sz w:val="24"/>
        </w:rPr>
        <w:t>0天内完成</w:t>
      </w:r>
      <w:r>
        <w:rPr>
          <w:rFonts w:hint="eastAsia" w:ascii="宋体" w:hAnsi="宋体"/>
          <w:bCs/>
          <w:sz w:val="24"/>
        </w:rPr>
        <w:t>。</w:t>
      </w:r>
    </w:p>
    <w:p>
      <w:pPr>
        <w:numPr>
          <w:ilvl w:val="0"/>
          <w:numId w:val="8"/>
        </w:numPr>
        <w:spacing w:line="420" w:lineRule="exact"/>
        <w:rPr>
          <w:rFonts w:hint="eastAsia" w:ascii="宋体" w:hAnsi="宋体"/>
          <w:b/>
          <w:bCs/>
          <w:sz w:val="28"/>
        </w:rPr>
      </w:pPr>
      <w:bookmarkStart w:id="2" w:name="_Toc84079331"/>
      <w:bookmarkStart w:id="3" w:name="_Toc84686533"/>
      <w:bookmarkStart w:id="4" w:name="_Toc85103700"/>
      <w:r>
        <w:rPr>
          <w:rFonts w:hint="eastAsia" w:ascii="宋体" w:hAnsi="宋体"/>
          <w:b/>
          <w:bCs/>
          <w:sz w:val="28"/>
        </w:rPr>
        <w:t>承包商职责</w:t>
      </w:r>
      <w:bookmarkEnd w:id="2"/>
      <w:bookmarkEnd w:id="3"/>
      <w:bookmarkEnd w:id="4"/>
    </w:p>
    <w:p>
      <w:pPr>
        <w:widowControl/>
        <w:shd w:val="clear" w:color="auto" w:fill="FFFFFF"/>
        <w:spacing w:line="460" w:lineRule="exact"/>
        <w:ind w:firstLine="480" w:firstLineChars="200"/>
        <w:rPr>
          <w:rFonts w:hint="eastAsia" w:ascii="宋体" w:hAnsi="宋体"/>
          <w:bCs/>
          <w:sz w:val="24"/>
        </w:rPr>
      </w:pPr>
      <w:r>
        <w:rPr>
          <w:rFonts w:ascii="宋体" w:hAnsi="宋体"/>
          <w:bCs/>
          <w:sz w:val="24"/>
        </w:rPr>
        <w:t>1</w:t>
      </w:r>
      <w:r>
        <w:rPr>
          <w:rFonts w:hint="eastAsia" w:ascii="宋体" w:hAnsi="宋体"/>
          <w:bCs/>
          <w:sz w:val="24"/>
        </w:rPr>
        <w:t xml:space="preserve">、所提供的设备、配件除满足本方案的技术要求、功能要求和环境使用要求外，还须符合中国的有关标准，并取得国家有关监督、检验、认证机构的认证。参考品牌若有不能满足本招标要求的，应及时与招标技术人员沟通、确认。 </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2</w:t>
      </w:r>
      <w:r>
        <w:rPr>
          <w:rFonts w:hint="eastAsia" w:ascii="宋体" w:hAnsi="宋体"/>
          <w:bCs/>
          <w:sz w:val="24"/>
        </w:rPr>
        <w:t>、承包商对所提供的硬件、软件、技术服务、工程服务、技术培训、系统集成、包装运输、开箱检验、安装指导、现场测试、系统验收，直到整套系统运行等各个环节负有完全责任。</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3</w:t>
      </w:r>
      <w:r>
        <w:rPr>
          <w:rFonts w:hint="eastAsia" w:ascii="宋体" w:hAnsi="宋体"/>
          <w:bCs/>
          <w:sz w:val="24"/>
        </w:rPr>
        <w:t>、根据工程进展情况，承包商应及时要求供货厂商提供相应的技术支持和服务。</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4</w:t>
      </w:r>
      <w:r>
        <w:rPr>
          <w:rFonts w:hint="eastAsia" w:ascii="宋体" w:hAnsi="宋体"/>
          <w:bCs/>
          <w:sz w:val="24"/>
        </w:rPr>
        <w:t>、承包商不得用假设来掩盖数据的不足，承包商有责任从供货方或其他渠道获取可靠数据。</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5</w:t>
      </w:r>
      <w:r>
        <w:rPr>
          <w:rFonts w:hint="eastAsia" w:ascii="宋体" w:hAnsi="宋体"/>
          <w:bCs/>
          <w:sz w:val="24"/>
        </w:rPr>
        <w:t>、承包商应根据本技术方案的技术要求选择技术成熟和应用可靠的设备及附件，提供良好的项目技术交流服务。</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6</w:t>
      </w:r>
      <w:r>
        <w:rPr>
          <w:rFonts w:hint="eastAsia" w:ascii="宋体" w:hAnsi="宋体"/>
          <w:bCs/>
          <w:sz w:val="24"/>
        </w:rPr>
        <w:t>、为了确保设备的安装、维护和正常运行，承包商必须提供所需附加的设备、工具及附件的清单，即使这些设备附件在发包文件中未列出。</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7</w:t>
      </w:r>
      <w:r>
        <w:rPr>
          <w:rFonts w:hint="eastAsia" w:ascii="宋体" w:hAnsi="宋体"/>
          <w:bCs/>
          <w:sz w:val="24"/>
        </w:rPr>
        <w:t>、承包商负责设备的供货、安装、调试及技术培训。</w:t>
      </w:r>
    </w:p>
    <w:p>
      <w:pPr>
        <w:numPr>
          <w:ilvl w:val="0"/>
          <w:numId w:val="8"/>
        </w:numPr>
        <w:spacing w:line="420" w:lineRule="exact"/>
        <w:rPr>
          <w:rFonts w:ascii="宋体" w:hAnsi="宋体"/>
          <w:b/>
          <w:bCs/>
          <w:sz w:val="28"/>
        </w:rPr>
      </w:pPr>
      <w:bookmarkStart w:id="5" w:name="_Toc5318"/>
      <w:bookmarkStart w:id="6" w:name="_Toc84079338"/>
      <w:r>
        <w:rPr>
          <w:rFonts w:hint="eastAsia" w:ascii="宋体" w:hAnsi="宋体"/>
          <w:b/>
          <w:bCs/>
          <w:sz w:val="28"/>
        </w:rPr>
        <w:t>承包商竣工需提供以下文件资料</w:t>
      </w:r>
      <w:bookmarkEnd w:id="5"/>
      <w:bookmarkEnd w:id="6"/>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1、承包商应提交给施工竣工资料至少包括：</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1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①</w:t>
      </w:r>
      <w:r>
        <w:rPr>
          <w:rFonts w:ascii="宋体" w:hAnsi="宋体"/>
          <w:bCs/>
          <w:sz w:val="24"/>
        </w:rPr>
        <w:fldChar w:fldCharType="end"/>
      </w:r>
      <w:r>
        <w:rPr>
          <w:rFonts w:ascii="宋体" w:hAnsi="宋体"/>
          <w:bCs/>
          <w:sz w:val="24"/>
        </w:rPr>
        <w:t>.</w:t>
      </w:r>
      <w:r>
        <w:rPr>
          <w:rFonts w:hint="eastAsia" w:ascii="宋体" w:hAnsi="宋体"/>
          <w:bCs/>
          <w:sz w:val="24"/>
        </w:rPr>
        <w:t>使用说明；</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2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②</w:t>
      </w:r>
      <w:r>
        <w:rPr>
          <w:rFonts w:ascii="宋体" w:hAnsi="宋体"/>
          <w:bCs/>
          <w:sz w:val="24"/>
        </w:rPr>
        <w:fldChar w:fldCharType="end"/>
      </w:r>
      <w:r>
        <w:rPr>
          <w:rFonts w:ascii="宋体" w:hAnsi="宋体"/>
          <w:bCs/>
          <w:sz w:val="24"/>
        </w:rPr>
        <w:t>.</w:t>
      </w:r>
      <w:r>
        <w:rPr>
          <w:rFonts w:hint="eastAsia" w:ascii="宋体" w:hAnsi="宋体"/>
          <w:bCs/>
          <w:sz w:val="24"/>
        </w:rPr>
        <w:t>安装图及原理图；</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3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③</w:t>
      </w:r>
      <w:r>
        <w:rPr>
          <w:rFonts w:ascii="宋体" w:hAnsi="宋体"/>
          <w:bCs/>
          <w:sz w:val="24"/>
        </w:rPr>
        <w:fldChar w:fldCharType="end"/>
      </w:r>
      <w:r>
        <w:rPr>
          <w:rFonts w:ascii="宋体" w:hAnsi="宋体"/>
          <w:bCs/>
          <w:sz w:val="24"/>
        </w:rPr>
        <w:t>.</w:t>
      </w:r>
      <w:r>
        <w:rPr>
          <w:rFonts w:hint="eastAsia" w:ascii="宋体" w:hAnsi="宋体"/>
          <w:bCs/>
          <w:sz w:val="24"/>
        </w:rPr>
        <w:t>运行及维护手册；</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4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④</w:t>
      </w:r>
      <w:r>
        <w:rPr>
          <w:rFonts w:ascii="宋体" w:hAnsi="宋体"/>
          <w:bCs/>
          <w:sz w:val="24"/>
        </w:rPr>
        <w:fldChar w:fldCharType="end"/>
      </w:r>
      <w:r>
        <w:rPr>
          <w:rFonts w:ascii="宋体" w:hAnsi="宋体"/>
          <w:bCs/>
          <w:sz w:val="24"/>
        </w:rPr>
        <w:t>.</w:t>
      </w:r>
      <w:r>
        <w:rPr>
          <w:rFonts w:hint="eastAsia" w:ascii="宋体" w:hAnsi="宋体"/>
          <w:bCs/>
          <w:sz w:val="24"/>
        </w:rPr>
        <w:t>设备的产品合格证和检测检验证明文件等；</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5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⑤</w:t>
      </w:r>
      <w:r>
        <w:rPr>
          <w:rFonts w:ascii="宋体" w:hAnsi="宋体"/>
          <w:bCs/>
          <w:sz w:val="24"/>
        </w:rPr>
        <w:fldChar w:fldCharType="end"/>
      </w:r>
      <w:r>
        <w:rPr>
          <w:rFonts w:ascii="宋体" w:hAnsi="宋体"/>
          <w:bCs/>
          <w:sz w:val="24"/>
        </w:rPr>
        <w:t>.</w:t>
      </w:r>
      <w:r>
        <w:rPr>
          <w:rFonts w:hint="eastAsia" w:ascii="宋体" w:hAnsi="宋体"/>
          <w:bCs/>
          <w:sz w:val="24"/>
        </w:rPr>
        <w:t>其他必要文件资料；</w:t>
      </w:r>
    </w:p>
    <w:p>
      <w:pPr>
        <w:numPr>
          <w:ilvl w:val="0"/>
          <w:numId w:val="8"/>
        </w:numPr>
        <w:spacing w:line="420" w:lineRule="exact"/>
        <w:rPr>
          <w:rFonts w:ascii="宋体" w:hAnsi="宋体"/>
          <w:b/>
          <w:bCs/>
          <w:sz w:val="28"/>
        </w:rPr>
      </w:pPr>
      <w:bookmarkStart w:id="7" w:name="_Toc85103707"/>
      <w:r>
        <w:rPr>
          <w:rFonts w:hint="eastAsia" w:ascii="宋体" w:hAnsi="宋体"/>
          <w:b/>
          <w:bCs/>
          <w:sz w:val="28"/>
        </w:rPr>
        <w:t>HSE管理</w:t>
      </w:r>
    </w:p>
    <w:p>
      <w:pPr>
        <w:widowControl/>
        <w:shd w:val="clear" w:color="auto" w:fill="FFFFFF"/>
        <w:spacing w:line="460" w:lineRule="exact"/>
        <w:ind w:firstLine="480" w:firstLineChars="200"/>
        <w:rPr>
          <w:rFonts w:hAnsi="宋体"/>
          <w:bCs/>
          <w:sz w:val="24"/>
        </w:rPr>
      </w:pPr>
      <w:r>
        <w:rPr>
          <w:rFonts w:hint="eastAsia" w:hAnsi="宋体"/>
          <w:bCs/>
          <w:sz w:val="24"/>
        </w:rPr>
        <w:t>1、</w:t>
      </w:r>
      <w:r>
        <w:rPr>
          <w:rFonts w:hAnsi="宋体"/>
          <w:bCs/>
          <w:sz w:val="24"/>
        </w:rPr>
        <w:t>安全措施不全每次处罚500元，经指正后不能及时补救或重复出现的每次</w:t>
      </w:r>
      <w:r>
        <w:rPr>
          <w:rFonts w:hint="eastAsia" w:hAnsi="宋体"/>
          <w:bCs/>
          <w:sz w:val="24"/>
        </w:rPr>
        <w:t>处罚</w:t>
      </w:r>
      <w:r>
        <w:rPr>
          <w:rFonts w:hAnsi="宋体"/>
          <w:bCs/>
          <w:sz w:val="24"/>
        </w:rPr>
        <w:t>1000元</w:t>
      </w:r>
      <w:r>
        <w:rPr>
          <w:rFonts w:hint="eastAsia" w:hAnsi="宋体"/>
          <w:bCs/>
          <w:sz w:val="24"/>
        </w:rPr>
        <w:t>。</w:t>
      </w:r>
    </w:p>
    <w:p>
      <w:pPr>
        <w:widowControl/>
        <w:shd w:val="clear" w:color="auto" w:fill="FFFFFF"/>
        <w:spacing w:line="460" w:lineRule="exact"/>
        <w:ind w:firstLine="480" w:firstLineChars="200"/>
        <w:rPr>
          <w:rFonts w:hAnsi="宋体"/>
          <w:bCs/>
          <w:sz w:val="24"/>
        </w:rPr>
      </w:pPr>
      <w:r>
        <w:rPr>
          <w:rFonts w:hAnsi="宋体"/>
          <w:bCs/>
          <w:sz w:val="24"/>
        </w:rPr>
        <w:t>2</w:t>
      </w:r>
      <w:r>
        <w:rPr>
          <w:rFonts w:hint="eastAsia" w:hAnsi="宋体"/>
          <w:bCs/>
          <w:sz w:val="24"/>
        </w:rPr>
        <w:t>、</w:t>
      </w:r>
      <w:r>
        <w:rPr>
          <w:rFonts w:hAnsi="宋体"/>
          <w:bCs/>
          <w:sz w:val="24"/>
        </w:rPr>
        <w:t>由于人为责任造成的设备损坏</w:t>
      </w:r>
      <w:r>
        <w:rPr>
          <w:rFonts w:hint="eastAsia" w:hAnsi="宋体"/>
          <w:bCs/>
          <w:sz w:val="24"/>
        </w:rPr>
        <w:t>、设备停机</w:t>
      </w:r>
      <w:r>
        <w:rPr>
          <w:rFonts w:hAnsi="宋体"/>
          <w:bCs/>
          <w:sz w:val="24"/>
        </w:rPr>
        <w:t>每次</w:t>
      </w:r>
      <w:r>
        <w:rPr>
          <w:rFonts w:hint="eastAsia" w:hAnsi="宋体"/>
          <w:bCs/>
          <w:sz w:val="24"/>
        </w:rPr>
        <w:t>处罚</w:t>
      </w:r>
      <w:r>
        <w:rPr>
          <w:rFonts w:hAnsi="宋体"/>
          <w:bCs/>
          <w:sz w:val="24"/>
        </w:rPr>
        <w:t>1000元，同时还应对损坏设备全额赔偿。</w:t>
      </w:r>
    </w:p>
    <w:p>
      <w:pPr>
        <w:widowControl/>
        <w:shd w:val="clear" w:color="auto" w:fill="FFFFFF"/>
        <w:spacing w:line="460" w:lineRule="exact"/>
        <w:ind w:firstLine="480" w:firstLineChars="200"/>
        <w:rPr>
          <w:rFonts w:hAnsi="宋体"/>
          <w:bCs/>
          <w:sz w:val="24"/>
        </w:rPr>
      </w:pPr>
      <w:r>
        <w:rPr>
          <w:rFonts w:hint="eastAsia" w:hAnsi="宋体"/>
          <w:bCs/>
          <w:sz w:val="24"/>
        </w:rPr>
        <w:t>3、因承包人原因，造成福海创《事故等级划分》中的事件（未遂事故）。承包人按直接损失赔偿发包人外，另扣款5000元/次。</w:t>
      </w:r>
    </w:p>
    <w:p>
      <w:pPr>
        <w:widowControl/>
        <w:shd w:val="clear" w:color="auto" w:fill="FFFFFF"/>
        <w:spacing w:line="460" w:lineRule="exact"/>
        <w:ind w:firstLine="480" w:firstLineChars="200"/>
        <w:rPr>
          <w:rFonts w:hAnsi="宋体"/>
          <w:bCs/>
          <w:sz w:val="24"/>
        </w:rPr>
      </w:pPr>
      <w:r>
        <w:rPr>
          <w:rFonts w:hint="eastAsia" w:hAnsi="宋体"/>
          <w:bCs/>
          <w:sz w:val="24"/>
        </w:rPr>
        <w:t>4、因承包人原因，造成福海创《事故等级划分》中的１级事故。承包人按直接损失赔偿发包人外，另扣款10000元/次。</w:t>
      </w:r>
    </w:p>
    <w:p>
      <w:pPr>
        <w:numPr>
          <w:ilvl w:val="0"/>
          <w:numId w:val="8"/>
        </w:numPr>
        <w:spacing w:line="420" w:lineRule="exact"/>
        <w:rPr>
          <w:rFonts w:hint="eastAsia" w:ascii="宋体" w:hAnsi="宋体"/>
          <w:b/>
          <w:bCs/>
          <w:sz w:val="28"/>
        </w:rPr>
      </w:pPr>
      <w:r>
        <w:rPr>
          <w:rFonts w:hint="eastAsia" w:ascii="宋体" w:hAnsi="宋体"/>
          <w:b/>
          <w:bCs/>
          <w:sz w:val="28"/>
        </w:rPr>
        <w:t>违约解除条款</w:t>
      </w:r>
    </w:p>
    <w:p>
      <w:pPr>
        <w:widowControl/>
        <w:shd w:val="clear" w:color="auto" w:fill="FFFFFF"/>
        <w:spacing w:line="460" w:lineRule="exact"/>
        <w:ind w:firstLine="720" w:firstLineChars="300"/>
        <w:rPr>
          <w:rFonts w:ascii="宋体" w:hAnsi="宋体"/>
          <w:bCs/>
          <w:sz w:val="24"/>
        </w:rPr>
      </w:pPr>
      <w:r>
        <w:rPr>
          <w:rFonts w:hint="eastAsia" w:ascii="宋体" w:hAnsi="宋体"/>
          <w:bCs/>
          <w:sz w:val="24"/>
        </w:rPr>
        <w:t>承包人方有下列情形之一，发包人可终止或解除本合同：</w:t>
      </w:r>
    </w:p>
    <w:p>
      <w:pPr>
        <w:widowControl/>
        <w:shd w:val="clear" w:color="auto" w:fill="FFFFFF"/>
        <w:spacing w:line="460" w:lineRule="exact"/>
        <w:ind w:firstLine="480" w:firstLineChars="200"/>
        <w:rPr>
          <w:rFonts w:ascii="宋体" w:hAnsi="宋体"/>
          <w:bCs/>
          <w:sz w:val="24"/>
        </w:rPr>
      </w:pPr>
      <w:r>
        <w:rPr>
          <w:rFonts w:ascii="宋体" w:hAnsi="宋体"/>
          <w:bCs/>
          <w:sz w:val="24"/>
        </w:rPr>
        <w:t>1</w:t>
      </w:r>
      <w:r>
        <w:rPr>
          <w:rFonts w:hint="eastAsia" w:ascii="宋体" w:hAnsi="宋体"/>
          <w:bCs/>
          <w:sz w:val="24"/>
        </w:rPr>
        <w:t>、承包人技术服务人员、施工作业人员、机具设备不足，发包人认为不能依合同完工时。</w:t>
      </w:r>
    </w:p>
    <w:p>
      <w:pPr>
        <w:widowControl/>
        <w:shd w:val="clear" w:color="auto" w:fill="FFFFFF"/>
        <w:spacing w:line="460" w:lineRule="exact"/>
        <w:ind w:firstLine="480" w:firstLineChars="200"/>
        <w:rPr>
          <w:rFonts w:ascii="宋体" w:hAnsi="宋体"/>
          <w:bCs/>
          <w:sz w:val="24"/>
        </w:rPr>
      </w:pPr>
      <w:r>
        <w:rPr>
          <w:rFonts w:ascii="宋体" w:hAnsi="宋体"/>
          <w:bCs/>
          <w:sz w:val="24"/>
        </w:rPr>
        <w:t>2</w:t>
      </w:r>
      <w:r>
        <w:rPr>
          <w:rFonts w:hint="eastAsia" w:ascii="宋体" w:hAnsi="宋体"/>
          <w:bCs/>
          <w:sz w:val="24"/>
        </w:rPr>
        <w:t>、承包人违反本合同条款规定或发生事故不能履行合约。</w:t>
      </w:r>
    </w:p>
    <w:p>
      <w:pPr>
        <w:widowControl/>
        <w:shd w:val="clear" w:color="auto" w:fill="FFFFFF"/>
        <w:spacing w:line="460" w:lineRule="exact"/>
        <w:ind w:firstLine="480" w:firstLineChars="200"/>
        <w:rPr>
          <w:rFonts w:ascii="宋体" w:hAnsi="宋体"/>
          <w:bCs/>
          <w:sz w:val="24"/>
        </w:rPr>
      </w:pPr>
      <w:r>
        <w:rPr>
          <w:rFonts w:ascii="宋体" w:hAnsi="宋体"/>
          <w:bCs/>
          <w:sz w:val="24"/>
        </w:rPr>
        <w:t>3</w:t>
      </w:r>
      <w:r>
        <w:rPr>
          <w:rFonts w:hint="eastAsia" w:ascii="宋体" w:hAnsi="宋体"/>
          <w:bCs/>
          <w:sz w:val="24"/>
        </w:rPr>
        <w:t>、承包人人员有偷窃、破坏甲方财产等违章、违法行为时。</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4、承包人有其他违反约定的行为3次以上。</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5、承包人提供的设备、材料严重不符约定标准，经两次纠正仍达不到标准时。</w:t>
      </w:r>
    </w:p>
    <w:p>
      <w:pPr>
        <w:widowControl/>
        <w:shd w:val="clear" w:color="auto" w:fill="FFFFFF"/>
        <w:spacing w:line="460" w:lineRule="exact"/>
        <w:ind w:firstLine="480" w:firstLineChars="200"/>
        <w:rPr>
          <w:rFonts w:ascii="宋体" w:hAnsi="宋体"/>
          <w:bCs/>
          <w:sz w:val="24"/>
        </w:rPr>
      </w:pPr>
      <w:r>
        <w:rPr>
          <w:rFonts w:ascii="宋体" w:hAnsi="宋体"/>
          <w:bCs/>
          <w:sz w:val="24"/>
        </w:rPr>
        <w:t>6</w:t>
      </w:r>
      <w:r>
        <w:rPr>
          <w:rFonts w:hint="eastAsia" w:ascii="宋体" w:hAnsi="宋体"/>
          <w:bCs/>
          <w:sz w:val="24"/>
        </w:rPr>
        <w:t>、承包人不执行合同约定的义务。</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7、承包人未能按时提供质保服务，给甲方或者第三方遭受人身或经济损失的。</w:t>
      </w:r>
    </w:p>
    <w:p>
      <w:pPr>
        <w:widowControl/>
        <w:shd w:val="clear" w:color="auto" w:fill="FFFFFF"/>
        <w:spacing w:line="460" w:lineRule="exact"/>
        <w:ind w:firstLine="480" w:firstLineChars="200"/>
        <w:rPr>
          <w:rFonts w:ascii="宋体" w:hAnsi="宋体"/>
          <w:bCs/>
          <w:sz w:val="24"/>
        </w:rPr>
      </w:pPr>
      <w:r>
        <w:rPr>
          <w:rFonts w:ascii="宋体" w:hAnsi="宋体"/>
          <w:bCs/>
          <w:sz w:val="24"/>
        </w:rPr>
        <w:t>8</w:t>
      </w:r>
      <w:r>
        <w:rPr>
          <w:rFonts w:hint="eastAsia" w:ascii="宋体" w:hAnsi="宋体"/>
          <w:bCs/>
          <w:sz w:val="24"/>
        </w:rPr>
        <w:t>、承</w:t>
      </w:r>
      <w:r>
        <w:rPr>
          <w:rFonts w:ascii="宋体" w:hAnsi="宋体"/>
          <w:bCs/>
          <w:sz w:val="24"/>
        </w:rPr>
        <w:t>包人</w:t>
      </w:r>
      <w:r>
        <w:rPr>
          <w:rFonts w:hint="eastAsia" w:ascii="宋体" w:hAnsi="宋体"/>
          <w:bCs/>
          <w:sz w:val="24"/>
        </w:rPr>
        <w:t>包人违反福海创相关管理规定。</w:t>
      </w:r>
    </w:p>
    <w:p>
      <w:pPr>
        <w:widowControl/>
        <w:shd w:val="clear" w:color="auto" w:fill="FFFFFF"/>
        <w:tabs>
          <w:tab w:val="left" w:pos="851"/>
        </w:tabs>
        <w:spacing w:line="460" w:lineRule="exact"/>
        <w:ind w:firstLine="480" w:firstLineChars="200"/>
        <w:rPr>
          <w:rFonts w:ascii="宋体" w:hAnsi="宋体"/>
          <w:bCs/>
          <w:sz w:val="24"/>
        </w:rPr>
      </w:pPr>
      <w:r>
        <w:rPr>
          <w:rFonts w:ascii="宋体" w:hAnsi="宋体"/>
          <w:bCs/>
          <w:sz w:val="24"/>
        </w:rPr>
        <w:t>9</w:t>
      </w:r>
      <w:r>
        <w:rPr>
          <w:rFonts w:hint="eastAsia" w:ascii="宋体" w:hAnsi="宋体"/>
          <w:bCs/>
          <w:sz w:val="24"/>
        </w:rPr>
        <w:t>、承包人若因上述原因被终止或解除合约时，在福海创书面通知中止合同后，承包人必须无条件配合交接，否则造成的一切损失由承包人承担。</w:t>
      </w:r>
    </w:p>
    <w:p>
      <w:pPr>
        <w:numPr>
          <w:ilvl w:val="0"/>
          <w:numId w:val="8"/>
        </w:numPr>
        <w:spacing w:line="420" w:lineRule="exact"/>
        <w:rPr>
          <w:rFonts w:hint="eastAsia" w:ascii="宋体" w:hAnsi="宋体"/>
          <w:b/>
          <w:bCs/>
          <w:sz w:val="28"/>
        </w:rPr>
      </w:pPr>
      <w:r>
        <w:rPr>
          <w:rFonts w:hint="eastAsia" w:ascii="宋体" w:hAnsi="宋体"/>
          <w:b/>
          <w:bCs/>
          <w:sz w:val="28"/>
        </w:rPr>
        <w:t>质</w:t>
      </w:r>
      <w:bookmarkStart w:id="8" w:name="_Toc345828"/>
      <w:bookmarkStart w:id="9" w:name="_Toc435536732"/>
      <w:bookmarkStart w:id="10" w:name="_Toc426390430"/>
      <w:bookmarkStart w:id="11" w:name="_Toc402583302"/>
      <w:bookmarkStart w:id="12" w:name="_Toc436558125"/>
      <w:bookmarkStart w:id="13" w:name="_Toc438976266"/>
      <w:bookmarkStart w:id="14" w:name="_Toc170491903"/>
      <w:bookmarkStart w:id="15" w:name="_Toc422824622"/>
      <w:bookmarkStart w:id="16" w:name="_Toc426390510"/>
      <w:r>
        <w:rPr>
          <w:rFonts w:hint="eastAsia" w:ascii="宋体" w:hAnsi="宋体"/>
          <w:b/>
          <w:bCs/>
          <w:sz w:val="28"/>
        </w:rPr>
        <w:t>量保证</w:t>
      </w:r>
      <w:bookmarkEnd w:id="7"/>
      <w:bookmarkEnd w:id="8"/>
      <w:bookmarkEnd w:id="9"/>
      <w:bookmarkEnd w:id="10"/>
      <w:bookmarkEnd w:id="11"/>
      <w:bookmarkEnd w:id="12"/>
      <w:bookmarkEnd w:id="13"/>
      <w:bookmarkEnd w:id="14"/>
      <w:bookmarkEnd w:id="15"/>
      <w:bookmarkEnd w:id="16"/>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1、产品的检验及验收试验均遵照有关规定和标准，并满足本发包方案的要求。</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2、承包商应对所提供的设备和附件的制造质量、技术规格负有完全责任。</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3、所有设备、配件应该在出厂前进行质量检验，需具有产品合格证书，并带产品检验报告等。</w:t>
      </w:r>
    </w:p>
    <w:p>
      <w:pPr>
        <w:numPr>
          <w:ilvl w:val="0"/>
          <w:numId w:val="8"/>
        </w:numPr>
        <w:spacing w:line="420" w:lineRule="exact"/>
        <w:rPr>
          <w:rFonts w:hint="eastAsia" w:ascii="宋体" w:hAnsi="宋体"/>
          <w:b/>
          <w:bCs/>
          <w:sz w:val="28"/>
        </w:rPr>
      </w:pPr>
      <w:bookmarkStart w:id="17" w:name="_Toc14717"/>
      <w:bookmarkStart w:id="18" w:name="_Toc84079337"/>
      <w:bookmarkStart w:id="19" w:name="_Toc84686540"/>
      <w:bookmarkStart w:id="20" w:name="_Toc85103708"/>
      <w:r>
        <w:rPr>
          <w:rFonts w:hint="eastAsia" w:ascii="宋体" w:hAnsi="宋体"/>
          <w:b/>
          <w:bCs/>
          <w:sz w:val="28"/>
        </w:rPr>
        <w:t>服</w:t>
      </w:r>
      <w:bookmarkStart w:id="21" w:name="_Toc438976267"/>
      <w:bookmarkStart w:id="22" w:name="_Toc436558126"/>
      <w:bookmarkStart w:id="23" w:name="_Toc422824623"/>
      <w:bookmarkStart w:id="24" w:name="_Toc435536733"/>
      <w:bookmarkStart w:id="25" w:name="_Toc426390511"/>
      <w:bookmarkStart w:id="26" w:name="_Toc402583303"/>
      <w:bookmarkStart w:id="27" w:name="_Toc345829"/>
      <w:bookmarkStart w:id="28" w:name="_Toc426390431"/>
      <w:bookmarkStart w:id="29" w:name="_Toc170491904"/>
      <w:r>
        <w:rPr>
          <w:rFonts w:hint="eastAsia" w:ascii="宋体" w:hAnsi="宋体"/>
          <w:b/>
          <w:bCs/>
          <w:sz w:val="28"/>
        </w:rPr>
        <w:t>务和维修</w:t>
      </w:r>
      <w:bookmarkEnd w:id="17"/>
      <w:bookmarkEnd w:id="18"/>
      <w:bookmarkEnd w:id="19"/>
      <w:bookmarkEnd w:id="20"/>
    </w:p>
    <w:bookmarkEnd w:id="21"/>
    <w:bookmarkEnd w:id="22"/>
    <w:bookmarkEnd w:id="23"/>
    <w:bookmarkEnd w:id="24"/>
    <w:bookmarkEnd w:id="25"/>
    <w:bookmarkEnd w:id="26"/>
    <w:bookmarkEnd w:id="27"/>
    <w:bookmarkEnd w:id="28"/>
    <w:bookmarkEnd w:id="29"/>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1、质量保证期为自项目验收后</w:t>
      </w:r>
      <w:r>
        <w:rPr>
          <w:rFonts w:ascii="宋体" w:hAnsi="宋体"/>
          <w:bCs/>
          <w:sz w:val="24"/>
        </w:rPr>
        <w:t>1</w:t>
      </w:r>
      <w:r>
        <w:rPr>
          <w:rFonts w:hint="eastAsia" w:ascii="宋体" w:hAnsi="宋体"/>
          <w:bCs/>
          <w:sz w:val="24"/>
        </w:rPr>
        <w:t>年。</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2、在质量保证期，承包商应保证及时免费更换或修复存在在缺陷而导致故障和损坏的产品（除不可抗拒力)，用来更换的设备和配件应是新的。</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3、供货方应对设备的售后技术服务、使用与维修技术咨询提供良好的保证，保证全年每天24小时提供免费热线技术服务。在接到使用方设备故障通知或服务要求后4小时答复，进入故障处理程序；工程技术人员24小时到达现场提供免费现场服务。</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4、承包商应对用户进行现场免费培训，并免费提供详细的培训文件。</w:t>
      </w:r>
    </w:p>
    <w:p>
      <w:pPr>
        <w:numPr>
          <w:ilvl w:val="0"/>
          <w:numId w:val="8"/>
        </w:numPr>
        <w:spacing w:line="420" w:lineRule="exact"/>
        <w:rPr>
          <w:rFonts w:hint="eastAsia" w:ascii="宋体" w:hAnsi="宋体"/>
          <w:b/>
          <w:bCs/>
          <w:sz w:val="28"/>
        </w:rPr>
      </w:pPr>
      <w:r>
        <w:rPr>
          <w:rFonts w:hint="eastAsia" w:ascii="宋体" w:hAnsi="宋体"/>
          <w:b/>
          <w:bCs/>
          <w:sz w:val="28"/>
        </w:rPr>
        <w:t>特别说明</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1、本技术条款是对本招标工程的最低限度要求。承包方施工质量必须符合发包方提供的相关要求以及相应的国家法律法规、标准规范要求。</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2、承包方对本技术条款的严格遵守并不意味着可以解除其正确选材、施工、检试验、验收以及满足规定的操作工况等所应承担的责任，并对施工过程中涉及到的健康、安全和环境保护、消防等全面负责。</w:t>
      </w: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电气团队消控室新增视频监控LED显示大屏采购发包项目参选保证金参选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电气团队消控室新增视频监控LED显示大屏采购发包项目</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合同含税包干固定总价（大写）：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2400" w:firstLineChars="100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8D878AD"/>
    <w:multiLevelType w:val="multilevel"/>
    <w:tmpl w:val="68D878AD"/>
    <w:lvl w:ilvl="0" w:tentative="0">
      <w:start w:val="1"/>
      <w:numFmt w:val="japaneseCounting"/>
      <w:lvlText w:val="%1．"/>
      <w:lvlJc w:val="left"/>
      <w:pPr>
        <w:tabs>
          <w:tab w:val="left" w:pos="720"/>
        </w:tabs>
        <w:ind w:left="720" w:hanging="720"/>
      </w:pPr>
      <w:rPr>
        <w:rFonts w:hint="eastAsia"/>
        <w:lang w:val="en-US"/>
      </w:rPr>
    </w:lvl>
    <w:lvl w:ilvl="1" w:tentative="0">
      <w:start w:val="1"/>
      <w:numFmt w:val="decimal"/>
      <w:lvlText w:val="%2．"/>
      <w:lvlJc w:val="left"/>
      <w:pPr>
        <w:tabs>
          <w:tab w:val="left" w:pos="1120"/>
        </w:tabs>
        <w:ind w:left="1120" w:hanging="720"/>
      </w:pPr>
      <w:rPr>
        <w:rFonts w:hint="eastAsia"/>
      </w:rPr>
    </w:lvl>
    <w:lvl w:ilvl="2" w:tentative="0">
      <w:start w:val="1"/>
      <w:numFmt w:val="bullet"/>
      <w:lvlText w:val=""/>
      <w:lvlJc w:val="left"/>
      <w:pPr>
        <w:tabs>
          <w:tab w:val="left" w:pos="1260"/>
        </w:tabs>
        <w:ind w:left="1260" w:hanging="420"/>
      </w:pPr>
      <w:rPr>
        <w:rFonts w:hint="default" w:ascii="Wingdings" w:hAnsi="Wingdings" w:eastAsia="楷体_GB2312"/>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C6A5EAE"/>
    <w:multiLevelType w:val="multilevel"/>
    <w:tmpl w:val="6C6A5EAE"/>
    <w:lvl w:ilvl="0" w:tentative="0">
      <w:start w:val="1"/>
      <w:numFmt w:val="decimal"/>
      <w:lvlText w:val="%1、"/>
      <w:lvlJc w:val="left"/>
      <w:pPr>
        <w:ind w:left="820" w:hanging="360"/>
      </w:pPr>
      <w:rPr>
        <w:rFonts w:hint="default"/>
      </w:rPr>
    </w:lvl>
    <w:lvl w:ilvl="1" w:tentative="0">
      <w:start w:val="1"/>
      <w:numFmt w:val="lowerLetter"/>
      <w:lvlText w:val="%2)"/>
      <w:lvlJc w:val="left"/>
      <w:pPr>
        <w:ind w:left="1300" w:hanging="420"/>
      </w:pPr>
    </w:lvl>
    <w:lvl w:ilvl="2" w:tentative="0">
      <w:start w:val="1"/>
      <w:numFmt w:val="lowerRoman"/>
      <w:lvlText w:val="%3."/>
      <w:lvlJc w:val="right"/>
      <w:pPr>
        <w:ind w:left="1720" w:hanging="420"/>
      </w:pPr>
    </w:lvl>
    <w:lvl w:ilvl="3" w:tentative="0">
      <w:start w:val="1"/>
      <w:numFmt w:val="decimal"/>
      <w:lvlText w:val="%4."/>
      <w:lvlJc w:val="left"/>
      <w:pPr>
        <w:ind w:left="2140" w:hanging="420"/>
      </w:pPr>
    </w:lvl>
    <w:lvl w:ilvl="4" w:tentative="0">
      <w:start w:val="1"/>
      <w:numFmt w:val="lowerLetter"/>
      <w:lvlText w:val="%5)"/>
      <w:lvlJc w:val="left"/>
      <w:pPr>
        <w:ind w:left="2560" w:hanging="420"/>
      </w:pPr>
    </w:lvl>
    <w:lvl w:ilvl="5" w:tentative="0">
      <w:start w:val="1"/>
      <w:numFmt w:val="lowerRoman"/>
      <w:lvlText w:val="%6."/>
      <w:lvlJc w:val="right"/>
      <w:pPr>
        <w:ind w:left="2980" w:hanging="420"/>
      </w:pPr>
    </w:lvl>
    <w:lvl w:ilvl="6" w:tentative="0">
      <w:start w:val="1"/>
      <w:numFmt w:val="decimal"/>
      <w:lvlText w:val="%7."/>
      <w:lvlJc w:val="left"/>
      <w:pPr>
        <w:ind w:left="3400" w:hanging="420"/>
      </w:pPr>
    </w:lvl>
    <w:lvl w:ilvl="7" w:tentative="0">
      <w:start w:val="1"/>
      <w:numFmt w:val="lowerLetter"/>
      <w:lvlText w:val="%8)"/>
      <w:lvlJc w:val="left"/>
      <w:pPr>
        <w:ind w:left="3820" w:hanging="420"/>
      </w:pPr>
    </w:lvl>
    <w:lvl w:ilvl="8" w:tentative="0">
      <w:start w:val="1"/>
      <w:numFmt w:val="lowerRoman"/>
      <w:lvlText w:val="%9."/>
      <w:lvlJc w:val="right"/>
      <w:pPr>
        <w:ind w:left="4240" w:hanging="420"/>
      </w:p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367315B"/>
    <w:rsid w:val="04F6467F"/>
    <w:rsid w:val="052E194E"/>
    <w:rsid w:val="061139E5"/>
    <w:rsid w:val="06F50B00"/>
    <w:rsid w:val="076E1278"/>
    <w:rsid w:val="08D1141D"/>
    <w:rsid w:val="094A7BA5"/>
    <w:rsid w:val="09610811"/>
    <w:rsid w:val="0B296DE2"/>
    <w:rsid w:val="0B4F0FFE"/>
    <w:rsid w:val="0D1A05A7"/>
    <w:rsid w:val="10294AA3"/>
    <w:rsid w:val="10791B1A"/>
    <w:rsid w:val="109B279F"/>
    <w:rsid w:val="10E40CA0"/>
    <w:rsid w:val="136130D9"/>
    <w:rsid w:val="13CE320B"/>
    <w:rsid w:val="156105C2"/>
    <w:rsid w:val="158161EB"/>
    <w:rsid w:val="158E1ADE"/>
    <w:rsid w:val="18DD4F7E"/>
    <w:rsid w:val="195B58A2"/>
    <w:rsid w:val="19F253E3"/>
    <w:rsid w:val="1A3A6DF2"/>
    <w:rsid w:val="1C217EAF"/>
    <w:rsid w:val="1DC9336B"/>
    <w:rsid w:val="1E085A14"/>
    <w:rsid w:val="1FF43DDB"/>
    <w:rsid w:val="21933AA2"/>
    <w:rsid w:val="228B0245"/>
    <w:rsid w:val="24DC0EEC"/>
    <w:rsid w:val="25BF356F"/>
    <w:rsid w:val="25DB0C2D"/>
    <w:rsid w:val="269469E7"/>
    <w:rsid w:val="269C5229"/>
    <w:rsid w:val="270310AF"/>
    <w:rsid w:val="29FC3B14"/>
    <w:rsid w:val="2B11792E"/>
    <w:rsid w:val="2C9B48A1"/>
    <w:rsid w:val="2DE57862"/>
    <w:rsid w:val="2EF411A5"/>
    <w:rsid w:val="31C54755"/>
    <w:rsid w:val="320B25D2"/>
    <w:rsid w:val="3216608C"/>
    <w:rsid w:val="32E0343B"/>
    <w:rsid w:val="34CE14C6"/>
    <w:rsid w:val="34D84CEC"/>
    <w:rsid w:val="379B53C1"/>
    <w:rsid w:val="37AF5AB7"/>
    <w:rsid w:val="37F824E3"/>
    <w:rsid w:val="395A672D"/>
    <w:rsid w:val="3B1C3371"/>
    <w:rsid w:val="3B8C26AA"/>
    <w:rsid w:val="3CC23198"/>
    <w:rsid w:val="3DDF4815"/>
    <w:rsid w:val="3ED80D7C"/>
    <w:rsid w:val="3FB11C04"/>
    <w:rsid w:val="3FE669E5"/>
    <w:rsid w:val="40FD77F3"/>
    <w:rsid w:val="423D79BD"/>
    <w:rsid w:val="46595107"/>
    <w:rsid w:val="48E12EB7"/>
    <w:rsid w:val="4C3D436D"/>
    <w:rsid w:val="4D230D7C"/>
    <w:rsid w:val="4D7472E9"/>
    <w:rsid w:val="4F34472E"/>
    <w:rsid w:val="4F7033BA"/>
    <w:rsid w:val="4FB40925"/>
    <w:rsid w:val="50F63E28"/>
    <w:rsid w:val="5221007F"/>
    <w:rsid w:val="52926B5A"/>
    <w:rsid w:val="545C5E51"/>
    <w:rsid w:val="5486175B"/>
    <w:rsid w:val="5604432E"/>
    <w:rsid w:val="57667D24"/>
    <w:rsid w:val="57CE5BC3"/>
    <w:rsid w:val="586D6C9A"/>
    <w:rsid w:val="5AE1516A"/>
    <w:rsid w:val="5B6A3A79"/>
    <w:rsid w:val="5C1A5F7B"/>
    <w:rsid w:val="5C57586D"/>
    <w:rsid w:val="5EF92A9F"/>
    <w:rsid w:val="5F3F564B"/>
    <w:rsid w:val="645771F8"/>
    <w:rsid w:val="65304BCB"/>
    <w:rsid w:val="66FD5367"/>
    <w:rsid w:val="69CE6A8F"/>
    <w:rsid w:val="6A54112D"/>
    <w:rsid w:val="6AA035AE"/>
    <w:rsid w:val="6C64133F"/>
    <w:rsid w:val="6D205909"/>
    <w:rsid w:val="6D7959E2"/>
    <w:rsid w:val="6E0F2E14"/>
    <w:rsid w:val="6EBB75BF"/>
    <w:rsid w:val="6F1E141D"/>
    <w:rsid w:val="6F5354F8"/>
    <w:rsid w:val="72DE4E13"/>
    <w:rsid w:val="73F3359E"/>
    <w:rsid w:val="740A2BDE"/>
    <w:rsid w:val="74793297"/>
    <w:rsid w:val="74B45F33"/>
    <w:rsid w:val="751839E0"/>
    <w:rsid w:val="75D56EB3"/>
    <w:rsid w:val="76274F93"/>
    <w:rsid w:val="79EB3F2F"/>
    <w:rsid w:val="7A442103"/>
    <w:rsid w:val="7B11789E"/>
    <w:rsid w:val="7C10742B"/>
    <w:rsid w:val="7CBF3194"/>
    <w:rsid w:val="7D001ABF"/>
    <w:rsid w:val="7D1F33A6"/>
    <w:rsid w:val="7DA460CF"/>
    <w:rsid w:val="7DC94A0A"/>
    <w:rsid w:val="7E7E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qFormat/>
    <w:uiPriority w:val="0"/>
    <w:pPr>
      <w:widowControl/>
    </w:pPr>
    <w:rPr>
      <w:b/>
      <w:bCs/>
      <w:sz w:val="24"/>
      <w:szCs w:val="24"/>
    </w:rPr>
  </w:style>
  <w:style w:type="paragraph" w:styleId="45">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0091F2"/>
      <w:sz w:val="18"/>
      <w:szCs w:val="18"/>
      <w:u w:val="non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HTML Code"/>
    <w:basedOn w:val="48"/>
    <w:semiHidden/>
    <w:unhideWhenUsed/>
    <w:uiPriority w:val="0"/>
    <w:rPr>
      <w:rFonts w:ascii="Courier New" w:hAnsi="Courier New"/>
      <w:sz w:val="20"/>
      <w:bdr w:val="none" w:color="auto" w:sz="0" w:space="0"/>
    </w:rPr>
  </w:style>
  <w:style w:type="character" w:styleId="55">
    <w:name w:val="annotation reference"/>
    <w:basedOn w:val="48"/>
    <w:qFormat/>
    <w:uiPriority w:val="0"/>
    <w:rPr>
      <w:sz w:val="21"/>
      <w:szCs w:val="21"/>
    </w:rPr>
  </w:style>
  <w:style w:type="character" w:customStyle="1" w:styleId="56">
    <w:name w:val="标题 1 Char"/>
    <w:basedOn w:val="48"/>
    <w:link w:val="3"/>
    <w:qFormat/>
    <w:uiPriority w:val="0"/>
    <w:rPr>
      <w:rFonts w:ascii="宋体" w:hAnsi="宋体" w:cs="宋体"/>
      <w:b/>
      <w:bCs/>
      <w:sz w:val="28"/>
      <w:szCs w:val="28"/>
      <w:lang w:eastAsia="en-US"/>
    </w:rPr>
  </w:style>
  <w:style w:type="character" w:customStyle="1" w:styleId="57">
    <w:name w:val="标题 2 Char"/>
    <w:basedOn w:val="48"/>
    <w:link w:val="4"/>
    <w:qFormat/>
    <w:uiPriority w:val="0"/>
    <w:rPr>
      <w:rFonts w:ascii="宋体" w:hAnsi="宋体" w:cs="宋体"/>
      <w:b/>
      <w:bCs/>
      <w:sz w:val="24"/>
      <w:szCs w:val="24"/>
      <w:lang w:eastAsia="en-US"/>
    </w:rPr>
  </w:style>
  <w:style w:type="character" w:customStyle="1" w:styleId="58">
    <w:name w:val="标题 3 Char"/>
    <w:basedOn w:val="48"/>
    <w:link w:val="5"/>
    <w:qFormat/>
    <w:uiPriority w:val="0"/>
    <w:rPr>
      <w:b/>
      <w:bCs/>
      <w:kern w:val="2"/>
      <w:sz w:val="32"/>
      <w:szCs w:val="32"/>
    </w:rPr>
  </w:style>
  <w:style w:type="character" w:customStyle="1" w:styleId="59">
    <w:name w:val="标题 4 Char"/>
    <w:basedOn w:val="48"/>
    <w:link w:val="6"/>
    <w:qFormat/>
    <w:uiPriority w:val="0"/>
    <w:rPr>
      <w:b/>
      <w:kern w:val="2"/>
      <w:sz w:val="24"/>
      <w:szCs w:val="24"/>
    </w:rPr>
  </w:style>
  <w:style w:type="character" w:customStyle="1" w:styleId="60">
    <w:name w:val="标题 5 Char"/>
    <w:basedOn w:val="48"/>
    <w:link w:val="7"/>
    <w:qFormat/>
    <w:uiPriority w:val="0"/>
    <w:rPr>
      <w:b/>
      <w:bCs/>
      <w:kern w:val="2"/>
      <w:sz w:val="28"/>
      <w:szCs w:val="28"/>
    </w:rPr>
  </w:style>
  <w:style w:type="character" w:customStyle="1" w:styleId="61">
    <w:name w:val="标题 6 Char"/>
    <w:basedOn w:val="48"/>
    <w:link w:val="8"/>
    <w:qFormat/>
    <w:uiPriority w:val="0"/>
    <w:rPr>
      <w:b/>
      <w:sz w:val="24"/>
    </w:rPr>
  </w:style>
  <w:style w:type="character" w:customStyle="1" w:styleId="62">
    <w:name w:val="正文缩进 Char"/>
    <w:basedOn w:val="48"/>
    <w:link w:val="10"/>
    <w:qFormat/>
    <w:uiPriority w:val="0"/>
    <w:rPr>
      <w:sz w:val="24"/>
    </w:rPr>
  </w:style>
  <w:style w:type="character" w:customStyle="1" w:styleId="63">
    <w:name w:val="标题 7 Char"/>
    <w:basedOn w:val="48"/>
    <w:link w:val="9"/>
    <w:qFormat/>
    <w:uiPriority w:val="0"/>
    <w:rPr>
      <w:b/>
      <w:kern w:val="2"/>
      <w:sz w:val="24"/>
    </w:rPr>
  </w:style>
  <w:style w:type="character" w:customStyle="1" w:styleId="64">
    <w:name w:val="标题 8 Char"/>
    <w:basedOn w:val="48"/>
    <w:link w:val="11"/>
    <w:qFormat/>
    <w:uiPriority w:val="0"/>
    <w:rPr>
      <w:rFonts w:ascii="Arial" w:hAnsi="Arial" w:eastAsia="黑体"/>
      <w:kern w:val="2"/>
      <w:sz w:val="24"/>
    </w:rPr>
  </w:style>
  <w:style w:type="character" w:customStyle="1" w:styleId="65">
    <w:name w:val="标题 9 Char"/>
    <w:basedOn w:val="48"/>
    <w:link w:val="12"/>
    <w:qFormat/>
    <w:uiPriority w:val="0"/>
    <w:rPr>
      <w:rFonts w:ascii="Arial" w:hAnsi="Arial" w:eastAsia="黑体"/>
      <w:kern w:val="2"/>
      <w:sz w:val="21"/>
    </w:rPr>
  </w:style>
  <w:style w:type="character" w:customStyle="1" w:styleId="66">
    <w:name w:val="正文文本 Char1"/>
    <w:basedOn w:val="48"/>
    <w:link w:val="20"/>
    <w:qFormat/>
    <w:uiPriority w:val="1"/>
    <w:rPr>
      <w:rFonts w:ascii="宋体" w:hAnsi="宋体" w:cs="宋体"/>
      <w:sz w:val="24"/>
      <w:szCs w:val="24"/>
      <w:lang w:eastAsia="en-US"/>
    </w:rPr>
  </w:style>
  <w:style w:type="character" w:customStyle="1" w:styleId="67">
    <w:name w:val="纯文本 Char"/>
    <w:basedOn w:val="48"/>
    <w:link w:val="25"/>
    <w:qFormat/>
    <w:uiPriority w:val="0"/>
    <w:rPr>
      <w:rFonts w:ascii="宋体" w:hAnsi="Courier New" w:cs="Courier New"/>
      <w:sz w:val="22"/>
      <w:szCs w:val="21"/>
      <w:lang w:eastAsia="en-US"/>
    </w:rPr>
  </w:style>
  <w:style w:type="character" w:customStyle="1" w:styleId="68">
    <w:name w:val="页脚 Char"/>
    <w:basedOn w:val="48"/>
    <w:link w:val="30"/>
    <w:qFormat/>
    <w:uiPriority w:val="99"/>
    <w:rPr>
      <w:rFonts w:ascii="宋体" w:hAnsi="宋体" w:cs="宋体"/>
      <w:sz w:val="18"/>
      <w:szCs w:val="18"/>
      <w:lang w:eastAsia="en-US"/>
    </w:rPr>
  </w:style>
  <w:style w:type="character" w:customStyle="1" w:styleId="69">
    <w:name w:val="页眉 Char"/>
    <w:basedOn w:val="48"/>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9"/>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7"/>
    <w:qFormat/>
    <w:uiPriority w:val="0"/>
    <w:rPr>
      <w:kern w:val="2"/>
      <w:sz w:val="21"/>
    </w:rPr>
  </w:style>
  <w:style w:type="character" w:customStyle="1" w:styleId="83">
    <w:name w:val="批注框文本 Char"/>
    <w:basedOn w:val="48"/>
    <w:link w:val="29"/>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8"/>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1"/>
    <w:qFormat/>
    <w:uiPriority w:val="0"/>
    <w:rPr>
      <w:i/>
      <w:iCs/>
      <w:kern w:val="2"/>
      <w:sz w:val="21"/>
    </w:rPr>
  </w:style>
  <w:style w:type="character" w:customStyle="1" w:styleId="91">
    <w:name w:val="正文文本 3 Char"/>
    <w:basedOn w:val="48"/>
    <w:link w:val="18"/>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6"/>
    <w:qFormat/>
    <w:uiPriority w:val="0"/>
    <w:rPr>
      <w:rFonts w:ascii="宋体"/>
      <w:sz w:val="28"/>
      <w:shd w:val="clear" w:color="auto" w:fill="000080"/>
    </w:rPr>
  </w:style>
  <w:style w:type="character" w:customStyle="1" w:styleId="96">
    <w:name w:val="日期 Char"/>
    <w:basedOn w:val="48"/>
    <w:link w:val="27"/>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207">
    <w:name w:val="common_over_page_btn1"/>
    <w:basedOn w:val="48"/>
    <w:uiPriority w:val="0"/>
    <w:rPr>
      <w:bdr w:val="none" w:color="auto" w:sz="0" w:space="0"/>
    </w:rPr>
  </w:style>
  <w:style w:type="character" w:customStyle="1" w:styleId="208">
    <w:name w:val="common_over_page_btn2"/>
    <w:basedOn w:val="48"/>
    <w:uiPriority w:val="0"/>
    <w:rPr>
      <w:color w:val="999999"/>
      <w:bdr w:val="single" w:color="D4D4D4"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8933</Words>
  <Characters>9527</Characters>
  <Lines>81</Lines>
  <Paragraphs>23</Paragraphs>
  <TotalTime>3</TotalTime>
  <ScaleCrop>false</ScaleCrop>
  <LinksUpToDate>false</LinksUpToDate>
  <CharactersWithSpaces>10471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2022-08-22T06:24:44Z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