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工业用甲酸钠（固体）</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工业用甲酸钠（固体）</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817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19</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w:t>
      </w:r>
    </w:p>
    <w:p>
      <w:pPr>
        <w:spacing w:line="300" w:lineRule="auto"/>
        <w:jc w:val="center"/>
        <w:rPr>
          <w:bCs/>
          <w:szCs w:val="21"/>
        </w:rPr>
      </w:pPr>
      <w:r>
        <w:rPr>
          <w:rFonts w:hint="eastAsia"/>
          <w:b/>
          <w:bCs/>
          <w:sz w:val="32"/>
          <w:lang w:val="en-US" w:eastAsia="zh-CN"/>
        </w:rPr>
        <w:t>工业用甲酸钠（固体）</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工业用甲酸钠（固体）</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2022-FHC-工业用甲酸钠（固体）-0817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工业用甲酸钠（固体）</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工业用甲酸钠（固体）</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具备经营资质，提供业绩证明</w:t>
      </w:r>
      <w:r>
        <w:rPr>
          <w:rFonts w:hint="eastAsia" w:asciiTheme="minorEastAsia" w:hAnsiTheme="minorEastAsia" w:eastAsiaTheme="minorEastAsia"/>
          <w:bCs/>
          <w:sz w:val="24"/>
          <w:highlight w:val="none"/>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31</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spacing w:before="0" w:line="30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（3）公司经营业绩证明（合同或发票）。</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伍仟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陈溪防</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5880919707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xfchen</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8</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19</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工业用甲酸钠（固体）</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伍仟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工业用甲酸钠（固体）</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2022-FHC-工业用甲酸钠（固体）-0817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工业用甲酸钠（固体）</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预估</w:t>
      </w:r>
      <w:r>
        <w:rPr>
          <w:rFonts w:hint="eastAsia" w:ascii="宋体" w:cs="宋体"/>
          <w:sz w:val="24"/>
        </w:rPr>
        <w:t>数量：</w:t>
      </w:r>
      <w:r>
        <w:rPr>
          <w:rFonts w:hint="eastAsia" w:ascii="宋体" w:cs="宋体"/>
          <w:sz w:val="24"/>
          <w:lang w:val="en-US" w:eastAsia="zh-CN"/>
        </w:rPr>
        <w:t>150吨。</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备注：甲酸钠实际消耗量随着生产负荷进行相应的调整，预估量跟实际用量会存在一定的出入，以实际交货数量进行结算。</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产品采购指标：甲酸钠含量≥98.0%，Ⅰ型优等品，HG/T 5390-2018，详见附件。</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编织袋，25KG/袋，带托盘。托盘高度要适合手动液压叉车托运。</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分批到货，首批20吨货</w:t>
      </w:r>
      <w:r>
        <w:rPr>
          <w:rFonts w:hint="eastAsia" w:ascii="宋体" w:hAnsi="宋体"/>
          <w:sz w:val="24"/>
        </w:rPr>
        <w:t>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工业用甲酸钠（固体）</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Theme="minorEastAsia" w:hAnsiTheme="minorEastAsia" w:eastAsiaTheme="minorEastAsia"/>
          <w:bCs/>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2022-FHC-工业用甲酸钠（固体）-0817</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2022-FHC-工业用甲酸钠（固体）-0817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2022-FHC-工业用甲酸钠（固体）-0817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工业用甲酸钠（固体）</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lang w:val="en-US" w:eastAsia="zh-CN"/>
        </w:rPr>
        <w:t>预估</w:t>
      </w:r>
      <w:r>
        <w:rPr>
          <w:rFonts w:hint="eastAsia" w:ascii="宋体" w:hAnsi="宋体"/>
          <w:sz w:val="24"/>
        </w:rPr>
        <w:t>数量：</w:t>
      </w:r>
      <w:r>
        <w:rPr>
          <w:rFonts w:hint="eastAsia" w:ascii="宋体" w:hAnsi="宋体"/>
          <w:sz w:val="24"/>
          <w:lang w:val="en-US" w:eastAsia="zh-CN"/>
        </w:rPr>
        <w:t>150吨。</w:t>
      </w:r>
    </w:p>
    <w:p>
      <w:pPr>
        <w:numPr>
          <w:ilvl w:val="0"/>
          <w:numId w:val="0"/>
        </w:numPr>
        <w:spacing w:line="360" w:lineRule="exact"/>
        <w:jc w:val="left"/>
        <w:rPr>
          <w:rFonts w:hint="eastAsia" w:ascii="宋体" w:hAnsi="宋体"/>
          <w:sz w:val="24"/>
          <w:u w:val="single"/>
        </w:rPr>
      </w:pPr>
      <w:r>
        <w:rPr>
          <w:rFonts w:hint="eastAsia" w:ascii="宋体" w:hAnsi="宋体" w:cs="宋体"/>
          <w:sz w:val="24"/>
          <w:u w:val="single"/>
          <w:lang w:val="en-US" w:eastAsia="zh-CN"/>
        </w:rPr>
        <w:t>备注：甲酸钠实际消耗量随着生产负荷进行相应的调整，预估量跟实际用量会存在一定的出入，以实际交货数量进行结算。</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4、工业用甲酸钠（固体）采购</w:t>
      </w:r>
      <w:r>
        <w:rPr>
          <w:rFonts w:hint="eastAsia" w:ascii="宋体" w:hAnsi="宋体" w:cs="宋体"/>
          <w:sz w:val="24"/>
          <w:lang w:val="en-US" w:eastAsia="zh-CN"/>
        </w:rPr>
        <w:t>指标</w:t>
      </w:r>
      <w:r>
        <w:rPr>
          <w:rFonts w:hint="eastAsia" w:ascii="宋体" w:hAnsi="宋体"/>
          <w:sz w:val="24"/>
          <w:lang w:val="en-US" w:eastAsia="zh-CN"/>
        </w:rPr>
        <w:t>：甲酸钠含量≥98.0%，Ⅰ型优等品，HG/T 5390-2018，详见附件。</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编织袋，25kg/袋，配套托盘。托盘高度要适合手动液压叉车托运。</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伍仟</w:t>
      </w:r>
      <w:r>
        <w:rPr>
          <w:rFonts w:hint="eastAsia" w:ascii="宋体" w:hAnsi="宋体"/>
          <w:sz w:val="24"/>
        </w:rPr>
        <w:t>元整，若我司中选，我司同意按照要求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首批20吨</w:t>
      </w:r>
      <w:r>
        <w:rPr>
          <w:rFonts w:hint="eastAsia" w:ascii="宋体" w:hAnsi="宋体"/>
          <w:sz w:val="24"/>
        </w:rPr>
        <w:t>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2022-FHC-工业用甲酸钠（固体）-0817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指标要求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指标</w:t>
      </w:r>
      <w:r>
        <w:rPr>
          <w:rFonts w:hint="eastAsia" w:ascii="宋体" w:hAnsi="宋体"/>
          <w:sz w:val="28"/>
          <w:szCs w:val="28"/>
          <w:u w:val="single"/>
        </w:rPr>
        <w:t>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737"/>
        <w:gridCol w:w="803"/>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3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0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工业用甲酸钠（固体）</w:t>
            </w: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37"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803"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150</w:t>
            </w: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val="0"/>
          <w:bCs/>
          <w:szCs w:val="21"/>
        </w:rPr>
      </w:pPr>
      <w:r>
        <w:rPr>
          <w:rFonts w:hint="eastAsia" w:ascii="宋体" w:hAnsi="宋体"/>
          <w:b w:val="0"/>
          <w:bCs/>
          <w:szCs w:val="21"/>
        </w:rPr>
        <w:t>上述数量为暂定</w:t>
      </w:r>
      <w:r>
        <w:rPr>
          <w:rFonts w:hint="eastAsia" w:ascii="宋体" w:hAnsi="宋体"/>
          <w:b w:val="0"/>
          <w:bCs/>
          <w:szCs w:val="21"/>
          <w:lang w:val="en-US" w:eastAsia="zh-CN"/>
        </w:rPr>
        <w:t>数量</w:t>
      </w:r>
      <w:r>
        <w:rPr>
          <w:rFonts w:hint="eastAsia" w:ascii="宋体" w:hAnsi="宋体"/>
          <w:b w:val="0"/>
          <w:bCs/>
          <w:szCs w:val="21"/>
        </w:rPr>
        <w:t>，双方按实际交货数量结算</w:t>
      </w:r>
      <w:r>
        <w:rPr>
          <w:rFonts w:hint="eastAsia" w:ascii="宋体" w:hAnsi="宋体"/>
          <w:b w:val="0"/>
          <w:bCs/>
          <w:szCs w:val="21"/>
          <w:lang w:eastAsia="zh-CN"/>
        </w:rPr>
        <w:t>。</w:t>
      </w:r>
    </w:p>
    <w:p>
      <w:pPr>
        <w:spacing w:line="280" w:lineRule="exact"/>
        <w:rPr>
          <w:rFonts w:hint="eastAsia" w:ascii="宋体" w:hAnsi="宋体"/>
          <w:b w:val="0"/>
          <w:bCs/>
          <w:szCs w:val="21"/>
        </w:rPr>
      </w:pPr>
      <w:r>
        <w:rPr>
          <w:rFonts w:hint="eastAsia" w:ascii="宋体" w:hAnsi="宋体"/>
          <w:b w:val="0"/>
          <w:bCs/>
          <w:szCs w:val="21"/>
        </w:rPr>
        <w:t>二、供货有效期：</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2022年9 月  日至2023 年2月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酸钠含量≥98.0%，</w:t>
      </w:r>
      <w:r>
        <w:rPr>
          <w:rFonts w:hint="eastAsia" w:ascii="宋体" w:hAnsi="宋体"/>
          <w:szCs w:val="21"/>
          <w:u w:val="single"/>
          <w:lang w:val="en-US" w:eastAsia="zh-CN"/>
        </w:rPr>
        <w:t>Ⅰ型</w:t>
      </w:r>
      <w:r>
        <w:rPr>
          <w:rFonts w:hint="eastAsia" w:ascii="宋体" w:hAnsi="宋体"/>
          <w:color w:val="000000"/>
          <w:szCs w:val="21"/>
          <w:u w:val="single"/>
          <w:lang w:val="en-US" w:eastAsia="zh-CN"/>
        </w:rPr>
        <w:t>优等品</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cs="Arial"/>
          <w:color w:val="000000"/>
          <w:sz w:val="21"/>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甲酸钠含量≥98.0%，Ⅰ型优等品，HG/T 5390-2018。</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编织袋，</w:t>
      </w:r>
      <w:r>
        <w:rPr>
          <w:rFonts w:hint="eastAsia" w:ascii="宋体" w:hAnsi="宋体"/>
          <w:szCs w:val="21"/>
          <w:u w:val="single"/>
        </w:rPr>
        <w:t xml:space="preserve"> </w:t>
      </w:r>
      <w:r>
        <w:rPr>
          <w:rFonts w:hint="eastAsia" w:ascii="宋体" w:hAnsi="宋体"/>
          <w:szCs w:val="21"/>
          <w:u w:val="single"/>
          <w:lang w:val="en-US" w:eastAsia="zh-CN"/>
        </w:rPr>
        <w:t xml:space="preserve">25kg/袋，配套托盘。托盘高度要适合手动液压叉车托运。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分批到货，首批20吨货物需于2022年9月份具备到货条件，具体到货时间以需方通知为准。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5.1供方根据需方要求缴纳履约保证金并作为合同质保金，金额为人民币伍仟元整。合同履约期届满，供方按合同约定全面履约的情况下，需方于供方提交返还履约保证金申请后30天内无息返还。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采购指标要求详见附件：HG∕T 5390-2018 工业用甲酸钠。</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Californian FB">
    <w:altName w:val="Segoe Print"/>
    <w:panose1 w:val="0207040306080B0302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9E09A2"/>
    <w:rsid w:val="01AB4154"/>
    <w:rsid w:val="02003C03"/>
    <w:rsid w:val="021D391B"/>
    <w:rsid w:val="024C0384"/>
    <w:rsid w:val="02773EF6"/>
    <w:rsid w:val="02CC4E1D"/>
    <w:rsid w:val="02D53A40"/>
    <w:rsid w:val="03033536"/>
    <w:rsid w:val="03261A08"/>
    <w:rsid w:val="032D15FD"/>
    <w:rsid w:val="032F04D8"/>
    <w:rsid w:val="039A1A8C"/>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355F11"/>
    <w:rsid w:val="098E656B"/>
    <w:rsid w:val="099447D3"/>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8C5BA5"/>
    <w:rsid w:val="0CF127D7"/>
    <w:rsid w:val="0CFA5163"/>
    <w:rsid w:val="0D6B0608"/>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BF2E22"/>
    <w:rsid w:val="15C23309"/>
    <w:rsid w:val="15C31A47"/>
    <w:rsid w:val="15F16D9A"/>
    <w:rsid w:val="15FE1378"/>
    <w:rsid w:val="15FE1EB4"/>
    <w:rsid w:val="16172661"/>
    <w:rsid w:val="16270A04"/>
    <w:rsid w:val="165069FC"/>
    <w:rsid w:val="16C37041"/>
    <w:rsid w:val="16E52F30"/>
    <w:rsid w:val="1728156C"/>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D67713"/>
    <w:rsid w:val="1CF31038"/>
    <w:rsid w:val="1D0113C9"/>
    <w:rsid w:val="1D05782C"/>
    <w:rsid w:val="1DB72E7F"/>
    <w:rsid w:val="1DDB74E0"/>
    <w:rsid w:val="1E2F61EF"/>
    <w:rsid w:val="1E3264F3"/>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345BE0"/>
    <w:rsid w:val="224B2121"/>
    <w:rsid w:val="22521DD3"/>
    <w:rsid w:val="227B0690"/>
    <w:rsid w:val="228E5A5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C3B25"/>
    <w:rsid w:val="2BD31416"/>
    <w:rsid w:val="2BD36FC0"/>
    <w:rsid w:val="2BE04E2E"/>
    <w:rsid w:val="2C0B2A13"/>
    <w:rsid w:val="2C201604"/>
    <w:rsid w:val="2C31119D"/>
    <w:rsid w:val="2C3328C4"/>
    <w:rsid w:val="2C3D6896"/>
    <w:rsid w:val="2C5548F9"/>
    <w:rsid w:val="2CFC1CDC"/>
    <w:rsid w:val="2D2B1461"/>
    <w:rsid w:val="2DA319DC"/>
    <w:rsid w:val="2DD12B8D"/>
    <w:rsid w:val="2DF06759"/>
    <w:rsid w:val="2E12514F"/>
    <w:rsid w:val="2E351771"/>
    <w:rsid w:val="2E5E1E99"/>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702EA5"/>
    <w:rsid w:val="37945B49"/>
    <w:rsid w:val="379D3B99"/>
    <w:rsid w:val="37ED7F2D"/>
    <w:rsid w:val="381C0BFA"/>
    <w:rsid w:val="38227768"/>
    <w:rsid w:val="387939C8"/>
    <w:rsid w:val="38814998"/>
    <w:rsid w:val="38A94FE7"/>
    <w:rsid w:val="38BA64A1"/>
    <w:rsid w:val="38C64245"/>
    <w:rsid w:val="38F01FCD"/>
    <w:rsid w:val="39057ED7"/>
    <w:rsid w:val="39137A71"/>
    <w:rsid w:val="3955569C"/>
    <w:rsid w:val="39657C8F"/>
    <w:rsid w:val="3969383E"/>
    <w:rsid w:val="39882841"/>
    <w:rsid w:val="39A410FA"/>
    <w:rsid w:val="39ED2847"/>
    <w:rsid w:val="3A4967DD"/>
    <w:rsid w:val="3A500A72"/>
    <w:rsid w:val="3A5116BA"/>
    <w:rsid w:val="3A5B7748"/>
    <w:rsid w:val="3A86578A"/>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1A5549"/>
    <w:rsid w:val="3D470E27"/>
    <w:rsid w:val="3D475A63"/>
    <w:rsid w:val="3E032F87"/>
    <w:rsid w:val="3E287885"/>
    <w:rsid w:val="3E447FF5"/>
    <w:rsid w:val="3E536639"/>
    <w:rsid w:val="3EEE28F9"/>
    <w:rsid w:val="3EEF5D06"/>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B51F8"/>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05F19"/>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074C4A"/>
    <w:rsid w:val="4F7714C8"/>
    <w:rsid w:val="4F7B6890"/>
    <w:rsid w:val="4F8D5360"/>
    <w:rsid w:val="4FA265C1"/>
    <w:rsid w:val="4FAF2ACB"/>
    <w:rsid w:val="4FF14958"/>
    <w:rsid w:val="503B5A8A"/>
    <w:rsid w:val="505852F6"/>
    <w:rsid w:val="505B42E2"/>
    <w:rsid w:val="507E72C1"/>
    <w:rsid w:val="508235A6"/>
    <w:rsid w:val="50BB3ACD"/>
    <w:rsid w:val="50DE33C7"/>
    <w:rsid w:val="512F6EC2"/>
    <w:rsid w:val="513242BC"/>
    <w:rsid w:val="513403C7"/>
    <w:rsid w:val="518B38CB"/>
    <w:rsid w:val="51A5721F"/>
    <w:rsid w:val="51E145FD"/>
    <w:rsid w:val="51E51CC3"/>
    <w:rsid w:val="52350240"/>
    <w:rsid w:val="52540370"/>
    <w:rsid w:val="52670AC3"/>
    <w:rsid w:val="529A77A5"/>
    <w:rsid w:val="53396CC8"/>
    <w:rsid w:val="53523F58"/>
    <w:rsid w:val="536C4A8A"/>
    <w:rsid w:val="53ED6794"/>
    <w:rsid w:val="542657F3"/>
    <w:rsid w:val="542A50A2"/>
    <w:rsid w:val="542D5399"/>
    <w:rsid w:val="543E14AB"/>
    <w:rsid w:val="548702A8"/>
    <w:rsid w:val="54DD2BD3"/>
    <w:rsid w:val="553E317D"/>
    <w:rsid w:val="554D2C1E"/>
    <w:rsid w:val="554F462E"/>
    <w:rsid w:val="556D7264"/>
    <w:rsid w:val="559230BD"/>
    <w:rsid w:val="55E907A3"/>
    <w:rsid w:val="55E92CB5"/>
    <w:rsid w:val="56325307"/>
    <w:rsid w:val="5659474A"/>
    <w:rsid w:val="5670014B"/>
    <w:rsid w:val="56732B47"/>
    <w:rsid w:val="5733660F"/>
    <w:rsid w:val="573834F1"/>
    <w:rsid w:val="573F1B67"/>
    <w:rsid w:val="57463334"/>
    <w:rsid w:val="574B6739"/>
    <w:rsid w:val="574D21DE"/>
    <w:rsid w:val="578B6597"/>
    <w:rsid w:val="57942C39"/>
    <w:rsid w:val="57CE3AEC"/>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B94814"/>
    <w:rsid w:val="66EA1E3B"/>
    <w:rsid w:val="671B3499"/>
    <w:rsid w:val="6774663E"/>
    <w:rsid w:val="67895629"/>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26EA2"/>
    <w:rsid w:val="6AC44695"/>
    <w:rsid w:val="6B477EF6"/>
    <w:rsid w:val="6B513865"/>
    <w:rsid w:val="6B9A256C"/>
    <w:rsid w:val="6BA373FF"/>
    <w:rsid w:val="6BEB1E5F"/>
    <w:rsid w:val="6C4957FC"/>
    <w:rsid w:val="6C53730E"/>
    <w:rsid w:val="6C5534FB"/>
    <w:rsid w:val="6C61176F"/>
    <w:rsid w:val="6C666306"/>
    <w:rsid w:val="6CF70B23"/>
    <w:rsid w:val="6D387925"/>
    <w:rsid w:val="6D3E0CE6"/>
    <w:rsid w:val="6D6E3F95"/>
    <w:rsid w:val="6D8E6F8B"/>
    <w:rsid w:val="6DB151E2"/>
    <w:rsid w:val="6DBF39F3"/>
    <w:rsid w:val="6DC0644E"/>
    <w:rsid w:val="6DDF5CCC"/>
    <w:rsid w:val="6E137528"/>
    <w:rsid w:val="6E80463B"/>
    <w:rsid w:val="6E895A0C"/>
    <w:rsid w:val="6EC56FAA"/>
    <w:rsid w:val="6F22793F"/>
    <w:rsid w:val="6F457884"/>
    <w:rsid w:val="6F570F4E"/>
    <w:rsid w:val="6F7C1012"/>
    <w:rsid w:val="6F84190F"/>
    <w:rsid w:val="6F883155"/>
    <w:rsid w:val="6F8C7070"/>
    <w:rsid w:val="6FE70842"/>
    <w:rsid w:val="6FEA4E60"/>
    <w:rsid w:val="6FF53E70"/>
    <w:rsid w:val="700713B2"/>
    <w:rsid w:val="701A2DBF"/>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4A47DB"/>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3</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2022-08-19T06:51:53Z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