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比选项目：加氢裂化装置LPG氧化铁脱硫剂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LPG氧化铁脱硫剂</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w:t>
      </w:r>
      <w:r>
        <w:rPr>
          <w:rFonts w:hint="eastAsia" w:ascii="宋体" w:hAnsi="宋体" w:cs="宋体"/>
          <w:kern w:val="0"/>
          <w:sz w:val="36"/>
          <w:szCs w:val="36"/>
          <w:shd w:val="clear" w:color="auto" w:fill="FFFFFF"/>
          <w:lang w:val="en-US" w:eastAsia="zh-CN"/>
        </w:rPr>
        <w:t>7</w:t>
      </w:r>
      <w:r>
        <w:rPr>
          <w:rFonts w:hint="eastAsia" w:ascii="宋体" w:hAnsi="宋体" w:cs="宋体"/>
          <w:kern w:val="0"/>
          <w:sz w:val="36"/>
          <w:szCs w:val="36"/>
          <w:shd w:val="clear" w:color="auto" w:fill="FFFFFF"/>
          <w:lang w:eastAsia="zh-CN"/>
        </w:rPr>
        <w:t>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LPG氧化铁脱硫剂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“加氢裂化装置LPG氧化铁脱硫剂（项目编号：2022-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-LPG氧化铁脱硫剂-</w:t>
      </w:r>
      <w:r>
        <w:rPr>
          <w:rFonts w:hint="eastAsia" w:asciiTheme="minorEastAsia" w:hAnsiTheme="minorEastAsia" w:eastAsiaTheme="minorEastAsia"/>
          <w:bCs/>
          <w:sz w:val="24"/>
          <w:u w:val="single"/>
          <w:lang w:eastAsia="zh-CN"/>
        </w:rPr>
        <w:t>0</w:t>
      </w:r>
      <w:r>
        <w:rPr>
          <w:rFonts w:hint="eastAsia" w:asciiTheme="minorEastAsia" w:hAnsiTheme="minorEastAsia" w:eastAsiaTheme="minorEastAsia"/>
          <w:bCs/>
          <w:sz w:val="24"/>
          <w:u w:val="single"/>
          <w:lang w:val="en-US" w:eastAsia="zh-CN"/>
        </w:rPr>
        <w:t>71</w:t>
      </w:r>
      <w:r>
        <w:rPr>
          <w:rFonts w:hint="eastAsia" w:asciiTheme="minorEastAsia" w:hAnsiTheme="minorEastAsia" w:eastAsiaTheme="minorEastAsia"/>
          <w:bCs/>
          <w:sz w:val="24"/>
          <w:u w:val="single"/>
          <w:lang w:eastAsia="zh-CN"/>
        </w:rPr>
        <w:t>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LPG氧化铁脱硫剂</w:t>
      </w:r>
      <w:r>
        <w:rPr>
          <w:rFonts w:hint="eastAsia" w:ascii="宋体" w:hAnsi="宋体" w:cs="宋体" w:eastAsiaTheme="minorEastAsia"/>
          <w:sz w:val="24"/>
        </w:rPr>
        <w:t>，详见附件技术要求。</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LPG氧化铁脱硫剂</w:t>
      </w:r>
      <w:r>
        <w:rPr>
          <w:rFonts w:hint="eastAsia" w:asciiTheme="minorEastAsia" w:hAnsiTheme="minorEastAsia" w:eastAsiaTheme="minorEastAsia"/>
          <w:bCs/>
          <w:sz w:val="24"/>
        </w:rPr>
        <w:t>采购数量、质量、货期、服务等要求详见比选文件及技术要求。</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需提供</w:t>
      </w:r>
      <w:r>
        <w:rPr>
          <w:rFonts w:asciiTheme="minorEastAsia" w:hAnsiTheme="minorEastAsia" w:eastAsiaTheme="minorEastAsia"/>
          <w:bCs/>
          <w:sz w:val="24"/>
        </w:rPr>
        <w:t>自2020年</w:t>
      </w:r>
      <w:r>
        <w:rPr>
          <w:rFonts w:hint="eastAsia" w:asciiTheme="minorEastAsia" w:hAnsiTheme="minorEastAsia" w:eastAsiaTheme="minorEastAsia"/>
          <w:bCs/>
          <w:sz w:val="24"/>
        </w:rPr>
        <w:t>1月1日</w:t>
      </w:r>
      <w:r>
        <w:rPr>
          <w:rFonts w:hint="eastAsia" w:asciiTheme="minorEastAsia" w:hAnsiTheme="minorEastAsia" w:eastAsiaTheme="minorEastAsia"/>
          <w:bCs/>
          <w:sz w:val="24"/>
          <w:lang w:val="en-US" w:eastAsia="zh-CN"/>
        </w:rPr>
        <w:t>开始</w:t>
      </w:r>
      <w:r>
        <w:rPr>
          <w:rFonts w:hint="eastAsia" w:asciiTheme="minorEastAsia" w:hAnsiTheme="minorEastAsia" w:eastAsiaTheme="minorEastAsia"/>
          <w:bCs/>
          <w:sz w:val="24"/>
        </w:rPr>
        <w:t>所供</w:t>
      </w:r>
      <w:r>
        <w:rPr>
          <w:rFonts w:hint="eastAsia" w:asciiTheme="minorEastAsia" w:hAnsiTheme="minorEastAsia" w:eastAsiaTheme="minorEastAsia"/>
          <w:bCs/>
          <w:sz w:val="24"/>
          <w:lang w:val="en-US" w:eastAsia="zh-CN"/>
        </w:rPr>
        <w:t>应</w:t>
      </w:r>
      <w:r>
        <w:rPr>
          <w:rFonts w:hint="eastAsia" w:asciiTheme="minorEastAsia" w:hAnsiTheme="minorEastAsia" w:eastAsiaTheme="minorEastAsia"/>
          <w:bCs/>
          <w:sz w:val="24"/>
        </w:rPr>
        <w:t>产品在L</w:t>
      </w:r>
      <w:r>
        <w:rPr>
          <w:rFonts w:asciiTheme="minorEastAsia" w:hAnsiTheme="minorEastAsia" w:eastAsiaTheme="minorEastAsia"/>
          <w:bCs/>
          <w:sz w:val="24"/>
        </w:rPr>
        <w:t>PG脱硫</w:t>
      </w:r>
      <w:r>
        <w:rPr>
          <w:rFonts w:hint="eastAsia" w:asciiTheme="minorEastAsia" w:hAnsiTheme="minorEastAsia" w:eastAsiaTheme="minorEastAsia"/>
          <w:bCs/>
          <w:sz w:val="24"/>
          <w:lang w:val="en-US" w:eastAsia="zh-CN"/>
        </w:rPr>
        <w:t>系统应用的3份以上</w:t>
      </w:r>
      <w:r>
        <w:rPr>
          <w:rFonts w:hint="eastAsia" w:asciiTheme="minorEastAsia" w:hAnsiTheme="minorEastAsia" w:eastAsiaTheme="minorEastAsia"/>
          <w:bCs/>
          <w:sz w:val="24"/>
        </w:rPr>
        <w:t>业绩</w:t>
      </w:r>
      <w:r>
        <w:rPr>
          <w:rFonts w:hint="eastAsia" w:asciiTheme="minorEastAsia" w:hAnsiTheme="minorEastAsia" w:eastAsiaTheme="minorEastAsia"/>
          <w:bCs/>
          <w:sz w:val="24"/>
          <w:lang w:val="en-US" w:eastAsia="zh-CN"/>
        </w:rPr>
        <w:t>证明</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合同或发票</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属于福建福海创石油化工有限公司合格供应商或中国石油化工集团有限公司或</w:t>
      </w:r>
      <w:r>
        <w:rPr>
          <w:rFonts w:asciiTheme="minorEastAsia" w:hAnsiTheme="minorEastAsia" w:eastAsiaTheme="minorEastAsia"/>
          <w:bCs/>
          <w:sz w:val="24"/>
        </w:rPr>
        <w:fldChar w:fldCharType="begin"/>
      </w:r>
      <w:r>
        <w:rPr>
          <w:rFonts w:asciiTheme="minorEastAsia" w:hAnsiTheme="minorEastAsia" w:eastAsiaTheme="minorEastAsia"/>
          <w:bCs/>
          <w:sz w:val="24"/>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rPr>
        <w:t>中国石油天然气集团有限公司</w:t>
      </w:r>
      <w:r>
        <w:rPr>
          <w:rFonts w:hint="eastAsia" w:asciiTheme="minorEastAsia" w:hAnsiTheme="minorEastAsia" w:eastAsiaTheme="minorEastAsia"/>
          <w:bCs/>
          <w:sz w:val="24"/>
        </w:rPr>
        <w:fldChar w:fldCharType="end"/>
      </w:r>
      <w:r>
        <w:rPr>
          <w:rFonts w:asciiTheme="minorEastAsia" w:hAnsiTheme="minorEastAsia" w:eastAsiaTheme="minorEastAsia"/>
          <w:bCs/>
          <w:sz w:val="24"/>
        </w:rPr>
        <w:t>中国海洋石油集团有限公司</w:t>
      </w:r>
      <w:r>
        <w:rPr>
          <w:rFonts w:hint="eastAsia" w:asciiTheme="minorEastAsia" w:hAnsiTheme="minorEastAsia" w:eastAsiaTheme="minorEastAsia"/>
          <w:bCs/>
          <w:sz w:val="24"/>
        </w:rPr>
        <w:t>合格供应商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伍仟</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需提供</w:t>
      </w:r>
      <w:r>
        <w:rPr>
          <w:rFonts w:hint="eastAsia" w:asciiTheme="minorEastAsia" w:hAnsiTheme="minorEastAsia" w:eastAsiaTheme="minorEastAsia"/>
          <w:sz w:val="24"/>
        </w:rPr>
        <w:t>自2020年1月1日</w:t>
      </w:r>
      <w:r>
        <w:rPr>
          <w:rFonts w:hint="eastAsia" w:asciiTheme="minorEastAsia" w:hAnsiTheme="minorEastAsia" w:eastAsiaTheme="minorEastAsia"/>
          <w:sz w:val="24"/>
          <w:lang w:val="en-US" w:eastAsia="zh-CN"/>
        </w:rPr>
        <w:t>开始</w:t>
      </w:r>
      <w:r>
        <w:rPr>
          <w:rFonts w:hint="eastAsia" w:asciiTheme="minorEastAsia" w:hAnsiTheme="minorEastAsia" w:eastAsiaTheme="minorEastAsia"/>
          <w:sz w:val="24"/>
        </w:rPr>
        <w:t>所供</w:t>
      </w:r>
      <w:r>
        <w:rPr>
          <w:rFonts w:hint="eastAsia" w:asciiTheme="minorEastAsia" w:hAnsiTheme="minorEastAsia" w:eastAsiaTheme="minorEastAsia"/>
          <w:sz w:val="24"/>
          <w:lang w:val="en-US" w:eastAsia="zh-CN"/>
        </w:rPr>
        <w:t>应</w:t>
      </w:r>
      <w:r>
        <w:rPr>
          <w:rFonts w:hint="eastAsia" w:asciiTheme="minorEastAsia" w:hAnsiTheme="minorEastAsia" w:eastAsiaTheme="minorEastAsia"/>
          <w:sz w:val="24"/>
        </w:rPr>
        <w:t>产品在LPG脱硫</w:t>
      </w:r>
      <w:r>
        <w:rPr>
          <w:rFonts w:hint="eastAsia" w:asciiTheme="minorEastAsia" w:hAnsiTheme="minorEastAsia" w:eastAsiaTheme="minorEastAsia"/>
          <w:sz w:val="24"/>
          <w:lang w:val="en-US" w:eastAsia="zh-CN"/>
        </w:rPr>
        <w:t>系统应用的3份以上</w:t>
      </w:r>
      <w:r>
        <w:rPr>
          <w:rFonts w:hint="eastAsia" w:asciiTheme="minorEastAsia" w:hAnsiTheme="minorEastAsia" w:eastAsiaTheme="minorEastAsia"/>
          <w:sz w:val="24"/>
        </w:rPr>
        <w:t>业绩</w:t>
      </w:r>
      <w:r>
        <w:rPr>
          <w:rFonts w:hint="eastAsia" w:asciiTheme="minorEastAsia" w:hAnsiTheme="minorEastAsia" w:eastAsiaTheme="minorEastAsia"/>
          <w:sz w:val="24"/>
          <w:lang w:val="en-US" w:eastAsia="zh-CN"/>
        </w:rPr>
        <w:t>证明</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属于福建福海创石油化工有限公司合格供应商或中国石油化工集团有限公司或</w:t>
      </w:r>
      <w:r>
        <w:rPr>
          <w:rFonts w:hint="eastAsia" w:asciiTheme="minorEastAsia" w:hAnsiTheme="minorEastAsia" w:eastAsiaTheme="minorEastAsia"/>
          <w:sz w:val="24"/>
          <w:lang w:eastAsia="zh-CN"/>
        </w:rPr>
        <w:fldChar w:fldCharType="begin"/>
      </w:r>
      <w:r>
        <w:rPr>
          <w:rFonts w:hint="eastAsia" w:asciiTheme="minorEastAsia" w:hAnsiTheme="minorEastAsia" w:eastAsiaTheme="minorEastAsia"/>
          <w:sz w:val="24"/>
          <w:lang w:eastAsia="zh-CN"/>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sz w:val="24"/>
          <w:lang w:eastAsia="zh-CN"/>
        </w:rPr>
        <w:fldChar w:fldCharType="separate"/>
      </w:r>
      <w:r>
        <w:rPr>
          <w:rFonts w:hint="eastAsia" w:asciiTheme="minorEastAsia" w:hAnsiTheme="minorEastAsia" w:eastAsiaTheme="minorEastAsia"/>
          <w:sz w:val="24"/>
          <w:lang w:eastAsia="zh-CN"/>
        </w:rPr>
        <w:t>中国石油天然气集团有限公司</w:t>
      </w:r>
      <w:r>
        <w:rPr>
          <w:rFonts w:hint="eastAsia" w:asciiTheme="minorEastAsia" w:hAnsiTheme="minorEastAsia" w:eastAsiaTheme="minorEastAsia"/>
          <w:sz w:val="24"/>
          <w:lang w:eastAsia="zh-CN"/>
        </w:rPr>
        <w:fldChar w:fldCharType="end"/>
      </w:r>
      <w:r>
        <w:rPr>
          <w:rFonts w:hint="eastAsia" w:asciiTheme="minorEastAsia" w:hAnsiTheme="minorEastAsia" w:eastAsiaTheme="minorEastAsia"/>
          <w:sz w:val="24"/>
          <w:lang w:eastAsia="zh-CN"/>
        </w:rPr>
        <w:t>中国海洋石油集团有限公司合格供应商</w:t>
      </w:r>
      <w:r>
        <w:rPr>
          <w:rFonts w:hint="eastAsia" w:asciiTheme="minorEastAsia" w:hAnsiTheme="minorEastAsia" w:eastAsiaTheme="minorEastAsia"/>
          <w:sz w:val="24"/>
          <w:lang w:val="en-US" w:eastAsia="zh-CN"/>
        </w:rPr>
        <w:t>的证明资料。</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伍仟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王清云</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3850425357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qywang</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26</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LPG氧化铁脱硫剂</w:t>
      </w:r>
      <w:r>
        <w:rPr>
          <w:rFonts w:hint="eastAsia" w:ascii="宋体" w:hAnsi="宋体"/>
          <w:sz w:val="18"/>
          <w:szCs w:val="18"/>
          <w:u w:val="single"/>
        </w:rPr>
        <w:t>，详见附件技术要求。</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需提供</w:t>
      </w:r>
      <w:r>
        <w:rPr>
          <w:rFonts w:hint="eastAsia" w:ascii="宋体"/>
          <w:sz w:val="18"/>
          <w:szCs w:val="18"/>
        </w:rPr>
        <w:t>自2020年1月1日</w:t>
      </w:r>
      <w:r>
        <w:rPr>
          <w:rFonts w:hint="eastAsia" w:ascii="宋体"/>
          <w:sz w:val="18"/>
          <w:szCs w:val="18"/>
          <w:lang w:val="en-US" w:eastAsia="zh-CN"/>
        </w:rPr>
        <w:t>开始</w:t>
      </w:r>
      <w:r>
        <w:rPr>
          <w:rFonts w:hint="eastAsia" w:ascii="宋体"/>
          <w:sz w:val="18"/>
          <w:szCs w:val="18"/>
        </w:rPr>
        <w:t>所供</w:t>
      </w:r>
      <w:r>
        <w:rPr>
          <w:rFonts w:hint="eastAsia" w:ascii="宋体"/>
          <w:sz w:val="18"/>
          <w:szCs w:val="18"/>
          <w:lang w:val="en-US" w:eastAsia="zh-CN"/>
        </w:rPr>
        <w:t>应</w:t>
      </w:r>
      <w:r>
        <w:rPr>
          <w:rFonts w:hint="eastAsia" w:ascii="宋体"/>
          <w:sz w:val="18"/>
          <w:szCs w:val="18"/>
        </w:rPr>
        <w:t>产品在LPG脱硫</w:t>
      </w:r>
      <w:r>
        <w:rPr>
          <w:rFonts w:hint="eastAsia" w:ascii="宋体"/>
          <w:sz w:val="18"/>
          <w:szCs w:val="18"/>
          <w:lang w:val="en-US" w:eastAsia="zh-CN"/>
        </w:rPr>
        <w:t>系统应用的3份以上</w:t>
      </w:r>
      <w:r>
        <w:rPr>
          <w:rFonts w:hint="eastAsia" w:ascii="宋体"/>
          <w:sz w:val="18"/>
          <w:szCs w:val="18"/>
        </w:rPr>
        <w:t>业绩</w:t>
      </w:r>
      <w:r>
        <w:rPr>
          <w:rFonts w:hint="eastAsia" w:ascii="宋体"/>
          <w:sz w:val="18"/>
          <w:szCs w:val="18"/>
          <w:lang w:val="en-US" w:eastAsia="zh-CN"/>
        </w:rPr>
        <w:t>证明</w:t>
      </w:r>
      <w:r>
        <w:rPr>
          <w:rFonts w:hint="eastAsia" w:ascii="宋体"/>
          <w:sz w:val="18"/>
          <w:szCs w:val="18"/>
          <w:lang w:eastAsia="zh-CN"/>
        </w:rPr>
        <w:t>（</w:t>
      </w:r>
      <w:r>
        <w:rPr>
          <w:rFonts w:hint="eastAsia" w:ascii="宋体"/>
          <w:sz w:val="18"/>
          <w:szCs w:val="18"/>
          <w:lang w:val="en-US" w:eastAsia="zh-CN"/>
        </w:rPr>
        <w:t>合同或发票</w:t>
      </w:r>
      <w:r>
        <w:rPr>
          <w:rFonts w:hint="eastAsia" w:ascii="宋体"/>
          <w:sz w:val="18"/>
          <w:szCs w:val="18"/>
          <w:lang w:eastAsia="zh-CN"/>
        </w:rPr>
        <w:t>）。</w:t>
      </w:r>
      <w:r>
        <w:rPr>
          <w:rFonts w:hint="eastAsia" w:ascii="宋体"/>
          <w:sz w:val="18"/>
          <w:szCs w:val="18"/>
        </w:rPr>
        <w:t>（6）</w:t>
      </w:r>
      <w:r>
        <w:rPr>
          <w:rFonts w:hint="eastAsia" w:ascii="宋体"/>
          <w:sz w:val="18"/>
          <w:szCs w:val="18"/>
          <w:lang w:val="en-US" w:eastAsia="zh-CN"/>
        </w:rPr>
        <w:t>属于福建福海创石油化工有限公司合格供应商或中国石油化工集团有限公司或</w:t>
      </w:r>
      <w:r>
        <w:rPr>
          <w:rFonts w:hint="eastAsia" w:ascii="宋体"/>
          <w:sz w:val="18"/>
          <w:szCs w:val="18"/>
          <w:lang w:val="en-US" w:eastAsia="zh-CN"/>
        </w:rPr>
        <w:fldChar w:fldCharType="begin"/>
      </w:r>
      <w:r>
        <w:rPr>
          <w:rFonts w:hint="eastAsia" w:ascii="宋体"/>
          <w:sz w:val="18"/>
          <w:szCs w:val="18"/>
          <w:lang w:val="en-US" w:eastAsia="zh-CN"/>
        </w:rPr>
        <w:instrText xml:space="preserve"> HYPERLINK "http://www.baidu.com/link?url=ZYA2ANSxRzGwTSAnMQmFtVicINMq9OUNpKTJ21r1pCxY1Pg-bo-kGdl88GpXkxvjkQiNS5EBki5bPS0gC-oOIK" \t "_blank" </w:instrText>
      </w:r>
      <w:r>
        <w:rPr>
          <w:rFonts w:hint="eastAsia" w:ascii="宋体"/>
          <w:sz w:val="18"/>
          <w:szCs w:val="18"/>
          <w:lang w:val="en-US" w:eastAsia="zh-CN"/>
        </w:rPr>
        <w:fldChar w:fldCharType="separate"/>
      </w:r>
      <w:r>
        <w:rPr>
          <w:rFonts w:hint="eastAsia" w:ascii="宋体"/>
          <w:sz w:val="18"/>
          <w:szCs w:val="18"/>
          <w:lang w:val="en-US" w:eastAsia="zh-CN"/>
        </w:rPr>
        <w:t>中国石油天然气集团有限公司</w:t>
      </w:r>
      <w:r>
        <w:rPr>
          <w:rFonts w:hint="eastAsia" w:ascii="宋体"/>
          <w:sz w:val="18"/>
          <w:szCs w:val="18"/>
          <w:lang w:val="en-US" w:eastAsia="zh-CN"/>
        </w:rPr>
        <w:fldChar w:fldCharType="end"/>
      </w:r>
      <w:r>
        <w:rPr>
          <w:rFonts w:hint="eastAsia" w:ascii="宋体"/>
          <w:sz w:val="18"/>
          <w:szCs w:val="18"/>
          <w:lang w:val="en-US" w:eastAsia="zh-CN"/>
        </w:rPr>
        <w:t>中国海洋石油集团有限公司合格供应商。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伍仟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LPG氧化铁脱硫剂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bookmarkStart w:id="2" w:name="_GoBack"/>
      <w:bookmarkEnd w:id="2"/>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LPG氧化铁脱硫剂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加氢裂化装置LPG氧化铁脱硫剂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LPG氧化铁脱硫剂</w:t>
      </w:r>
      <w:r>
        <w:rPr>
          <w:rFonts w:hint="eastAsia" w:ascii="宋体" w:cs="宋体"/>
          <w:sz w:val="24"/>
        </w:rPr>
        <w:t>数量：</w:t>
      </w:r>
      <w:r>
        <w:rPr>
          <w:rFonts w:hint="eastAsia" w:ascii="宋体" w:cs="宋体"/>
          <w:sz w:val="24"/>
          <w:lang w:val="en-US" w:eastAsia="zh-CN"/>
        </w:rPr>
        <w:t>10吨。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质量质保及技术保证值：</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2.1</w:t>
      </w:r>
      <w:r>
        <w:rPr>
          <w:rFonts w:hint="eastAsia" w:ascii="Times New Roman" w:hAnsi="Times New Roman" w:eastAsia="宋体" w:cs="Times New Roman"/>
          <w:sz w:val="24"/>
        </w:rPr>
        <w:t>加氢裂化装置L</w:t>
      </w:r>
      <w:r>
        <w:rPr>
          <w:rFonts w:ascii="Times New Roman" w:hAnsi="Times New Roman" w:eastAsia="宋体" w:cs="Times New Roman"/>
          <w:sz w:val="24"/>
        </w:rPr>
        <w:t>PG氧化铁脱硫剂</w:t>
      </w:r>
      <w:r>
        <w:rPr>
          <w:rFonts w:hint="eastAsia" w:ascii="Times New Roman" w:hAnsi="Times New Roman" w:eastAsia="宋体" w:cs="Times New Roman"/>
          <w:sz w:val="24"/>
        </w:rPr>
        <w:t>质量指标要求</w:t>
      </w:r>
      <w:r>
        <w:rPr>
          <w:rFonts w:hint="eastAsia" w:cs="Times New Roman"/>
          <w:sz w:val="24"/>
          <w:lang w:eastAsia="zh-CN"/>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2483"/>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556"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型号</w:t>
            </w:r>
          </w:p>
        </w:tc>
        <w:tc>
          <w:tcPr>
            <w:tcW w:w="4966" w:type="dxa"/>
            <w:gridSpan w:val="2"/>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556" w:type="dxa"/>
            <w:vAlign w:val="center"/>
          </w:tcPr>
          <w:p>
            <w:pPr>
              <w:spacing w:line="276" w:lineRule="auto"/>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外观</w:t>
            </w:r>
          </w:p>
        </w:tc>
        <w:tc>
          <w:tcPr>
            <w:tcW w:w="24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黄褐</w:t>
            </w:r>
            <w:r>
              <w:rPr>
                <w:rFonts w:hint="eastAsia" w:ascii="Times New Roman" w:hAnsi="Times New Roman" w:eastAsia="宋体" w:cs="Times New Roman"/>
                <w:bCs/>
                <w:spacing w:val="4"/>
                <w:szCs w:val="21"/>
              </w:rPr>
              <w:t>色条形</w:t>
            </w:r>
          </w:p>
        </w:tc>
        <w:tc>
          <w:tcPr>
            <w:tcW w:w="2483"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黄褐</w:t>
            </w:r>
            <w:r>
              <w:rPr>
                <w:rFonts w:hint="eastAsia" w:ascii="Times New Roman" w:hAnsi="Times New Roman" w:eastAsia="宋体" w:cs="Times New Roman"/>
                <w:bCs/>
                <w:spacing w:val="4"/>
                <w:szCs w:val="21"/>
              </w:rPr>
              <w:t>色球形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规格</w:t>
            </w:r>
            <w:r>
              <w:rPr>
                <w:rFonts w:hint="eastAsia" w:ascii="Times New Roman" w:hAnsi="Times New Roman" w:eastAsia="宋体" w:cs="Times New Roman"/>
                <w:bCs/>
                <w:spacing w:val="4"/>
                <w:szCs w:val="21"/>
              </w:rPr>
              <w:t>，mm</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φ3</w:t>
            </w:r>
            <w:r>
              <w:rPr>
                <w:rFonts w:ascii="Times New Roman" w:hAnsi="Times New Roman" w:eastAsia="宋体" w:cs="Times New Roman"/>
                <w:color w:val="000000" w:themeColor="text1"/>
                <w:szCs w:val="21"/>
              </w:rPr>
              <w:t>~</w:t>
            </w:r>
            <w:r>
              <w:rPr>
                <w:rFonts w:ascii="Times New Roman" w:hAnsi="Times New Roman" w:eastAsia="宋体" w:cs="Times New Roman"/>
                <w:bCs/>
                <w:spacing w:val="4"/>
                <w:szCs w:val="21"/>
              </w:rPr>
              <w:t>6×(5</w:t>
            </w:r>
            <w:r>
              <w:rPr>
                <w:rFonts w:ascii="Times New Roman" w:hAnsi="Times New Roman" w:eastAsia="宋体" w:cs="Times New Roman"/>
                <w:color w:val="000000" w:themeColor="text1"/>
                <w:szCs w:val="21"/>
              </w:rPr>
              <w:t>~</w:t>
            </w:r>
            <w:r>
              <w:rPr>
                <w:rFonts w:ascii="Times New Roman" w:hAnsi="Times New Roman" w:eastAsia="宋体" w:cs="Times New Roman"/>
                <w:bCs/>
                <w:spacing w:val="4"/>
                <w:szCs w:val="21"/>
              </w:rPr>
              <w:t>20)</w:t>
            </w:r>
          </w:p>
        </w:tc>
        <w:tc>
          <w:tcPr>
            <w:tcW w:w="2483"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Φ4</w:t>
            </w:r>
            <w:r>
              <w:rPr>
                <w:rFonts w:ascii="Times New Roman" w:hAnsi="Times New Roman" w:eastAsia="宋体" w:cs="Times New Roman"/>
                <w:color w:val="000000" w:themeColor="text1"/>
                <w:szCs w:val="21"/>
              </w:rPr>
              <w:t>~</w:t>
            </w:r>
            <w:r>
              <w:rPr>
                <w:rFonts w:ascii="Times New Roman" w:hAnsi="Times New Roman" w:eastAsia="宋体" w:cs="Times New Roman"/>
                <w:bCs/>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hint="eastAsia" w:ascii="Times New Roman" w:hAnsi="Times New Roman" w:eastAsia="宋体" w:cs="Times New Roman"/>
                <w:bCs/>
                <w:spacing w:val="4"/>
                <w:szCs w:val="21"/>
              </w:rPr>
              <w:t>颗粒</w:t>
            </w:r>
            <w:r>
              <w:rPr>
                <w:rFonts w:ascii="Times New Roman" w:hAnsi="Times New Roman" w:eastAsia="宋体" w:cs="Times New Roman"/>
                <w:bCs/>
                <w:spacing w:val="4"/>
                <w:szCs w:val="21"/>
              </w:rPr>
              <w:t>径向抗压碎力平均值 (N/cm)</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≥40</w:t>
            </w:r>
          </w:p>
        </w:tc>
        <w:tc>
          <w:tcPr>
            <w:tcW w:w="2483"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hint="eastAsia" w:ascii="Times New Roman" w:hAnsi="Times New Roman" w:eastAsia="宋体" w:cs="Times New Roman"/>
                <w:bCs/>
                <w:spacing w:val="4"/>
                <w:szCs w:val="21"/>
              </w:rPr>
              <w:t>颗粒点抗压碎力平均值/</w:t>
            </w:r>
            <w:r>
              <w:rPr>
                <w:rFonts w:ascii="Times New Roman" w:hAnsi="Times New Roman" w:eastAsia="宋体" w:cs="Times New Roman"/>
                <w:bCs/>
                <w:spacing w:val="4"/>
                <w:szCs w:val="21"/>
              </w:rPr>
              <w:t>N</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w:t>
            </w:r>
          </w:p>
        </w:tc>
        <w:tc>
          <w:tcPr>
            <w:tcW w:w="2483"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hint="eastAsia" w:ascii="Times New Roman" w:hAnsi="Times New Roman" w:eastAsia="宋体" w:cs="Times New Roman"/>
                <w:bCs/>
                <w:spacing w:val="4"/>
                <w:szCs w:val="21"/>
              </w:rPr>
              <w:t>穿</w:t>
            </w:r>
            <w:r>
              <w:rPr>
                <w:rFonts w:ascii="Times New Roman" w:hAnsi="Times New Roman" w:eastAsia="宋体" w:cs="Times New Roman"/>
                <w:bCs/>
                <w:spacing w:val="4"/>
                <w:szCs w:val="21"/>
              </w:rPr>
              <w:t>透硫容</w:t>
            </w:r>
            <w:r>
              <w:rPr>
                <w:rFonts w:hint="eastAsia" w:ascii="Times New Roman" w:hAnsi="Times New Roman" w:eastAsia="宋体" w:cs="Times New Roman"/>
                <w:bCs/>
                <w:spacing w:val="4"/>
                <w:szCs w:val="21"/>
              </w:rPr>
              <w:t>（以S计）（质量分数）%</w:t>
            </w:r>
          </w:p>
        </w:tc>
        <w:tc>
          <w:tcPr>
            <w:tcW w:w="496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≥20</w:t>
            </w:r>
            <w:r>
              <w:rPr>
                <w:rFonts w:hint="eastAsia" w:ascii="Times New Roman" w:hAnsi="Times New Roman" w:eastAsia="宋体" w:cs="Times New Roman"/>
                <w:bCs/>
                <w:spacing w:val="4"/>
                <w:szCs w:val="21"/>
              </w:rPr>
              <w:t>%</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2.2</w:t>
      </w:r>
      <w:r>
        <w:rPr>
          <w:rFonts w:hint="eastAsia" w:ascii="宋体" w:hAnsi="宋体"/>
          <w:sz w:val="24"/>
        </w:rPr>
        <w:t>技术保证值</w:t>
      </w:r>
      <w:r>
        <w:rPr>
          <w:rFonts w:hint="eastAsia" w:ascii="宋体" w:hAnsi="宋体"/>
          <w:sz w:val="24"/>
          <w:lang w:eastAsia="zh-CN"/>
        </w:rPr>
        <w:t>：</w:t>
      </w:r>
    </w:p>
    <w:p>
      <w:pPr>
        <w:numPr>
          <w:ilvl w:val="0"/>
          <w:numId w:val="0"/>
        </w:numPr>
        <w:spacing w:line="312" w:lineRule="auto"/>
        <w:rPr>
          <w:rFonts w:hint="eastAsia" w:ascii="宋体" w:hAnsi="宋体"/>
          <w:sz w:val="24"/>
          <w:lang w:eastAsia="zh-CN"/>
        </w:rPr>
      </w:pPr>
      <w:r>
        <w:rPr>
          <w:rFonts w:hint="eastAsia" w:ascii="宋体" w:hAnsi="宋体"/>
          <w:sz w:val="24"/>
          <w:lang w:eastAsia="zh-CN"/>
        </w:rPr>
        <w:t>在满足上述指标的前提下：</w:t>
      </w:r>
    </w:p>
    <w:p>
      <w:pPr>
        <w:numPr>
          <w:ilvl w:val="0"/>
          <w:numId w:val="0"/>
        </w:numPr>
        <w:spacing w:line="312" w:lineRule="auto"/>
        <w:rPr>
          <w:rFonts w:hint="eastAsia" w:ascii="宋体" w:hAnsi="宋体"/>
          <w:sz w:val="24"/>
          <w:lang w:eastAsia="zh-CN"/>
        </w:rPr>
      </w:pPr>
      <w:r>
        <w:rPr>
          <w:rFonts w:hint="eastAsia" w:ascii="宋体" w:hAnsi="宋体"/>
          <w:sz w:val="24"/>
          <w:lang w:eastAsia="zh-CN"/>
        </w:rPr>
        <w:t>罐出口LPG产品H2S≤1 mg/m3。</w:t>
      </w:r>
    </w:p>
    <w:p>
      <w:pPr>
        <w:numPr>
          <w:ilvl w:val="0"/>
          <w:numId w:val="0"/>
        </w:numPr>
        <w:spacing w:line="312" w:lineRule="auto"/>
        <w:rPr>
          <w:rFonts w:hint="eastAsia" w:ascii="宋体" w:hAnsi="宋体"/>
          <w:sz w:val="24"/>
          <w:lang w:eastAsia="zh-CN"/>
        </w:rPr>
      </w:pPr>
      <w:r>
        <w:rPr>
          <w:rFonts w:hint="eastAsia" w:ascii="宋体" w:hAnsi="宋体"/>
          <w:sz w:val="24"/>
          <w:lang w:eastAsia="zh-CN"/>
        </w:rPr>
        <w:t>使用寿命大于6个月。</w:t>
      </w:r>
    </w:p>
    <w:p>
      <w:pPr>
        <w:numPr>
          <w:ilvl w:val="0"/>
          <w:numId w:val="0"/>
        </w:numPr>
        <w:spacing w:line="312" w:lineRule="auto"/>
        <w:rPr>
          <w:rFonts w:hint="eastAsia" w:ascii="宋体" w:hAnsi="宋体"/>
          <w:sz w:val="24"/>
          <w:lang w:eastAsia="zh-CN"/>
        </w:rPr>
      </w:pPr>
      <w:r>
        <w:rPr>
          <w:rFonts w:hint="eastAsia" w:ascii="宋体" w:hAnsi="宋体"/>
          <w:sz w:val="24"/>
          <w:lang w:eastAsia="zh-CN"/>
        </w:rPr>
        <w:t>说明：因本次采购10吨氧化铁脱硫剂与库存的15吨氧化铁脱硫剂（硫容预估1.2吨）混装在D-417A中（库存剂装填在下部）。混装情况下，需保证单罐使用寿命大于6个月。</w:t>
      </w:r>
    </w:p>
    <w:p>
      <w:pPr>
        <w:numPr>
          <w:ilvl w:val="0"/>
          <w:numId w:val="5"/>
        </w:numPr>
        <w:spacing w:line="360" w:lineRule="exact"/>
        <w:jc w:val="left"/>
        <w:rPr>
          <w:rFonts w:ascii="宋体" w:hAnsi="宋体" w:cs="宋体"/>
          <w:sz w:val="24"/>
        </w:rPr>
      </w:pPr>
      <w:r>
        <w:rPr>
          <w:rFonts w:hint="eastAsia" w:ascii="宋体" w:hAnsi="宋体" w:cs="宋体"/>
          <w:sz w:val="24"/>
        </w:rPr>
        <w:t>包装方式：内衬聚乙烯袋的吨</w:t>
      </w:r>
      <w:r>
        <w:rPr>
          <w:rFonts w:hint="eastAsia" w:ascii="宋体" w:hAnsi="宋体" w:cs="宋体"/>
          <w:sz w:val="24"/>
          <w:lang w:val="en-US" w:eastAsia="zh-CN"/>
        </w:rPr>
        <w:t>袋</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到货时间：货物于2022</w:t>
      </w:r>
      <w:r>
        <w:rPr>
          <w:rFonts w:hint="eastAsia" w:ascii="宋体" w:hAnsi="宋体"/>
          <w:sz w:val="24"/>
          <w:lang w:val="en-US" w:eastAsia="zh-CN"/>
        </w:rPr>
        <w:t>年8月底到货需方指定地点</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LPG氧化铁脱硫剂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widowControl/>
        <w:jc w:val="left"/>
        <w:rPr>
          <w:rFonts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LPG氧化铁脱硫剂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LPG氧化铁脱硫剂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LPG氧化铁脱硫剂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LPG氧化铁脱硫剂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10吨；规格型号：_______________。</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4、质量指标：</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4.1</w:t>
      </w:r>
      <w:r>
        <w:rPr>
          <w:rFonts w:hint="eastAsia" w:ascii="Times New Roman" w:hAnsi="Times New Roman" w:eastAsia="宋体" w:cs="Times New Roman"/>
          <w:sz w:val="24"/>
        </w:rPr>
        <w:t>加氢裂化装置L</w:t>
      </w:r>
      <w:r>
        <w:rPr>
          <w:rFonts w:ascii="Times New Roman" w:hAnsi="Times New Roman" w:eastAsia="宋体" w:cs="Times New Roman"/>
          <w:sz w:val="24"/>
        </w:rPr>
        <w:t>PG氧化铁脱硫剂</w:t>
      </w:r>
      <w:r>
        <w:rPr>
          <w:rFonts w:hint="eastAsia" w:ascii="Times New Roman" w:hAnsi="Times New Roman" w:eastAsia="宋体" w:cs="Times New Roman"/>
          <w:sz w:val="24"/>
        </w:rPr>
        <w:t>质量指标要求</w:t>
      </w:r>
      <w:r>
        <w:rPr>
          <w:rFonts w:hint="eastAsia" w:cs="Times New Roman"/>
          <w:sz w:val="24"/>
          <w:lang w:eastAsia="zh-CN"/>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2483"/>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556" w:type="dxa"/>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型号</w:t>
            </w:r>
          </w:p>
        </w:tc>
        <w:tc>
          <w:tcPr>
            <w:tcW w:w="4966" w:type="dxa"/>
            <w:gridSpan w:val="2"/>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556" w:type="dxa"/>
            <w:vAlign w:val="center"/>
          </w:tcPr>
          <w:p>
            <w:pPr>
              <w:spacing w:line="276" w:lineRule="auto"/>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外观</w:t>
            </w:r>
          </w:p>
        </w:tc>
        <w:tc>
          <w:tcPr>
            <w:tcW w:w="24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黄褐</w:t>
            </w:r>
            <w:r>
              <w:rPr>
                <w:rFonts w:hint="eastAsia" w:ascii="Times New Roman" w:hAnsi="Times New Roman" w:eastAsia="宋体" w:cs="Times New Roman"/>
                <w:bCs/>
                <w:spacing w:val="4"/>
                <w:szCs w:val="21"/>
              </w:rPr>
              <w:t>色条形</w:t>
            </w:r>
          </w:p>
        </w:tc>
        <w:tc>
          <w:tcPr>
            <w:tcW w:w="2483"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黄褐</w:t>
            </w:r>
            <w:r>
              <w:rPr>
                <w:rFonts w:hint="eastAsia" w:ascii="Times New Roman" w:hAnsi="Times New Roman" w:eastAsia="宋体" w:cs="Times New Roman"/>
                <w:bCs/>
                <w:spacing w:val="4"/>
                <w:szCs w:val="21"/>
              </w:rPr>
              <w:t>色球形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规格</w:t>
            </w:r>
            <w:r>
              <w:rPr>
                <w:rFonts w:hint="eastAsia" w:ascii="Times New Roman" w:hAnsi="Times New Roman" w:eastAsia="宋体" w:cs="Times New Roman"/>
                <w:bCs/>
                <w:spacing w:val="4"/>
                <w:szCs w:val="21"/>
              </w:rPr>
              <w:t>，mm</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φ3</w:t>
            </w:r>
            <w:r>
              <w:rPr>
                <w:rFonts w:ascii="Times New Roman" w:hAnsi="Times New Roman" w:eastAsia="宋体" w:cs="Times New Roman"/>
                <w:color w:val="000000" w:themeColor="text1"/>
                <w:szCs w:val="21"/>
              </w:rPr>
              <w:t>~</w:t>
            </w:r>
            <w:r>
              <w:rPr>
                <w:rFonts w:ascii="Times New Roman" w:hAnsi="Times New Roman" w:eastAsia="宋体" w:cs="Times New Roman"/>
                <w:bCs/>
                <w:spacing w:val="4"/>
                <w:szCs w:val="21"/>
              </w:rPr>
              <w:t>6×(5</w:t>
            </w:r>
            <w:r>
              <w:rPr>
                <w:rFonts w:ascii="Times New Roman" w:hAnsi="Times New Roman" w:eastAsia="宋体" w:cs="Times New Roman"/>
                <w:color w:val="000000" w:themeColor="text1"/>
                <w:szCs w:val="21"/>
              </w:rPr>
              <w:t>~</w:t>
            </w:r>
            <w:r>
              <w:rPr>
                <w:rFonts w:ascii="Times New Roman" w:hAnsi="Times New Roman" w:eastAsia="宋体" w:cs="Times New Roman"/>
                <w:bCs/>
                <w:spacing w:val="4"/>
                <w:szCs w:val="21"/>
              </w:rPr>
              <w:t>20)</w:t>
            </w:r>
          </w:p>
        </w:tc>
        <w:tc>
          <w:tcPr>
            <w:tcW w:w="2483"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Φ4</w:t>
            </w:r>
            <w:r>
              <w:rPr>
                <w:rFonts w:ascii="Times New Roman" w:hAnsi="Times New Roman" w:eastAsia="宋体" w:cs="Times New Roman"/>
                <w:color w:val="000000" w:themeColor="text1"/>
                <w:szCs w:val="21"/>
              </w:rPr>
              <w:t>~</w:t>
            </w:r>
            <w:r>
              <w:rPr>
                <w:rFonts w:ascii="Times New Roman" w:hAnsi="Times New Roman" w:eastAsia="宋体" w:cs="Times New Roman"/>
                <w:bCs/>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hint="eastAsia" w:ascii="Times New Roman" w:hAnsi="Times New Roman" w:eastAsia="宋体" w:cs="Times New Roman"/>
                <w:bCs/>
                <w:spacing w:val="4"/>
                <w:szCs w:val="21"/>
              </w:rPr>
              <w:t>颗粒</w:t>
            </w:r>
            <w:r>
              <w:rPr>
                <w:rFonts w:ascii="Times New Roman" w:hAnsi="Times New Roman" w:eastAsia="宋体" w:cs="Times New Roman"/>
                <w:bCs/>
                <w:spacing w:val="4"/>
                <w:szCs w:val="21"/>
              </w:rPr>
              <w:t>径向抗压碎力平均值 (N/cm)</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≥40</w:t>
            </w:r>
          </w:p>
        </w:tc>
        <w:tc>
          <w:tcPr>
            <w:tcW w:w="2483"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hint="eastAsia" w:ascii="Times New Roman" w:hAnsi="Times New Roman" w:eastAsia="宋体" w:cs="Times New Roman"/>
                <w:bCs/>
                <w:spacing w:val="4"/>
                <w:szCs w:val="21"/>
              </w:rPr>
              <w:t>颗粒点抗压碎力平均值/</w:t>
            </w:r>
            <w:r>
              <w:rPr>
                <w:rFonts w:ascii="Times New Roman" w:hAnsi="Times New Roman" w:eastAsia="宋体" w:cs="Times New Roman"/>
                <w:bCs/>
                <w:spacing w:val="4"/>
                <w:szCs w:val="21"/>
              </w:rPr>
              <w:t>N</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w:t>
            </w:r>
          </w:p>
        </w:tc>
        <w:tc>
          <w:tcPr>
            <w:tcW w:w="2483"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40" w:lineRule="exact"/>
              <w:jc w:val="center"/>
              <w:rPr>
                <w:rFonts w:ascii="Times New Roman" w:hAnsi="Times New Roman" w:eastAsia="宋体" w:cs="Times New Roman"/>
                <w:bCs/>
                <w:spacing w:val="4"/>
                <w:szCs w:val="21"/>
              </w:rPr>
            </w:pPr>
            <w:r>
              <w:rPr>
                <w:rFonts w:hint="eastAsia" w:ascii="Times New Roman" w:hAnsi="Times New Roman" w:eastAsia="宋体" w:cs="Times New Roman"/>
                <w:bCs/>
                <w:spacing w:val="4"/>
                <w:szCs w:val="21"/>
              </w:rPr>
              <w:t>穿</w:t>
            </w:r>
            <w:r>
              <w:rPr>
                <w:rFonts w:ascii="Times New Roman" w:hAnsi="Times New Roman" w:eastAsia="宋体" w:cs="Times New Roman"/>
                <w:bCs/>
                <w:spacing w:val="4"/>
                <w:szCs w:val="21"/>
              </w:rPr>
              <w:t>透硫容</w:t>
            </w:r>
            <w:r>
              <w:rPr>
                <w:rFonts w:hint="eastAsia" w:ascii="Times New Roman" w:hAnsi="Times New Roman" w:eastAsia="宋体" w:cs="Times New Roman"/>
                <w:bCs/>
                <w:spacing w:val="4"/>
                <w:szCs w:val="21"/>
              </w:rPr>
              <w:t>（以S计）（质量分数）%</w:t>
            </w:r>
          </w:p>
        </w:tc>
        <w:tc>
          <w:tcPr>
            <w:tcW w:w="496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宋体" w:cs="Times New Roman"/>
                <w:bCs/>
                <w:spacing w:val="4"/>
                <w:szCs w:val="21"/>
              </w:rPr>
            </w:pPr>
            <w:r>
              <w:rPr>
                <w:rFonts w:ascii="Times New Roman" w:hAnsi="Times New Roman" w:eastAsia="宋体" w:cs="Times New Roman"/>
                <w:bCs/>
                <w:spacing w:val="4"/>
                <w:szCs w:val="21"/>
              </w:rPr>
              <w:t>≥20</w:t>
            </w:r>
            <w:r>
              <w:rPr>
                <w:rFonts w:hint="eastAsia" w:ascii="Times New Roman" w:hAnsi="Times New Roman" w:eastAsia="宋体" w:cs="Times New Roman"/>
                <w:bCs/>
                <w:spacing w:val="4"/>
                <w:szCs w:val="21"/>
              </w:rPr>
              <w:t>%</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5、</w:t>
      </w:r>
      <w:r>
        <w:rPr>
          <w:rFonts w:hint="eastAsia" w:ascii="宋体" w:hAnsi="宋体"/>
          <w:sz w:val="24"/>
        </w:rPr>
        <w:t>技术保证值</w:t>
      </w:r>
      <w:r>
        <w:rPr>
          <w:rFonts w:hint="eastAsia" w:ascii="宋体" w:hAnsi="宋体"/>
          <w:sz w:val="24"/>
          <w:lang w:eastAsia="zh-CN"/>
        </w:rPr>
        <w:t>：</w:t>
      </w:r>
    </w:p>
    <w:p>
      <w:pPr>
        <w:numPr>
          <w:ilvl w:val="0"/>
          <w:numId w:val="0"/>
        </w:numPr>
        <w:spacing w:line="312" w:lineRule="auto"/>
        <w:rPr>
          <w:rFonts w:hint="eastAsia" w:ascii="宋体" w:hAnsi="宋体"/>
          <w:sz w:val="24"/>
          <w:lang w:eastAsia="zh-CN"/>
        </w:rPr>
      </w:pPr>
      <w:r>
        <w:rPr>
          <w:rFonts w:hint="eastAsia" w:ascii="宋体" w:hAnsi="宋体"/>
          <w:sz w:val="24"/>
          <w:lang w:eastAsia="zh-CN"/>
        </w:rPr>
        <w:t>在满足上述指标的前提下：</w:t>
      </w:r>
    </w:p>
    <w:p>
      <w:pPr>
        <w:numPr>
          <w:ilvl w:val="0"/>
          <w:numId w:val="0"/>
        </w:numPr>
        <w:spacing w:line="312" w:lineRule="auto"/>
        <w:rPr>
          <w:rFonts w:hint="eastAsia" w:ascii="宋体" w:hAnsi="宋体"/>
          <w:sz w:val="24"/>
          <w:lang w:eastAsia="zh-CN"/>
        </w:rPr>
      </w:pPr>
      <w:r>
        <w:rPr>
          <w:rFonts w:hint="eastAsia" w:ascii="宋体" w:hAnsi="宋体"/>
          <w:sz w:val="24"/>
          <w:lang w:eastAsia="zh-CN"/>
        </w:rPr>
        <w:t>罐出口LPG产品H2S≤1 mg/m3。</w:t>
      </w:r>
    </w:p>
    <w:p>
      <w:pPr>
        <w:numPr>
          <w:ilvl w:val="0"/>
          <w:numId w:val="0"/>
        </w:numPr>
        <w:spacing w:line="312" w:lineRule="auto"/>
        <w:rPr>
          <w:rFonts w:hint="eastAsia" w:ascii="宋体" w:hAnsi="宋体"/>
          <w:sz w:val="24"/>
          <w:lang w:eastAsia="zh-CN"/>
        </w:rPr>
      </w:pPr>
      <w:r>
        <w:rPr>
          <w:rFonts w:hint="eastAsia" w:ascii="宋体" w:hAnsi="宋体"/>
          <w:sz w:val="24"/>
          <w:lang w:eastAsia="zh-CN"/>
        </w:rPr>
        <w:t>使用寿命大于6个月。</w:t>
      </w:r>
    </w:p>
    <w:p>
      <w:pPr>
        <w:numPr>
          <w:ilvl w:val="0"/>
          <w:numId w:val="0"/>
        </w:numPr>
        <w:spacing w:line="312" w:lineRule="auto"/>
        <w:rPr>
          <w:rFonts w:hint="eastAsia" w:ascii="宋体" w:hAnsi="宋体"/>
          <w:sz w:val="24"/>
          <w:lang w:eastAsia="zh-CN"/>
        </w:rPr>
      </w:pPr>
      <w:r>
        <w:rPr>
          <w:rFonts w:hint="eastAsia" w:ascii="宋体" w:hAnsi="宋体"/>
          <w:sz w:val="24"/>
          <w:lang w:eastAsia="zh-CN"/>
        </w:rPr>
        <w:t>说明：因本次采购10吨氧化铁脱硫剂与库存的15吨氧化铁脱硫剂（硫容预估1.2吨）混装在D-417A中（库存剂装填在下部）。混装情况下，需保证单罐使用寿命大于6个月。</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rPr>
        <w:t>质量验收标准</w:t>
      </w:r>
      <w:r>
        <w:rPr>
          <w:rFonts w:hint="eastAsia" w:ascii="宋体" w:hAnsi="宋体"/>
          <w:sz w:val="24"/>
          <w:lang w:val="en-US" w:eastAsia="zh-CN"/>
        </w:rPr>
        <w:t>及技术服务范围</w:t>
      </w:r>
      <w:r>
        <w:rPr>
          <w:rFonts w:hint="eastAsia" w:ascii="宋体" w:hAnsi="宋体"/>
          <w:sz w:val="24"/>
          <w:lang w:eastAsia="zh-CN"/>
        </w:rPr>
        <w:t>：</w:t>
      </w:r>
      <w:r>
        <w:rPr>
          <w:rFonts w:hint="eastAsia" w:ascii="宋体" w:hAnsi="宋体"/>
          <w:sz w:val="24"/>
          <w:lang w:val="en-US" w:eastAsia="zh-CN"/>
        </w:rPr>
        <w:t>见附件技术要求。</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产品的包装：内衬聚乙烯袋的吨袋</w:t>
      </w:r>
      <w:r>
        <w:rPr>
          <w:rFonts w:hint="eastAsia" w:ascii="宋体" w:hAnsi="宋体"/>
          <w:sz w:val="24"/>
          <w:lang w:eastAsia="zh-CN"/>
        </w:rPr>
        <w:t>。</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伍仟</w:t>
      </w:r>
      <w:r>
        <w:rPr>
          <w:rFonts w:hint="eastAsia" w:ascii="宋体" w:hAnsi="宋体"/>
          <w:sz w:val="24"/>
        </w:rPr>
        <w:t>元整，若我司中选，我司同意按照要求</w:t>
      </w:r>
      <w:r>
        <w:rPr>
          <w:rFonts w:hint="eastAsia" w:ascii="宋体" w:hAnsi="宋体"/>
          <w:sz w:val="24"/>
          <w:lang w:val="en-US" w:eastAsia="zh-CN"/>
        </w:rPr>
        <w:t>转为履约保证金并作为合同质保金待履约期满后（质保一年且无质量问题）</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到货，于2022</w:t>
      </w:r>
      <w:r>
        <w:rPr>
          <w:rFonts w:hint="eastAsia" w:ascii="宋体" w:hAnsi="宋体"/>
          <w:sz w:val="24"/>
          <w:lang w:val="en-US" w:eastAsia="zh-CN"/>
        </w:rPr>
        <w:t>年8月底到货需方指定地点</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及技术要求</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LPG氧化铁脱硫剂</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0718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一次性到货，要求于</w:t>
      </w:r>
      <w:r>
        <w:rPr>
          <w:rFonts w:hint="eastAsia" w:ascii="宋体" w:hAnsi="宋体"/>
          <w:b w:val="0"/>
          <w:bCs/>
          <w:szCs w:val="21"/>
        </w:rPr>
        <w:t>2022</w:t>
      </w:r>
      <w:r>
        <w:rPr>
          <w:rFonts w:hint="eastAsia" w:ascii="宋体" w:hAnsi="宋体"/>
          <w:b w:val="0"/>
          <w:bCs/>
          <w:szCs w:val="21"/>
          <w:lang w:val="en-US" w:eastAsia="zh-CN"/>
        </w:rPr>
        <w:t>年8月底到货需方指定地点</w:t>
      </w:r>
      <w:r>
        <w:rPr>
          <w:rFonts w:hint="eastAsia" w:ascii="宋体" w:hAnsi="宋体"/>
          <w:b w:val="0"/>
          <w:bCs/>
          <w:szCs w:val="21"/>
        </w:rPr>
        <w:t>。</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伍仟元整。合同履约期届满（质保一年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2483"/>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556" w:type="dxa"/>
            <w:vAlign w:val="center"/>
          </w:tcPr>
          <w:p>
            <w:pPr>
              <w:spacing w:line="300" w:lineRule="exact"/>
              <w:ind w:firstLine="420" w:firstLineChars="200"/>
              <w:jc w:val="center"/>
              <w:rPr>
                <w:rFonts w:hint="eastAsia"/>
                <w:szCs w:val="21"/>
                <w:lang w:val="en-US" w:eastAsia="zh-CN"/>
              </w:rPr>
            </w:pPr>
            <w:r>
              <w:rPr>
                <w:rFonts w:hint="eastAsia"/>
                <w:szCs w:val="21"/>
                <w:lang w:val="en-US" w:eastAsia="zh-CN"/>
              </w:rPr>
              <w:t>型号</w:t>
            </w:r>
          </w:p>
        </w:tc>
        <w:tc>
          <w:tcPr>
            <w:tcW w:w="4966" w:type="dxa"/>
            <w:gridSpan w:val="2"/>
            <w:vAlign w:val="center"/>
          </w:tcPr>
          <w:p>
            <w:pPr>
              <w:spacing w:line="300" w:lineRule="exact"/>
              <w:ind w:firstLine="420" w:firstLineChars="200"/>
              <w:jc w:val="center"/>
              <w:rPr>
                <w:rFonts w:hint="eastAsia"/>
                <w:szCs w:val="21"/>
                <w:lang w:val="en-US" w:eastAsia="zh-CN"/>
              </w:rPr>
            </w:pPr>
            <w:r>
              <w:rPr>
                <w:rFonts w:hint="eastAsia"/>
                <w:szCs w:val="21"/>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556" w:type="dxa"/>
            <w:vAlign w:val="center"/>
          </w:tcPr>
          <w:p>
            <w:pPr>
              <w:spacing w:line="300" w:lineRule="exact"/>
              <w:ind w:firstLine="420" w:firstLineChars="200"/>
              <w:jc w:val="center"/>
              <w:rPr>
                <w:rFonts w:hint="eastAsia"/>
                <w:szCs w:val="21"/>
                <w:lang w:val="en-US" w:eastAsia="zh-CN"/>
              </w:rPr>
            </w:pPr>
            <w:r>
              <w:rPr>
                <w:rFonts w:hint="eastAsia"/>
                <w:szCs w:val="21"/>
                <w:lang w:val="en-US" w:eastAsia="zh-CN"/>
              </w:rPr>
              <w:t>外观</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黄褐色条形</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黄褐色球形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00" w:lineRule="exact"/>
              <w:ind w:firstLine="420" w:firstLineChars="200"/>
              <w:jc w:val="center"/>
              <w:rPr>
                <w:rFonts w:hint="eastAsia"/>
                <w:szCs w:val="21"/>
                <w:lang w:val="en-US" w:eastAsia="zh-CN"/>
              </w:rPr>
            </w:pPr>
            <w:r>
              <w:rPr>
                <w:rFonts w:hint="eastAsia"/>
                <w:szCs w:val="21"/>
                <w:lang w:val="en-US" w:eastAsia="zh-CN"/>
              </w:rPr>
              <w:t>规格，mm</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φ3~6×(5~20)</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Φ4~10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556" w:type="dxa"/>
            <w:vAlign w:val="center"/>
          </w:tcPr>
          <w:p>
            <w:pPr>
              <w:spacing w:line="300" w:lineRule="exact"/>
              <w:ind w:firstLine="420" w:firstLineChars="200"/>
              <w:jc w:val="center"/>
              <w:rPr>
                <w:rFonts w:hint="eastAsia"/>
                <w:szCs w:val="21"/>
                <w:lang w:val="en-US" w:eastAsia="zh-CN"/>
              </w:rPr>
            </w:pPr>
            <w:r>
              <w:rPr>
                <w:rFonts w:hint="eastAsia"/>
                <w:szCs w:val="21"/>
                <w:lang w:val="en-US" w:eastAsia="zh-CN"/>
              </w:rPr>
              <w:t>颗粒径向抗压碎力平均值 (N/cm)</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≥40</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00" w:lineRule="exact"/>
              <w:ind w:firstLine="420" w:firstLineChars="200"/>
              <w:jc w:val="center"/>
              <w:rPr>
                <w:rFonts w:hint="eastAsia"/>
                <w:szCs w:val="21"/>
                <w:lang w:val="en-US" w:eastAsia="zh-CN"/>
              </w:rPr>
            </w:pPr>
            <w:r>
              <w:rPr>
                <w:rFonts w:hint="eastAsia"/>
                <w:szCs w:val="21"/>
                <w:lang w:val="en-US" w:eastAsia="zh-CN"/>
              </w:rPr>
              <w:t>颗粒点抗压碎力平均值/N</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556" w:type="dxa"/>
            <w:vAlign w:val="center"/>
          </w:tcPr>
          <w:p>
            <w:pPr>
              <w:spacing w:line="300" w:lineRule="exact"/>
              <w:ind w:firstLine="420" w:firstLineChars="200"/>
              <w:jc w:val="center"/>
              <w:rPr>
                <w:rFonts w:hint="eastAsia"/>
                <w:szCs w:val="21"/>
                <w:lang w:val="en-US" w:eastAsia="zh-CN"/>
              </w:rPr>
            </w:pPr>
            <w:r>
              <w:rPr>
                <w:rFonts w:hint="eastAsia"/>
                <w:szCs w:val="21"/>
                <w:lang w:val="en-US" w:eastAsia="zh-CN"/>
              </w:rPr>
              <w:t>穿透硫容（以S计）（质量分数）%</w:t>
            </w:r>
          </w:p>
        </w:tc>
        <w:tc>
          <w:tcPr>
            <w:tcW w:w="49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hint="eastAsia"/>
                <w:szCs w:val="21"/>
                <w:lang w:val="en-US" w:eastAsia="zh-CN"/>
              </w:rPr>
            </w:pPr>
            <w:r>
              <w:rPr>
                <w:rFonts w:hint="eastAsia"/>
                <w:szCs w:val="21"/>
                <w:lang w:val="en-US" w:eastAsia="zh-CN"/>
              </w:rPr>
              <w:t>≥20%</w:t>
            </w:r>
          </w:p>
        </w:tc>
      </w:tr>
    </w:tbl>
    <w:p>
      <w:pPr>
        <w:spacing w:line="300" w:lineRule="exact"/>
        <w:ind w:firstLine="420" w:firstLineChars="200"/>
        <w:rPr>
          <w:rFonts w:hint="eastAsia"/>
          <w:szCs w:val="21"/>
          <w:lang w:val="en-US" w:eastAsia="zh-CN"/>
        </w:rPr>
      </w:pPr>
      <w:r>
        <w:rPr>
          <w:rFonts w:hint="eastAsia"/>
          <w:szCs w:val="21"/>
          <w:lang w:val="en-US" w:eastAsia="zh-CN"/>
        </w:rPr>
        <w:t>5.3技术保证值：</w:t>
      </w:r>
    </w:p>
    <w:p>
      <w:pPr>
        <w:spacing w:line="300" w:lineRule="exact"/>
        <w:ind w:firstLine="420" w:firstLineChars="200"/>
        <w:rPr>
          <w:rFonts w:hint="eastAsia"/>
          <w:szCs w:val="21"/>
          <w:lang w:val="en-US" w:eastAsia="zh-CN"/>
        </w:rPr>
      </w:pPr>
      <w:r>
        <w:rPr>
          <w:rFonts w:hint="eastAsia"/>
          <w:szCs w:val="21"/>
          <w:lang w:val="en-US" w:eastAsia="zh-CN"/>
        </w:rPr>
        <w:t>在满足上述指标的前提下：</w:t>
      </w:r>
    </w:p>
    <w:p>
      <w:pPr>
        <w:spacing w:line="300" w:lineRule="exact"/>
        <w:ind w:firstLine="420" w:firstLineChars="200"/>
        <w:rPr>
          <w:rFonts w:hint="eastAsia"/>
          <w:szCs w:val="21"/>
          <w:lang w:val="en-US" w:eastAsia="zh-CN"/>
        </w:rPr>
      </w:pPr>
      <w:r>
        <w:rPr>
          <w:rFonts w:hint="eastAsia"/>
          <w:szCs w:val="21"/>
          <w:lang w:val="en-US" w:eastAsia="zh-CN"/>
        </w:rPr>
        <w:t>罐出口LPG产品H2S≤1 mg/m3。</w:t>
      </w:r>
    </w:p>
    <w:p>
      <w:pPr>
        <w:spacing w:line="300" w:lineRule="exact"/>
        <w:ind w:firstLine="420" w:firstLineChars="200"/>
        <w:rPr>
          <w:rFonts w:hint="eastAsia"/>
          <w:szCs w:val="21"/>
          <w:lang w:val="en-US" w:eastAsia="zh-CN"/>
        </w:rPr>
      </w:pPr>
      <w:r>
        <w:rPr>
          <w:rFonts w:hint="eastAsia"/>
          <w:szCs w:val="21"/>
          <w:lang w:val="en-US" w:eastAsia="zh-CN"/>
        </w:rPr>
        <w:t>使用寿命大于6个月。</w:t>
      </w:r>
    </w:p>
    <w:p>
      <w:pPr>
        <w:spacing w:line="300" w:lineRule="exact"/>
        <w:ind w:firstLine="420" w:firstLineChars="200"/>
        <w:rPr>
          <w:rFonts w:hint="eastAsia"/>
          <w:szCs w:val="21"/>
          <w:lang w:val="en-US" w:eastAsia="zh-CN"/>
        </w:rPr>
      </w:pPr>
      <w:r>
        <w:rPr>
          <w:rFonts w:hint="eastAsia"/>
          <w:szCs w:val="21"/>
          <w:lang w:val="en-US" w:eastAsia="zh-CN"/>
        </w:rPr>
        <w:t>说明：因本次采购10吨氧化铁脱硫剂与库存的15吨氧化铁脱硫剂（硫容预估1.2吨）混装在D-417A中（库存剂装填在下部）。混装情况下，需保证单罐使用寿命大于6个月。</w:t>
      </w:r>
    </w:p>
    <w:p>
      <w:pPr>
        <w:spacing w:line="300" w:lineRule="exact"/>
        <w:ind w:firstLine="420" w:firstLineChars="200"/>
        <w:rPr>
          <w:rFonts w:hint="eastAsia"/>
          <w:szCs w:val="21"/>
          <w:lang w:val="en-US" w:eastAsia="zh-CN"/>
        </w:rPr>
      </w:pPr>
      <w:r>
        <w:rPr>
          <w:rFonts w:hint="eastAsia"/>
          <w:szCs w:val="21"/>
          <w:lang w:val="en-US" w:eastAsia="zh-CN"/>
        </w:rPr>
        <w:t>5.4具体验收、技术服务范围详见附件技术要求。</w:t>
      </w: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003C03"/>
    <w:rsid w:val="021D391B"/>
    <w:rsid w:val="024C0384"/>
    <w:rsid w:val="02773EF6"/>
    <w:rsid w:val="02CC4E1D"/>
    <w:rsid w:val="02D53A40"/>
    <w:rsid w:val="03033536"/>
    <w:rsid w:val="03261A08"/>
    <w:rsid w:val="032D15FD"/>
    <w:rsid w:val="032F04D8"/>
    <w:rsid w:val="036B79DE"/>
    <w:rsid w:val="03E270E3"/>
    <w:rsid w:val="03E5328D"/>
    <w:rsid w:val="042207A6"/>
    <w:rsid w:val="04444FBA"/>
    <w:rsid w:val="04675C1C"/>
    <w:rsid w:val="046E24C0"/>
    <w:rsid w:val="046F7ACF"/>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A3A75BC"/>
    <w:rsid w:val="0A4D0638"/>
    <w:rsid w:val="0A58515B"/>
    <w:rsid w:val="0A8B6BF2"/>
    <w:rsid w:val="0AB96449"/>
    <w:rsid w:val="0ADD75BB"/>
    <w:rsid w:val="0B0D38CD"/>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63320F"/>
    <w:rsid w:val="1387789C"/>
    <w:rsid w:val="13B74194"/>
    <w:rsid w:val="14937361"/>
    <w:rsid w:val="149868E6"/>
    <w:rsid w:val="14FC5116"/>
    <w:rsid w:val="15033088"/>
    <w:rsid w:val="150647E6"/>
    <w:rsid w:val="15101A52"/>
    <w:rsid w:val="15125849"/>
    <w:rsid w:val="15BF2E22"/>
    <w:rsid w:val="15C23309"/>
    <w:rsid w:val="15C31A47"/>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4C05AB"/>
    <w:rsid w:val="1A4F0A64"/>
    <w:rsid w:val="1AF22A1C"/>
    <w:rsid w:val="1AFD66F4"/>
    <w:rsid w:val="1B233A0E"/>
    <w:rsid w:val="1B8F7883"/>
    <w:rsid w:val="1B927AE6"/>
    <w:rsid w:val="1BC93515"/>
    <w:rsid w:val="1C1B3FE4"/>
    <w:rsid w:val="1C513BF0"/>
    <w:rsid w:val="1C8261A0"/>
    <w:rsid w:val="1CF31038"/>
    <w:rsid w:val="1D0113C9"/>
    <w:rsid w:val="1D05782C"/>
    <w:rsid w:val="1DB72E7F"/>
    <w:rsid w:val="1DDB74E0"/>
    <w:rsid w:val="1E2F61EF"/>
    <w:rsid w:val="1E3264F3"/>
    <w:rsid w:val="1E600A9D"/>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665006F"/>
    <w:rsid w:val="26AA092A"/>
    <w:rsid w:val="274761A1"/>
    <w:rsid w:val="27937EDA"/>
    <w:rsid w:val="27CF60B0"/>
    <w:rsid w:val="27E234BC"/>
    <w:rsid w:val="28012C6B"/>
    <w:rsid w:val="280475E2"/>
    <w:rsid w:val="285B7C69"/>
    <w:rsid w:val="28B0150E"/>
    <w:rsid w:val="293555E2"/>
    <w:rsid w:val="299A1AD2"/>
    <w:rsid w:val="29AC4DAC"/>
    <w:rsid w:val="29B80978"/>
    <w:rsid w:val="29CE07E6"/>
    <w:rsid w:val="29D17C38"/>
    <w:rsid w:val="29DA1C97"/>
    <w:rsid w:val="2A587284"/>
    <w:rsid w:val="2A893557"/>
    <w:rsid w:val="2A8B1681"/>
    <w:rsid w:val="2AAB2012"/>
    <w:rsid w:val="2AC0562D"/>
    <w:rsid w:val="2AC11AAE"/>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771119"/>
    <w:rsid w:val="31934494"/>
    <w:rsid w:val="319D55BA"/>
    <w:rsid w:val="31CE1FAB"/>
    <w:rsid w:val="31F4686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F871FB"/>
    <w:rsid w:val="35FC498E"/>
    <w:rsid w:val="36417C8D"/>
    <w:rsid w:val="366436B8"/>
    <w:rsid w:val="36886515"/>
    <w:rsid w:val="368A2F91"/>
    <w:rsid w:val="368B1D4A"/>
    <w:rsid w:val="369F3C73"/>
    <w:rsid w:val="36AC3A23"/>
    <w:rsid w:val="36E954BF"/>
    <w:rsid w:val="3768338E"/>
    <w:rsid w:val="37945B49"/>
    <w:rsid w:val="379D3B99"/>
    <w:rsid w:val="37ED7F2D"/>
    <w:rsid w:val="381C0BFA"/>
    <w:rsid w:val="38227768"/>
    <w:rsid w:val="387939C8"/>
    <w:rsid w:val="38814998"/>
    <w:rsid w:val="38A94FE7"/>
    <w:rsid w:val="38BA64A1"/>
    <w:rsid w:val="39057ED7"/>
    <w:rsid w:val="39137A71"/>
    <w:rsid w:val="3955569C"/>
    <w:rsid w:val="39657C8F"/>
    <w:rsid w:val="3969383E"/>
    <w:rsid w:val="39ED2847"/>
    <w:rsid w:val="3A4967DD"/>
    <w:rsid w:val="3A5116BA"/>
    <w:rsid w:val="3A5B7748"/>
    <w:rsid w:val="3A87079F"/>
    <w:rsid w:val="3A8C3BAF"/>
    <w:rsid w:val="3AD63889"/>
    <w:rsid w:val="3ADE5E05"/>
    <w:rsid w:val="3B053E4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287885"/>
    <w:rsid w:val="3E447FF5"/>
    <w:rsid w:val="3EEE28F9"/>
    <w:rsid w:val="3F1539A0"/>
    <w:rsid w:val="3F1E4982"/>
    <w:rsid w:val="3F516B77"/>
    <w:rsid w:val="3FEE6A4A"/>
    <w:rsid w:val="401F30A7"/>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BF0693"/>
    <w:rsid w:val="42DA60A9"/>
    <w:rsid w:val="42DC0DDB"/>
    <w:rsid w:val="43396FCF"/>
    <w:rsid w:val="43434628"/>
    <w:rsid w:val="43482915"/>
    <w:rsid w:val="4351032C"/>
    <w:rsid w:val="4355293C"/>
    <w:rsid w:val="439439C5"/>
    <w:rsid w:val="43D46D19"/>
    <w:rsid w:val="44236751"/>
    <w:rsid w:val="448C78B8"/>
    <w:rsid w:val="44CB1108"/>
    <w:rsid w:val="44E4129A"/>
    <w:rsid w:val="453F611C"/>
    <w:rsid w:val="454D6E39"/>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145FD"/>
    <w:rsid w:val="51E51CC3"/>
    <w:rsid w:val="52350240"/>
    <w:rsid w:val="52670AC3"/>
    <w:rsid w:val="529A77A5"/>
    <w:rsid w:val="53396CC8"/>
    <w:rsid w:val="53523F58"/>
    <w:rsid w:val="536C4A8A"/>
    <w:rsid w:val="53ED6794"/>
    <w:rsid w:val="542657F3"/>
    <w:rsid w:val="542A50A2"/>
    <w:rsid w:val="542D5399"/>
    <w:rsid w:val="543E14AB"/>
    <w:rsid w:val="54DD2BD3"/>
    <w:rsid w:val="553E317D"/>
    <w:rsid w:val="554D2C1E"/>
    <w:rsid w:val="556D7264"/>
    <w:rsid w:val="559230BD"/>
    <w:rsid w:val="55C604A8"/>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259F3"/>
    <w:rsid w:val="594531C0"/>
    <w:rsid w:val="59B64E5B"/>
    <w:rsid w:val="59C41AA5"/>
    <w:rsid w:val="5A196198"/>
    <w:rsid w:val="5B004781"/>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DFC0EB0"/>
    <w:rsid w:val="5E086E60"/>
    <w:rsid w:val="5E5B4B1E"/>
    <w:rsid w:val="5E806603"/>
    <w:rsid w:val="5EDC2437"/>
    <w:rsid w:val="5F0D17C2"/>
    <w:rsid w:val="5F3C0936"/>
    <w:rsid w:val="5F683B20"/>
    <w:rsid w:val="5F6A1B70"/>
    <w:rsid w:val="5F715923"/>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383FFB"/>
    <w:rsid w:val="64834708"/>
    <w:rsid w:val="64AC0A38"/>
    <w:rsid w:val="64D45316"/>
    <w:rsid w:val="651A5C4B"/>
    <w:rsid w:val="653116C9"/>
    <w:rsid w:val="653A164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486655"/>
    <w:rsid w:val="69680059"/>
    <w:rsid w:val="6AC26EA2"/>
    <w:rsid w:val="6AC44695"/>
    <w:rsid w:val="6B477EF6"/>
    <w:rsid w:val="6B513865"/>
    <w:rsid w:val="6B9A256C"/>
    <w:rsid w:val="6BA373FF"/>
    <w:rsid w:val="6BEB1E5F"/>
    <w:rsid w:val="6C4957FC"/>
    <w:rsid w:val="6C53730E"/>
    <w:rsid w:val="6C5534FB"/>
    <w:rsid w:val="6C61176F"/>
    <w:rsid w:val="6C666306"/>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6E1E39"/>
    <w:rsid w:val="74A25915"/>
    <w:rsid w:val="74D0444D"/>
    <w:rsid w:val="750000AA"/>
    <w:rsid w:val="750A7ABF"/>
    <w:rsid w:val="754931B4"/>
    <w:rsid w:val="75706FDE"/>
    <w:rsid w:val="759077E6"/>
    <w:rsid w:val="75940C8C"/>
    <w:rsid w:val="75BB2BFD"/>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37</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2022-07-26T01:15:17Z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