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szCs w:val="21"/>
        </w:rPr>
      </w:pPr>
      <w:r>
        <w:rPr>
          <w:rFonts w:hint="eastAsia" w:ascii="宋体" w:hAnsi="宋体" w:cs="宋体"/>
          <w:kern w:val="0"/>
          <w:sz w:val="36"/>
          <w:szCs w:val="36"/>
          <w:shd w:val="clear" w:color="auto" w:fill="FFFFFF"/>
        </w:rPr>
        <w:t>比选项目：聚氯化铝</w:t>
      </w:r>
    </w:p>
    <w:p>
      <w:pPr>
        <w:widowControl/>
        <w:shd w:val="clear" w:color="auto" w:fill="FFFFFF"/>
        <w:jc w:val="center"/>
        <w:rPr>
          <w:rFonts w:hint="eastAsia" w:eastAsia="宋体"/>
          <w:sz w:val="36"/>
          <w:szCs w:val="36"/>
          <w:lang w:eastAsia="zh-CN"/>
        </w:rPr>
      </w:pPr>
      <w:r>
        <w:rPr>
          <w:kern w:val="0"/>
          <w:sz w:val="52"/>
          <w:szCs w:val="52"/>
          <w:shd w:val="clear" w:color="auto" w:fill="FFFFFF"/>
        </w:rPr>
        <w:t> </w:t>
      </w:r>
      <w:r>
        <w:rPr>
          <w:rFonts w:hint="eastAsia" w:ascii="宋体" w:hAnsi="宋体" w:cs="宋体"/>
          <w:kern w:val="0"/>
          <w:sz w:val="36"/>
          <w:szCs w:val="36"/>
          <w:shd w:val="clear" w:color="auto" w:fill="FFFFFF"/>
        </w:rPr>
        <w:t>项目编号：2022-FHC-聚氯化铝-</w:t>
      </w:r>
      <w:r>
        <w:rPr>
          <w:rFonts w:hint="eastAsia" w:ascii="宋体" w:hAnsi="宋体" w:cs="宋体"/>
          <w:kern w:val="0"/>
          <w:sz w:val="36"/>
          <w:szCs w:val="36"/>
          <w:shd w:val="clear" w:color="auto" w:fill="FFFFFF"/>
          <w:lang w:eastAsia="zh-CN"/>
        </w:rPr>
        <w:t>0726</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right"/>
        <w:rPr>
          <w:szCs w:val="21"/>
        </w:rPr>
      </w:pPr>
      <w:r>
        <w:rPr>
          <w:rFonts w:hint="eastAsia" w:ascii="宋体" w:hAnsi="宋体" w:cs="宋体"/>
          <w:kern w:val="0"/>
          <w:sz w:val="28"/>
          <w:szCs w:val="28"/>
          <w:shd w:val="clear" w:color="auto" w:fill="FFFFFF"/>
        </w:rPr>
        <w:t>福建福海创石油化工有限公司</w:t>
      </w:r>
      <w:r>
        <w:rPr>
          <w:kern w:val="0"/>
          <w:sz w:val="28"/>
          <w:szCs w:val="28"/>
          <w:shd w:val="clear" w:color="auto" w:fill="FFFFFF"/>
        </w:rPr>
        <w:t> </w:t>
      </w:r>
    </w:p>
    <w:p>
      <w:pPr>
        <w:widowControl/>
        <w:shd w:val="clear" w:color="auto" w:fill="FFFFFF"/>
        <w:ind w:right="560"/>
        <w:jc w:val="right"/>
        <w:rPr>
          <w:rFonts w:hint="eastAsia" w:eastAsiaTheme="minorEastAsia"/>
          <w:szCs w:val="21"/>
          <w:lang w:eastAsia="zh-CN"/>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eastAsia="zh-CN"/>
        </w:rPr>
        <w:t>7月26日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widowControl/>
        <w:jc w:val="left"/>
        <w:rPr>
          <w:rFonts w:ascii="宋体"/>
          <w:b/>
          <w:bCs/>
          <w:sz w:val="36"/>
        </w:rPr>
      </w:pPr>
      <w:r>
        <w:rPr>
          <w:rFonts w:ascii="宋体"/>
          <w:b/>
          <w:bCs/>
          <w:sz w:val="36"/>
        </w:rPr>
        <w:br w:type="page"/>
      </w:r>
    </w:p>
    <w:p>
      <w:pPr>
        <w:spacing w:line="400" w:lineRule="exact"/>
        <w:jc w:val="center"/>
        <w:rPr>
          <w:rFonts w:ascii="宋体"/>
          <w:b/>
          <w:bCs/>
          <w:sz w:val="36"/>
        </w:rPr>
      </w:pPr>
      <w:r>
        <w:rPr>
          <w:rFonts w:hint="eastAsia" w:ascii="宋体" w:hAnsi="宋体"/>
          <w:b/>
          <w:bCs/>
          <w:sz w:val="36"/>
        </w:rPr>
        <w:t>一、比选公告</w:t>
      </w:r>
    </w:p>
    <w:p>
      <w:pPr>
        <w:spacing w:line="336" w:lineRule="auto"/>
        <w:jc w:val="center"/>
        <w:rPr>
          <w:b/>
          <w:bCs/>
          <w:sz w:val="32"/>
        </w:rPr>
      </w:pPr>
      <w:r>
        <w:rPr>
          <w:rFonts w:hint="eastAsia"/>
          <w:b/>
          <w:bCs/>
          <w:sz w:val="32"/>
        </w:rPr>
        <w:t>福建福海创石油化工有限公司</w:t>
      </w:r>
    </w:p>
    <w:p>
      <w:pPr>
        <w:spacing w:line="336" w:lineRule="auto"/>
        <w:jc w:val="center"/>
        <w:rPr>
          <w:bCs/>
          <w:szCs w:val="21"/>
        </w:rPr>
      </w:pPr>
      <w:r>
        <w:rPr>
          <w:rFonts w:hint="eastAsia"/>
          <w:b/>
          <w:bCs/>
          <w:sz w:val="32"/>
        </w:rPr>
        <w:t>聚氯化铝</w:t>
      </w:r>
      <w:r>
        <w:rPr>
          <w:b/>
          <w:bCs/>
          <w:sz w:val="32"/>
        </w:rPr>
        <w:t>采购</w:t>
      </w:r>
      <w:r>
        <w:rPr>
          <w:rFonts w:hint="eastAsia"/>
          <w:b/>
          <w:bCs/>
          <w:sz w:val="32"/>
        </w:rPr>
        <w:t>比选公告</w:t>
      </w:r>
    </w:p>
    <w:p>
      <w:pPr>
        <w:spacing w:before="100" w:beforeAutospacing="1" w:after="100" w:afterAutospacing="1" w:line="336"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福建福海创石油化工有限公司就</w:t>
      </w:r>
      <w:r>
        <w:rPr>
          <w:rFonts w:hint="eastAsia" w:asciiTheme="minorEastAsia" w:hAnsiTheme="minorEastAsia" w:eastAsiaTheme="minorEastAsia"/>
          <w:bCs/>
          <w:sz w:val="24"/>
          <w:u w:val="single"/>
        </w:rPr>
        <w:t>“聚氯化铝（项目编号：2022-FHC-聚氯化铝-</w:t>
      </w:r>
      <w:r>
        <w:rPr>
          <w:rFonts w:hint="eastAsia" w:asciiTheme="minorEastAsia" w:hAnsiTheme="minorEastAsia" w:eastAsiaTheme="minorEastAsia"/>
          <w:bCs/>
          <w:sz w:val="24"/>
          <w:u w:val="single"/>
          <w:lang w:eastAsia="zh-CN"/>
        </w:rPr>
        <w:t>0726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ascii="宋体" w:hAnsi="宋体" w:cs="宋体" w:eastAsiaTheme="minorEastAsia"/>
          <w:sz w:val="24"/>
        </w:rPr>
        <w:t>聚氯化铝</w:t>
      </w:r>
      <w:r>
        <w:rPr>
          <w:rFonts w:hint="eastAsia" w:ascii="宋体" w:hAnsi="宋体" w:cs="宋体"/>
          <w:sz w:val="24"/>
        </w:rPr>
        <w:t>。</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比选项目：聚氯化铝采购数量、质量、货期等要求详见比选文件。</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参选保证金：伍万元整。</w:t>
      </w:r>
    </w:p>
    <w:p>
      <w:pPr>
        <w:spacing w:line="336"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2年8月</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日（含当日）</w:t>
      </w:r>
    </w:p>
    <w:p>
      <w:pPr>
        <w:pStyle w:val="11"/>
        <w:numPr>
          <w:ilvl w:val="255"/>
          <w:numId w:val="0"/>
        </w:numPr>
        <w:spacing w:before="0" w:line="336"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11"/>
        <w:spacing w:before="0" w:line="336"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（3）保证金汇款银行水单：投标单位需缴纳投标保证金：伍万元整，如中选、该保证金转为履约保证金，如不中选，在比选结束后请联系商务联系人办理无息等额退款。</w:t>
      </w:r>
    </w:p>
    <w:p>
      <w:pPr>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账    号：406574816628</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36"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hint="eastAsia" w:asciiTheme="minorEastAsia" w:hAnsiTheme="minorEastAsia" w:eastAsiaTheme="minorEastAsia"/>
          <w:bCs/>
          <w:sz w:val="24"/>
        </w:rPr>
        <w:t>参选文件递交地点：厦门市思明区莲前街道领事馆路16号银领中心B栋4楼，</w:t>
      </w:r>
      <w:r>
        <w:rPr>
          <w:rFonts w:hint="eastAsia" w:asciiTheme="minorEastAsia" w:hAnsiTheme="minorEastAsia" w:eastAsiaTheme="minorEastAsia"/>
          <w:bCs/>
          <w:sz w:val="24"/>
          <w:lang w:val="en-US" w:eastAsia="zh-CN"/>
        </w:rPr>
        <w:t>许智敏13655990097</w:t>
      </w:r>
      <w:r>
        <w:rPr>
          <w:rFonts w:hint="eastAsia" w:asciiTheme="minorEastAsia" w:hAnsiTheme="minorEastAsia" w:eastAsiaTheme="minorEastAsia"/>
          <w:bCs/>
          <w:sz w:val="24"/>
        </w:rPr>
        <w:t>。</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截止时间</w:t>
      </w:r>
      <w:r>
        <w:rPr>
          <w:rFonts w:hint="eastAsia" w:asciiTheme="majorEastAsia" w:hAnsiTheme="majorEastAsia" w:eastAsiaTheme="majorEastAsia"/>
          <w:bCs/>
          <w:sz w:val="24"/>
          <w:lang w:val="en-US" w:eastAsia="zh-CN"/>
        </w:rPr>
        <w:t>2022年8月10</w:t>
      </w:r>
      <w:r>
        <w:rPr>
          <w:rFonts w:hint="eastAsia" w:asciiTheme="majorEastAsia" w:hAnsiTheme="majorEastAsia" w:eastAsiaTheme="majorEastAsia"/>
          <w:bCs/>
          <w:sz w:val="24"/>
        </w:rPr>
        <w:t>日</w:t>
      </w:r>
      <w:r>
        <w:rPr>
          <w:rFonts w:hint="eastAsia" w:asciiTheme="majorEastAsia" w:hAnsiTheme="majorEastAsia" w:eastAsiaTheme="majorEastAsia"/>
          <w:bCs/>
          <w:sz w:val="24"/>
          <w:lang w:eastAsia="zh-CN"/>
        </w:rPr>
        <w:t>（</w:t>
      </w:r>
      <w:r>
        <w:rPr>
          <w:rFonts w:hint="eastAsia" w:asciiTheme="majorEastAsia" w:hAnsiTheme="majorEastAsia" w:eastAsiaTheme="majorEastAsia"/>
          <w:bCs/>
          <w:sz w:val="24"/>
          <w:lang w:val="en-US" w:eastAsia="zh-CN"/>
        </w:rPr>
        <w:t>含当日）</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sz w:val="24"/>
        </w:rPr>
        <w:t>寄件人公司名称及相应参选项目名称</w:t>
      </w:r>
      <w:r>
        <w:rPr>
          <w:rFonts w:asciiTheme="minorEastAsia" w:hAnsiTheme="minorEastAsia" w:eastAsiaTheme="minorEastAsia"/>
          <w:bCs/>
          <w:sz w:val="24"/>
        </w:rPr>
        <w:t>！</w:t>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w:t>
      </w:r>
      <w:r>
        <w:rPr>
          <w:rFonts w:hint="eastAsia" w:asciiTheme="majorEastAsia" w:hAnsiTheme="majorEastAsia" w:eastAsiaTheme="majorEastAsia"/>
          <w:bCs/>
          <w:sz w:val="24"/>
        </w:rPr>
        <w:t>递交截止时间前邮件加密发送参选文件至：</w:t>
      </w:r>
      <w:r>
        <w:fldChar w:fldCharType="begin"/>
      </w:r>
      <w:r>
        <w:instrText xml:space="preserve"> HYPERLINK "mailto:wzcgb@fjpec.com.cn（邮件标题备注参选项目名称）。开选当日将由业务员联系获取加密密码。" </w:instrText>
      </w:r>
      <w:r>
        <w:fldChar w:fldCharType="separate"/>
      </w:r>
      <w:r>
        <w:rPr>
          <w:rFonts w:hint="eastAsia" w:asciiTheme="majorEastAsia" w:hAnsiTheme="majorEastAsia" w:eastAsiaTheme="majorEastAsia"/>
          <w:bCs/>
          <w:sz w:val="24"/>
        </w:rPr>
        <w:t>wzcgb@fjpec.com.cn（邮件标题备注参选项目名称）。开选当日将由业务员联系获取加密密码。</w:t>
      </w:r>
      <w:r>
        <w:rPr>
          <w:rFonts w:hint="eastAsia" w:asciiTheme="majorEastAsia" w:hAnsiTheme="majorEastAsia" w:eastAsiaTheme="majorEastAsia"/>
          <w:bCs/>
          <w:sz w:val="24"/>
        </w:rPr>
        <w:fldChar w:fldCharType="end"/>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ajorEastAsia" w:hAnsiTheme="majorEastAsia" w:eastAsiaTheme="majorEastAsia"/>
          <w:b/>
          <w:bCs w:val="0"/>
          <w:sz w:val="24"/>
          <w:lang w:val="en-US" w:eastAsia="zh-CN"/>
        </w:rPr>
        <w:t>报名截止时间前提供样品，</w:t>
      </w:r>
      <w:r>
        <w:rPr>
          <w:rFonts w:hint="eastAsia" w:ascii="宋体" w:hAnsi="宋体" w:cs="宋体"/>
          <w:b/>
          <w:bCs/>
          <w:sz w:val="24"/>
          <w:lang w:val="en-US" w:eastAsia="zh-CN"/>
        </w:rPr>
        <w:t>样品收件人：</w:t>
      </w:r>
      <w:r>
        <w:rPr>
          <w:rFonts w:hint="eastAsia" w:cs="宋体" w:asciiTheme="minorEastAsia" w:hAnsiTheme="minorEastAsia"/>
          <w:b/>
          <w:bCs/>
          <w:sz w:val="24"/>
        </w:rPr>
        <w:t>周建华 电话：13313854017</w:t>
      </w:r>
      <w:r>
        <w:rPr>
          <w:rFonts w:hint="eastAsia" w:cs="宋体" w:asciiTheme="minorEastAsia" w:hAnsiTheme="minorEastAsia"/>
          <w:b/>
          <w:bCs/>
          <w:sz w:val="24"/>
          <w:lang w:val="en-US" w:eastAsia="zh-CN"/>
        </w:rPr>
        <w:t xml:space="preserve"> 地址：福建省漳</w:t>
      </w:r>
      <w:bookmarkStart w:id="2" w:name="_GoBack"/>
      <w:bookmarkEnd w:id="2"/>
      <w:r>
        <w:rPr>
          <w:rFonts w:hint="eastAsia" w:cs="宋体" w:asciiTheme="minorEastAsia" w:hAnsiTheme="minorEastAsia"/>
          <w:b/>
          <w:bCs/>
          <w:sz w:val="24"/>
          <w:lang w:val="en-US" w:eastAsia="zh-CN"/>
        </w:rPr>
        <w:t>州市古雷港经济开发区腾龙路84号</w:t>
      </w:r>
    </w:p>
    <w:p>
      <w:pPr>
        <w:pStyle w:val="11"/>
        <w:spacing w:before="100" w:beforeAutospacing="1" w:after="100" w:afterAutospacing="1" w:line="336"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许智敏</w:t>
      </w:r>
      <w:r>
        <w:rPr>
          <w:rFonts w:hint="eastAsia" w:cs="宋体" w:asciiTheme="minorEastAsia" w:hAnsiTheme="minorEastAsia"/>
          <w:bCs/>
          <w:sz w:val="24"/>
        </w:rPr>
        <w:t xml:space="preserve">  电话：1</w:t>
      </w:r>
      <w:r>
        <w:rPr>
          <w:rFonts w:hint="eastAsia" w:cs="宋体" w:asciiTheme="minorEastAsia" w:hAnsiTheme="minorEastAsia"/>
          <w:bCs/>
          <w:sz w:val="24"/>
          <w:lang w:val="en-US" w:eastAsia="zh-CN"/>
        </w:rPr>
        <w:t>3655990097</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2"/>
          <w:rFonts w:hint="eastAsia" w:ascii="Times New Roman" w:hAnsi="Times New Roman" w:eastAsia="宋体" w:cs="Times New Roman"/>
        </w:rPr>
        <w:t>@fjpec.com.cn</w:t>
      </w:r>
    </w:p>
    <w:p>
      <w:pPr>
        <w:pStyle w:val="2"/>
        <w:snapToGrid w:val="0"/>
        <w:spacing w:before="100" w:beforeAutospacing="1" w:after="100" w:afterAutospacing="1" w:line="336" w:lineRule="auto"/>
        <w:ind w:left="412" w:firstLine="480" w:firstLineChars="200"/>
        <w:rPr>
          <w:rFonts w:ascii="Arial" w:hAnsi="Arial" w:eastAsia="宋体" w:cs="Arial"/>
          <w:sz w:val="18"/>
          <w:szCs w:val="18"/>
        </w:rPr>
      </w:pPr>
      <w:r>
        <w:rPr>
          <w:rFonts w:hint="eastAsia" w:cs="宋体" w:asciiTheme="minorEastAsia" w:hAnsiTheme="minorEastAsia"/>
          <w:bCs/>
          <w:sz w:val="24"/>
        </w:rPr>
        <w:t>技术联系人：周建华 电话：13313854017  邮箱：</w:t>
      </w:r>
      <w:r>
        <w:fldChar w:fldCharType="begin"/>
      </w:r>
      <w:r>
        <w:instrText xml:space="preserve"> HYPERLINK "mailto:jhzhou@fhcpec.com.cn" </w:instrText>
      </w:r>
      <w:r>
        <w:fldChar w:fldCharType="separate"/>
      </w:r>
      <w:r>
        <w:rPr>
          <w:rStyle w:val="9"/>
          <w:rFonts w:ascii="Arial" w:hAnsi="Arial" w:eastAsia="宋体" w:cs="Arial"/>
          <w:color w:val="auto"/>
        </w:rPr>
        <w:t>jhzhou@fhcpec.com.cn</w:t>
      </w:r>
      <w:r>
        <w:rPr>
          <w:rStyle w:val="9"/>
          <w:rFonts w:ascii="Arial" w:hAnsi="Arial" w:eastAsia="宋体" w:cs="Arial"/>
          <w:color w:val="auto"/>
        </w:rPr>
        <w:fldChar w:fldCharType="end"/>
      </w:r>
    </w:p>
    <w:p>
      <w:pPr>
        <w:pStyle w:val="2"/>
        <w:snapToGrid w:val="0"/>
        <w:spacing w:before="100" w:beforeAutospacing="1" w:after="100" w:afterAutospacing="1" w:line="336" w:lineRule="auto"/>
        <w:ind w:firstLine="2160" w:firstLineChars="900"/>
        <w:rPr>
          <w:rFonts w:cs="宋体" w:asciiTheme="minorEastAsia" w:hAnsiTheme="minorEastAsia"/>
          <w:bCs/>
          <w:sz w:val="24"/>
        </w:rPr>
      </w:pPr>
      <w:r>
        <w:rPr>
          <w:rFonts w:hint="eastAsia" w:cs="宋体" w:asciiTheme="minorEastAsia" w:hAnsiTheme="minorEastAsia"/>
          <w:bCs/>
          <w:sz w:val="24"/>
        </w:rPr>
        <w:t>陈海伟 电话：13616007156  邮箱：</w:t>
      </w:r>
      <w:r>
        <w:rPr>
          <w:rFonts w:ascii="Arial" w:hAnsi="Arial" w:eastAsia="宋体" w:cs="Arial"/>
          <w:sz w:val="18"/>
          <w:szCs w:val="18"/>
        </w:rPr>
        <w:t>hwchen@fhcpec.com.cn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sz w:val="24"/>
        </w:rPr>
      </w:pPr>
      <w:r>
        <w:rPr>
          <w:rFonts w:hint="eastAsia" w:cs="宋体" w:asciiTheme="minorEastAsia" w:hAnsiTheme="minorEastAsia"/>
          <w:bCs/>
          <w:sz w:val="24"/>
        </w:rPr>
        <w:t xml:space="preserve">纪检监察室电话：0596-6311774  </w:t>
      </w:r>
    </w:p>
    <w:p>
      <w:pPr>
        <w:pStyle w:val="2"/>
        <w:snapToGrid w:val="0"/>
        <w:spacing w:before="100" w:beforeAutospacing="1" w:after="100" w:afterAutospacing="1" w:line="336"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sz w:val="24"/>
        </w:rPr>
        <w:t>厦门市思明区莲前街道领事馆路16号银领中心B栋4楼</w:t>
      </w:r>
    </w:p>
    <w:p>
      <w:pPr>
        <w:pStyle w:val="2"/>
        <w:snapToGrid w:val="0"/>
        <w:spacing w:before="100" w:beforeAutospacing="1" w:after="100" w:afterAutospacing="1" w:line="336" w:lineRule="auto"/>
        <w:ind w:left="412" w:firstLine="480" w:firstLineChars="200"/>
        <w:rPr>
          <w:rFonts w:ascii="Arial" w:hAnsi="Arial" w:eastAsia="宋体" w:cs="Arial"/>
          <w:sz w:val="24"/>
          <w:shd w:val="clear" w:color="auto" w:fill="FFFFFF"/>
        </w:rPr>
      </w:pPr>
      <w:r>
        <w:rPr>
          <w:rFonts w:hint="eastAsia" w:cs="宋体" w:asciiTheme="minorEastAsia" w:hAnsiTheme="minorEastAsia"/>
          <w:bCs/>
          <w:sz w:val="24"/>
        </w:rPr>
        <w:t>邮    编：</w:t>
      </w:r>
      <w:r>
        <w:rPr>
          <w:rFonts w:ascii="Arial" w:hAnsi="Arial" w:eastAsia="宋体" w:cs="Arial"/>
          <w:sz w:val="24"/>
          <w:shd w:val="clear" w:color="auto" w:fill="FFFFFF"/>
        </w:rPr>
        <w:t>361001</w:t>
      </w:r>
    </w:p>
    <w:p>
      <w:pPr>
        <w:pStyle w:val="2"/>
        <w:snapToGrid w:val="0"/>
        <w:spacing w:before="100" w:beforeAutospacing="1" w:after="100" w:afterAutospacing="1" w:line="336" w:lineRule="auto"/>
        <w:ind w:left="412" w:firstLine="480" w:firstLineChars="200"/>
        <w:jc w:val="right"/>
        <w:rPr>
          <w:rFonts w:asciiTheme="minorEastAsia" w:hAnsiTheme="minorEastAsia"/>
          <w:sz w:val="24"/>
        </w:rPr>
      </w:pPr>
      <w:r>
        <w:rPr>
          <w:rFonts w:hint="eastAsia" w:asciiTheme="minorEastAsia" w:hAnsiTheme="minorEastAsia"/>
          <w:sz w:val="24"/>
        </w:rPr>
        <w:t>福建福海创石油化工有限公司</w:t>
      </w:r>
    </w:p>
    <w:p>
      <w:pPr>
        <w:spacing w:before="100" w:beforeAutospacing="1" w:after="100" w:afterAutospacing="1" w:line="336"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2022年</w:t>
      </w:r>
      <w:r>
        <w:rPr>
          <w:rFonts w:hint="eastAsia" w:asciiTheme="minorEastAsia" w:hAnsiTheme="minorEastAsia" w:eastAsiaTheme="minorEastAsia"/>
          <w:sz w:val="24"/>
          <w:lang w:eastAsia="zh-CN"/>
        </w:rPr>
        <w:t>7月26日</w:t>
      </w:r>
    </w:p>
    <w:p>
      <w:pPr>
        <w:spacing w:line="400" w:lineRule="exact"/>
        <w:jc w:val="center"/>
        <w:rPr>
          <w:rFonts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聚氯化铝。</w:t>
      </w:r>
    </w:p>
    <w:p>
      <w:pPr>
        <w:pStyle w:val="14"/>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hAnsi="宋体"/>
          <w:sz w:val="18"/>
          <w:szCs w:val="18"/>
        </w:rPr>
      </w:pPr>
      <w:r>
        <w:rPr>
          <w:rFonts w:hint="eastAsia" w:ascii="宋体"/>
          <w:sz w:val="18"/>
          <w:szCs w:val="18"/>
        </w:rPr>
        <w:t>（4）与比选人无诉讼纠纷。</w:t>
      </w:r>
    </w:p>
    <w:p>
      <w:pPr>
        <w:spacing w:line="320" w:lineRule="exact"/>
        <w:rPr>
          <w:rFonts w:ascii="宋体" w:hAnsi="宋体"/>
          <w:sz w:val="18"/>
          <w:szCs w:val="18"/>
        </w:rPr>
      </w:pPr>
      <w:r>
        <w:rPr>
          <w:rFonts w:hint="eastAsia" w:ascii="宋体" w:hAnsi="宋体"/>
          <w:sz w:val="18"/>
          <w:szCs w:val="18"/>
        </w:rPr>
        <w:t>（5）参选保证金：伍万元整。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聚氯化铝的</w:t>
      </w:r>
      <w:r>
        <w:rPr>
          <w:rFonts w:hint="eastAsia" w:ascii="宋体" w:hAnsi="宋体"/>
          <w:sz w:val="18"/>
          <w:szCs w:val="18"/>
        </w:rPr>
        <w:t>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kern w:val="0"/>
          <w:sz w:val="24"/>
        </w:rPr>
        <w:t>若报价偏离市场行情，福建福海创石油化工有限公司有权选择废选。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hint="eastAsia" w:ascii="宋体" w:eastAsiaTheme="minorEastAsia"/>
          <w:b/>
          <w:bCs/>
          <w:sz w:val="24"/>
          <w:lang w:eastAsia="zh-CN"/>
        </w:rPr>
      </w:pPr>
      <w:r>
        <w:rPr>
          <w:rFonts w:hint="eastAsia" w:ascii="宋体" w:hAnsi="宋体"/>
          <w:sz w:val="24"/>
        </w:rPr>
        <w:t>编号：</w:t>
      </w:r>
      <w:r>
        <w:rPr>
          <w:rFonts w:hint="eastAsia" w:asciiTheme="minorEastAsia" w:hAnsiTheme="minorEastAsia" w:eastAsiaTheme="minorEastAsia"/>
          <w:bCs/>
          <w:sz w:val="24"/>
          <w:u w:val="single"/>
        </w:rPr>
        <w:t>2022-FHC-聚氯化铝-</w:t>
      </w:r>
      <w:r>
        <w:rPr>
          <w:rFonts w:hint="eastAsia" w:asciiTheme="minorEastAsia" w:hAnsiTheme="minorEastAsia" w:eastAsiaTheme="minorEastAsia"/>
          <w:bCs/>
          <w:sz w:val="24"/>
          <w:u w:val="single"/>
          <w:lang w:eastAsia="zh-CN"/>
        </w:rPr>
        <w:t>0726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我公司计划采购聚氯化铝，具体要求如下：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采购数量：1500吨（数量为预估，以实际发生量为准）。</w:t>
      </w:r>
    </w:p>
    <w:p>
      <w:pPr>
        <w:spacing w:line="360" w:lineRule="exact"/>
        <w:jc w:val="left"/>
        <w:rPr>
          <w:rFonts w:ascii="宋体" w:hAnsi="宋体" w:cs="宋体"/>
          <w:sz w:val="24"/>
        </w:rPr>
      </w:pPr>
      <w:r>
        <w:rPr>
          <w:rFonts w:hint="eastAsia" w:ascii="宋体" w:hAnsi="宋体" w:cs="宋体"/>
          <w:sz w:val="24"/>
        </w:rPr>
        <w:t>2.技术参数指标：详见附件1《</w:t>
      </w:r>
      <w:r>
        <w:rPr>
          <w:rFonts w:hint="eastAsia" w:ascii="宋体" w:hAnsi="宋体"/>
          <w:sz w:val="24"/>
        </w:rPr>
        <w:t>聚氯化铝</w:t>
      </w:r>
      <w:r>
        <w:rPr>
          <w:rFonts w:hint="eastAsia" w:ascii="宋体" w:hAnsi="宋体" w:cs="宋体"/>
          <w:sz w:val="24"/>
        </w:rPr>
        <w:t>质量规范》。</w:t>
      </w:r>
    </w:p>
    <w:p>
      <w:pPr>
        <w:spacing w:line="360" w:lineRule="exact"/>
        <w:jc w:val="left"/>
        <w:rPr>
          <w:rFonts w:ascii="宋体" w:cs="宋体"/>
          <w:sz w:val="24"/>
        </w:rPr>
      </w:pPr>
      <w:r>
        <w:rPr>
          <w:rFonts w:hint="eastAsia" w:ascii="宋体" w:hAnsi="宋体" w:cs="宋体"/>
          <w:sz w:val="24"/>
        </w:rPr>
        <w:t>3.</w:t>
      </w:r>
      <w:r>
        <w:rPr>
          <w:rFonts w:hint="eastAsia" w:ascii="宋体" w:hAnsi="宋体"/>
          <w:sz w:val="24"/>
        </w:rPr>
        <w:t>到货时间：合同签订日起至2022年12月31日，具体以需方通知为准。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4.报价须知：聚氯化铝</w:t>
      </w:r>
      <w:r>
        <w:rPr>
          <w:rFonts w:hint="eastAsia" w:ascii="宋体" w:hAnsi="宋体" w:cs="宋体"/>
          <w:sz w:val="24"/>
        </w:rPr>
        <w:t>含税送到价</w:t>
      </w:r>
      <w:r>
        <w:rPr>
          <w:rFonts w:hint="eastAsia" w:ascii="宋体" w:hAnsi="宋体" w:cs="宋体"/>
          <w:sz w:val="24"/>
          <w:lang w:eastAsia="zh-CN"/>
        </w:rPr>
        <w:t>，</w:t>
      </w:r>
      <w:r>
        <w:rPr>
          <w:rFonts w:ascii="Arial" w:hAnsi="Arial" w:eastAsia="宋体" w:cs="Arial"/>
          <w:b/>
          <w:bCs/>
          <w:i w:val="0"/>
          <w:caps w:val="0"/>
          <w:color w:val="111111"/>
          <w:spacing w:val="0"/>
          <w:sz w:val="24"/>
          <w:szCs w:val="24"/>
          <w:shd w:val="clear" w:fill="FFFFFF"/>
        </w:rPr>
        <w:t>参选单位</w:t>
      </w:r>
      <w:r>
        <w:rPr>
          <w:rFonts w:hint="eastAsia" w:ascii="Arial" w:hAnsi="Arial" w:cs="Arial"/>
          <w:b/>
          <w:bCs/>
          <w:i w:val="0"/>
          <w:caps w:val="0"/>
          <w:color w:val="111111"/>
          <w:spacing w:val="0"/>
          <w:sz w:val="24"/>
          <w:szCs w:val="24"/>
          <w:shd w:val="clear" w:fill="FFFFFF"/>
          <w:lang w:val="en-US" w:eastAsia="zh-CN"/>
        </w:rPr>
        <w:t>须同步提供</w:t>
      </w:r>
      <w:r>
        <w:rPr>
          <w:rFonts w:ascii="Arial" w:hAnsi="Arial" w:eastAsia="宋体" w:cs="Arial"/>
          <w:b/>
          <w:bCs/>
          <w:i w:val="0"/>
          <w:caps w:val="0"/>
          <w:color w:val="111111"/>
          <w:spacing w:val="0"/>
          <w:sz w:val="24"/>
          <w:szCs w:val="24"/>
          <w:shd w:val="clear" w:fill="FFFFFF"/>
        </w:rPr>
        <w:t>样品。</w:t>
      </w:r>
      <w:r>
        <w:rPr>
          <w:rFonts w:hint="eastAsia" w:ascii="宋体" w:hAnsi="宋体" w:cs="宋体"/>
          <w:sz w:val="24"/>
        </w:rPr>
        <w:t>参选人需对全部比选数量进行报价。本次采购将以翔鹭石化（漳州）有限公司、腾龙芳烃（漳州）有限公司抬头进行签约，预计分别签约1000吨和500吨。</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sz w:val="24"/>
        </w:rPr>
      </w:pPr>
      <w:r>
        <w:rPr>
          <w:rFonts w:hint="eastAsia" w:ascii="宋体" w:hAnsi="宋体" w:cs="宋体"/>
          <w:sz w:val="24"/>
        </w:rPr>
        <w:t>5.2数量验收：以需方使用单位验收为准。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sz w:val="24"/>
        </w:rPr>
        <w:t>运输条款：供方配送，</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r>
        <w:rPr>
          <w:rFonts w:hint="eastAsia" w:asciiTheme="minorEastAsia" w:hAnsiTheme="minorEastAsia" w:eastAsiaTheme="minorEastAsia"/>
          <w:b/>
          <w:bCs/>
          <w:kern w:val="0"/>
          <w:sz w:val="24"/>
        </w:rPr>
        <w:t>翔鹭石化（漳州）有限公司单次送货量≤30吨。</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7.1参选文件递交截止时间：见比选公告。</w:t>
      </w:r>
    </w:p>
    <w:p>
      <w:pPr>
        <w:spacing w:line="360" w:lineRule="exact"/>
        <w:jc w:val="left"/>
        <w:rPr>
          <w:rFonts w:ascii="宋体" w:hAnsi="宋体" w:cs="宋体"/>
          <w:sz w:val="24"/>
        </w:rPr>
      </w:pPr>
      <w:r>
        <w:rPr>
          <w:rFonts w:hint="eastAsia" w:ascii="宋体" w:hAnsi="宋体" w:cs="宋体"/>
          <w:sz w:val="24"/>
        </w:rPr>
        <w:t>7.2参选文件应密封，包含比选公告、参选规定及说明、公开比选文件、参选书、法定代表人授权书、报价单，上述六项文件一式两份并逐页盖公章。密封处盖章。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sz w:val="24"/>
        </w:rPr>
      </w:pPr>
      <w:r>
        <w:rPr>
          <w:rFonts w:hint="eastAsia" w:ascii="宋体" w:hAnsi="宋体" w:cs="宋体"/>
          <w:sz w:val="24"/>
        </w:rPr>
        <w:t>7.3我公司快递联系方式：</w:t>
      </w:r>
    </w:p>
    <w:p>
      <w:pPr>
        <w:spacing w:line="360" w:lineRule="exact"/>
        <w:jc w:val="left"/>
        <w:rPr>
          <w:rFonts w:ascii="宋体" w:hAnsi="宋体" w:cs="宋体"/>
          <w:sz w:val="24"/>
        </w:rPr>
      </w:pPr>
      <w:r>
        <w:rPr>
          <w:rFonts w:hint="eastAsia" w:ascii="宋体" w:hAnsi="宋体" w:cs="宋体"/>
          <w:sz w:val="24"/>
        </w:rPr>
        <w:t>地址：福建省厦门市思明区莲前街道领事馆路16号银领中心B栋4楼 物资装备一部</w:t>
      </w:r>
    </w:p>
    <w:p>
      <w:pPr>
        <w:spacing w:line="360" w:lineRule="exact"/>
        <w:jc w:val="left"/>
        <w:rPr>
          <w:rFonts w:hint="eastAsia" w:ascii="宋体" w:hAnsi="宋体" w:cs="宋体"/>
          <w:sz w:val="24"/>
          <w:lang w:eastAsia="zh-CN"/>
        </w:rPr>
      </w:pPr>
      <w:r>
        <w:rPr>
          <w:rFonts w:hint="eastAsia" w:ascii="宋体" w:hAnsi="宋体" w:cs="宋体"/>
          <w:sz w:val="24"/>
        </w:rPr>
        <w:t>联系人：</w:t>
      </w:r>
      <w:r>
        <w:rPr>
          <w:rFonts w:hint="eastAsia" w:ascii="宋体" w:hAnsi="宋体" w:cs="宋体"/>
          <w:sz w:val="24"/>
          <w:lang w:eastAsia="zh-CN"/>
        </w:rPr>
        <w:t>许智敏</w:t>
      </w:r>
      <w:r>
        <w:rPr>
          <w:rFonts w:hint="eastAsia" w:ascii="宋体" w:hAnsi="宋体" w:cs="宋体"/>
          <w:sz w:val="24"/>
        </w:rPr>
        <w:t xml:space="preserve">  手机：</w:t>
      </w:r>
      <w:r>
        <w:rPr>
          <w:rFonts w:hint="eastAsia" w:ascii="宋体" w:hAnsi="宋体" w:cs="宋体"/>
          <w:sz w:val="24"/>
          <w:lang w:eastAsia="zh-CN"/>
        </w:rPr>
        <w:t>13655990097</w:t>
      </w:r>
    </w:p>
    <w:p>
      <w:pPr>
        <w:spacing w:line="360" w:lineRule="exact"/>
        <w:jc w:val="left"/>
        <w:rPr>
          <w:rFonts w:hint="default" w:ascii="宋体" w:hAnsi="宋体" w:eastAsia="宋体" w:cs="宋体"/>
          <w:sz w:val="24"/>
          <w:lang w:val="en-US" w:eastAsia="zh-CN"/>
        </w:rPr>
      </w:pPr>
      <w:r>
        <w:rPr>
          <w:rFonts w:hint="eastAsia" w:cs="宋体" w:asciiTheme="minorEastAsia" w:hAnsiTheme="minorEastAsia"/>
          <w:bCs/>
          <w:sz w:val="24"/>
          <w:lang w:val="en-US" w:eastAsia="zh-CN"/>
        </w:rPr>
        <w:t xml:space="preserve"> </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致：福建福海创石油化工有限公司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2022-FHC-聚氯化铝-</w:t>
      </w:r>
      <w:r>
        <w:rPr>
          <w:rFonts w:hint="eastAsia" w:asciiTheme="minorEastAsia" w:hAnsiTheme="minorEastAsia" w:eastAsiaTheme="minorEastAsia"/>
          <w:bCs/>
          <w:sz w:val="24"/>
          <w:u w:val="single"/>
          <w:lang w:eastAsia="zh-CN"/>
        </w:rPr>
        <w:t>0726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2022-FHC-聚氯化铝-</w:t>
      </w:r>
      <w:r>
        <w:rPr>
          <w:rFonts w:hint="eastAsia" w:asciiTheme="minorEastAsia" w:hAnsiTheme="minorEastAsia" w:eastAsiaTheme="minorEastAsia"/>
          <w:bCs/>
          <w:sz w:val="24"/>
          <w:u w:val="single"/>
          <w:lang w:eastAsia="zh-CN"/>
        </w:rPr>
        <w:t>0726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致：福建福海创石油化工有限公司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2022-FHC-聚氯化铝-</w:t>
      </w:r>
      <w:r>
        <w:rPr>
          <w:rFonts w:hint="eastAsia" w:asciiTheme="minorEastAsia" w:hAnsiTheme="minorEastAsia" w:eastAsiaTheme="minorEastAsia"/>
          <w:bCs/>
          <w:sz w:val="24"/>
          <w:u w:val="single"/>
          <w:lang w:eastAsia="zh-CN"/>
        </w:rPr>
        <w:t>0726</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我公司可按贵司要求供应聚氯化铝：</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rPr>
        <w:t>1500吨</w:t>
      </w:r>
      <w:r>
        <w:rPr>
          <w:rFonts w:hint="eastAsia" w:ascii="宋体" w:cs="宋体"/>
          <w:sz w:val="24"/>
        </w:rPr>
        <w:t>（数量为预估，以实际发生量为准）</w:t>
      </w:r>
      <w:r>
        <w:rPr>
          <w:rFonts w:hint="eastAsia" w:ascii="宋体" w:hAnsi="宋体"/>
          <w:sz w:val="24"/>
        </w:rPr>
        <w:t>，</w:t>
      </w:r>
    </w:p>
    <w:p>
      <w:pPr>
        <w:spacing w:line="500" w:lineRule="exact"/>
        <w:ind w:firstLine="241" w:firstLineChars="100"/>
        <w:rPr>
          <w:rFonts w:ascii="宋体" w:hAnsi="宋体"/>
          <w:b/>
          <w:bCs/>
          <w:sz w:val="24"/>
          <w:u w:val="single"/>
        </w:rPr>
      </w:pPr>
      <w:r>
        <w:rPr>
          <w:rFonts w:hint="eastAsia" w:ascii="宋体" w:hAnsi="宋体"/>
          <w:b/>
          <w:bCs/>
          <w:sz w:val="24"/>
        </w:rPr>
        <w:t>含税送到单价：元/吨，增值税税率</w:t>
      </w:r>
      <w:r>
        <w:rPr>
          <w:rFonts w:hint="eastAsia" w:ascii="宋体" w:hAnsi="宋体"/>
          <w:b/>
          <w:bCs/>
          <w:sz w:val="24"/>
          <w:u w:val="single"/>
        </w:rPr>
        <w:t xml:space="preserve">  13%  。</w:t>
      </w:r>
    </w:p>
    <w:p>
      <w:pPr>
        <w:numPr>
          <w:ilvl w:val="0"/>
          <w:numId w:val="9"/>
        </w:numPr>
        <w:spacing w:line="312" w:lineRule="auto"/>
        <w:rPr>
          <w:rFonts w:ascii="宋体" w:hAnsi="宋体"/>
          <w:sz w:val="24"/>
        </w:rPr>
      </w:pPr>
      <w:r>
        <w:rPr>
          <w:rFonts w:hint="eastAsia" w:ascii="宋体" w:hAnsi="宋体"/>
          <w:sz w:val="24"/>
        </w:rPr>
        <w:t>质量验收标准 （详见附件1“聚氯化铝质量规范”）。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我司同意在投标前缴纳保证金伍万元整元。</w:t>
      </w:r>
    </w:p>
    <w:p>
      <w:pPr>
        <w:spacing w:line="312" w:lineRule="auto"/>
        <w:jc w:val="left"/>
        <w:rPr>
          <w:rFonts w:ascii="宋体" w:hAnsi="宋体"/>
          <w:sz w:val="24"/>
        </w:rPr>
      </w:pPr>
      <w:r>
        <w:rPr>
          <w:rFonts w:hint="eastAsia" w:ascii="宋体" w:hAnsi="宋体"/>
          <w:sz w:val="24"/>
        </w:rPr>
        <w:t>二、到货期：</w:t>
      </w:r>
      <w:r>
        <w:rPr>
          <w:rFonts w:hint="eastAsia" w:ascii="宋体" w:hAnsi="宋体" w:cs="宋体"/>
          <w:sz w:val="24"/>
        </w:rPr>
        <w:t>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sz w:val="24"/>
        </w:rPr>
      </w:pPr>
      <w:r>
        <w:rPr>
          <w:rFonts w:hint="eastAsia" w:ascii="宋体" w:hAnsi="宋体"/>
          <w:sz w:val="24"/>
        </w:rPr>
        <w:t>四、质量验收：以需方验收结果为准。详见附件1：《聚氯化铝质量规范》；</w:t>
      </w:r>
    </w:p>
    <w:p>
      <w:pPr>
        <w:numPr>
          <w:ilvl w:val="0"/>
          <w:numId w:val="10"/>
        </w:numPr>
        <w:spacing w:line="312" w:lineRule="auto"/>
        <w:rPr>
          <w:rFonts w:ascii="宋体" w:hAnsi="宋体"/>
          <w:sz w:val="24"/>
        </w:rPr>
      </w:pPr>
      <w:r>
        <w:rPr>
          <w:rFonts w:hint="eastAsia" w:ascii="宋体" w:hAnsi="宋体"/>
          <w:sz w:val="24"/>
        </w:rPr>
        <w:t>数量验收以需方使用单位检验数量为准。</w:t>
      </w:r>
    </w:p>
    <w:p>
      <w:pPr>
        <w:numPr>
          <w:ilvl w:val="0"/>
          <w:numId w:val="10"/>
        </w:numPr>
        <w:spacing w:line="312" w:lineRule="auto"/>
        <w:rPr>
          <w:rFonts w:ascii="宋体" w:hAnsi="宋体"/>
          <w:sz w:val="24"/>
        </w:rPr>
      </w:pPr>
      <w:r>
        <w:rPr>
          <w:rFonts w:hint="eastAsia" w:ascii="宋体" w:hAnsi="宋体"/>
          <w:sz w:val="24"/>
        </w:rPr>
        <w:t>执行时间：合同签订日起至2022年12月31日，其它约定以双方签订合同为准。</w:t>
      </w:r>
    </w:p>
    <w:p>
      <w:pPr>
        <w:numPr>
          <w:ilvl w:val="0"/>
          <w:numId w:val="10"/>
        </w:numPr>
        <w:spacing w:line="312" w:lineRule="auto"/>
        <w:rPr>
          <w:rFonts w:ascii="宋体" w:hAnsi="宋体"/>
          <w:sz w:val="24"/>
        </w:rPr>
      </w:pPr>
      <w:r>
        <w:rPr>
          <w:rFonts w:hint="eastAsia" w:ascii="宋体" w:hAnsi="宋体"/>
          <w:sz w:val="24"/>
        </w:rPr>
        <w:t>其他：</w:t>
      </w:r>
      <w:r>
        <w:rPr>
          <w:rFonts w:hint="eastAsia" w:asciiTheme="minorEastAsia" w:hAnsiTheme="minorEastAsia" w:eastAsiaTheme="minorEastAsia"/>
          <w:b/>
          <w:bCs/>
          <w:kern w:val="0"/>
          <w:sz w:val="24"/>
        </w:rPr>
        <w:t>翔鹭石化（漳州）有限公司单次送货量≤30吨。</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福建福海创石油化工有限公司：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4"/>
          <w:u w:val="single"/>
        </w:rPr>
        <w:t>2022-FHC-聚氯化铝-</w:t>
      </w:r>
      <w:r>
        <w:rPr>
          <w:rFonts w:hint="eastAsia" w:asciiTheme="minorEastAsia" w:hAnsiTheme="minorEastAsia" w:eastAsiaTheme="minorEastAsia"/>
          <w:bCs/>
          <w:sz w:val="24"/>
          <w:u w:val="single"/>
          <w:lang w:eastAsia="zh-CN"/>
        </w:rPr>
        <w:t>0726</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（详见附件1“聚氯化铝质量规范”）</w:t>
      </w:r>
      <w:bookmarkEnd w:id="1"/>
      <w:r>
        <w:rPr>
          <w:rFonts w:hint="eastAsia" w:ascii="宋体" w:hAnsi="宋体"/>
          <w:sz w:val="28"/>
          <w:szCs w:val="28"/>
        </w:rPr>
        <w:t>；数量：</w:t>
      </w:r>
      <w:r>
        <w:rPr>
          <w:rFonts w:hint="eastAsia" w:ascii="宋体" w:hAnsi="宋体"/>
          <w:sz w:val="28"/>
          <w:szCs w:val="28"/>
          <w:u w:val="single"/>
        </w:rPr>
        <w:t>1500吨</w:t>
      </w:r>
      <w:r>
        <w:rPr>
          <w:rFonts w:hint="eastAsia" w:ascii="宋体" w:hAnsi="宋体"/>
          <w:sz w:val="28"/>
          <w:szCs w:val="28"/>
        </w:rPr>
        <w:t>，含税送到单价：元/吨；合计总价：元,以汽运方式送到福建福海创石油化工有限公司（详见我公司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（详见附件“聚氯化铝质量规范”）</w:t>
      </w:r>
      <w:r>
        <w:rPr>
          <w:rFonts w:hint="eastAsia" w:ascii="宋体" w:hAnsi="宋体"/>
          <w:sz w:val="28"/>
          <w:szCs w:val="28"/>
        </w:rPr>
        <w:t>；数量：</w:t>
      </w:r>
      <w:r>
        <w:rPr>
          <w:rFonts w:hint="eastAsia" w:ascii="宋体" w:hAnsi="宋体"/>
          <w:sz w:val="28"/>
          <w:szCs w:val="28"/>
          <w:u w:val="single"/>
        </w:rPr>
        <w:t>1500吨</w:t>
      </w:r>
      <w:r>
        <w:rPr>
          <w:rFonts w:hint="eastAsia" w:ascii="宋体" w:hAnsi="宋体"/>
          <w:sz w:val="28"/>
          <w:szCs w:val="28"/>
        </w:rPr>
        <w:t>，含税送到单价：元/吨；合计总价：元,以汽运方式送到福建福海创石油化工有限公司，根据贵公司实际需求进度安排供货。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执行时间：合同签订日起至2022年12月31日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ascii="宋体" w:hAnsi="宋体"/>
          <w:sz w:val="28"/>
          <w:szCs w:val="28"/>
        </w:rPr>
      </w:pPr>
      <w:r>
        <w:rPr>
          <w:rFonts w:ascii="宋体" w:hAnsi="宋体"/>
          <w:sz w:val="28"/>
          <w:szCs w:val="28"/>
        </w:rPr>
        <w:br w:type="page"/>
      </w:r>
    </w:p>
    <w:p>
      <w:pPr>
        <w:spacing w:line="360" w:lineRule="auto"/>
        <w:jc w:val="left"/>
        <w:rPr>
          <w:rFonts w:ascii="宋体" w:hAnsi="宋体" w:cs="宋体"/>
          <w:b/>
          <w:sz w:val="28"/>
          <w:szCs w:val="28"/>
        </w:rPr>
      </w:pPr>
      <w:r>
        <w:rPr>
          <w:rFonts w:hint="eastAsia" w:ascii="宋体" w:hAnsi="宋体" w:cs="宋体"/>
          <w:b/>
          <w:sz w:val="28"/>
          <w:szCs w:val="28"/>
        </w:rPr>
        <w:t>附件1</w:t>
      </w:r>
    </w:p>
    <w:p>
      <w:pPr>
        <w:spacing w:line="460" w:lineRule="exact"/>
        <w:ind w:right="3888"/>
        <w:jc w:val="center"/>
        <w:rPr>
          <w:sz w:val="36"/>
        </w:rPr>
      </w:pPr>
      <w:r>
        <w:rPr>
          <w:rFonts w:hint="eastAsia" w:ascii="宋体" w:hAnsi="宋体" w:cs="宋体"/>
          <w:sz w:val="36"/>
          <w:szCs w:val="36"/>
        </w:rPr>
        <w:t xml:space="preserve">                聚氯化铝</w:t>
      </w:r>
    </w:p>
    <w:p>
      <w:pPr>
        <w:pStyle w:val="3"/>
        <w:kinsoku w:val="0"/>
        <w:overflowPunct w:val="0"/>
        <w:spacing w:line="288" w:lineRule="auto"/>
        <w:rPr>
          <w:sz w:val="28"/>
        </w:rPr>
      </w:pPr>
      <w:r>
        <w:rPr>
          <w:rFonts w:hint="eastAsia"/>
          <w:sz w:val="28"/>
        </w:rPr>
        <w:t>执行标准：Q/FHC M101-2022聚氯化铝采购指标</w:t>
      </w:r>
    </w:p>
    <w:p>
      <w:pPr>
        <w:pStyle w:val="3"/>
        <w:kinsoku w:val="0"/>
        <w:overflowPunct w:val="0"/>
        <w:spacing w:line="288" w:lineRule="auto"/>
        <w:rPr>
          <w:spacing w:val="-24"/>
          <w:sz w:val="28"/>
        </w:rPr>
      </w:pPr>
      <w:r>
        <w:rPr>
          <w:rFonts w:hint="eastAsia"/>
          <w:sz w:val="28"/>
        </w:rPr>
        <w:t>说明：1、液体聚氯化铝采购指标。用于水气团队（PX/PTA</w:t>
      </w:r>
      <w:r>
        <w:rPr>
          <w:rFonts w:hint="eastAsia"/>
          <w:spacing w:val="-24"/>
          <w:sz w:val="28"/>
        </w:rPr>
        <w:t>水处理剂）</w:t>
      </w:r>
    </w:p>
    <w:p>
      <w:pPr>
        <w:pStyle w:val="3"/>
        <w:kinsoku w:val="0"/>
        <w:overflowPunct w:val="0"/>
        <w:ind w:firstLine="840" w:firstLineChars="300"/>
        <w:rPr>
          <w:sz w:val="28"/>
        </w:rPr>
      </w:pPr>
      <w:r>
        <w:rPr>
          <w:rFonts w:hint="eastAsia"/>
          <w:sz w:val="28"/>
        </w:rPr>
        <w:t>2、参考标准 GB/T 22627-2014 水处理剂聚氯化铝。</w:t>
      </w:r>
    </w:p>
    <w:p>
      <w:pPr>
        <w:pStyle w:val="3"/>
        <w:kinsoku w:val="0"/>
        <w:overflowPunct w:val="0"/>
        <w:rPr>
          <w:sz w:val="3"/>
        </w:rPr>
      </w:pPr>
    </w:p>
    <w:tbl>
      <w:tblPr>
        <w:tblStyle w:val="6"/>
        <w:tblW w:w="9312" w:type="dxa"/>
        <w:tblInd w:w="227" w:type="dxa"/>
        <w:tblLayout w:type="fixed"/>
        <w:tblCellMar>
          <w:top w:w="0" w:type="dxa"/>
          <w:left w:w="108" w:type="dxa"/>
          <w:bottom w:w="0" w:type="dxa"/>
          <w:right w:w="108" w:type="dxa"/>
        </w:tblCellMar>
      </w:tblPr>
      <w:tblGrid>
        <w:gridCol w:w="3285"/>
        <w:gridCol w:w="910"/>
        <w:gridCol w:w="2451"/>
        <w:gridCol w:w="2666"/>
      </w:tblGrid>
      <w:tr>
        <w:tblPrEx>
          <w:tblLayout w:type="fixed"/>
          <w:tblCellMar>
            <w:top w:w="0" w:type="dxa"/>
            <w:left w:w="108" w:type="dxa"/>
            <w:bottom w:w="0" w:type="dxa"/>
            <w:right w:w="108" w:type="dxa"/>
          </w:tblCellMar>
        </w:tblPrEx>
        <w:trPr>
          <w:trHeight w:val="576" w:hRule="exact"/>
        </w:trPr>
        <w:tc>
          <w:tcPr>
            <w:tcW w:w="419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C1C1C1"/>
            <w:noWrap/>
          </w:tcPr>
          <w:p>
            <w:pPr>
              <w:pStyle w:val="18"/>
              <w:kinsoku w:val="0"/>
              <w:overflowPunct w:val="0"/>
              <w:ind w:left="1202"/>
              <w:rPr>
                <w:sz w:val="24"/>
              </w:rPr>
            </w:pPr>
            <w:r>
              <w:rPr>
                <w:rFonts w:hint="eastAsia" w:ascii="宋体" w:hAnsi="宋体"/>
                <w:b/>
                <w:sz w:val="24"/>
              </w:rPr>
              <w:t>分析项目</w:t>
            </w:r>
          </w:p>
        </w:tc>
        <w:tc>
          <w:tcPr>
            <w:tcW w:w="2451" w:type="dxa"/>
            <w:tcBorders>
              <w:top w:val="single" w:color="000000" w:sz="4" w:space="0"/>
              <w:left w:val="single" w:color="000000" w:sz="4" w:space="0"/>
              <w:bottom w:val="single" w:color="000000" w:sz="4" w:space="0"/>
              <w:right w:val="single" w:color="000000" w:sz="4" w:space="0"/>
              <w:tl2br w:val="nil"/>
              <w:tr2bl w:val="nil"/>
            </w:tcBorders>
            <w:shd w:val="clear" w:color="auto" w:fill="C1C1C1"/>
            <w:noWrap/>
          </w:tcPr>
          <w:p>
            <w:pPr>
              <w:pStyle w:val="18"/>
              <w:kinsoku w:val="0"/>
              <w:overflowPunct w:val="0"/>
              <w:ind w:left="736"/>
              <w:rPr>
                <w:sz w:val="24"/>
              </w:rPr>
            </w:pPr>
            <w:r>
              <w:rPr>
                <w:rFonts w:hint="eastAsia" w:ascii="宋体" w:hAnsi="宋体"/>
                <w:b/>
                <w:sz w:val="24"/>
              </w:rPr>
              <w:t>质量指标</w:t>
            </w:r>
          </w:p>
        </w:tc>
        <w:tc>
          <w:tcPr>
            <w:tcW w:w="2666" w:type="dxa"/>
            <w:tcBorders>
              <w:top w:val="single" w:color="000000" w:sz="4" w:space="0"/>
              <w:left w:val="single" w:color="000000" w:sz="4" w:space="0"/>
              <w:bottom w:val="single" w:color="000000" w:sz="4" w:space="0"/>
              <w:right w:val="single" w:color="000000" w:sz="4" w:space="0"/>
              <w:tl2br w:val="nil"/>
              <w:tr2bl w:val="nil"/>
            </w:tcBorders>
            <w:shd w:val="clear" w:color="auto" w:fill="C1C1C1"/>
            <w:noWrap/>
          </w:tcPr>
          <w:p>
            <w:pPr>
              <w:pStyle w:val="18"/>
              <w:kinsoku w:val="0"/>
              <w:overflowPunct w:val="0"/>
              <w:ind w:left="844"/>
              <w:rPr>
                <w:sz w:val="24"/>
              </w:rPr>
            </w:pPr>
            <w:r>
              <w:rPr>
                <w:rFonts w:hint="eastAsia" w:ascii="宋体" w:hAnsi="宋体"/>
                <w:b/>
                <w:sz w:val="24"/>
              </w:rPr>
              <w:t>试验方法</w:t>
            </w:r>
          </w:p>
        </w:tc>
      </w:tr>
      <w:tr>
        <w:tblPrEx>
          <w:tblLayout w:type="fixed"/>
          <w:tblCellMar>
            <w:top w:w="0" w:type="dxa"/>
            <w:left w:w="108" w:type="dxa"/>
            <w:bottom w:w="0" w:type="dxa"/>
            <w:right w:w="108" w:type="dxa"/>
          </w:tblCellMar>
        </w:tblPrEx>
        <w:trPr>
          <w:trHeight w:val="1633" w:hRule="exact"/>
        </w:trPr>
        <w:tc>
          <w:tcPr>
            <w:tcW w:w="4195" w:type="dxa"/>
            <w:gridSpan w:val="2"/>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rPr>
                <w:rFonts w:ascii="宋体" w:hAnsi="宋体"/>
                <w:b/>
                <w:sz w:val="20"/>
              </w:rPr>
            </w:pPr>
          </w:p>
          <w:p>
            <w:pPr>
              <w:pStyle w:val="18"/>
              <w:kinsoku w:val="0"/>
              <w:overflowPunct w:val="0"/>
              <w:ind w:left="103"/>
              <w:rPr>
                <w:sz w:val="24"/>
              </w:rPr>
            </w:pPr>
            <w:r>
              <w:rPr>
                <w:rFonts w:hint="eastAsia" w:ascii="宋体" w:hAnsi="宋体"/>
                <w:sz w:val="24"/>
              </w:rPr>
              <w:t>外观</w:t>
            </w:r>
          </w:p>
        </w:tc>
        <w:tc>
          <w:tcPr>
            <w:tcW w:w="2451" w:type="dxa"/>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spacing w:line="273" w:lineRule="exact"/>
              <w:ind w:left="103"/>
              <w:rPr>
                <w:rFonts w:ascii="宋体" w:hAnsi="宋体"/>
                <w:sz w:val="24"/>
              </w:rPr>
            </w:pPr>
            <w:r>
              <w:rPr>
                <w:rFonts w:hint="eastAsia" w:ascii="宋体" w:hAnsi="宋体"/>
                <w:spacing w:val="9"/>
                <w:sz w:val="24"/>
              </w:rPr>
              <w:t>无色、浅灰色、淡黄</w:t>
            </w:r>
          </w:p>
          <w:p>
            <w:pPr>
              <w:pStyle w:val="18"/>
              <w:kinsoku w:val="0"/>
              <w:overflowPunct w:val="0"/>
              <w:spacing w:line="312" w:lineRule="exact"/>
              <w:ind w:left="103" w:right="89"/>
              <w:rPr>
                <w:sz w:val="24"/>
              </w:rPr>
            </w:pPr>
            <w:r>
              <w:rPr>
                <w:rFonts w:hint="eastAsia" w:ascii="宋体" w:hAnsi="宋体"/>
                <w:spacing w:val="9"/>
                <w:sz w:val="24"/>
              </w:rPr>
              <w:t xml:space="preserve">色或棕褐色透明或半 </w:t>
            </w:r>
            <w:r>
              <w:rPr>
                <w:rFonts w:hint="eastAsia" w:ascii="宋体" w:hAnsi="宋体"/>
                <w:sz w:val="24"/>
              </w:rPr>
              <w:t>透明液体，无沉淀</w:t>
            </w:r>
          </w:p>
        </w:tc>
        <w:tc>
          <w:tcPr>
            <w:tcW w:w="2666" w:type="dxa"/>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rPr>
                <w:rFonts w:ascii="宋体" w:hAnsi="宋体"/>
                <w:b/>
                <w:sz w:val="20"/>
              </w:rPr>
            </w:pPr>
          </w:p>
          <w:p>
            <w:pPr>
              <w:pStyle w:val="18"/>
              <w:kinsoku w:val="0"/>
              <w:overflowPunct w:val="0"/>
              <w:ind w:left="103"/>
              <w:rPr>
                <w:sz w:val="24"/>
              </w:rPr>
            </w:pPr>
            <w:r>
              <w:rPr>
                <w:rFonts w:hint="eastAsia" w:ascii="宋体" w:hAnsi="宋体"/>
                <w:sz w:val="24"/>
              </w:rPr>
              <w:t>目测</w:t>
            </w:r>
          </w:p>
        </w:tc>
      </w:tr>
      <w:tr>
        <w:tblPrEx>
          <w:tblLayout w:type="fixed"/>
          <w:tblCellMar>
            <w:top w:w="0" w:type="dxa"/>
            <w:left w:w="108" w:type="dxa"/>
            <w:bottom w:w="0" w:type="dxa"/>
            <w:right w:w="108" w:type="dxa"/>
          </w:tblCellMar>
        </w:tblPrEx>
        <w:trPr>
          <w:trHeight w:val="578" w:hRule="exact"/>
        </w:trPr>
        <w:tc>
          <w:tcPr>
            <w:tcW w:w="3285" w:type="dxa"/>
            <w:tcBorders>
              <w:top w:val="single" w:color="000000" w:sz="4" w:space="0"/>
              <w:left w:val="single" w:color="000000" w:sz="4" w:space="0"/>
              <w:bottom w:val="single" w:color="000000" w:sz="4" w:space="0"/>
              <w:right w:val="nil"/>
              <w:tl2br w:val="nil"/>
              <w:tr2bl w:val="nil"/>
            </w:tcBorders>
            <w:noWrap/>
          </w:tcPr>
          <w:p>
            <w:pPr>
              <w:pStyle w:val="18"/>
              <w:kinsoku w:val="0"/>
              <w:overflowPunct w:val="0"/>
              <w:ind w:left="103"/>
              <w:rPr>
                <w:sz w:val="24"/>
              </w:rPr>
            </w:pPr>
            <w:r>
              <w:rPr>
                <w:rFonts w:hint="eastAsia" w:ascii="宋体" w:hAnsi="宋体"/>
                <w:position w:val="2"/>
                <w:sz w:val="24"/>
              </w:rPr>
              <w:t>氧化铝（以Al</w:t>
            </w:r>
            <w:r>
              <w:rPr>
                <w:rFonts w:hint="eastAsia" w:ascii="宋体" w:hAnsi="宋体"/>
                <w:sz w:val="12"/>
              </w:rPr>
              <w:t>2</w:t>
            </w:r>
            <w:r>
              <w:rPr>
                <w:rFonts w:hint="eastAsia" w:ascii="宋体" w:hAnsi="宋体"/>
                <w:position w:val="2"/>
                <w:sz w:val="24"/>
              </w:rPr>
              <w:t>O</w:t>
            </w:r>
            <w:r>
              <w:rPr>
                <w:rFonts w:hint="eastAsia" w:ascii="宋体" w:hAnsi="宋体"/>
                <w:sz w:val="12"/>
              </w:rPr>
              <w:t>3</w:t>
            </w:r>
            <w:r>
              <w:rPr>
                <w:rFonts w:hint="eastAsia" w:ascii="宋体" w:hAnsi="宋体"/>
                <w:position w:val="2"/>
                <w:sz w:val="24"/>
              </w:rPr>
              <w:t>计）</w:t>
            </w:r>
            <w:r>
              <w:rPr>
                <w:rFonts w:ascii="Californian FB" w:hAnsi="Californian FB" w:eastAsia="Californian FB"/>
                <w:i/>
                <w:position w:val="2"/>
              </w:rPr>
              <w:t>w</w:t>
            </w:r>
            <w:r>
              <w:rPr>
                <w:rFonts w:hint="eastAsia" w:ascii="宋体" w:hAnsi="宋体"/>
                <w:position w:val="2"/>
                <w:sz w:val="24"/>
              </w:rPr>
              <w:t>/%</w:t>
            </w:r>
          </w:p>
        </w:tc>
        <w:tc>
          <w:tcPr>
            <w:tcW w:w="910" w:type="dxa"/>
            <w:tcBorders>
              <w:top w:val="single" w:color="000000" w:sz="4" w:space="0"/>
              <w:left w:val="nil"/>
              <w:bottom w:val="single" w:color="000000" w:sz="4" w:space="0"/>
              <w:right w:val="single" w:color="000000" w:sz="4" w:space="0"/>
              <w:tl2br w:val="nil"/>
              <w:tr2bl w:val="nil"/>
            </w:tcBorders>
            <w:noWrap/>
          </w:tcPr>
          <w:p>
            <w:pPr>
              <w:pStyle w:val="18"/>
              <w:kinsoku w:val="0"/>
              <w:overflowPunct w:val="0"/>
              <w:ind w:left="562"/>
              <w:rPr>
                <w:sz w:val="24"/>
              </w:rPr>
            </w:pPr>
            <w:r>
              <w:rPr>
                <w:rFonts w:hint="eastAsia" w:ascii="宋体" w:hAnsi="宋体"/>
                <w:sz w:val="24"/>
              </w:rPr>
              <w:t>≥</w:t>
            </w:r>
          </w:p>
        </w:tc>
        <w:tc>
          <w:tcPr>
            <w:tcW w:w="2451" w:type="dxa"/>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ind w:left="103"/>
              <w:rPr>
                <w:sz w:val="24"/>
              </w:rPr>
            </w:pPr>
            <w:r>
              <w:rPr>
                <w:rFonts w:hint="eastAsia" w:ascii="宋体" w:hAnsi="宋体"/>
                <w:sz w:val="24"/>
              </w:rPr>
              <w:t>10.0</w:t>
            </w:r>
          </w:p>
        </w:tc>
        <w:tc>
          <w:tcPr>
            <w:tcW w:w="2666" w:type="dxa"/>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ind w:left="103"/>
              <w:rPr>
                <w:sz w:val="24"/>
              </w:rPr>
            </w:pPr>
            <w:r>
              <w:rPr>
                <w:rFonts w:hint="eastAsia" w:ascii="宋体" w:hAnsi="宋体"/>
                <w:sz w:val="24"/>
              </w:rPr>
              <w:t>GB/T 22627</w:t>
            </w:r>
          </w:p>
        </w:tc>
      </w:tr>
      <w:tr>
        <w:tblPrEx>
          <w:tblLayout w:type="fixed"/>
          <w:tblCellMar>
            <w:top w:w="0" w:type="dxa"/>
            <w:left w:w="108" w:type="dxa"/>
            <w:bottom w:w="0" w:type="dxa"/>
            <w:right w:w="108" w:type="dxa"/>
          </w:tblCellMar>
        </w:tblPrEx>
        <w:trPr>
          <w:trHeight w:val="576" w:hRule="exact"/>
        </w:trPr>
        <w:tc>
          <w:tcPr>
            <w:tcW w:w="4195" w:type="dxa"/>
            <w:gridSpan w:val="2"/>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ind w:left="103"/>
              <w:rPr>
                <w:sz w:val="24"/>
              </w:rPr>
            </w:pPr>
            <w:r>
              <w:rPr>
                <w:rFonts w:hint="eastAsia" w:ascii="宋体" w:hAnsi="宋体"/>
                <w:sz w:val="24"/>
              </w:rPr>
              <w:t>盐基度</w:t>
            </w:r>
            <w:r>
              <w:rPr>
                <w:rFonts w:ascii="Californian FB" w:hAnsi="Californian FB" w:eastAsia="Californian FB"/>
                <w:i/>
              </w:rPr>
              <w:t>w</w:t>
            </w:r>
            <w:r>
              <w:rPr>
                <w:rFonts w:hint="eastAsia" w:ascii="宋体" w:hAnsi="宋体"/>
                <w:sz w:val="24"/>
              </w:rPr>
              <w:t>/%</w:t>
            </w:r>
          </w:p>
        </w:tc>
        <w:tc>
          <w:tcPr>
            <w:tcW w:w="2451" w:type="dxa"/>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ind w:left="103"/>
              <w:rPr>
                <w:sz w:val="24"/>
              </w:rPr>
            </w:pPr>
            <w:r>
              <w:rPr>
                <w:rFonts w:hint="eastAsia" w:ascii="宋体" w:hAnsi="宋体"/>
                <w:sz w:val="24"/>
              </w:rPr>
              <w:t>30.0～95.0</w:t>
            </w:r>
          </w:p>
        </w:tc>
        <w:tc>
          <w:tcPr>
            <w:tcW w:w="2666" w:type="dxa"/>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ind w:left="103"/>
              <w:rPr>
                <w:sz w:val="24"/>
              </w:rPr>
            </w:pPr>
            <w:r>
              <w:rPr>
                <w:rFonts w:hint="eastAsia" w:ascii="宋体" w:hAnsi="宋体"/>
                <w:sz w:val="24"/>
              </w:rPr>
              <w:t>GB/T 22627</w:t>
            </w:r>
          </w:p>
        </w:tc>
      </w:tr>
      <w:tr>
        <w:tblPrEx>
          <w:tblLayout w:type="fixed"/>
          <w:tblCellMar>
            <w:top w:w="0" w:type="dxa"/>
            <w:left w:w="108" w:type="dxa"/>
            <w:bottom w:w="0" w:type="dxa"/>
            <w:right w:w="108" w:type="dxa"/>
          </w:tblCellMar>
        </w:tblPrEx>
        <w:trPr>
          <w:trHeight w:val="578" w:hRule="exact"/>
        </w:trPr>
        <w:tc>
          <w:tcPr>
            <w:tcW w:w="3285" w:type="dxa"/>
            <w:tcBorders>
              <w:top w:val="single" w:color="000000" w:sz="4" w:space="0"/>
              <w:left w:val="single" w:color="000000" w:sz="4" w:space="0"/>
              <w:bottom w:val="single" w:color="000000" w:sz="4" w:space="0"/>
              <w:right w:val="nil"/>
              <w:tl2br w:val="nil"/>
              <w:tr2bl w:val="nil"/>
            </w:tcBorders>
            <w:noWrap/>
          </w:tcPr>
          <w:p>
            <w:pPr>
              <w:pStyle w:val="18"/>
              <w:kinsoku w:val="0"/>
              <w:overflowPunct w:val="0"/>
              <w:ind w:left="103"/>
              <w:rPr>
                <w:sz w:val="24"/>
              </w:rPr>
            </w:pPr>
            <w:r>
              <w:rPr>
                <w:rFonts w:hint="eastAsia" w:ascii="宋体" w:hAnsi="宋体"/>
                <w:sz w:val="24"/>
              </w:rPr>
              <w:t>水不溶物</w:t>
            </w:r>
            <w:r>
              <w:rPr>
                <w:rFonts w:ascii="Californian FB" w:hAnsi="Californian FB" w:eastAsia="Californian FB"/>
                <w:i/>
              </w:rPr>
              <w:t>w</w:t>
            </w:r>
            <w:r>
              <w:rPr>
                <w:rFonts w:hint="eastAsia" w:ascii="宋体" w:hAnsi="宋体"/>
                <w:sz w:val="24"/>
              </w:rPr>
              <w:t>/%</w:t>
            </w:r>
          </w:p>
        </w:tc>
        <w:tc>
          <w:tcPr>
            <w:tcW w:w="910" w:type="dxa"/>
            <w:tcBorders>
              <w:top w:val="single" w:color="000000" w:sz="4" w:space="0"/>
              <w:left w:val="nil"/>
              <w:bottom w:val="single" w:color="000000" w:sz="4" w:space="0"/>
              <w:right w:val="single" w:color="000000" w:sz="4" w:space="0"/>
              <w:tl2br w:val="nil"/>
              <w:tr2bl w:val="nil"/>
            </w:tcBorders>
            <w:noWrap/>
          </w:tcPr>
          <w:p>
            <w:pPr>
              <w:pStyle w:val="18"/>
              <w:kinsoku w:val="0"/>
              <w:overflowPunct w:val="0"/>
              <w:ind w:left="562"/>
              <w:rPr>
                <w:sz w:val="24"/>
              </w:rPr>
            </w:pPr>
            <w:r>
              <w:rPr>
                <w:rFonts w:hint="eastAsia" w:ascii="宋体" w:hAnsi="宋体"/>
                <w:sz w:val="24"/>
              </w:rPr>
              <w:t>≤</w:t>
            </w:r>
          </w:p>
        </w:tc>
        <w:tc>
          <w:tcPr>
            <w:tcW w:w="2451" w:type="dxa"/>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ind w:left="103"/>
              <w:rPr>
                <w:sz w:val="24"/>
              </w:rPr>
            </w:pPr>
            <w:r>
              <w:rPr>
                <w:rFonts w:hint="eastAsia" w:ascii="宋体" w:hAnsi="宋体"/>
                <w:sz w:val="24"/>
              </w:rPr>
              <w:t>0.4</w:t>
            </w:r>
          </w:p>
        </w:tc>
        <w:tc>
          <w:tcPr>
            <w:tcW w:w="2666" w:type="dxa"/>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ind w:left="103"/>
              <w:rPr>
                <w:sz w:val="24"/>
              </w:rPr>
            </w:pPr>
            <w:r>
              <w:rPr>
                <w:rFonts w:hint="eastAsia" w:ascii="宋体" w:hAnsi="宋体"/>
                <w:sz w:val="24"/>
              </w:rPr>
              <w:t>GB/T 22627</w:t>
            </w:r>
          </w:p>
        </w:tc>
      </w:tr>
      <w:tr>
        <w:tblPrEx>
          <w:tblLayout w:type="fixed"/>
          <w:tblCellMar>
            <w:top w:w="0" w:type="dxa"/>
            <w:left w:w="108" w:type="dxa"/>
            <w:bottom w:w="0" w:type="dxa"/>
            <w:right w:w="108" w:type="dxa"/>
          </w:tblCellMar>
        </w:tblPrEx>
        <w:trPr>
          <w:trHeight w:val="576" w:hRule="exact"/>
        </w:trPr>
        <w:tc>
          <w:tcPr>
            <w:tcW w:w="4195" w:type="dxa"/>
            <w:gridSpan w:val="2"/>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ind w:left="103"/>
              <w:rPr>
                <w:sz w:val="24"/>
              </w:rPr>
            </w:pPr>
            <w:r>
              <w:rPr>
                <w:rFonts w:hint="eastAsia" w:ascii="宋体" w:hAnsi="宋体"/>
                <w:sz w:val="24"/>
              </w:rPr>
              <w:t>pH值（10g/L水溶液）</w:t>
            </w:r>
          </w:p>
        </w:tc>
        <w:tc>
          <w:tcPr>
            <w:tcW w:w="2451" w:type="dxa"/>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ind w:left="103"/>
              <w:rPr>
                <w:sz w:val="24"/>
              </w:rPr>
            </w:pPr>
            <w:r>
              <w:rPr>
                <w:rFonts w:hint="eastAsia" w:ascii="宋体" w:hAnsi="宋体"/>
                <w:sz w:val="24"/>
              </w:rPr>
              <w:t>3.5～5.0</w:t>
            </w:r>
          </w:p>
        </w:tc>
        <w:tc>
          <w:tcPr>
            <w:tcW w:w="2666" w:type="dxa"/>
            <w:tcBorders>
              <w:top w:val="single" w:color="000000" w:sz="4" w:space="0"/>
              <w:left w:val="single" w:color="000000" w:sz="4" w:space="0"/>
              <w:bottom w:val="single" w:color="000000" w:sz="4" w:space="0"/>
              <w:right w:val="single" w:color="000000" w:sz="4" w:space="0"/>
              <w:tl2br w:val="nil"/>
              <w:tr2bl w:val="nil"/>
            </w:tcBorders>
            <w:noWrap/>
          </w:tcPr>
          <w:p>
            <w:pPr>
              <w:pStyle w:val="18"/>
              <w:kinsoku w:val="0"/>
              <w:overflowPunct w:val="0"/>
              <w:ind w:left="103"/>
              <w:rPr>
                <w:sz w:val="24"/>
              </w:rPr>
            </w:pPr>
            <w:r>
              <w:rPr>
                <w:rFonts w:hint="eastAsia" w:ascii="宋体" w:hAnsi="宋体"/>
                <w:sz w:val="24"/>
              </w:rPr>
              <w:t>GB/T 22592-2008</w:t>
            </w:r>
          </w:p>
        </w:tc>
      </w:tr>
    </w:tbl>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fornian FB">
    <w:panose1 w:val="0207040306080B0302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11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UzNzJjMmVhZGZkNWMwMjZlNWQ5MGIxMWNhYjlhNTcifQ=="/>
  </w:docVars>
  <w:rsids>
    <w:rsidRoot w:val="00A52ED3"/>
    <w:rsid w:val="000005D0"/>
    <w:rsid w:val="00022AA2"/>
    <w:rsid w:val="00036AD9"/>
    <w:rsid w:val="000656EF"/>
    <w:rsid w:val="000754C9"/>
    <w:rsid w:val="000F736E"/>
    <w:rsid w:val="001013FC"/>
    <w:rsid w:val="00101CDF"/>
    <w:rsid w:val="00120905"/>
    <w:rsid w:val="0013425C"/>
    <w:rsid w:val="00135D9F"/>
    <w:rsid w:val="00187443"/>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6122F"/>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1C2D78"/>
    <w:rsid w:val="032A3140"/>
    <w:rsid w:val="032D15FD"/>
    <w:rsid w:val="032F04D8"/>
    <w:rsid w:val="03E5328D"/>
    <w:rsid w:val="042207A6"/>
    <w:rsid w:val="046E24C0"/>
    <w:rsid w:val="04A21245"/>
    <w:rsid w:val="05CE4353"/>
    <w:rsid w:val="064416AA"/>
    <w:rsid w:val="06562C09"/>
    <w:rsid w:val="06964B9A"/>
    <w:rsid w:val="06A3708D"/>
    <w:rsid w:val="07464042"/>
    <w:rsid w:val="077632ED"/>
    <w:rsid w:val="07F31366"/>
    <w:rsid w:val="090A2F1F"/>
    <w:rsid w:val="09691543"/>
    <w:rsid w:val="0A58515B"/>
    <w:rsid w:val="0A5E0098"/>
    <w:rsid w:val="0B4A13AC"/>
    <w:rsid w:val="0B4B49E0"/>
    <w:rsid w:val="0B8E420A"/>
    <w:rsid w:val="0CF27C1D"/>
    <w:rsid w:val="0E10378E"/>
    <w:rsid w:val="0F8C0A60"/>
    <w:rsid w:val="0FA364D6"/>
    <w:rsid w:val="0FE34343"/>
    <w:rsid w:val="105246DD"/>
    <w:rsid w:val="10F42A00"/>
    <w:rsid w:val="1115075C"/>
    <w:rsid w:val="111E4EA7"/>
    <w:rsid w:val="11715093"/>
    <w:rsid w:val="118A38B5"/>
    <w:rsid w:val="118F19BA"/>
    <w:rsid w:val="12837C22"/>
    <w:rsid w:val="12CF31F9"/>
    <w:rsid w:val="12F210E4"/>
    <w:rsid w:val="1387789C"/>
    <w:rsid w:val="13B74194"/>
    <w:rsid w:val="15033088"/>
    <w:rsid w:val="15101A52"/>
    <w:rsid w:val="15BF2E22"/>
    <w:rsid w:val="15C31A47"/>
    <w:rsid w:val="16172661"/>
    <w:rsid w:val="16270A04"/>
    <w:rsid w:val="16583648"/>
    <w:rsid w:val="178C691A"/>
    <w:rsid w:val="184968FC"/>
    <w:rsid w:val="191D1A17"/>
    <w:rsid w:val="19465D33"/>
    <w:rsid w:val="197F7EC5"/>
    <w:rsid w:val="1A2F6DF9"/>
    <w:rsid w:val="1AFD0A64"/>
    <w:rsid w:val="1AFD66F4"/>
    <w:rsid w:val="1B233A0E"/>
    <w:rsid w:val="1B927AE6"/>
    <w:rsid w:val="1C8261A0"/>
    <w:rsid w:val="1D0113C9"/>
    <w:rsid w:val="1D05782C"/>
    <w:rsid w:val="1DD33EEF"/>
    <w:rsid w:val="1E3264F3"/>
    <w:rsid w:val="1EBD3B62"/>
    <w:rsid w:val="1F02429F"/>
    <w:rsid w:val="207E3421"/>
    <w:rsid w:val="2090579A"/>
    <w:rsid w:val="20AF45AF"/>
    <w:rsid w:val="21BD6DBB"/>
    <w:rsid w:val="21C5033C"/>
    <w:rsid w:val="22003DA2"/>
    <w:rsid w:val="221A3813"/>
    <w:rsid w:val="22521DD3"/>
    <w:rsid w:val="23464916"/>
    <w:rsid w:val="237B661E"/>
    <w:rsid w:val="238B4E5F"/>
    <w:rsid w:val="23BF50C8"/>
    <w:rsid w:val="247C7073"/>
    <w:rsid w:val="2496308D"/>
    <w:rsid w:val="25272C57"/>
    <w:rsid w:val="258C0EF7"/>
    <w:rsid w:val="25CB1E8B"/>
    <w:rsid w:val="264054F6"/>
    <w:rsid w:val="26CF3B03"/>
    <w:rsid w:val="27CF60B0"/>
    <w:rsid w:val="27E234BC"/>
    <w:rsid w:val="280475E2"/>
    <w:rsid w:val="29085DCB"/>
    <w:rsid w:val="29B80978"/>
    <w:rsid w:val="29D17C38"/>
    <w:rsid w:val="2A53751F"/>
    <w:rsid w:val="2AC11AAE"/>
    <w:rsid w:val="2ACB46DB"/>
    <w:rsid w:val="2BE04E2E"/>
    <w:rsid w:val="2C3328C4"/>
    <w:rsid w:val="2D2B1461"/>
    <w:rsid w:val="2E12514F"/>
    <w:rsid w:val="2E351771"/>
    <w:rsid w:val="2F210D6D"/>
    <w:rsid w:val="30071591"/>
    <w:rsid w:val="30275B42"/>
    <w:rsid w:val="30985912"/>
    <w:rsid w:val="30CA02E2"/>
    <w:rsid w:val="30E60CDF"/>
    <w:rsid w:val="312B136C"/>
    <w:rsid w:val="31CE1FAB"/>
    <w:rsid w:val="320B394B"/>
    <w:rsid w:val="322E5C7B"/>
    <w:rsid w:val="328F6057"/>
    <w:rsid w:val="32A75EF3"/>
    <w:rsid w:val="33413E8A"/>
    <w:rsid w:val="35010EDF"/>
    <w:rsid w:val="35327452"/>
    <w:rsid w:val="35FC498E"/>
    <w:rsid w:val="36215A7E"/>
    <w:rsid w:val="36417C8D"/>
    <w:rsid w:val="366436B8"/>
    <w:rsid w:val="366516A5"/>
    <w:rsid w:val="36D729BC"/>
    <w:rsid w:val="37B92C76"/>
    <w:rsid w:val="37ED7F2D"/>
    <w:rsid w:val="38A94FE7"/>
    <w:rsid w:val="39137A71"/>
    <w:rsid w:val="391433B1"/>
    <w:rsid w:val="39657C8F"/>
    <w:rsid w:val="3969383E"/>
    <w:rsid w:val="39B95E18"/>
    <w:rsid w:val="3A4967DD"/>
    <w:rsid w:val="3A9A2FE2"/>
    <w:rsid w:val="3AD63889"/>
    <w:rsid w:val="3B293E28"/>
    <w:rsid w:val="3B48425E"/>
    <w:rsid w:val="3B532B57"/>
    <w:rsid w:val="3BD776DA"/>
    <w:rsid w:val="3C1E5B01"/>
    <w:rsid w:val="3C333506"/>
    <w:rsid w:val="3C656913"/>
    <w:rsid w:val="3CF2462A"/>
    <w:rsid w:val="3CFE624A"/>
    <w:rsid w:val="3D321A44"/>
    <w:rsid w:val="3D475A63"/>
    <w:rsid w:val="3FEE6A4A"/>
    <w:rsid w:val="401F30A7"/>
    <w:rsid w:val="40831E81"/>
    <w:rsid w:val="409057BD"/>
    <w:rsid w:val="41186225"/>
    <w:rsid w:val="416F5968"/>
    <w:rsid w:val="417D5254"/>
    <w:rsid w:val="418324AC"/>
    <w:rsid w:val="41A04200"/>
    <w:rsid w:val="41CC2295"/>
    <w:rsid w:val="42257F84"/>
    <w:rsid w:val="422D3D55"/>
    <w:rsid w:val="42515CBA"/>
    <w:rsid w:val="42680DF6"/>
    <w:rsid w:val="42DC0DDB"/>
    <w:rsid w:val="43482915"/>
    <w:rsid w:val="4351032C"/>
    <w:rsid w:val="43E44E60"/>
    <w:rsid w:val="44236751"/>
    <w:rsid w:val="448C78B8"/>
    <w:rsid w:val="44BC0EC5"/>
    <w:rsid w:val="44CB1108"/>
    <w:rsid w:val="45C94E39"/>
    <w:rsid w:val="464B079B"/>
    <w:rsid w:val="468077A8"/>
    <w:rsid w:val="468E6ECD"/>
    <w:rsid w:val="46DE637E"/>
    <w:rsid w:val="46EA56DB"/>
    <w:rsid w:val="476C6251"/>
    <w:rsid w:val="479C322F"/>
    <w:rsid w:val="47A978DA"/>
    <w:rsid w:val="48081467"/>
    <w:rsid w:val="48235452"/>
    <w:rsid w:val="48295411"/>
    <w:rsid w:val="493B7D23"/>
    <w:rsid w:val="497038CD"/>
    <w:rsid w:val="49730A66"/>
    <w:rsid w:val="499A66C3"/>
    <w:rsid w:val="4B4A24A6"/>
    <w:rsid w:val="4C204881"/>
    <w:rsid w:val="4C82133E"/>
    <w:rsid w:val="4D143DFB"/>
    <w:rsid w:val="4DFD6F1C"/>
    <w:rsid w:val="4E0062C6"/>
    <w:rsid w:val="4EF66C8E"/>
    <w:rsid w:val="4F477AED"/>
    <w:rsid w:val="4F4E1D81"/>
    <w:rsid w:val="4F8270FB"/>
    <w:rsid w:val="4FA265C1"/>
    <w:rsid w:val="4FAF2ACB"/>
    <w:rsid w:val="507E72C1"/>
    <w:rsid w:val="508235A6"/>
    <w:rsid w:val="50DE33C7"/>
    <w:rsid w:val="51092694"/>
    <w:rsid w:val="510936E3"/>
    <w:rsid w:val="512F6EC2"/>
    <w:rsid w:val="513403C7"/>
    <w:rsid w:val="516E62F9"/>
    <w:rsid w:val="517B0CDC"/>
    <w:rsid w:val="518B38CB"/>
    <w:rsid w:val="51D913DA"/>
    <w:rsid w:val="51E26721"/>
    <w:rsid w:val="529A77A5"/>
    <w:rsid w:val="53A82B52"/>
    <w:rsid w:val="53ED6794"/>
    <w:rsid w:val="542657F3"/>
    <w:rsid w:val="542A50A2"/>
    <w:rsid w:val="542D5399"/>
    <w:rsid w:val="54B059A5"/>
    <w:rsid w:val="55E907A3"/>
    <w:rsid w:val="56195634"/>
    <w:rsid w:val="56325307"/>
    <w:rsid w:val="5659474A"/>
    <w:rsid w:val="56732B47"/>
    <w:rsid w:val="58BD4EAA"/>
    <w:rsid w:val="58DA20C8"/>
    <w:rsid w:val="59B64E5B"/>
    <w:rsid w:val="59C41AA5"/>
    <w:rsid w:val="5A3F3998"/>
    <w:rsid w:val="5A772BA7"/>
    <w:rsid w:val="5B510FBA"/>
    <w:rsid w:val="5B5E370D"/>
    <w:rsid w:val="5B713427"/>
    <w:rsid w:val="5C8B0489"/>
    <w:rsid w:val="5CC223FD"/>
    <w:rsid w:val="5CCB321D"/>
    <w:rsid w:val="5D3038FF"/>
    <w:rsid w:val="5E3B5193"/>
    <w:rsid w:val="5E3D7D48"/>
    <w:rsid w:val="5E5B4B1E"/>
    <w:rsid w:val="5EDC2437"/>
    <w:rsid w:val="5F4856E5"/>
    <w:rsid w:val="5F683B20"/>
    <w:rsid w:val="5F6A1B70"/>
    <w:rsid w:val="5F8018FF"/>
    <w:rsid w:val="601B48AD"/>
    <w:rsid w:val="602048CF"/>
    <w:rsid w:val="603C6B90"/>
    <w:rsid w:val="60E930B4"/>
    <w:rsid w:val="61034DA8"/>
    <w:rsid w:val="61391E0A"/>
    <w:rsid w:val="61716ECA"/>
    <w:rsid w:val="62402F3E"/>
    <w:rsid w:val="62772330"/>
    <w:rsid w:val="628F10F4"/>
    <w:rsid w:val="64383FFB"/>
    <w:rsid w:val="651A5C4B"/>
    <w:rsid w:val="653116C9"/>
    <w:rsid w:val="653762FE"/>
    <w:rsid w:val="653A164C"/>
    <w:rsid w:val="65B31BCC"/>
    <w:rsid w:val="66067D9A"/>
    <w:rsid w:val="667E7566"/>
    <w:rsid w:val="67864F4F"/>
    <w:rsid w:val="67A70F3E"/>
    <w:rsid w:val="68031777"/>
    <w:rsid w:val="68885CD3"/>
    <w:rsid w:val="68F0116E"/>
    <w:rsid w:val="69085BD7"/>
    <w:rsid w:val="6960653E"/>
    <w:rsid w:val="6AAB4D4D"/>
    <w:rsid w:val="6B9A256C"/>
    <w:rsid w:val="6BA373FF"/>
    <w:rsid w:val="6BEB1E5F"/>
    <w:rsid w:val="6C4957FC"/>
    <w:rsid w:val="6D3E0CE6"/>
    <w:rsid w:val="6D6E3F95"/>
    <w:rsid w:val="6D7A3B1D"/>
    <w:rsid w:val="6DB151E2"/>
    <w:rsid w:val="6DBF39F3"/>
    <w:rsid w:val="6E80463B"/>
    <w:rsid w:val="6F457884"/>
    <w:rsid w:val="6F8C7070"/>
    <w:rsid w:val="6FE70842"/>
    <w:rsid w:val="6FE95CEE"/>
    <w:rsid w:val="6FF53E70"/>
    <w:rsid w:val="701A2DBF"/>
    <w:rsid w:val="703B4D4B"/>
    <w:rsid w:val="70642ED3"/>
    <w:rsid w:val="70763652"/>
    <w:rsid w:val="70A15996"/>
    <w:rsid w:val="713779A1"/>
    <w:rsid w:val="726E73F3"/>
    <w:rsid w:val="72BE4D6E"/>
    <w:rsid w:val="72CC3F86"/>
    <w:rsid w:val="72E24278"/>
    <w:rsid w:val="73293EB8"/>
    <w:rsid w:val="73843B37"/>
    <w:rsid w:val="73AA2AB8"/>
    <w:rsid w:val="73AC377C"/>
    <w:rsid w:val="7448595E"/>
    <w:rsid w:val="745139F7"/>
    <w:rsid w:val="74A25915"/>
    <w:rsid w:val="751C4F54"/>
    <w:rsid w:val="75706FDE"/>
    <w:rsid w:val="75940C8C"/>
    <w:rsid w:val="75C940ED"/>
    <w:rsid w:val="76D15FF3"/>
    <w:rsid w:val="77550A67"/>
    <w:rsid w:val="77A85270"/>
    <w:rsid w:val="77B83BB6"/>
    <w:rsid w:val="77BA2D12"/>
    <w:rsid w:val="7856695F"/>
    <w:rsid w:val="7866427B"/>
    <w:rsid w:val="787978AF"/>
    <w:rsid w:val="78F35BBD"/>
    <w:rsid w:val="78F732D8"/>
    <w:rsid w:val="790F1791"/>
    <w:rsid w:val="79775EC9"/>
    <w:rsid w:val="7A37206F"/>
    <w:rsid w:val="7A7E5483"/>
    <w:rsid w:val="7B6B48A2"/>
    <w:rsid w:val="7B7027FC"/>
    <w:rsid w:val="7B740622"/>
    <w:rsid w:val="7B994BC5"/>
    <w:rsid w:val="7C152DD9"/>
    <w:rsid w:val="7C520931"/>
    <w:rsid w:val="7CC72B39"/>
    <w:rsid w:val="7D34076E"/>
    <w:rsid w:val="7D53381A"/>
    <w:rsid w:val="7D6942E1"/>
    <w:rsid w:val="7E9B2B28"/>
    <w:rsid w:val="7EB15D7C"/>
    <w:rsid w:val="7EB910BD"/>
    <w:rsid w:val="7F637539"/>
    <w:rsid w:val="7FF85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Char"/>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728</Words>
  <Characters>4153</Characters>
  <Lines>34</Lines>
  <Paragraphs>9</Paragraphs>
  <TotalTime>0</TotalTime>
  <ScaleCrop>false</ScaleCrop>
  <LinksUpToDate>false</LinksUpToDate>
  <CharactersWithSpaces>4872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王捷捷</cp:lastModifiedBy>
  <dcterms:modified xsi:type="dcterms:W3CDTF">2022-07-27T02:09:43Z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0CCB45109742491C9608F5CFE7FDA0D2</vt:lpwstr>
  </property>
</Properties>
</file>