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2022年PX联锁优化技改项仪表设备（浮筒式液位变送器、差压变送器、分体式温度变送器等）发包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FHC-PTCG20220617001</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福建福海创石油化工有限公司2022年PX联锁优化技改项仪表设备（浮筒式液位变送器、差压变送器、分体式温度变送器等）发包比选公告</w:t>
      </w:r>
    </w:p>
    <w:p>
      <w:pPr>
        <w:pStyle w:val="2"/>
        <w:rPr>
          <w:rFonts w:hint="eastAsia"/>
        </w:rPr>
      </w:pPr>
    </w:p>
    <w:p>
      <w:pPr>
        <w:pStyle w:val="20"/>
        <w:keepNext w:val="0"/>
        <w:keepLines w:val="0"/>
        <w:pageBreakBefore w:val="0"/>
        <w:widowControl w:val="0"/>
        <w:kinsoku/>
        <w:wordWrap/>
        <w:overflowPunct/>
        <w:topLinePunct w:val="0"/>
        <w:autoSpaceDE w:val="0"/>
        <w:autoSpaceDN w:val="0"/>
        <w:bidi w:val="0"/>
        <w:adjustRightInd/>
        <w:snapToGrid/>
        <w:spacing w:before="26"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福建福海创石油化工有限公司2022年PX联锁优化技改项仪表设备（浮筒式液位变送器、差压变送器、分体式温度变送器等）</w:t>
      </w:r>
      <w:r>
        <w:rPr>
          <w:rFonts w:hint="eastAsia"/>
          <w:color w:val="000000" w:themeColor="text1"/>
          <w:u w:val="single"/>
          <w:lang w:val="en-US" w:eastAsia="zh-CN"/>
        </w:rPr>
        <w:t>采购</w:t>
      </w:r>
      <w:r>
        <w:rPr>
          <w:rFonts w:hint="eastAsia"/>
          <w:color w:val="000000" w:themeColor="text1"/>
          <w:u w:val="single"/>
          <w:lang w:eastAsia="zh-CN"/>
        </w:rPr>
        <w:t>（项目编号：FHC-PTCG20220617001）</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项目名称：福建福海创石油化工有限公司2022年PX联锁优化技改项仪表材料发包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本项目</w:t>
      </w:r>
      <w:r>
        <w:rPr>
          <w:rFonts w:hint="eastAsia"/>
          <w:sz w:val="24"/>
          <w:szCs w:val="24"/>
          <w:lang w:eastAsia="zh-CN"/>
        </w:rPr>
        <w:t>分为</w:t>
      </w:r>
      <w:r>
        <w:rPr>
          <w:rFonts w:hint="eastAsia"/>
          <w:sz w:val="24"/>
          <w:szCs w:val="24"/>
          <w:lang w:val="en-US" w:eastAsia="zh-CN"/>
        </w:rPr>
        <w:t>3</w:t>
      </w:r>
      <w:r>
        <w:rPr>
          <w:rFonts w:hint="eastAsia"/>
          <w:sz w:val="24"/>
          <w:szCs w:val="24"/>
          <w:lang w:eastAsia="zh-CN"/>
        </w:rPr>
        <w:t>个合同包。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rFonts w:hint="eastAsia"/>
          <w:sz w:val="24"/>
          <w:szCs w:val="24"/>
          <w:lang w:eastAsia="zh-CN"/>
        </w:rPr>
        <w:t>包1：</w:t>
      </w:r>
      <w:r>
        <w:rPr>
          <w:rFonts w:hint="eastAsia"/>
          <w:color w:val="000000" w:themeColor="text1"/>
          <w:u w:val="none"/>
          <w:lang w:val="en-US" w:eastAsia="zh-CN"/>
        </w:rPr>
        <w:t>丹东通博、武汉海德龙、菲时博特浮筒式液位变送器</w:t>
      </w:r>
      <w:r>
        <w:rPr>
          <w:rFonts w:hint="eastAsia"/>
          <w:color w:val="000000" w:themeColor="text1"/>
          <w:u w:val="none"/>
          <w:lang w:eastAsia="zh-CN"/>
        </w:rPr>
        <w:t>采购</w:t>
      </w:r>
      <w:r>
        <w:rPr>
          <w:rFonts w:hint="eastAsia"/>
          <w:color w:val="000000" w:themeColor="text1"/>
          <w:u w:val="none"/>
          <w:lang w:val="en-US" w:eastAsia="zh-CN"/>
        </w:rPr>
        <w:t>项目；包2：罗斯蒙特、横河差压变送器等采购项目；包3：威卡、ROSEMOUNT分体温度变送器等采购项目。</w:t>
      </w:r>
      <w:r>
        <w:rPr>
          <w:rFonts w:hint="eastAsia"/>
          <w:sz w:val="24"/>
          <w:szCs w:val="24"/>
          <w:lang w:eastAsia="zh-CN"/>
        </w:rPr>
        <w:t>参选人可参选多个合同包，但必须对同一个合同包中的全部物资进行参选，不得仅对合同包中的部分物资进行参选，否则其比选文件将被拒绝。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3.</w:t>
      </w:r>
      <w:r>
        <w:rPr>
          <w:rFonts w:hint="eastAsia"/>
          <w:sz w:val="24"/>
          <w:szCs w:val="24"/>
          <w:lang w:val="en-US" w:eastAsia="zh-CN"/>
        </w:rPr>
        <w:t>交货期要求</w:t>
      </w:r>
      <w:r>
        <w:rPr>
          <w:rFonts w:hint="eastAsia"/>
          <w:sz w:val="24"/>
          <w:szCs w:val="24"/>
          <w:lang w:eastAsia="zh-CN"/>
        </w:rPr>
        <w:t>：</w:t>
      </w:r>
      <w:r>
        <w:rPr>
          <w:rFonts w:hint="eastAsia"/>
          <w:sz w:val="24"/>
          <w:szCs w:val="24"/>
          <w:lang w:val="en-US" w:eastAsia="zh-CN"/>
        </w:rPr>
        <w:t>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sz w:val="24"/>
          <w:szCs w:val="24"/>
          <w:lang w:val="en-US" w:eastAsia="zh-CN"/>
        </w:rPr>
        <w:t>4.采购范围：详看附件采购清单</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w:t>
      </w:r>
      <w:r>
        <w:rPr>
          <w:rFonts w:hint="eastAsia"/>
          <w:color w:val="000000" w:themeColor="text1"/>
          <w:sz w:val="24"/>
          <w:szCs w:val="24"/>
          <w:lang w:val="en-US" w:eastAsia="zh-CN"/>
        </w:rPr>
        <w:t>20</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7</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lang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w:t>
      </w:r>
      <w:r>
        <w:rPr>
          <w:rFonts w:hint="eastAsia"/>
          <w:sz w:val="24"/>
          <w:szCs w:val="24"/>
          <w:lang w:val="en-US" w:eastAsia="zh-CN"/>
        </w:rPr>
        <w:t>丹东通博、武汉海德龙、菲时博特浮</w:t>
      </w:r>
      <w:r>
        <w:rPr>
          <w:rFonts w:hint="eastAsia"/>
          <w:sz w:val="24"/>
          <w:szCs w:val="24"/>
          <w:lang w:eastAsia="zh-CN"/>
        </w:rPr>
        <w:t>筒式液位变送器</w:t>
      </w:r>
      <w:r>
        <w:rPr>
          <w:rFonts w:hint="eastAsia"/>
          <w:sz w:val="24"/>
          <w:szCs w:val="24"/>
          <w:lang w:val="en-US" w:eastAsia="zh-CN"/>
        </w:rPr>
        <w:t>采购项目10000元</w:t>
      </w:r>
      <w:r>
        <w:rPr>
          <w:rFonts w:hint="eastAsia"/>
          <w:sz w:val="24"/>
          <w:szCs w:val="24"/>
          <w:lang w:eastAsia="zh-CN"/>
        </w:rPr>
        <w:t>；</w:t>
      </w:r>
      <w:r>
        <w:rPr>
          <w:rFonts w:hint="eastAsia"/>
          <w:color w:val="000000" w:themeColor="text1"/>
          <w:u w:val="none"/>
          <w:lang w:val="en-US" w:eastAsia="zh-CN"/>
        </w:rPr>
        <w:t>包2：罗斯蒙特、横河差压变送器等采购项目29000元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 xml:space="preserve">            唐凤玉 电话：15059611803 邮箱：fytang@fhcpec.com.cn。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福建福海创石油化工有限公司2022年PX联锁优化技改项仪表材料发包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商务联系人：戴小玉 15259629857，xydai@fhcpec.com.cn</w:t>
      </w:r>
    </w:p>
    <w:p>
      <w:pPr>
        <w:pStyle w:val="20"/>
        <w:spacing w:line="360" w:lineRule="auto"/>
        <w:ind w:right="121" w:firstLine="480"/>
        <w:jc w:val="both"/>
        <w:rPr>
          <w:rFonts w:hint="eastAsia"/>
          <w:lang w:val="en-US" w:eastAsia="zh-CN"/>
        </w:rPr>
      </w:pPr>
      <w:r>
        <w:rPr>
          <w:rFonts w:hint="eastAsia"/>
          <w:lang w:val="en-US" w:eastAsia="zh-CN"/>
        </w:rPr>
        <w:t>技术联系人：黄玉忠 电话：18350666931 邮箱：</w:t>
      </w:r>
      <w:r>
        <w:rPr>
          <w:rFonts w:hint="eastAsia"/>
          <w:lang w:val="en-US" w:eastAsia="zh-CN"/>
        </w:rPr>
        <w:fldChar w:fldCharType="begin"/>
      </w:r>
      <w:r>
        <w:rPr>
          <w:rFonts w:hint="eastAsia"/>
          <w:lang w:val="en-US" w:eastAsia="zh-CN"/>
        </w:rPr>
        <w:instrText xml:space="preserve"> HYPERLINK "mailto:huangyz1@fhcpec.com.cn；" </w:instrText>
      </w:r>
      <w:r>
        <w:rPr>
          <w:rFonts w:hint="eastAsia"/>
          <w:lang w:val="en-US" w:eastAsia="zh-CN"/>
        </w:rPr>
        <w:fldChar w:fldCharType="separate"/>
      </w:r>
      <w:r>
        <w:rPr>
          <w:rStyle w:val="53"/>
          <w:rFonts w:hint="eastAsia"/>
          <w:lang w:val="en-US" w:eastAsia="zh-CN"/>
        </w:rPr>
        <w:t>huangyz1@fhcpec.com.cn；</w:t>
      </w:r>
      <w:r>
        <w:rPr>
          <w:rFonts w:hint="eastAsia"/>
          <w:lang w:val="en-US" w:eastAsia="zh-CN"/>
        </w:rPr>
        <w:fldChar w:fldCharType="end"/>
      </w:r>
    </w:p>
    <w:p>
      <w:pPr>
        <w:pStyle w:val="20"/>
        <w:spacing w:line="360" w:lineRule="auto"/>
        <w:ind w:right="121" w:firstLine="480"/>
        <w:jc w:val="both"/>
        <w:rPr>
          <w:rFonts w:hint="eastAsia"/>
          <w:lang w:val="en-US" w:eastAsia="zh-CN"/>
        </w:rPr>
      </w:pPr>
      <w:r>
        <w:rPr>
          <w:rFonts w:hint="eastAsia"/>
          <w:lang w:val="en-US" w:eastAsia="zh-CN"/>
        </w:rPr>
        <w:t xml:space="preserve">            邹春寿 电话：13695015669 邮箱：</w:t>
      </w:r>
      <w:r>
        <w:rPr>
          <w:rFonts w:hint="eastAsia"/>
          <w:lang w:val="en-US" w:eastAsia="zh-CN"/>
        </w:rPr>
        <w:fldChar w:fldCharType="begin"/>
      </w:r>
      <w:r>
        <w:rPr>
          <w:rFonts w:hint="eastAsia"/>
          <w:lang w:val="en-US" w:eastAsia="zh-CN"/>
        </w:rPr>
        <w:instrText xml:space="preserve"> HYPERLINK "mailto:cszou@fhcpec.com.cn；" </w:instrText>
      </w:r>
      <w:r>
        <w:rPr>
          <w:rFonts w:hint="eastAsia"/>
          <w:lang w:val="en-US" w:eastAsia="zh-CN"/>
        </w:rPr>
        <w:fldChar w:fldCharType="separate"/>
      </w:r>
      <w:r>
        <w:rPr>
          <w:rStyle w:val="53"/>
          <w:rFonts w:hint="eastAsia"/>
          <w:lang w:val="en-US" w:eastAsia="zh-CN"/>
        </w:rPr>
        <w:t>cszou@fhcpec.com.cn；</w:t>
      </w:r>
      <w:r>
        <w:rPr>
          <w:rFonts w:hint="eastAsia"/>
          <w:lang w:val="en-US" w:eastAsia="zh-CN"/>
        </w:rPr>
        <w:fldChar w:fldCharType="end"/>
      </w:r>
    </w:p>
    <w:p>
      <w:pPr>
        <w:pStyle w:val="20"/>
        <w:spacing w:line="360" w:lineRule="auto"/>
        <w:ind w:right="121" w:firstLine="1960" w:firstLineChars="817"/>
        <w:jc w:val="both"/>
        <w:rPr>
          <w:rFonts w:hint="default"/>
          <w:lang w:val="en-US" w:eastAsia="zh-CN"/>
        </w:rPr>
      </w:pPr>
      <w:r>
        <w:rPr>
          <w:rFonts w:hint="eastAsia"/>
          <w:lang w:val="en-US" w:eastAsia="zh-CN"/>
        </w:rPr>
        <w:t>唐凤玉 电话：15059611803 邮箱：fytang@fhcpec.com.cn。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2" w:firstLineChars="200"/>
        <w:textAlignment w:val="auto"/>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为</w:t>
      </w:r>
      <w:r>
        <w:rPr>
          <w:rFonts w:hint="eastAsia"/>
          <w:sz w:val="24"/>
          <w:szCs w:val="24"/>
          <w:lang w:eastAsia="zh-CN"/>
        </w:rPr>
        <w:t>包1：</w:t>
      </w:r>
      <w:r>
        <w:rPr>
          <w:rFonts w:hint="eastAsia"/>
          <w:sz w:val="24"/>
          <w:szCs w:val="24"/>
          <w:lang w:val="en-US" w:eastAsia="zh-CN"/>
        </w:rPr>
        <w:t>丹东通博、武汉海德龙、菲时博特浮</w:t>
      </w:r>
      <w:r>
        <w:rPr>
          <w:rFonts w:hint="eastAsia"/>
          <w:sz w:val="24"/>
          <w:szCs w:val="24"/>
          <w:lang w:eastAsia="zh-CN"/>
        </w:rPr>
        <w:t>筒式液位变送器</w:t>
      </w:r>
      <w:r>
        <w:rPr>
          <w:rFonts w:hint="eastAsia"/>
          <w:sz w:val="24"/>
          <w:szCs w:val="24"/>
          <w:lang w:val="en-US" w:eastAsia="zh-CN"/>
        </w:rPr>
        <w:t>采购项目10000元</w:t>
      </w:r>
      <w:r>
        <w:rPr>
          <w:rFonts w:hint="eastAsia"/>
          <w:sz w:val="24"/>
          <w:szCs w:val="24"/>
          <w:lang w:eastAsia="zh-CN"/>
        </w:rPr>
        <w:t>；</w:t>
      </w:r>
      <w:r>
        <w:rPr>
          <w:rFonts w:hint="eastAsia"/>
          <w:color w:val="000000" w:themeColor="text1"/>
          <w:u w:val="none"/>
          <w:lang w:val="en-US" w:eastAsia="zh-CN"/>
        </w:rPr>
        <w:t>包2：罗斯蒙特、横河差压变送器等采购项目29000元</w:t>
      </w:r>
      <w:r>
        <w:rPr>
          <w:rFonts w:hint="eastAsia"/>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注明用途：</w:t>
      </w:r>
      <w:r>
        <w:rPr>
          <w:rFonts w:hint="eastAsia"/>
          <w:color w:val="000000" w:themeColor="text1"/>
          <w:lang w:val="en-US" w:eastAsia="zh-CN"/>
        </w:rPr>
        <w:t>PX联锁优化技改项仪表材料-包****项目</w:t>
      </w:r>
      <w:r>
        <w:rPr>
          <w:rFonts w:hint="eastAsia"/>
          <w:color w:val="000000" w:themeColor="text1"/>
          <w:lang w:eastAsia="zh-CN"/>
        </w:rPr>
        <w:t>采购参选</w:t>
      </w:r>
      <w:r>
        <w:rPr>
          <w:color w:val="000000" w:themeColor="text1"/>
          <w:lang w:eastAsia="zh-CN"/>
        </w:rPr>
        <w:t>保证金</w:t>
      </w:r>
      <w:r>
        <w:rPr>
          <w:rFonts w:hint="eastAsia"/>
          <w:color w:val="000000" w:themeColor="text1"/>
          <w:highlight w:val="yellow"/>
          <w:lang w:eastAsia="zh-CN"/>
        </w:rPr>
        <w:t>（</w:t>
      </w:r>
      <w:r>
        <w:rPr>
          <w:rFonts w:hint="eastAsia"/>
          <w:color w:val="000000" w:themeColor="text1"/>
          <w:highlight w:val="yellow"/>
          <w:lang w:val="en-US" w:eastAsia="zh-CN"/>
        </w:rPr>
        <w:t>根据具体合同包名称自行填写）</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w:t>
      </w:r>
      <w:r>
        <w:rPr>
          <w:rFonts w:hint="eastAsia"/>
          <w:b/>
          <w:color w:val="FF0000"/>
          <w:lang w:val="en-US" w:eastAsia="zh-CN"/>
        </w:rPr>
        <w:t>包1</w:t>
      </w:r>
      <w:r>
        <w:rPr>
          <w:rFonts w:hint="eastAsia"/>
          <w:b/>
          <w:color w:val="FF0000"/>
          <w:lang w:eastAsia="zh-CN"/>
        </w:rPr>
        <w:t>设置最高控制价</w:t>
      </w:r>
      <w:r>
        <w:rPr>
          <w:rFonts w:hint="eastAsia"/>
          <w:b/>
          <w:color w:val="FF0000"/>
          <w:lang w:val="en-US" w:eastAsia="zh-CN"/>
        </w:rPr>
        <w:t>58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包2：</w:t>
      </w:r>
      <w:r>
        <w:rPr>
          <w:rFonts w:hint="eastAsia"/>
          <w:b/>
          <w:color w:val="FF0000"/>
          <w:lang w:eastAsia="zh-CN"/>
        </w:rPr>
        <w:t>设置最高控制价</w:t>
      </w:r>
      <w:r>
        <w:rPr>
          <w:rFonts w:hint="eastAsia"/>
          <w:b/>
          <w:color w:val="FF0000"/>
          <w:lang w:val="en-US" w:eastAsia="zh-CN"/>
        </w:rPr>
        <w:t>147.5万</w:t>
      </w:r>
      <w:r>
        <w:rPr>
          <w:rFonts w:hint="eastAsia"/>
          <w:b/>
          <w:color w:val="FF0000"/>
          <w:lang w:eastAsia="zh-CN"/>
        </w:rPr>
        <w:t>元整（</w:t>
      </w:r>
      <w:r>
        <w:rPr>
          <w:rFonts w:hint="eastAsia"/>
          <w:b/>
          <w:color w:val="FF0000"/>
          <w:lang w:val="en-US" w:eastAsia="zh-CN"/>
        </w:rPr>
        <w:t>不含税</w:t>
      </w:r>
      <w:r>
        <w:rPr>
          <w:rFonts w:hint="eastAsia"/>
          <w:b/>
          <w:color w:val="FF0000"/>
          <w:lang w:eastAsia="zh-CN"/>
        </w:rPr>
        <w:t>）、</w:t>
      </w:r>
      <w:r>
        <w:rPr>
          <w:rFonts w:hint="eastAsia"/>
          <w:b/>
          <w:color w:val="FF0000"/>
          <w:lang w:val="en-US" w:eastAsia="zh-CN"/>
        </w:rPr>
        <w:t>包3：</w:t>
      </w:r>
      <w:r>
        <w:rPr>
          <w:rFonts w:hint="eastAsia"/>
          <w:b/>
          <w:color w:val="FF0000"/>
          <w:lang w:eastAsia="zh-CN"/>
        </w:rPr>
        <w:t>设置最高控制价</w:t>
      </w:r>
      <w:r>
        <w:rPr>
          <w:rFonts w:hint="eastAsia"/>
          <w:b/>
          <w:color w:val="FF0000"/>
          <w:lang w:val="en-US" w:eastAsia="zh-CN"/>
        </w:rPr>
        <w:t>4.8</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bookmarkStart w:id="0" w:name="_Toc251742852"/>
      <w:r>
        <w:rPr>
          <w:rFonts w:hint="eastAsia"/>
          <w:b/>
          <w:sz w:val="28"/>
          <w:szCs w:val="28"/>
        </w:rPr>
        <w:t>采购合同</w:t>
      </w:r>
    </w:p>
    <w:tbl>
      <w:tblPr>
        <w:tblStyle w:val="47"/>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4"/>
        <w:gridCol w:w="3428"/>
        <w:gridCol w:w="161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 xml:space="preserve">                                                                                      </w:t>
            </w:r>
          </w:p>
        </w:tc>
        <w:tc>
          <w:tcPr>
            <w:tcW w:w="3428" w:type="dxa"/>
          </w:tcPr>
          <w:p>
            <w:pPr>
              <w:spacing w:line="120" w:lineRule="auto"/>
              <w:rPr>
                <w:sz w:val="24"/>
              </w:rPr>
            </w:pPr>
          </w:p>
        </w:tc>
        <w:tc>
          <w:tcPr>
            <w:tcW w:w="1611" w:type="dxa"/>
          </w:tcPr>
          <w:p>
            <w:pPr>
              <w:spacing w:line="120" w:lineRule="auto"/>
              <w:rPr>
                <w:sz w:val="24"/>
              </w:rPr>
            </w:pPr>
            <w:r>
              <w:rPr>
                <w:rFonts w:hint="eastAsia"/>
                <w:sz w:val="24"/>
              </w:rPr>
              <w:t>合同编号：</w:t>
            </w:r>
          </w:p>
        </w:tc>
        <w:tc>
          <w:tcPr>
            <w:tcW w:w="284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甲方：</w:t>
            </w:r>
          </w:p>
        </w:tc>
        <w:tc>
          <w:tcPr>
            <w:tcW w:w="3428" w:type="dxa"/>
          </w:tcPr>
          <w:p>
            <w:pPr>
              <w:spacing w:line="120" w:lineRule="auto"/>
              <w:rPr>
                <w:sz w:val="24"/>
              </w:rPr>
            </w:pPr>
            <w:r>
              <w:rPr>
                <w:rFonts w:hint="eastAsia"/>
                <w:sz w:val="24"/>
              </w:rPr>
              <w:t xml:space="preserve"> </w:t>
            </w:r>
            <w:r>
              <w:rPr>
                <w:rFonts w:hint="eastAsia"/>
                <w:sz w:val="24"/>
                <w:lang w:val="en-US" w:eastAsia="zh-CN"/>
              </w:rPr>
              <w:t>腾龙芳烃（漳州）有限公司</w:t>
            </w:r>
            <w:r>
              <w:rPr>
                <w:rFonts w:hint="eastAsia"/>
                <w:sz w:val="24"/>
              </w:rPr>
              <w:t xml:space="preserve">                                    </w:t>
            </w:r>
          </w:p>
        </w:tc>
        <w:tc>
          <w:tcPr>
            <w:tcW w:w="1611" w:type="dxa"/>
          </w:tcPr>
          <w:p>
            <w:pPr>
              <w:spacing w:line="120" w:lineRule="auto"/>
              <w:rPr>
                <w:sz w:val="24"/>
              </w:rPr>
            </w:pPr>
            <w:r>
              <w:rPr>
                <w:rFonts w:hint="eastAsia"/>
                <w:sz w:val="24"/>
              </w:rPr>
              <w:t>签订地点：</w:t>
            </w:r>
          </w:p>
        </w:tc>
        <w:tc>
          <w:tcPr>
            <w:tcW w:w="2841" w:type="dxa"/>
          </w:tcPr>
          <w:p>
            <w:pPr>
              <w:spacing w:line="120" w:lineRule="auto"/>
              <w:jc w:val="left"/>
              <w:rPr>
                <w:rFonts w:hint="default" w:eastAsia="宋体"/>
                <w:sz w:val="24"/>
                <w:lang w:val="en-US" w:eastAsia="zh-CN"/>
              </w:rPr>
            </w:pPr>
            <w:r>
              <w:rPr>
                <w:rFonts w:hint="eastAsia"/>
                <w:sz w:val="24"/>
                <w:lang w:val="en-US" w:eastAsia="zh-CN"/>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4" w:type="dxa"/>
          </w:tcPr>
          <w:p>
            <w:pPr>
              <w:spacing w:line="120" w:lineRule="auto"/>
              <w:rPr>
                <w:sz w:val="24"/>
              </w:rPr>
            </w:pPr>
            <w:r>
              <w:rPr>
                <w:rFonts w:hint="eastAsia"/>
                <w:sz w:val="24"/>
              </w:rPr>
              <w:t>乙方：</w:t>
            </w:r>
          </w:p>
        </w:tc>
        <w:tc>
          <w:tcPr>
            <w:tcW w:w="3428" w:type="dxa"/>
          </w:tcPr>
          <w:p>
            <w:pPr>
              <w:spacing w:line="120" w:lineRule="auto"/>
              <w:rPr>
                <w:rFonts w:hint="default" w:eastAsia="宋体"/>
                <w:sz w:val="24"/>
                <w:lang w:val="en-US" w:eastAsia="zh-CN"/>
              </w:rPr>
            </w:pPr>
          </w:p>
        </w:tc>
        <w:tc>
          <w:tcPr>
            <w:tcW w:w="1611" w:type="dxa"/>
          </w:tcPr>
          <w:p>
            <w:pPr>
              <w:spacing w:line="120" w:lineRule="auto"/>
              <w:rPr>
                <w:sz w:val="24"/>
              </w:rPr>
            </w:pPr>
            <w:r>
              <w:rPr>
                <w:rFonts w:hint="eastAsia"/>
                <w:sz w:val="24"/>
              </w:rPr>
              <w:t>签订日期：</w:t>
            </w:r>
          </w:p>
        </w:tc>
        <w:tc>
          <w:tcPr>
            <w:tcW w:w="2841" w:type="dxa"/>
          </w:tcPr>
          <w:p>
            <w:pPr>
              <w:spacing w:line="120" w:lineRule="auto"/>
              <w:rPr>
                <w:rFonts w:hint="default" w:eastAsia="宋体"/>
                <w:sz w:val="24"/>
                <w:lang w:val="en-US" w:eastAsia="zh-CN"/>
              </w:rPr>
            </w:pPr>
            <w:r>
              <w:rPr>
                <w:rFonts w:hint="eastAsia"/>
                <w:sz w:val="24"/>
                <w:lang w:val="en-US" w:eastAsia="zh-CN"/>
              </w:rPr>
              <w:t>2022年  月  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tbl>
      <w:tblPr>
        <w:tblStyle w:val="46"/>
        <w:tblpPr w:leftFromText="180" w:rightFromText="180" w:vertAnchor="text" w:horzAnchor="page" w:tblpX="1408" w:tblpY="29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127"/>
        <w:gridCol w:w="1701"/>
        <w:gridCol w:w="1417"/>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795"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rFonts w:hint="eastAsia" w:eastAsia="宋体"/>
                <w:sz w:val="24"/>
                <w:lang w:val="en-US" w:eastAsia="zh-CN"/>
              </w:rPr>
            </w:pPr>
            <w:permStart w:id="0" w:edGrp="everyone" w:colFirst="0" w:colLast="0"/>
            <w:permStart w:id="1" w:edGrp="everyone" w:colFirst="1" w:colLast="1"/>
            <w:permStart w:id="2" w:edGrp="everyone" w:colFirst="2" w:colLast="2"/>
            <w:permStart w:id="3" w:edGrp="everyone" w:colFirst="3" w:colLast="4"/>
          </w:p>
        </w:tc>
        <w:tc>
          <w:tcPr>
            <w:tcW w:w="2127" w:type="dxa"/>
            <w:vAlign w:val="center"/>
          </w:tcPr>
          <w:p>
            <w:pPr>
              <w:spacing w:line="120" w:lineRule="auto"/>
              <w:jc w:val="center"/>
              <w:rPr>
                <w:rFonts w:hint="default" w:eastAsia="宋体"/>
                <w:sz w:val="24"/>
                <w:lang w:val="en-US" w:eastAsia="zh-CN"/>
              </w:rPr>
            </w:pPr>
          </w:p>
        </w:tc>
        <w:tc>
          <w:tcPr>
            <w:tcW w:w="1701" w:type="dxa"/>
            <w:vAlign w:val="center"/>
          </w:tcPr>
          <w:p>
            <w:pPr>
              <w:spacing w:line="120" w:lineRule="auto"/>
              <w:jc w:val="center"/>
              <w:rPr>
                <w:rFonts w:hint="default" w:eastAsia="宋体"/>
                <w:sz w:val="24"/>
                <w:lang w:val="en-US" w:eastAsia="zh-CN"/>
              </w:rPr>
            </w:pPr>
          </w:p>
        </w:tc>
        <w:tc>
          <w:tcPr>
            <w:tcW w:w="1417" w:type="dxa"/>
            <w:vAlign w:val="center"/>
          </w:tcPr>
          <w:p>
            <w:pPr>
              <w:spacing w:line="120" w:lineRule="auto"/>
              <w:jc w:val="center"/>
              <w:rPr>
                <w:rFonts w:hint="default" w:eastAsia="宋体"/>
                <w:sz w:val="24"/>
                <w:lang w:val="en-US" w:eastAsia="zh-CN"/>
              </w:rPr>
            </w:pPr>
          </w:p>
        </w:tc>
        <w:tc>
          <w:tcPr>
            <w:tcW w:w="1795" w:type="dxa"/>
            <w:vAlign w:val="center"/>
          </w:tcPr>
          <w:p>
            <w:pPr>
              <w:spacing w:line="120" w:lineRule="auto"/>
              <w:jc w:val="center"/>
              <w:rPr>
                <w:rFonts w:hint="default" w:eastAsia="宋体"/>
                <w:sz w:val="24"/>
                <w:lang w:val="en-US" w:eastAsia="zh-CN"/>
              </w:rPr>
            </w:pPr>
          </w:p>
        </w:tc>
      </w:tr>
      <w:permEnd w:id="0"/>
      <w:permEnd w:id="1"/>
      <w:permEnd w:id="2"/>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vAlign w:val="center"/>
          </w:tcPr>
          <w:p>
            <w:pPr>
              <w:spacing w:line="120" w:lineRule="auto"/>
              <w:jc w:val="center"/>
              <w:rPr>
                <w:sz w:val="24"/>
              </w:rPr>
            </w:pPr>
            <w:r>
              <w:rPr>
                <w:rFonts w:hint="eastAsia"/>
                <w:sz w:val="24"/>
              </w:rPr>
              <w:t>合同金额合计</w:t>
            </w:r>
          </w:p>
        </w:tc>
        <w:tc>
          <w:tcPr>
            <w:tcW w:w="7040" w:type="dxa"/>
            <w:gridSpan w:val="4"/>
            <w:vAlign w:val="center"/>
          </w:tcPr>
          <w:p>
            <w:pPr>
              <w:spacing w:line="120" w:lineRule="auto"/>
              <w:jc w:val="center"/>
              <w:rPr>
                <w:sz w:val="24"/>
              </w:rPr>
            </w:pPr>
            <w:permStart w:id="4" w:edGrp="everyone"/>
            <w:r>
              <w:rPr>
                <w:rFonts w:hint="eastAsia"/>
                <w:sz w:val="24"/>
              </w:rPr>
              <w:t xml:space="preserve">  </w:t>
            </w:r>
            <w:r>
              <w:rPr>
                <w:rFonts w:hint="eastAsia"/>
                <w:sz w:val="24"/>
                <w:lang w:val="en-US" w:eastAsia="zh-CN"/>
              </w:rPr>
              <w:t>人民币</w:t>
            </w:r>
            <w:r>
              <w:rPr>
                <w:rFonts w:hint="eastAsia"/>
                <w:sz w:val="24"/>
              </w:rPr>
              <w:t xml:space="preserve"> </w:t>
            </w:r>
            <w:r>
              <w:rPr>
                <w:rFonts w:hint="eastAsia"/>
                <w:sz w:val="24"/>
                <w:lang w:val="en-US" w:eastAsia="zh-CN"/>
              </w:rPr>
              <w:t>元整</w:t>
            </w:r>
            <w:r>
              <w:rPr>
                <w:rFonts w:hint="eastAsia"/>
                <w:sz w:val="24"/>
              </w:rPr>
              <w:t xml:space="preserve"> </w:t>
            </w:r>
            <w:permEnd w:id="4"/>
            <w:r>
              <w:rPr>
                <w:rFonts w:hint="eastAsia"/>
                <w:sz w:val="24"/>
              </w:rPr>
              <w:t xml:space="preserve">（大写） </w:t>
            </w:r>
            <w:permStart w:id="5" w:edGrp="everyone"/>
            <w:r>
              <w:rPr>
                <w:rFonts w:hint="eastAsia"/>
                <w:sz w:val="24"/>
                <w:lang w:val="en-US" w:eastAsia="zh-CN"/>
              </w:rPr>
              <w:t xml:space="preserve">RMB </w:t>
            </w:r>
            <w:r>
              <w:rPr>
                <w:rFonts w:hint="eastAsia"/>
                <w:sz w:val="24"/>
              </w:rPr>
              <w:t xml:space="preserve">  </w:t>
            </w:r>
            <w:permEnd w:id="5"/>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val="en-US" w:eastAsia="zh-CN"/>
        </w:rPr>
        <w:t>乙方</w:t>
      </w:r>
      <w:r>
        <w:rPr>
          <w:rFonts w:hint="eastAsia"/>
          <w:sz w:val="24"/>
          <w:u w:val="single"/>
        </w:rPr>
        <w:t>负责运输及承担运费。</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val="en-US" w:eastAsia="zh-CN"/>
        </w:rPr>
        <w:t>福海创PX厂区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480" w:firstLineChars="200"/>
        <w:rPr>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rFonts w:hint="eastAsia"/>
          <w:sz w:val="24"/>
          <w:u w:val="single"/>
          <w:lang w:val="en-US" w:eastAsia="zh-CN"/>
        </w:rPr>
        <w:t>电汇</w:t>
      </w:r>
      <w:r>
        <w:rPr>
          <w:sz w:val="24"/>
          <w:u w:val="single"/>
        </w:rPr>
        <w:t xml:space="preserve"> </w:t>
      </w:r>
      <w:r>
        <w:rPr>
          <w:rFonts w:hint="eastAsia"/>
          <w:sz w:val="24"/>
        </w:rPr>
        <w:t>向乙方支付合同价款总额的</w:t>
      </w:r>
      <w:r>
        <w:rPr>
          <w:rFonts w:hint="eastAsia"/>
          <w:sz w:val="24"/>
          <w:u w:val="single"/>
          <w:lang w:val="en-US" w:eastAsia="zh-CN"/>
        </w:rPr>
        <w:t xml:space="preserve">    </w:t>
      </w:r>
      <w:r>
        <w:rPr>
          <w:rFonts w:hint="eastAsia"/>
          <w:sz w:val="24"/>
        </w:rPr>
        <w:t>%</w:t>
      </w:r>
      <w:r>
        <w:rPr>
          <w:rFonts w:hint="eastAsia"/>
          <w:sz w:val="24"/>
          <w:lang w:eastAsia="zh-CN"/>
        </w:rPr>
        <w:t>，</w:t>
      </w:r>
      <w:r>
        <w:rPr>
          <w:rFonts w:hint="eastAsia"/>
          <w:sz w:val="24"/>
        </w:rPr>
        <w:t>产品验收合格</w:t>
      </w:r>
      <w:r>
        <w:rPr>
          <w:sz w:val="24"/>
          <w:u w:val="single"/>
        </w:rPr>
        <w:t xml:space="preserve"> </w:t>
      </w:r>
      <w:r>
        <w:rPr>
          <w:rFonts w:hint="eastAsia"/>
          <w:sz w:val="24"/>
          <w:u w:val="single"/>
          <w:lang w:val="en-US" w:eastAsia="zh-CN"/>
        </w:rPr>
        <w:t>12</w:t>
      </w:r>
      <w:r>
        <w:rPr>
          <w:sz w:val="24"/>
          <w:u w:val="single"/>
        </w:rPr>
        <w:t xml:space="preserve"> </w:t>
      </w:r>
      <w:r>
        <w:rPr>
          <w:rFonts w:hint="eastAsia"/>
          <w:sz w:val="24"/>
        </w:rPr>
        <w:t>个月后，甲方向乙方支付剩余货款。</w:t>
      </w:r>
    </w:p>
    <w:p>
      <w:pPr>
        <w:spacing w:line="360" w:lineRule="auto"/>
        <w:ind w:firstLine="480" w:firstLineChars="200"/>
        <w:rPr>
          <w:sz w:val="24"/>
        </w:rPr>
      </w:pPr>
      <w:r>
        <w:rPr>
          <w:rFonts w:hint="eastAsia"/>
          <w:sz w:val="24"/>
        </w:rPr>
        <w:t>3.2 乙方应根据甲方要求在甲方付款前</w:t>
      </w:r>
      <w:r>
        <w:rPr>
          <w:rFonts w:hint="eastAsia"/>
          <w:sz w:val="24"/>
          <w:u w:val="single"/>
          <w:lang w:val="en-US" w:eastAsia="zh-CN"/>
        </w:rPr>
        <w:t>60</w:t>
      </w:r>
      <w:r>
        <w:rPr>
          <w:sz w:val="24"/>
          <w:u w:val="single"/>
        </w:rPr>
        <w:t xml:space="preserve"> </w:t>
      </w:r>
      <w:r>
        <w:rPr>
          <w:rFonts w:hint="eastAsia"/>
          <w:sz w:val="24"/>
        </w:rPr>
        <w:t>日内提供正式</w:t>
      </w:r>
      <w:r>
        <w:rPr>
          <w:rFonts w:hint="eastAsia"/>
          <w:sz w:val="24"/>
          <w:lang w:val="en-US" w:eastAsia="zh-CN"/>
        </w:rPr>
        <w:t>13%增值税专用</w:t>
      </w:r>
      <w:r>
        <w:rPr>
          <w:rFonts w:hint="eastAsia"/>
          <w:sz w:val="24"/>
        </w:rPr>
        <w:t>发票，否则甲方有权顺延付款。现场交货条件下，乙方应提交</w:t>
      </w:r>
      <w:r>
        <w:rPr>
          <w:rFonts w:hint="eastAsia"/>
          <w:sz w:val="24"/>
          <w:u w:val="single"/>
          <w:lang w:val="en-US" w:eastAsia="zh-CN"/>
        </w:rPr>
        <w:t>增值税专用</w:t>
      </w:r>
      <w:r>
        <w:rPr>
          <w:rFonts w:hint="eastAsia"/>
          <w:sz w:val="24"/>
        </w:rPr>
        <w:t>发票（税率</w:t>
      </w:r>
      <w:r>
        <w:rPr>
          <w:rFonts w:hint="eastAsia"/>
          <w:sz w:val="24"/>
          <w:u w:val="single"/>
          <w:lang w:val="en-US" w:eastAsia="zh-CN"/>
        </w:rPr>
        <w:t>13</w:t>
      </w:r>
      <w:r>
        <w:rPr>
          <w:sz w:val="24"/>
          <w:u w:val="single"/>
        </w:rPr>
        <w:t xml:space="preserve"> </w:t>
      </w:r>
      <w:r>
        <w:rPr>
          <w:rFonts w:hint="eastAsia"/>
          <w:sz w:val="24"/>
        </w:rPr>
        <w:t>%）。</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u w:val="single"/>
          <w:lang w:val="en-US" w:eastAsia="zh-CN"/>
        </w:rPr>
        <w:t>一</w:t>
      </w:r>
      <w:r>
        <w:rPr>
          <w:sz w:val="24"/>
          <w:u w:val="single"/>
        </w:rPr>
        <w:t xml:space="preserve"> </w:t>
      </w:r>
      <w:r>
        <w:rPr>
          <w:rFonts w:hint="eastAsia"/>
          <w:sz w:val="24"/>
        </w:rPr>
        <w:t>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b/>
          <w:sz w:val="24"/>
        </w:rPr>
      </w:pPr>
      <w:r>
        <w:rPr>
          <w:rFonts w:hint="eastAsia"/>
          <w:b/>
          <w:sz w:val="24"/>
        </w:rPr>
        <w:t>8、违约责任</w:t>
      </w:r>
    </w:p>
    <w:p>
      <w:pPr>
        <w:spacing w:line="360" w:lineRule="auto"/>
        <w:rPr>
          <w:b/>
          <w:sz w:val="24"/>
        </w:rPr>
      </w:pPr>
      <w:r>
        <w:rPr>
          <w:rFonts w:hint="eastAsia"/>
          <w:b/>
          <w:sz w:val="24"/>
        </w:rPr>
        <w:t xml:space="preserve">   8.1乙方逾期交货的，每日按照合同总额</w:t>
      </w:r>
      <w:r>
        <w:rPr>
          <w:rFonts w:hint="eastAsia"/>
          <w:b/>
          <w:color w:val="000000" w:themeColor="text1"/>
          <w:sz w:val="24"/>
        </w:rPr>
        <w:t>的</w:t>
      </w:r>
      <w:r>
        <w:rPr>
          <w:rFonts w:hint="eastAsia"/>
          <w:b/>
          <w:color w:val="000000" w:themeColor="text1"/>
          <w:sz w:val="24"/>
          <w:u w:val="single"/>
          <w:lang w:val="en-US" w:eastAsia="zh-CN"/>
        </w:rPr>
        <w:t>0.1</w:t>
      </w:r>
      <w:r>
        <w:rPr>
          <w:b/>
          <w:color w:val="000000" w:themeColor="text1"/>
          <w:sz w:val="24"/>
          <w:u w:val="single"/>
        </w:rPr>
        <w:t xml:space="preserve"> </w:t>
      </w:r>
      <w:r>
        <w:rPr>
          <w:rFonts w:hint="eastAsia"/>
          <w:b/>
          <w:sz w:val="24"/>
        </w:rPr>
        <w:t>%向甲方支付违约金，逾期超过</w:t>
      </w:r>
      <w:r>
        <w:rPr>
          <w:rFonts w:hint="eastAsia"/>
          <w:b/>
          <w:sz w:val="24"/>
          <w:u w:val="single"/>
          <w:lang w:val="en-US" w:eastAsia="zh-CN"/>
        </w:rPr>
        <w:t>15</w:t>
      </w:r>
      <w:r>
        <w:rPr>
          <w:rFonts w:hint="eastAsia"/>
          <w:b/>
          <w:sz w:val="24"/>
        </w:rPr>
        <w:t>日的，甲方还有权解除合同，并要求乙方一次性支付合同总额</w:t>
      </w:r>
      <w:r>
        <w:rPr>
          <w:b/>
          <w:sz w:val="24"/>
          <w:u w:val="single"/>
        </w:rPr>
        <w:t xml:space="preserve"> </w:t>
      </w:r>
      <w:r>
        <w:rPr>
          <w:rFonts w:hint="eastAsia"/>
          <w:b/>
          <w:sz w:val="24"/>
          <w:u w:val="single"/>
          <w:lang w:val="en-US" w:eastAsia="zh-CN"/>
        </w:rPr>
        <w:t>10</w:t>
      </w:r>
      <w:r>
        <w:rPr>
          <w:b/>
          <w:sz w:val="24"/>
          <w:u w:val="single"/>
        </w:rPr>
        <w:t xml:space="preserve"> </w:t>
      </w:r>
      <w:r>
        <w:rPr>
          <w:rFonts w:hint="eastAsia"/>
          <w:b/>
          <w:sz w:val="24"/>
        </w:rPr>
        <w:t>%的违约金（甲方可从应付给乙方的货款中直接扣除）。乙方部分交货、交货不合格的，均按照逾期交货处理。</w:t>
      </w:r>
    </w:p>
    <w:p>
      <w:pPr>
        <w:spacing w:line="360" w:lineRule="auto"/>
        <w:rPr>
          <w:b/>
          <w:sz w:val="24"/>
        </w:rPr>
      </w:pPr>
      <w:r>
        <w:rPr>
          <w:rFonts w:hint="eastAsia"/>
          <w:b/>
          <w:sz w:val="24"/>
        </w:rPr>
        <w:t xml:space="preserve">   8.2 乙方交付的产品经甲方验收不合格的，每次应向甲方支付违约金人民币</w:t>
      </w:r>
      <w:r>
        <w:rPr>
          <w:b/>
          <w:sz w:val="24"/>
          <w:u w:val="single"/>
        </w:rPr>
        <w:t xml:space="preserve"> </w:t>
      </w:r>
      <w:r>
        <w:rPr>
          <w:rFonts w:hint="eastAsia"/>
          <w:b/>
          <w:sz w:val="24"/>
          <w:u w:val="single"/>
          <w:lang w:val="en-US" w:eastAsia="zh-CN"/>
        </w:rPr>
        <w:t>500</w:t>
      </w:r>
      <w:r>
        <w:rPr>
          <w:b/>
          <w:sz w:val="24"/>
          <w:u w:val="single"/>
        </w:rPr>
        <w:t xml:space="preserve"> </w:t>
      </w:r>
      <w:r>
        <w:rPr>
          <w:rFonts w:hint="eastAsia"/>
          <w:b/>
          <w:sz w:val="24"/>
        </w:rPr>
        <w:t>元，并应根据甲方要求进行修理、更换或采取其他补救措施。累计</w:t>
      </w:r>
      <w:r>
        <w:rPr>
          <w:b/>
          <w:sz w:val="24"/>
          <w:u w:val="single"/>
        </w:rPr>
        <w:t xml:space="preserve"> </w:t>
      </w:r>
      <w:r>
        <w:rPr>
          <w:rFonts w:hint="eastAsia"/>
          <w:b/>
          <w:sz w:val="24"/>
          <w:u w:val="single"/>
          <w:lang w:val="en-US" w:eastAsia="zh-CN"/>
        </w:rPr>
        <w:t>2</w:t>
      </w:r>
      <w:r>
        <w:rPr>
          <w:b/>
          <w:sz w:val="24"/>
          <w:u w:val="single"/>
        </w:rPr>
        <w:t xml:space="preserve"> </w:t>
      </w:r>
      <w:r>
        <w:rPr>
          <w:rFonts w:hint="eastAsia"/>
          <w:b/>
          <w:sz w:val="24"/>
        </w:rPr>
        <w:t>次验收不合格的，甲方还有权解除合同、拒绝支付任何费用。</w:t>
      </w:r>
    </w:p>
    <w:p>
      <w:pPr>
        <w:spacing w:line="360" w:lineRule="auto"/>
        <w:rPr>
          <w:b/>
          <w:sz w:val="24"/>
        </w:rPr>
      </w:pPr>
      <w:r>
        <w:rPr>
          <w:rFonts w:hint="eastAsia"/>
          <w:b/>
          <w:sz w:val="24"/>
        </w:rPr>
        <w:t xml:space="preserve">   8.3 甲方无故逾期付款的，应按全国银行间同业拆借中心公布的贷款市场报价利率计算利息。</w:t>
      </w:r>
    </w:p>
    <w:p>
      <w:pPr>
        <w:spacing w:line="360" w:lineRule="auto"/>
        <w:ind w:firstLine="361" w:firstLineChars="150"/>
        <w:rPr>
          <w:b/>
          <w:sz w:val="24"/>
        </w:rPr>
      </w:pPr>
      <w:r>
        <w:rPr>
          <w:rFonts w:hint="eastAsia"/>
          <w:b/>
          <w:sz w:val="24"/>
        </w:rPr>
        <w:t>8.4 一方的违约行为给对方造成的损失超过本合同约定的违约金数额的，超出部分，违约方应予以赔偿。</w:t>
      </w:r>
    </w:p>
    <w:p>
      <w:pPr>
        <w:spacing w:line="360" w:lineRule="auto"/>
        <w:ind w:firstLine="361" w:firstLineChars="150"/>
        <w:rPr>
          <w:b/>
          <w:sz w:val="24"/>
        </w:rPr>
      </w:pPr>
      <w:r>
        <w:rPr>
          <w:rFonts w:hint="eastAsia"/>
          <w:b/>
          <w:sz w:val="24"/>
        </w:rPr>
        <w:t>8.5 甲方已就本合同项下涉及乙方重大利害关系的条款向乙方作出详细说明，乙方充分理解上述条款含义，并自愿签订本合同。</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p>
      <w:pPr>
        <w:spacing w:line="360" w:lineRule="auto"/>
        <w:ind w:firstLine="480" w:firstLineChars="200"/>
        <w:rPr>
          <w:sz w:val="24"/>
        </w:rPr>
      </w:pPr>
    </w:p>
    <w:p>
      <w:pPr>
        <w:spacing w:line="360" w:lineRule="auto"/>
        <w:ind w:firstLine="480" w:firstLineChars="200"/>
        <w:rPr>
          <w:sz w:val="24"/>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2022年PX联锁优化技改项仪表材料发包-</w:t>
      </w:r>
      <w:r>
        <w:rPr>
          <w:rFonts w:ascii="方正小标宋简体" w:hAnsi="方正小标宋简体" w:eastAsia="方正小标宋简体" w:cs="方正小标宋简体"/>
          <w:b/>
          <w:color w:val="FF0000"/>
          <w:sz w:val="44"/>
          <w:szCs w:val="44"/>
          <w:lang w:eastAsia="zh-CN"/>
        </w:rPr>
        <w:t>包</w:t>
      </w:r>
      <w:r>
        <w:rPr>
          <w:rFonts w:hint="eastAsia" w:ascii="方正小标宋简体" w:hAnsi="方正小标宋简体" w:eastAsia="方正小标宋简体" w:cs="方正小标宋简体"/>
          <w:b/>
          <w:color w:val="FF0000"/>
          <w:sz w:val="44"/>
          <w:szCs w:val="44"/>
          <w:lang w:eastAsia="zh-CN"/>
        </w:rPr>
        <w:t>*</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rPr>
              <w:t>参选报价单</w:t>
            </w:r>
          </w:p>
        </w:tc>
        <w:tc>
          <w:tcPr>
            <w:tcW w:w="1843" w:type="dxa"/>
          </w:tcPr>
          <w:p>
            <w:pPr>
              <w:spacing w:line="500" w:lineRule="exact"/>
              <w:jc w:val="center"/>
              <w:rPr>
                <w:sz w:val="24"/>
                <w:lang w:eastAsia="zh-CN"/>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both"/>
        <w:rPr>
          <w:rFonts w:hint="eastAsia"/>
          <w:b/>
          <w:bCs/>
          <w:sz w:val="36"/>
          <w:szCs w:val="36"/>
          <w:lang w:val="en-US" w:eastAsia="zh-CN"/>
        </w:rPr>
      </w:pPr>
    </w:p>
    <w:p>
      <w:pPr>
        <w:pStyle w:val="2"/>
        <w:jc w:val="both"/>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福建福海创石油化工有限公司2022年PX联锁优化技改项仪表</w:t>
      </w:r>
      <w:r>
        <w:rPr>
          <w:rFonts w:hint="eastAsia" w:ascii="Times New Roman" w:hAnsi="ˎ̥"/>
          <w:color w:val="000000" w:themeColor="text1"/>
          <w:sz w:val="28"/>
          <w:szCs w:val="28"/>
          <w:u w:val="single"/>
          <w:lang w:val="en-US" w:eastAsia="zh-CN"/>
        </w:rPr>
        <w:t>设备</w:t>
      </w:r>
      <w:r>
        <w:rPr>
          <w:rFonts w:hint="eastAsia" w:ascii="Times New Roman" w:hAnsi="ˎ̥"/>
          <w:color w:val="000000" w:themeColor="text1"/>
          <w:sz w:val="28"/>
          <w:szCs w:val="28"/>
          <w:u w:val="single"/>
          <w:lang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合同包</w:t>
      </w:r>
      <w:r>
        <w:rPr>
          <w:rFonts w:hint="eastAsia" w:ascii="Times New Roman" w:hAnsi="Times New Roman"/>
          <w:sz w:val="24"/>
          <w:szCs w:val="24"/>
          <w:lang w:val="en-US" w:eastAsia="zh-CN"/>
        </w:rPr>
        <w:t>**</w:t>
      </w: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pStyle w:val="2"/>
        <w:keepNext w:val="0"/>
        <w:keepLines w:val="0"/>
        <w:pageBreakBefore w:val="0"/>
        <w:widowControl w:val="0"/>
        <w:kinsoku/>
        <w:wordWrap/>
        <w:overflowPunct/>
        <w:topLinePunct w:val="0"/>
        <w:bidi w:val="0"/>
        <w:snapToGrid/>
        <w:spacing w:line="360" w:lineRule="auto"/>
        <w:ind w:firstLine="1920" w:firstLineChars="800"/>
        <w:rPr>
          <w:rFonts w:hint="eastAsia" w:ascii="Times New Roman" w:hAnsi="Times New Roman"/>
          <w:sz w:val="24"/>
          <w:szCs w:val="24"/>
          <w:u w:val="single"/>
        </w:rPr>
      </w:pP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rFonts w:hint="default"/>
          <w:sz w:val="28"/>
          <w:u w:val="single"/>
          <w:lang w:val="en-US" w:eastAsia="zh-CN"/>
        </w:rPr>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w:t>
      </w:r>
      <w:r>
        <w:rPr>
          <w:rFonts w:hint="eastAsia"/>
          <w:sz w:val="28"/>
          <w:u w:val="single"/>
          <w:lang w:val="en-US" w:eastAsia="zh-CN"/>
        </w:rPr>
        <w:t xml:space="preserve"> </w:t>
      </w:r>
      <w:bookmarkEnd w:id="0"/>
      <w:r>
        <w:rPr>
          <w:rFonts w:hint="eastAsia"/>
          <w:sz w:val="28"/>
          <w:u w:val="single"/>
          <w:lang w:val="en-US" w:eastAsia="zh-CN"/>
        </w:rPr>
        <w:t>日</w:t>
      </w:r>
    </w:p>
    <w:p>
      <w:pPr>
        <w:pStyle w:val="2"/>
        <w:rPr>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2D7F3F"/>
    <w:rsid w:val="013C3EE6"/>
    <w:rsid w:val="0367315B"/>
    <w:rsid w:val="04F6467F"/>
    <w:rsid w:val="052E194E"/>
    <w:rsid w:val="061139E5"/>
    <w:rsid w:val="06F50B00"/>
    <w:rsid w:val="076E1278"/>
    <w:rsid w:val="08D1141D"/>
    <w:rsid w:val="094A7BA5"/>
    <w:rsid w:val="09610811"/>
    <w:rsid w:val="0B296DE2"/>
    <w:rsid w:val="0B4F0FFE"/>
    <w:rsid w:val="10294AA3"/>
    <w:rsid w:val="10791B1A"/>
    <w:rsid w:val="109B279F"/>
    <w:rsid w:val="10E40CA0"/>
    <w:rsid w:val="136130D9"/>
    <w:rsid w:val="13CE320B"/>
    <w:rsid w:val="158161EB"/>
    <w:rsid w:val="158E1ADE"/>
    <w:rsid w:val="18DD4F7E"/>
    <w:rsid w:val="195B58A2"/>
    <w:rsid w:val="19F253E3"/>
    <w:rsid w:val="1A3A6DF2"/>
    <w:rsid w:val="1C217EAF"/>
    <w:rsid w:val="1DC9336B"/>
    <w:rsid w:val="1E085A14"/>
    <w:rsid w:val="1FF43DDB"/>
    <w:rsid w:val="21933AA2"/>
    <w:rsid w:val="228B0245"/>
    <w:rsid w:val="24DC0EEC"/>
    <w:rsid w:val="25BF356F"/>
    <w:rsid w:val="25DB0C2D"/>
    <w:rsid w:val="269469E7"/>
    <w:rsid w:val="269C5229"/>
    <w:rsid w:val="270310AF"/>
    <w:rsid w:val="29FC3B14"/>
    <w:rsid w:val="2B11792E"/>
    <w:rsid w:val="2C9B48A1"/>
    <w:rsid w:val="2DE57862"/>
    <w:rsid w:val="2EF411A5"/>
    <w:rsid w:val="31C54755"/>
    <w:rsid w:val="320B25D2"/>
    <w:rsid w:val="3216608C"/>
    <w:rsid w:val="32E0343B"/>
    <w:rsid w:val="34CE14C6"/>
    <w:rsid w:val="34D84CEC"/>
    <w:rsid w:val="379B53C1"/>
    <w:rsid w:val="37AF5AB7"/>
    <w:rsid w:val="37F824E3"/>
    <w:rsid w:val="395A672D"/>
    <w:rsid w:val="3B1C3371"/>
    <w:rsid w:val="3B8C26AA"/>
    <w:rsid w:val="3CC23198"/>
    <w:rsid w:val="3DDF4815"/>
    <w:rsid w:val="3ED80D7C"/>
    <w:rsid w:val="3FB11C04"/>
    <w:rsid w:val="3FE669E5"/>
    <w:rsid w:val="40FD77F3"/>
    <w:rsid w:val="423D79BD"/>
    <w:rsid w:val="46595107"/>
    <w:rsid w:val="4C3D436D"/>
    <w:rsid w:val="4D230D7C"/>
    <w:rsid w:val="4D7472E9"/>
    <w:rsid w:val="4F34472E"/>
    <w:rsid w:val="4F7033BA"/>
    <w:rsid w:val="4FB40925"/>
    <w:rsid w:val="50F63E28"/>
    <w:rsid w:val="5221007F"/>
    <w:rsid w:val="52926B5A"/>
    <w:rsid w:val="545C5E51"/>
    <w:rsid w:val="5486175B"/>
    <w:rsid w:val="5604432E"/>
    <w:rsid w:val="57667D24"/>
    <w:rsid w:val="57CE5BC3"/>
    <w:rsid w:val="586D6C9A"/>
    <w:rsid w:val="5AE1516A"/>
    <w:rsid w:val="5B6A3A79"/>
    <w:rsid w:val="5C1A5F7B"/>
    <w:rsid w:val="5C57586D"/>
    <w:rsid w:val="5EF92A9F"/>
    <w:rsid w:val="5F3F564B"/>
    <w:rsid w:val="645771F8"/>
    <w:rsid w:val="65304BCB"/>
    <w:rsid w:val="66FD5367"/>
    <w:rsid w:val="69CE6A8F"/>
    <w:rsid w:val="6A54112D"/>
    <w:rsid w:val="6AA035AE"/>
    <w:rsid w:val="6C64133F"/>
    <w:rsid w:val="6E0F2E14"/>
    <w:rsid w:val="6EBB75BF"/>
    <w:rsid w:val="6F1E141D"/>
    <w:rsid w:val="6F5354F8"/>
    <w:rsid w:val="72DE4E13"/>
    <w:rsid w:val="73F3359E"/>
    <w:rsid w:val="740A2BDE"/>
    <w:rsid w:val="74793297"/>
    <w:rsid w:val="74B45F33"/>
    <w:rsid w:val="751839E0"/>
    <w:rsid w:val="75D56EB3"/>
    <w:rsid w:val="76274F93"/>
    <w:rsid w:val="79EB3F2F"/>
    <w:rsid w:val="7A442103"/>
    <w:rsid w:val="7B11789E"/>
    <w:rsid w:val="7CBF3194"/>
    <w:rsid w:val="7D001ABF"/>
    <w:rsid w:val="7D1F33A6"/>
    <w:rsid w:val="7DA460CF"/>
    <w:rsid w:val="7DC94A0A"/>
    <w:rsid w:val="7E7E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0</TotalTime>
  <ScaleCrop>false</ScaleCrop>
  <LinksUpToDate>false</LinksUpToDate>
  <CharactersWithSpaces>10706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2022-07-14T06:43:04Z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