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仪表团队电动阀及调节阀采购项目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（文件编号：QG2206280119）</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福建福海创石油化工有限公司仪表团队电动阀及调节阀采购项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福建福海创石油化工有限公司仪表团队电动阀及调节阀采购项目（项目编号：QG2206280119）</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项目名称：福建福海创石油化工有限公司仪表团队电动阀及调节阀采购项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电动阀及调节阀</w:t>
      </w:r>
      <w:r>
        <w:rPr>
          <w:rFonts w:hint="eastAsia"/>
          <w:sz w:val="24"/>
          <w:szCs w:val="24"/>
          <w:lang w:val="en-US" w:eastAsia="zh-CN"/>
        </w:rPr>
        <w:t>采购采购清单如下</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2719040538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CL300 RF\FO\FF\CLASS Ⅴ\智能型\38VAC\详见数据表\</w:t>
            </w:r>
            <w:r>
              <w:rPr>
                <w:rFonts w:hint="eastAsia" w:cs="宋体"/>
                <w:i w:val="0"/>
                <w:iCs w:val="0"/>
                <w:color w:val="000000"/>
                <w:kern w:val="0"/>
                <w:sz w:val="20"/>
                <w:szCs w:val="20"/>
                <w:u w:val="none"/>
                <w:lang w:val="en-US" w:eastAsia="zh-CN" w:bidi="ar"/>
              </w:rPr>
              <w:t>详附表1，最终以双方签定的技术协议为准。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2719100788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GLOBE 法兰 4"  ANSI CL150,RF\等百分比\Class Ⅳ\WCB\阀杆材质S30408\阀芯材质S30408\阀座材质S30408\气开\FC</w:t>
            </w:r>
            <w:r>
              <w:rPr>
                <w:rFonts w:hint="eastAsia" w:cs="宋体"/>
                <w:i w:val="0"/>
                <w:iCs w:val="0"/>
                <w:color w:val="000000"/>
                <w:kern w:val="0"/>
                <w:sz w:val="20"/>
                <w:szCs w:val="20"/>
                <w:u w:val="none"/>
                <w:lang w:val="en-US" w:eastAsia="zh-CN" w:bidi="ar"/>
              </w:rPr>
              <w:t>，详附表2，最终以双方签定的技术协议为准。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2719100789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气动调节阀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3"\ANSI CL300 RF\FO\FF\CLASS Ⅳ\等百分比\详见数据表\</w:t>
            </w:r>
            <w:r>
              <w:rPr>
                <w:rFonts w:hint="eastAsia" w:cs="宋体"/>
                <w:i w:val="0"/>
                <w:iCs w:val="0"/>
                <w:color w:val="000000"/>
                <w:kern w:val="0"/>
                <w:sz w:val="20"/>
                <w:szCs w:val="20"/>
                <w:u w:val="none"/>
                <w:lang w:val="en-US" w:eastAsia="zh-CN" w:bidi="ar"/>
              </w:rPr>
              <w:t>详附表3，最终以双方签定的技术协议为准。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2723990095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16-PV-505A\3"\ASME 16.5  Class300\故障状态：FO\RF\定位器fisher\FF\EXiaIICT4\IP65\全长380mm</w:t>
            </w:r>
            <w:r>
              <w:rPr>
                <w:rFonts w:hint="eastAsia" w:cs="宋体"/>
                <w:i w:val="0"/>
                <w:iCs w:val="0"/>
                <w:color w:val="000000"/>
                <w:kern w:val="0"/>
                <w:sz w:val="20"/>
                <w:szCs w:val="20"/>
                <w:u w:val="none"/>
                <w:lang w:val="en-US" w:eastAsia="zh-CN" w:bidi="ar"/>
              </w:rPr>
              <w:t>，详附表4，最终以双方签定的技术协议为准。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2723990096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16-PV-505B\1"\ASME 16.5  Class300\故障状态;FO\RF\定位器fisher\FF\EXiaIICT4\IP65\全长230mm</w:t>
            </w:r>
            <w:r>
              <w:rPr>
                <w:rFonts w:hint="eastAsia" w:cs="宋体"/>
                <w:i w:val="0"/>
                <w:iCs w:val="0"/>
                <w:color w:val="000000"/>
                <w:kern w:val="0"/>
                <w:sz w:val="20"/>
                <w:szCs w:val="20"/>
                <w:u w:val="none"/>
                <w:lang w:val="en-US" w:eastAsia="zh-CN" w:bidi="ar"/>
              </w:rPr>
              <w:t>，详附表5，最终以双方签定的技术协议为准。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bl>
    <w:p>
      <w:pPr>
        <w:tabs>
          <w:tab w:val="left" w:pos="709"/>
        </w:tabs>
        <w:spacing w:line="360" w:lineRule="auto"/>
        <w:ind w:firstLine="480" w:firstLineChars="200"/>
        <w:rPr>
          <w:rFonts w:hint="eastAsia"/>
          <w:sz w:val="24"/>
          <w:szCs w:val="24"/>
          <w:lang w:val="en-US"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参选人要有特种设备制造许可证限阀</w:t>
      </w:r>
      <w:r>
        <w:rPr>
          <w:rFonts w:hint="eastAsia"/>
          <w:color w:val="000000" w:themeColor="text1"/>
          <w:sz w:val="24"/>
          <w:szCs w:val="24"/>
          <w:lang w:val="en-US" w:eastAsia="zh-CN"/>
        </w:rPr>
        <w:t>门</w:t>
      </w:r>
      <w:r>
        <w:rPr>
          <w:rFonts w:hint="eastAsia"/>
          <w:color w:val="000000" w:themeColor="text1"/>
          <w:sz w:val="24"/>
          <w:szCs w:val="24"/>
          <w:lang w:eastAsia="zh-CN"/>
        </w:rPr>
        <w:t xml:space="preserve"> A1、A2、B。</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4.参选人提供的阀门应该是成熟可靠、技术先进、在国内石油化工类型、近两年同规模装置至少有2处（2个合同）主装置，单个合同总价≥30万元，数量≥5台调节阀的合同业绩。</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8</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福建福海创石油化工有限公司仪表团队电动阀及调节阀采购。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"javascript:showV3XMemberCard('4897883117975784237',window)" \o "牛泽文"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牛泽文</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 xml:space="preserve"> 0596-6311392, zwniu@fhcpec.com.cn  </w:t>
      </w:r>
      <w:r>
        <w:rPr>
          <w:rFonts w:hint="default"/>
          <w:color w:val="000000" w:themeColor="text1"/>
          <w:sz w:val="24"/>
          <w:szCs w:val="24"/>
          <w:lang w:val="en-US" w:eastAsia="zh-CN"/>
        </w:rPr>
        <w:t> </w:t>
      </w:r>
      <w:r>
        <w:rPr>
          <w:rFonts w:hint="eastAsia"/>
          <w:color w:val="000000" w:themeColor="text1"/>
          <w:sz w:val="24"/>
          <w:szCs w:val="24"/>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参选人要有特种设备制造许可证限阀</w:t>
      </w:r>
      <w:r>
        <w:rPr>
          <w:rFonts w:hint="eastAsia"/>
          <w:color w:val="000000" w:themeColor="text1"/>
          <w:sz w:val="24"/>
          <w:szCs w:val="24"/>
          <w:lang w:val="en-US" w:eastAsia="zh-CN"/>
        </w:rPr>
        <w:t>门</w:t>
      </w:r>
      <w:r>
        <w:rPr>
          <w:rFonts w:hint="eastAsia"/>
          <w:color w:val="000000" w:themeColor="text1"/>
          <w:sz w:val="24"/>
          <w:szCs w:val="24"/>
          <w:lang w:eastAsia="zh-CN"/>
        </w:rPr>
        <w:t xml:space="preserve"> A1、A2、B。</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4.参选人提供的阀门应该是成熟可靠、技术先进、在国内石油化工类型、近两年同规模装置至少有2处（2个合同）主装置，单个合同总价≥30万元，数量≥5台调节阀的合同业绩。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25.99</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bookmarkStart w:id="1" w:name="_Toc2239"/>
      <w:bookmarkStart w:id="2" w:name="_Toc10991"/>
      <w:bookmarkStart w:id="3" w:name="_Toc14171"/>
      <w:bookmarkStart w:id="4" w:name="_Toc31402"/>
      <w:bookmarkStart w:id="5" w:name="_Toc8520"/>
      <w:bookmarkStart w:id="6" w:name="_Toc20273"/>
      <w:bookmarkStart w:id="7" w:name="_Toc20180"/>
      <w:bookmarkStart w:id="8" w:name="_Toc18049"/>
      <w:bookmarkStart w:id="9" w:name="_Toc4114"/>
      <w:bookmarkStart w:id="10" w:name="_Toc23434"/>
      <w:bookmarkStart w:id="11" w:name="_Toc352146655"/>
      <w:bookmarkStart w:id="12" w:name="_Toc27787"/>
      <w:bookmarkStart w:id="13" w:name="_Toc31173"/>
      <w:bookmarkStart w:id="14" w:name="_Toc17959"/>
      <w:bookmarkStart w:id="15" w:name="_Toc385779252"/>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甲方：腾龙芳烃（漳州）有限公司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rFonts w:hint="eastAsia"/>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内，重要零件因设计和制造质量问题等非甲方原因损坏的，乙方负责免费更换。更换后机械保证自更换之日起一年内有效。在此期间因发生制造质量问题或其他设备故障的，乙方免费予以修理，乙方应在2小时内给予答复，24小时内赶至现场无偿解决，直至问题消除。</w:t>
      </w:r>
    </w:p>
    <w:p>
      <w:pPr>
        <w:spacing w:line="360" w:lineRule="auto"/>
        <w:rPr>
          <w:rFonts w:hint="eastAsia"/>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w:t>
      </w:r>
      <w:r>
        <w:rPr>
          <w:rFonts w:hint="eastAsia"/>
          <w:sz w:val="24"/>
          <w:lang w:val="en-US" w:eastAsia="zh-CN"/>
        </w:rPr>
        <w:t>双方签定的</w:t>
      </w:r>
      <w:r>
        <w:rPr>
          <w:rFonts w:hint="eastAsia"/>
          <w:sz w:val="24"/>
          <w:lang w:eastAsia="zh-CN"/>
        </w:rPr>
        <w:t>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甲方：腾龙芳烃（漳州）有限公司</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联系地址：漳州市古雷港经济开发区腾龙路84号</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电子邮箱:xumx@fhcpec.com.cn</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授权委托人： 徐明兴</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电话：0596-6311078</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开户银行：兴业银行漳州古雷支行</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账号：162070100100021071</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仪表团队电动阀及调节阀</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hint="eastAsia"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仪表团队电动阀及调节阀</w:t>
      </w:r>
      <w:r>
        <w:rPr>
          <w:rFonts w:hint="eastAsia" w:ascii="Times New Roman" w:hAnsi="ˎ̥"/>
          <w:sz w:val="24"/>
          <w:szCs w:val="24"/>
          <w:lang w:eastAsia="zh-CN"/>
        </w:rPr>
        <w:t>比</w:t>
      </w:r>
      <w:r>
        <w:rPr>
          <w:rFonts w:hint="eastAsia" w:ascii="Times New Roman" w:hAnsi="ˎ̥"/>
          <w:color w:val="000000" w:themeColor="text1"/>
          <w:sz w:val="24"/>
          <w:szCs w:val="24"/>
          <w:lang w:eastAsia="zh-CN"/>
        </w:rPr>
        <w:t>选文件</w:t>
      </w:r>
      <w:r>
        <w:rPr>
          <w:rFonts w:hint="eastAsia" w:ascii="Times New Roman" w:hAnsi="ˎ̥"/>
          <w:sz w:val="24"/>
          <w:szCs w:val="24"/>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仪表团队电动阀及调节阀采购项目价格清单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579"/>
        <w:gridCol w:w="829"/>
        <w:gridCol w:w="833"/>
        <w:gridCol w:w="1050"/>
        <w:gridCol w:w="2893"/>
        <w:gridCol w:w="555"/>
        <w:gridCol w:w="615"/>
        <w:gridCol w:w="1065"/>
        <w:gridCol w:w="1112"/>
      </w:tblGrid>
      <w:tr>
        <w:tblPrEx>
          <w:tblCellMar>
            <w:top w:w="15" w:type="dxa"/>
            <w:left w:w="15" w:type="dxa"/>
            <w:bottom w:w="15" w:type="dxa"/>
            <w:right w:w="15" w:type="dxa"/>
          </w:tblCellMar>
        </w:tblPrEx>
        <w:trPr>
          <w:trHeight w:val="64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序号</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请购单号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9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2719040538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电动阀</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CL300 RF\FO\FF\CLASS Ⅴ\智能型\38VAC\详见数据表\</w:t>
            </w:r>
            <w:r>
              <w:rPr>
                <w:rFonts w:hint="eastAsia" w:cs="宋体"/>
                <w:i w:val="0"/>
                <w:iCs w:val="0"/>
                <w:color w:val="000000"/>
                <w:kern w:val="0"/>
                <w:sz w:val="18"/>
                <w:szCs w:val="18"/>
                <w:u w:val="none"/>
                <w:lang w:val="en-US" w:eastAsia="zh-CN" w:bidi="ar"/>
              </w:rPr>
              <w:t>详附表1，最终以双方签定的技术协议为准。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QG2206280122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2719100788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调节阀</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GLOBE 法兰 4"  ANSI CL150,RF\等百分比\Class Ⅳ\WCB\阀杆材质S30408\阀芯材质S30408\阀座材质S30408\气开\FC</w:t>
            </w:r>
            <w:r>
              <w:rPr>
                <w:rFonts w:hint="eastAsia" w:cs="宋体"/>
                <w:i w:val="0"/>
                <w:iCs w:val="0"/>
                <w:color w:val="000000"/>
                <w:kern w:val="0"/>
                <w:sz w:val="18"/>
                <w:szCs w:val="18"/>
                <w:u w:val="none"/>
                <w:lang w:val="en-US" w:eastAsia="zh-CN" w:bidi="ar"/>
              </w:rPr>
              <w:t>，详附表2，最终以双方签定的技术协议为准。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93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QG2206280123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2719100789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气动调节阀</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3"\ANSI CL300 RF\FO\FF\CLASS Ⅳ\等百分比\详见数据表\</w:t>
            </w:r>
            <w:r>
              <w:rPr>
                <w:rFonts w:hint="eastAsia" w:cs="宋体"/>
                <w:i w:val="0"/>
                <w:iCs w:val="0"/>
                <w:color w:val="000000"/>
                <w:kern w:val="0"/>
                <w:sz w:val="18"/>
                <w:szCs w:val="18"/>
                <w:u w:val="none"/>
                <w:lang w:val="en-US" w:eastAsia="zh-CN" w:bidi="ar"/>
              </w:rPr>
              <w:t>详附表3，最终以双方签定的技术协议为准。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QG2207040003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2723990095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调节阀</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16-PV-505A\3"\ASME 16.5  Class300\故障状态：FO\RF\定位器fisher\FF\EXiaIICT4\IP65\全长380mm</w:t>
            </w:r>
            <w:r>
              <w:rPr>
                <w:rFonts w:hint="eastAsia" w:cs="宋体"/>
                <w:i w:val="0"/>
                <w:iCs w:val="0"/>
                <w:color w:val="000000"/>
                <w:kern w:val="0"/>
                <w:sz w:val="18"/>
                <w:szCs w:val="18"/>
                <w:u w:val="none"/>
                <w:lang w:val="en-US" w:eastAsia="zh-CN" w:bidi="ar"/>
              </w:rPr>
              <w:t>，详附表4，最终以双方签定的技术协议为准。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0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QG2207040004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2723990096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调节阀</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16-PV-505B\1"\ASME 16.5  Class300\故障状态;FO\RF\定位器fisher\FF\EXiaIICT4\IP65\全长230mm</w:t>
            </w:r>
            <w:r>
              <w:rPr>
                <w:rFonts w:hint="eastAsia" w:cs="宋体"/>
                <w:i w:val="0"/>
                <w:iCs w:val="0"/>
                <w:color w:val="000000"/>
                <w:kern w:val="0"/>
                <w:sz w:val="18"/>
                <w:szCs w:val="18"/>
                <w:u w:val="none"/>
                <w:lang w:val="en-US" w:eastAsia="zh-CN" w:bidi="ar"/>
              </w:rPr>
              <w:t>，详附表5，最终以双方签定的技术协议为准。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26" w:hRule="atLeast"/>
        </w:trPr>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2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2778"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sz w:val="24"/>
                <w:szCs w:val="24"/>
                <w:lang w:val="en-US" w:eastAsia="zh-CN"/>
              </w:rPr>
            </w:pPr>
            <w:r>
              <w:rPr>
                <w:rFonts w:hint="eastAsia"/>
                <w:b w:val="0"/>
                <w:bCs w:val="0"/>
                <w:sz w:val="24"/>
                <w:szCs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szCs w:val="24"/>
                <w:lang w:eastAsia="zh-CN"/>
              </w:rPr>
            </w:pPr>
            <w:r>
              <w:rPr>
                <w:rFonts w:hint="eastAsia"/>
                <w:b w:val="0"/>
                <w:bCs w:val="0"/>
                <w:sz w:val="24"/>
                <w:szCs w:val="24"/>
                <w:lang w:val="en-US" w:eastAsia="zh-CN"/>
              </w:rPr>
              <w:t>2</w:t>
            </w:r>
            <w:r>
              <w:rPr>
                <w:rFonts w:hint="eastAsia" w:ascii="宋体" w:hAnsi="宋体"/>
                <w:b w:val="0"/>
                <w:bCs w:val="0"/>
                <w:sz w:val="24"/>
                <w:szCs w:val="24"/>
              </w:rPr>
              <w:t>、</w:t>
            </w:r>
            <w:r>
              <w:rPr>
                <w:rFonts w:hint="eastAsia" w:ascii="宋体" w:hAnsi="宋体"/>
                <w:b w:val="0"/>
                <w:bCs w:val="0"/>
                <w:sz w:val="24"/>
                <w:szCs w:val="24"/>
                <w:shd w:val="clear" w:color="FFFFFF" w:fill="D9D9D9"/>
              </w:rPr>
              <w:t>含</w:t>
            </w:r>
            <w:r>
              <w:rPr>
                <w:rFonts w:hint="eastAsia" w:ascii="宋体" w:hAnsi="宋体"/>
                <w:b w:val="0"/>
                <w:bCs w:val="0"/>
                <w:sz w:val="24"/>
                <w:szCs w:val="24"/>
                <w:u w:val="single"/>
                <w:shd w:val="clear" w:color="FFFFFF" w:fill="D9D9D9"/>
              </w:rPr>
              <w:t xml:space="preserve"> 13% </w:t>
            </w:r>
            <w:r>
              <w:rPr>
                <w:rFonts w:hint="eastAsia" w:ascii="宋体" w:hAnsi="宋体"/>
                <w:b w:val="0"/>
                <w:bCs w:val="0"/>
                <w:sz w:val="24"/>
                <w:szCs w:val="24"/>
              </w:rPr>
              <w:t>增值税送到厂价</w:t>
            </w:r>
            <w:r>
              <w:rPr>
                <w:rFonts w:hint="eastAsia"/>
                <w:b w:val="0"/>
                <w:bCs w:val="0"/>
                <w:sz w:val="24"/>
                <w:szCs w:val="24"/>
                <w:lang w:eastAsia="zh-CN"/>
              </w:rPr>
              <w:t>。</w:t>
            </w:r>
          </w:p>
          <w:p>
            <w:pPr>
              <w:spacing w:line="320" w:lineRule="exact"/>
              <w:rPr>
                <w:rFonts w:ascii="宋体" w:hAnsi="宋体"/>
                <w:b w:val="0"/>
                <w:bCs w:val="0"/>
                <w:sz w:val="24"/>
                <w:szCs w:val="24"/>
              </w:rPr>
            </w:pPr>
            <w:r>
              <w:rPr>
                <w:rFonts w:hint="eastAsia"/>
                <w:b w:val="0"/>
                <w:bCs w:val="0"/>
                <w:sz w:val="24"/>
                <w:szCs w:val="24"/>
                <w:lang w:val="en-US" w:eastAsia="zh-CN"/>
              </w:rPr>
              <w:t>3</w:t>
            </w:r>
            <w:r>
              <w:rPr>
                <w:rFonts w:hint="eastAsia" w:ascii="宋体" w:hAnsi="宋体"/>
                <w:b w:val="0"/>
                <w:bCs w:val="0"/>
                <w:sz w:val="24"/>
                <w:szCs w:val="24"/>
              </w:rPr>
              <w:t>、付款方式：全部货款以现汇支付</w:t>
            </w:r>
            <w:r>
              <w:rPr>
                <w:rFonts w:hint="eastAsia" w:ascii="宋体" w:hAnsi="宋体"/>
                <w:b w:val="0"/>
                <w:bCs w:val="0"/>
                <w:sz w:val="24"/>
                <w:szCs w:val="24"/>
                <w:lang w:eastAsia="zh-CN"/>
              </w:rPr>
              <w:t>。</w:t>
            </w:r>
            <w:r>
              <w:rPr>
                <w:rFonts w:hint="eastAsia" w:ascii="宋体" w:hAnsi="宋体"/>
                <w:b w:val="0"/>
                <w:bCs w:val="0"/>
                <w:sz w:val="24"/>
                <w:szCs w:val="24"/>
                <w:u w:val="single"/>
              </w:rPr>
              <w:t>货到验收合格付9</w:t>
            </w:r>
            <w:r>
              <w:rPr>
                <w:rFonts w:hint="eastAsia" w:ascii="宋体" w:hAnsi="宋体"/>
                <w:b w:val="0"/>
                <w:bCs w:val="0"/>
                <w:sz w:val="24"/>
                <w:szCs w:val="24"/>
                <w:u w:val="single"/>
                <w:lang w:val="en-US" w:eastAsia="zh-CN"/>
              </w:rPr>
              <w:t>0</w:t>
            </w:r>
            <w:r>
              <w:rPr>
                <w:rFonts w:hint="eastAsia" w:ascii="宋体" w:hAnsi="宋体"/>
                <w:b w:val="0"/>
                <w:bCs w:val="0"/>
                <w:sz w:val="24"/>
                <w:szCs w:val="24"/>
                <w:u w:val="single"/>
              </w:rPr>
              <w:t>%，质保金</w:t>
            </w:r>
            <w:r>
              <w:rPr>
                <w:rFonts w:hint="eastAsia" w:ascii="宋体" w:hAnsi="宋体"/>
                <w:b w:val="0"/>
                <w:bCs w:val="0"/>
                <w:sz w:val="24"/>
                <w:szCs w:val="24"/>
                <w:u w:val="single"/>
                <w:lang w:val="en-US" w:eastAsia="zh-CN"/>
              </w:rPr>
              <w:t>10</w:t>
            </w:r>
            <w:r>
              <w:rPr>
                <w:rFonts w:hint="eastAsia" w:ascii="宋体" w:hAnsi="宋体"/>
                <w:b w:val="0"/>
                <w:bCs w:val="0"/>
                <w:sz w:val="24"/>
                <w:szCs w:val="24"/>
                <w:u w:val="single"/>
              </w:rPr>
              <w:t>%</w:t>
            </w:r>
            <w:r>
              <w:rPr>
                <w:rFonts w:hint="eastAsia" w:ascii="宋体" w:hAnsi="宋体"/>
                <w:b w:val="0"/>
                <w:bCs w:val="0"/>
                <w:sz w:val="24"/>
                <w:szCs w:val="24"/>
              </w:rPr>
              <w:t>（质保期以</w:t>
            </w:r>
            <w:r>
              <w:rPr>
                <w:rFonts w:hint="eastAsia"/>
                <w:b w:val="0"/>
                <w:bCs w:val="0"/>
                <w:sz w:val="24"/>
                <w:szCs w:val="24"/>
                <w:lang w:val="en-US" w:eastAsia="zh-CN"/>
              </w:rPr>
              <w:t>双方签定的技术协议为准</w:t>
            </w:r>
            <w:r>
              <w:rPr>
                <w:rFonts w:hint="eastAsia" w:ascii="宋体" w:hAnsi="宋体"/>
                <w:b w:val="0"/>
                <w:bCs w:val="0"/>
                <w:sz w:val="24"/>
                <w:szCs w:val="24"/>
              </w:rPr>
              <w:t>）。</w:t>
            </w:r>
          </w:p>
          <w:p>
            <w:pPr>
              <w:spacing w:line="500" w:lineRule="exact"/>
              <w:rPr>
                <w:rFonts w:ascii="宋体" w:hAnsi="宋体"/>
                <w:b w:val="0"/>
                <w:bCs w:val="0"/>
                <w:color w:val="000000"/>
                <w:sz w:val="24"/>
                <w:szCs w:val="24"/>
              </w:rPr>
            </w:pPr>
            <w:r>
              <w:rPr>
                <w:rFonts w:hint="eastAsia"/>
                <w:b w:val="0"/>
                <w:bCs w:val="0"/>
                <w:sz w:val="24"/>
                <w:szCs w:val="24"/>
                <w:lang w:val="en-US" w:eastAsia="zh-CN"/>
              </w:rPr>
              <w:t>4</w:t>
            </w:r>
            <w:r>
              <w:rPr>
                <w:rFonts w:hint="eastAsia" w:ascii="宋体" w:hAnsi="宋体"/>
                <w:b w:val="0"/>
                <w:bCs w:val="0"/>
                <w:sz w:val="24"/>
                <w:szCs w:val="24"/>
              </w:rPr>
              <w:t>、交货期限：</w:t>
            </w:r>
            <w:r>
              <w:rPr>
                <w:rFonts w:hint="eastAsia" w:ascii="宋体" w:hAnsi="宋体"/>
                <w:b w:val="0"/>
                <w:bCs w:val="0"/>
                <w:sz w:val="24"/>
                <w:szCs w:val="24"/>
                <w:u w:val="single"/>
              </w:rPr>
              <w:t xml:space="preserve"> 以双方签订</w:t>
            </w:r>
            <w:r>
              <w:rPr>
                <w:rFonts w:hint="eastAsia" w:ascii="宋体" w:hAnsi="宋体"/>
                <w:b w:val="0"/>
                <w:bCs w:val="0"/>
                <w:sz w:val="24"/>
                <w:szCs w:val="24"/>
                <w:u w:val="single"/>
                <w:lang w:val="en-US" w:eastAsia="zh-CN"/>
              </w:rPr>
              <w:t>的技术协议</w:t>
            </w:r>
            <w:r>
              <w:rPr>
                <w:rFonts w:hint="eastAsia" w:ascii="宋体" w:hAnsi="宋体"/>
                <w:b w:val="0"/>
                <w:bCs w:val="0"/>
                <w:sz w:val="24"/>
                <w:szCs w:val="24"/>
                <w:u w:val="single"/>
              </w:rPr>
              <w:t xml:space="preserve">为准 </w:t>
            </w:r>
            <w:r>
              <w:rPr>
                <w:rFonts w:hint="eastAsia" w:ascii="宋体" w:hAnsi="宋体"/>
                <w:b w:val="0"/>
                <w:bCs w:val="0"/>
                <w:sz w:val="24"/>
                <w:szCs w:val="24"/>
              </w:rPr>
              <w:t>，其它约定以双方签订合同为准。</w:t>
            </w:r>
          </w:p>
          <w:p>
            <w:pPr>
              <w:spacing w:line="360" w:lineRule="exact"/>
              <w:rPr>
                <w:sz w:val="24"/>
                <w:lang w:eastAsia="zh-CN"/>
              </w:rPr>
            </w:pPr>
            <w:r>
              <w:rPr>
                <w:rFonts w:hint="eastAsia"/>
                <w:b w:val="0"/>
                <w:bCs w:val="0"/>
                <w:sz w:val="24"/>
                <w:szCs w:val="24"/>
                <w:lang w:val="en-US" w:eastAsia="zh-CN"/>
              </w:rPr>
              <w:t>5</w:t>
            </w:r>
            <w:r>
              <w:rPr>
                <w:rFonts w:hint="eastAsia" w:ascii="宋体" w:hAnsi="宋体"/>
                <w:b w:val="0"/>
                <w:bCs w:val="0"/>
                <w:sz w:val="24"/>
                <w:szCs w:val="24"/>
              </w:rPr>
              <w:t>、其它约定以双方签订合同为准。</w:t>
            </w:r>
          </w:p>
        </w:tc>
      </w:tr>
    </w:tbl>
    <w:p>
      <w:pPr>
        <w:spacing w:line="460" w:lineRule="exact"/>
        <w:rPr>
          <w:rFonts w:hint="eastAsia"/>
          <w:sz w:val="28"/>
          <w:lang w:eastAsia="zh-CN"/>
        </w:rPr>
      </w:pPr>
    </w:p>
    <w:p>
      <w:pPr>
        <w:spacing w:line="460" w:lineRule="exact"/>
        <w:ind w:firstLine="480" w:firstLineChars="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rPr>
          <w:color w:val="4E6127"/>
          <w:sz w:val="24"/>
          <w:szCs w:val="24"/>
          <w:u w:val="single"/>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45836BD"/>
    <w:rsid w:val="061139E5"/>
    <w:rsid w:val="06F50B00"/>
    <w:rsid w:val="076E1278"/>
    <w:rsid w:val="087D5A4F"/>
    <w:rsid w:val="08D1141D"/>
    <w:rsid w:val="0A3D04B8"/>
    <w:rsid w:val="0B296DE2"/>
    <w:rsid w:val="0D0126E0"/>
    <w:rsid w:val="0FB5725B"/>
    <w:rsid w:val="0FB7670E"/>
    <w:rsid w:val="10294AA3"/>
    <w:rsid w:val="10E40CA0"/>
    <w:rsid w:val="12584C20"/>
    <w:rsid w:val="136130D9"/>
    <w:rsid w:val="13805E8A"/>
    <w:rsid w:val="14762538"/>
    <w:rsid w:val="14766DF7"/>
    <w:rsid w:val="15800409"/>
    <w:rsid w:val="16AE1C29"/>
    <w:rsid w:val="16B72867"/>
    <w:rsid w:val="173600E6"/>
    <w:rsid w:val="18DD4F7E"/>
    <w:rsid w:val="19544509"/>
    <w:rsid w:val="195B58A2"/>
    <w:rsid w:val="1989465C"/>
    <w:rsid w:val="1A2360C8"/>
    <w:rsid w:val="1B6947A7"/>
    <w:rsid w:val="1CC40373"/>
    <w:rsid w:val="1D343E71"/>
    <w:rsid w:val="1E085A14"/>
    <w:rsid w:val="1E657D90"/>
    <w:rsid w:val="1ED93E25"/>
    <w:rsid w:val="1FF43DDB"/>
    <w:rsid w:val="20625E24"/>
    <w:rsid w:val="21933AA2"/>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F0C0C0F"/>
    <w:rsid w:val="2F724BD0"/>
    <w:rsid w:val="2FC5779A"/>
    <w:rsid w:val="31C54755"/>
    <w:rsid w:val="3216608C"/>
    <w:rsid w:val="328F13DA"/>
    <w:rsid w:val="34CE14C6"/>
    <w:rsid w:val="34D84CEC"/>
    <w:rsid w:val="35DC515B"/>
    <w:rsid w:val="37AF5AB7"/>
    <w:rsid w:val="3B1C3371"/>
    <w:rsid w:val="3CC23198"/>
    <w:rsid w:val="3DDF4815"/>
    <w:rsid w:val="3FE669E5"/>
    <w:rsid w:val="44B33DBE"/>
    <w:rsid w:val="44B70186"/>
    <w:rsid w:val="459C39D0"/>
    <w:rsid w:val="462A54F2"/>
    <w:rsid w:val="486C4718"/>
    <w:rsid w:val="4A286FFC"/>
    <w:rsid w:val="4A6A5207"/>
    <w:rsid w:val="4B410375"/>
    <w:rsid w:val="4B876203"/>
    <w:rsid w:val="50F63E28"/>
    <w:rsid w:val="51625545"/>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B6A3A79"/>
    <w:rsid w:val="5C1A5F7B"/>
    <w:rsid w:val="5D7A3273"/>
    <w:rsid w:val="5E2B4120"/>
    <w:rsid w:val="601675AC"/>
    <w:rsid w:val="601D361F"/>
    <w:rsid w:val="60342B61"/>
    <w:rsid w:val="618446C0"/>
    <w:rsid w:val="62173786"/>
    <w:rsid w:val="628D3982"/>
    <w:rsid w:val="62E96122"/>
    <w:rsid w:val="645771F8"/>
    <w:rsid w:val="65D57404"/>
    <w:rsid w:val="66CC0AF0"/>
    <w:rsid w:val="67CE38BB"/>
    <w:rsid w:val="68246BFD"/>
    <w:rsid w:val="693C3D94"/>
    <w:rsid w:val="69962A8F"/>
    <w:rsid w:val="6A3E5143"/>
    <w:rsid w:val="6A54112D"/>
    <w:rsid w:val="6A701C86"/>
    <w:rsid w:val="6A9109B8"/>
    <w:rsid w:val="6AA035AE"/>
    <w:rsid w:val="6B817F09"/>
    <w:rsid w:val="6BCB034D"/>
    <w:rsid w:val="6C0E1756"/>
    <w:rsid w:val="6C2B2406"/>
    <w:rsid w:val="6D1B5A5A"/>
    <w:rsid w:val="6E0F2E14"/>
    <w:rsid w:val="6F1E141D"/>
    <w:rsid w:val="6F5354F8"/>
    <w:rsid w:val="706E695B"/>
    <w:rsid w:val="71D648EC"/>
    <w:rsid w:val="727810B8"/>
    <w:rsid w:val="7293546A"/>
    <w:rsid w:val="72E05B2C"/>
    <w:rsid w:val="740A2BDE"/>
    <w:rsid w:val="751839E0"/>
    <w:rsid w:val="756178E9"/>
    <w:rsid w:val="75A1093B"/>
    <w:rsid w:val="75BE7C69"/>
    <w:rsid w:val="76274F93"/>
    <w:rsid w:val="76530A87"/>
    <w:rsid w:val="79670CA0"/>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9012</Words>
  <Characters>10005</Characters>
  <Lines>79</Lines>
  <Paragraphs>22</Paragraphs>
  <TotalTime>1</TotalTime>
  <ScaleCrop>false</ScaleCrop>
  <LinksUpToDate>false</LinksUpToDate>
  <CharactersWithSpaces>10818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2022-07-08T00:44:59Z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