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overflowPunct/>
        <w:topLinePunct w:val="0"/>
        <w:autoSpaceDE/>
        <w:autoSpaceDN/>
        <w:bidi w:val="0"/>
        <w:spacing w:line="288" w:lineRule="auto"/>
        <w:jc w:val="center"/>
        <w:rPr>
          <w:rFonts w:ascii="宋体" w:cs="宋体"/>
          <w:color w:val="000000" w:themeColor="text1"/>
          <w:kern w:val="0"/>
          <w:sz w:val="72"/>
          <w:szCs w:val="72"/>
          <w:shd w:val="clear" w:color="auto" w:fill="FFFFFF"/>
        </w:rPr>
      </w:pPr>
    </w:p>
    <w:p>
      <w:pPr>
        <w:keepNext w:val="0"/>
        <w:keepLines w:val="0"/>
        <w:pageBreakBefore w:val="0"/>
        <w:widowControl/>
        <w:shd w:val="clear" w:color="auto" w:fill="FFFFFF"/>
        <w:kinsoku/>
        <w:overflowPunct/>
        <w:topLinePunct w:val="0"/>
        <w:autoSpaceDE/>
        <w:autoSpaceDN/>
        <w:bidi w:val="0"/>
        <w:spacing w:line="288" w:lineRule="auto"/>
        <w:jc w:val="center"/>
        <w:rPr>
          <w:rFonts w:ascii="宋体" w:cs="宋体"/>
          <w:color w:val="000000" w:themeColor="text1"/>
          <w:kern w:val="0"/>
          <w:sz w:val="72"/>
          <w:szCs w:val="72"/>
          <w:shd w:val="clear" w:color="auto" w:fill="FFFFFF"/>
        </w:rPr>
      </w:pPr>
    </w:p>
    <w:p>
      <w:pPr>
        <w:keepNext w:val="0"/>
        <w:keepLines w:val="0"/>
        <w:pageBreakBefore w:val="0"/>
        <w:widowControl/>
        <w:shd w:val="clear" w:color="auto" w:fill="FFFFFF"/>
        <w:kinsoku/>
        <w:overflowPunct/>
        <w:topLinePunct w:val="0"/>
        <w:autoSpaceDE/>
        <w:autoSpaceDN/>
        <w:bidi w:val="0"/>
        <w:spacing w:line="288" w:lineRule="auto"/>
        <w:jc w:val="center"/>
        <w:rPr>
          <w:color w:val="000000" w:themeColor="text1"/>
          <w:szCs w:val="21"/>
        </w:rPr>
      </w:pPr>
      <w:r>
        <w:rPr>
          <w:rFonts w:hint="eastAsia" w:ascii="宋体" w:hAnsi="宋体" w:cs="宋体"/>
          <w:color w:val="000000" w:themeColor="text1"/>
          <w:kern w:val="0"/>
          <w:sz w:val="72"/>
          <w:szCs w:val="72"/>
          <w:shd w:val="clear" w:color="auto" w:fill="FFFFFF"/>
        </w:rPr>
        <w:t>公开比选文件</w:t>
      </w:r>
    </w:p>
    <w:p>
      <w:pPr>
        <w:keepNext w:val="0"/>
        <w:keepLines w:val="0"/>
        <w:pageBreakBefore w:val="0"/>
        <w:widowControl/>
        <w:shd w:val="clear" w:color="auto" w:fill="FFFFFF"/>
        <w:kinsoku/>
        <w:overflowPunct/>
        <w:topLinePunct w:val="0"/>
        <w:autoSpaceDE/>
        <w:autoSpaceDN/>
        <w:bidi w:val="0"/>
        <w:spacing w:line="288" w:lineRule="auto"/>
        <w:jc w:val="center"/>
        <w:rPr>
          <w:color w:val="000000" w:themeColor="text1"/>
          <w:szCs w:val="21"/>
        </w:rPr>
      </w:pPr>
      <w:r>
        <w:rPr>
          <w:color w:val="000000" w:themeColor="text1"/>
          <w:kern w:val="0"/>
          <w:sz w:val="52"/>
          <w:szCs w:val="52"/>
          <w:shd w:val="clear" w:color="auto" w:fill="FFFFFF"/>
        </w:rPr>
        <w:t> </w:t>
      </w:r>
    </w:p>
    <w:p>
      <w:pPr>
        <w:keepNext w:val="0"/>
        <w:keepLines w:val="0"/>
        <w:pageBreakBefore w:val="0"/>
        <w:widowControl/>
        <w:shd w:val="clear" w:color="auto" w:fill="FFFFFF"/>
        <w:kinsoku/>
        <w:overflowPunct/>
        <w:topLinePunct w:val="0"/>
        <w:autoSpaceDE/>
        <w:autoSpaceDN/>
        <w:bidi w:val="0"/>
        <w:spacing w:line="288" w:lineRule="auto"/>
        <w:jc w:val="center"/>
        <w:rPr>
          <w:color w:val="000000" w:themeColor="text1"/>
          <w:szCs w:val="21"/>
        </w:rPr>
      </w:pPr>
      <w:r>
        <w:rPr>
          <w:color w:val="000000" w:themeColor="text1"/>
          <w:kern w:val="0"/>
          <w:sz w:val="52"/>
          <w:szCs w:val="52"/>
          <w:shd w:val="clear" w:color="auto" w:fill="FFFFFF"/>
        </w:rPr>
        <w:t> </w:t>
      </w:r>
    </w:p>
    <w:p>
      <w:pPr>
        <w:keepNext w:val="0"/>
        <w:keepLines w:val="0"/>
        <w:pageBreakBefore w:val="0"/>
        <w:widowControl/>
        <w:shd w:val="clear" w:color="auto" w:fill="FFFFFF"/>
        <w:kinsoku/>
        <w:overflowPunct/>
        <w:topLinePunct w:val="0"/>
        <w:autoSpaceDE/>
        <w:autoSpaceDN/>
        <w:bidi w:val="0"/>
        <w:spacing w:line="288" w:lineRule="auto"/>
        <w:jc w:val="center"/>
        <w:rPr>
          <w:color w:val="000000" w:themeColor="text1"/>
          <w:szCs w:val="21"/>
        </w:rPr>
      </w:pPr>
      <w:r>
        <w:rPr>
          <w:color w:val="000000" w:themeColor="text1"/>
          <w:kern w:val="0"/>
          <w:sz w:val="52"/>
          <w:szCs w:val="52"/>
          <w:shd w:val="clear" w:color="auto" w:fill="FFFFFF"/>
        </w:rPr>
        <w:t> </w:t>
      </w:r>
    </w:p>
    <w:p>
      <w:pPr>
        <w:keepNext w:val="0"/>
        <w:keepLines w:val="0"/>
        <w:pageBreakBefore w:val="0"/>
        <w:widowControl/>
        <w:shd w:val="clear" w:color="auto" w:fill="FFFFFF"/>
        <w:kinsoku/>
        <w:overflowPunct/>
        <w:topLinePunct w:val="0"/>
        <w:autoSpaceDE/>
        <w:autoSpaceDN/>
        <w:bidi w:val="0"/>
        <w:spacing w:line="288" w:lineRule="auto"/>
        <w:jc w:val="center"/>
        <w:rPr>
          <w:color w:val="000000" w:themeColor="text1"/>
          <w:szCs w:val="21"/>
        </w:rPr>
      </w:pPr>
      <w:r>
        <w:rPr>
          <w:color w:val="000000" w:themeColor="text1"/>
          <w:kern w:val="0"/>
          <w:sz w:val="52"/>
          <w:szCs w:val="52"/>
          <w:shd w:val="clear" w:color="auto" w:fill="FFFFFF"/>
        </w:rPr>
        <w:t> </w:t>
      </w:r>
    </w:p>
    <w:p>
      <w:pPr>
        <w:keepNext w:val="0"/>
        <w:keepLines w:val="0"/>
        <w:pageBreakBefore w:val="0"/>
        <w:widowControl/>
        <w:shd w:val="clear" w:color="auto" w:fill="FFFFFF"/>
        <w:kinsoku/>
        <w:overflowPunct/>
        <w:topLinePunct w:val="0"/>
        <w:autoSpaceDE/>
        <w:autoSpaceDN/>
        <w:bidi w:val="0"/>
        <w:spacing w:line="288" w:lineRule="auto"/>
        <w:jc w:val="center"/>
        <w:rPr>
          <w:rFonts w:hint="default" w:eastAsia="宋体"/>
          <w:color w:val="000000" w:themeColor="text1"/>
          <w:szCs w:val="21"/>
          <w:lang w:val="en-US" w:eastAsia="zh-CN"/>
        </w:rPr>
      </w:pPr>
      <w:r>
        <w:rPr>
          <w:rFonts w:hint="eastAsia" w:ascii="宋体" w:hAnsi="宋体" w:cs="宋体"/>
          <w:color w:val="000000" w:themeColor="text1"/>
          <w:kern w:val="0"/>
          <w:sz w:val="36"/>
          <w:szCs w:val="36"/>
          <w:shd w:val="clear" w:color="auto" w:fill="FFFFFF"/>
        </w:rPr>
        <w:t>比选项目</w:t>
      </w:r>
      <w:r>
        <w:rPr>
          <w:rFonts w:hint="eastAsia" w:ascii="宋体" w:hAnsi="宋体" w:cs="宋体"/>
          <w:color w:val="000000" w:themeColor="text1"/>
          <w:kern w:val="0"/>
          <w:sz w:val="36"/>
          <w:szCs w:val="36"/>
          <w:shd w:val="clear" w:color="auto" w:fill="FFFFFF"/>
          <w:lang w:eastAsia="zh-CN"/>
        </w:rPr>
        <w:t>：</w:t>
      </w:r>
      <w:r>
        <w:rPr>
          <w:rFonts w:hint="eastAsia" w:ascii="宋体" w:hAnsi="宋体" w:cs="宋体"/>
          <w:color w:val="000000" w:themeColor="text1"/>
          <w:kern w:val="0"/>
          <w:sz w:val="36"/>
          <w:szCs w:val="36"/>
          <w:shd w:val="clear" w:color="auto" w:fill="FFFFFF"/>
          <w:lang w:val="en-US" w:eastAsia="zh-CN"/>
        </w:rPr>
        <w:t>PTA装置闭式循环冷却水系统处理药剂</w:t>
      </w:r>
    </w:p>
    <w:p>
      <w:pPr>
        <w:keepNext w:val="0"/>
        <w:keepLines w:val="0"/>
        <w:pageBreakBefore w:val="0"/>
        <w:widowControl/>
        <w:shd w:val="clear" w:color="auto" w:fill="FFFFFF"/>
        <w:kinsoku/>
        <w:overflowPunct/>
        <w:topLinePunct w:val="0"/>
        <w:autoSpaceDE/>
        <w:autoSpaceDN/>
        <w:bidi w:val="0"/>
        <w:spacing w:line="288" w:lineRule="auto"/>
        <w:jc w:val="center"/>
        <w:rPr>
          <w:rFonts w:hint="eastAsia" w:eastAsia="宋体"/>
          <w:color w:val="000000" w:themeColor="text1"/>
          <w:szCs w:val="21"/>
          <w:lang w:val="en-US" w:eastAsia="zh-CN"/>
        </w:rPr>
      </w:pPr>
      <w:r>
        <w:rPr>
          <w:color w:val="000000" w:themeColor="text1"/>
          <w:kern w:val="0"/>
          <w:sz w:val="52"/>
          <w:szCs w:val="52"/>
          <w:shd w:val="clear" w:color="auto" w:fill="FFFFFF"/>
        </w:rPr>
        <w:t> </w:t>
      </w:r>
      <w:r>
        <w:rPr>
          <w:rFonts w:hint="eastAsia" w:ascii="宋体" w:hAnsi="宋体" w:cs="宋体"/>
          <w:color w:val="000000" w:themeColor="text1"/>
          <w:kern w:val="0"/>
          <w:sz w:val="36"/>
          <w:szCs w:val="36"/>
          <w:shd w:val="clear" w:color="auto" w:fill="FFFFFF"/>
        </w:rPr>
        <w:t>项目编号：</w:t>
      </w:r>
      <w:r>
        <w:rPr>
          <w:rFonts w:hint="eastAsia" w:ascii="宋体" w:hAnsi="宋体" w:cs="宋体"/>
          <w:color w:val="000000" w:themeColor="text1"/>
          <w:kern w:val="0"/>
          <w:sz w:val="36"/>
          <w:szCs w:val="36"/>
          <w:shd w:val="clear" w:color="auto" w:fill="FFFFFF"/>
          <w:lang w:eastAsia="zh-CN"/>
        </w:rPr>
        <w:t>2022-FHC-循环冷却水药剂-0721</w:t>
      </w:r>
    </w:p>
    <w:p>
      <w:pPr>
        <w:keepNext w:val="0"/>
        <w:keepLines w:val="0"/>
        <w:pageBreakBefore w:val="0"/>
        <w:widowControl/>
        <w:shd w:val="clear" w:color="auto" w:fill="FFFFFF"/>
        <w:kinsoku/>
        <w:overflowPunct/>
        <w:topLinePunct w:val="0"/>
        <w:autoSpaceDE/>
        <w:autoSpaceDN/>
        <w:bidi w:val="0"/>
        <w:spacing w:line="288" w:lineRule="auto"/>
        <w:rPr>
          <w:color w:val="000000" w:themeColor="text1"/>
          <w:szCs w:val="21"/>
        </w:rPr>
      </w:pPr>
    </w:p>
    <w:p>
      <w:pPr>
        <w:keepNext w:val="0"/>
        <w:keepLines w:val="0"/>
        <w:pageBreakBefore w:val="0"/>
        <w:widowControl/>
        <w:shd w:val="clear" w:color="auto" w:fill="FFFFFF"/>
        <w:kinsoku/>
        <w:overflowPunct/>
        <w:topLinePunct w:val="0"/>
        <w:autoSpaceDE/>
        <w:autoSpaceDN/>
        <w:bidi w:val="0"/>
        <w:spacing w:line="288" w:lineRule="auto"/>
        <w:rPr>
          <w:color w:val="000000" w:themeColor="text1"/>
          <w:szCs w:val="21"/>
        </w:rPr>
      </w:pPr>
      <w:r>
        <w:rPr>
          <w:color w:val="000000" w:themeColor="text1"/>
          <w:kern w:val="0"/>
          <w:sz w:val="52"/>
          <w:szCs w:val="52"/>
          <w:shd w:val="clear" w:color="auto" w:fill="FFFFFF"/>
        </w:rPr>
        <w:t> </w:t>
      </w:r>
    </w:p>
    <w:p>
      <w:pPr>
        <w:keepNext w:val="0"/>
        <w:keepLines w:val="0"/>
        <w:pageBreakBefore w:val="0"/>
        <w:widowControl/>
        <w:shd w:val="clear" w:color="auto" w:fill="FFFFFF"/>
        <w:kinsoku/>
        <w:overflowPunct/>
        <w:topLinePunct w:val="0"/>
        <w:autoSpaceDE/>
        <w:autoSpaceDN/>
        <w:bidi w:val="0"/>
        <w:spacing w:line="288" w:lineRule="auto"/>
        <w:rPr>
          <w:color w:val="000000" w:themeColor="text1"/>
          <w:szCs w:val="21"/>
        </w:rPr>
      </w:pPr>
      <w:r>
        <w:rPr>
          <w:color w:val="000000" w:themeColor="text1"/>
          <w:kern w:val="0"/>
          <w:sz w:val="52"/>
          <w:szCs w:val="52"/>
          <w:shd w:val="clear" w:color="auto" w:fill="FFFFFF"/>
        </w:rPr>
        <w:t> </w:t>
      </w:r>
    </w:p>
    <w:p>
      <w:pPr>
        <w:keepNext w:val="0"/>
        <w:keepLines w:val="0"/>
        <w:pageBreakBefore w:val="0"/>
        <w:widowControl/>
        <w:shd w:val="clear" w:color="auto" w:fill="FFFFFF"/>
        <w:kinsoku/>
        <w:overflowPunct/>
        <w:topLinePunct w:val="0"/>
        <w:autoSpaceDE/>
        <w:autoSpaceDN/>
        <w:bidi w:val="0"/>
        <w:spacing w:line="288" w:lineRule="auto"/>
        <w:rPr>
          <w:color w:val="000000" w:themeColor="text1"/>
          <w:kern w:val="0"/>
          <w:sz w:val="52"/>
          <w:szCs w:val="52"/>
          <w:shd w:val="clear" w:color="auto" w:fill="FFFFFF"/>
        </w:rPr>
      </w:pPr>
      <w:r>
        <w:rPr>
          <w:color w:val="000000" w:themeColor="text1"/>
          <w:kern w:val="0"/>
          <w:sz w:val="52"/>
          <w:szCs w:val="52"/>
          <w:shd w:val="clear" w:color="auto" w:fill="FFFFFF"/>
        </w:rPr>
        <w:t> </w:t>
      </w:r>
    </w:p>
    <w:p>
      <w:pPr>
        <w:keepNext w:val="0"/>
        <w:keepLines w:val="0"/>
        <w:pageBreakBefore w:val="0"/>
        <w:widowControl/>
        <w:shd w:val="clear" w:color="auto" w:fill="FFFFFF"/>
        <w:kinsoku/>
        <w:overflowPunct/>
        <w:topLinePunct w:val="0"/>
        <w:autoSpaceDE/>
        <w:autoSpaceDN/>
        <w:bidi w:val="0"/>
        <w:spacing w:line="288" w:lineRule="auto"/>
        <w:rPr>
          <w:color w:val="000000" w:themeColor="text1"/>
          <w:kern w:val="0"/>
          <w:sz w:val="52"/>
          <w:szCs w:val="52"/>
          <w:shd w:val="clear" w:color="auto" w:fill="FFFFFF"/>
        </w:rPr>
      </w:pPr>
    </w:p>
    <w:p>
      <w:pPr>
        <w:keepNext w:val="0"/>
        <w:keepLines w:val="0"/>
        <w:pageBreakBefore w:val="0"/>
        <w:widowControl/>
        <w:shd w:val="clear" w:color="auto" w:fill="FFFFFF"/>
        <w:kinsoku/>
        <w:overflowPunct/>
        <w:topLinePunct w:val="0"/>
        <w:autoSpaceDE/>
        <w:autoSpaceDN/>
        <w:bidi w:val="0"/>
        <w:spacing w:line="288" w:lineRule="auto"/>
        <w:jc w:val="right"/>
        <w:rPr>
          <w:color w:val="000000" w:themeColor="text1"/>
          <w:szCs w:val="21"/>
        </w:rPr>
      </w:pPr>
      <w:r>
        <w:rPr>
          <w:color w:val="000000" w:themeColor="text1"/>
          <w:kern w:val="0"/>
          <w:sz w:val="52"/>
          <w:szCs w:val="52"/>
          <w:shd w:val="clear" w:color="auto" w:fill="FFFFFF"/>
        </w:rPr>
        <w:t> </w:t>
      </w:r>
    </w:p>
    <w:p>
      <w:pPr>
        <w:keepNext w:val="0"/>
        <w:keepLines w:val="0"/>
        <w:pageBreakBefore w:val="0"/>
        <w:widowControl/>
        <w:shd w:val="clear" w:color="auto" w:fill="FFFFFF"/>
        <w:kinsoku/>
        <w:overflowPunct/>
        <w:topLinePunct w:val="0"/>
        <w:autoSpaceDE/>
        <w:autoSpaceDN/>
        <w:bidi w:val="0"/>
        <w:spacing w:line="288" w:lineRule="auto"/>
        <w:jc w:val="right"/>
        <w:rPr>
          <w:color w:val="000000" w:themeColor="text1"/>
          <w:szCs w:val="21"/>
        </w:rPr>
      </w:pPr>
      <w:r>
        <w:rPr>
          <w:rFonts w:hint="eastAsia" w:ascii="宋体" w:hAnsi="宋体" w:cs="宋体"/>
          <w:color w:val="000000" w:themeColor="text1"/>
          <w:kern w:val="0"/>
          <w:sz w:val="28"/>
          <w:szCs w:val="28"/>
          <w:shd w:val="clear" w:color="auto" w:fill="FFFFFF"/>
          <w:lang w:eastAsia="zh-CN"/>
        </w:rPr>
        <w:t>翔鹭石化（漳州）有限公司</w:t>
      </w:r>
      <w:r>
        <w:rPr>
          <w:color w:val="000000" w:themeColor="text1"/>
          <w:kern w:val="0"/>
          <w:sz w:val="28"/>
          <w:szCs w:val="28"/>
          <w:shd w:val="clear" w:color="auto" w:fill="FFFFFF"/>
        </w:rPr>
        <w:t> </w:t>
      </w:r>
    </w:p>
    <w:p>
      <w:pPr>
        <w:keepNext w:val="0"/>
        <w:keepLines w:val="0"/>
        <w:pageBreakBefore w:val="0"/>
        <w:widowControl/>
        <w:shd w:val="clear" w:color="auto" w:fill="FFFFFF"/>
        <w:kinsoku/>
        <w:overflowPunct/>
        <w:topLinePunct w:val="0"/>
        <w:autoSpaceDE/>
        <w:autoSpaceDN/>
        <w:bidi w:val="0"/>
        <w:spacing w:line="288" w:lineRule="auto"/>
        <w:ind w:right="560"/>
        <w:jc w:val="right"/>
        <w:rPr>
          <w:rFonts w:hint="eastAsia" w:eastAsiaTheme="minorEastAsia"/>
          <w:color w:val="000000" w:themeColor="text1"/>
          <w:szCs w:val="21"/>
          <w:lang w:eastAsia="zh-CN"/>
        </w:rPr>
      </w:pPr>
      <w:r>
        <w:rPr>
          <w:color w:val="000000" w:themeColor="text1"/>
          <w:kern w:val="0"/>
          <w:sz w:val="28"/>
          <w:szCs w:val="28"/>
          <w:shd w:val="clear" w:color="auto" w:fill="FFFFFF"/>
        </w:rPr>
        <w:t>                                     </w:t>
      </w:r>
      <w:r>
        <w:rPr>
          <w:rFonts w:hint="eastAsia" w:asciiTheme="minorEastAsia" w:hAnsiTheme="minorEastAsia" w:eastAsiaTheme="minorEastAsia" w:cstheme="minorEastAsia"/>
          <w:color w:val="000000" w:themeColor="text1"/>
          <w:kern w:val="0"/>
          <w:sz w:val="28"/>
          <w:szCs w:val="28"/>
          <w:shd w:val="clear" w:color="auto" w:fill="FFFFFF"/>
        </w:rPr>
        <w:t>   </w:t>
      </w:r>
      <w:r>
        <w:rPr>
          <w:rFonts w:hint="eastAsia" w:asciiTheme="minorEastAsia" w:hAnsiTheme="minorEastAsia" w:eastAsiaTheme="minorEastAsia" w:cstheme="minorEastAsia"/>
          <w:color w:val="000000" w:themeColor="text1"/>
          <w:kern w:val="0"/>
          <w:sz w:val="28"/>
          <w:szCs w:val="28"/>
          <w:shd w:val="clear" w:color="auto" w:fill="FFFFFF"/>
          <w:lang w:eastAsia="zh-CN"/>
        </w:rPr>
        <w:t>2022年7月</w:t>
      </w:r>
      <w:r>
        <w:rPr>
          <w:rFonts w:hint="eastAsia" w:asciiTheme="minorEastAsia" w:hAnsiTheme="minorEastAsia" w:eastAsiaTheme="minorEastAsia" w:cstheme="minorEastAsia"/>
          <w:color w:val="000000" w:themeColor="text1"/>
          <w:kern w:val="0"/>
          <w:sz w:val="28"/>
          <w:szCs w:val="28"/>
          <w:shd w:val="clear" w:color="auto" w:fill="FFFFFF"/>
          <w:lang w:val="en-US" w:eastAsia="zh-CN"/>
        </w:rPr>
        <w:t>26</w:t>
      </w:r>
      <w:r>
        <w:rPr>
          <w:rFonts w:hint="eastAsia" w:asciiTheme="minorEastAsia" w:hAnsiTheme="minorEastAsia" w:eastAsiaTheme="minorEastAsia" w:cstheme="minorEastAsia"/>
          <w:color w:val="000000" w:themeColor="text1"/>
          <w:kern w:val="0"/>
          <w:sz w:val="28"/>
          <w:szCs w:val="28"/>
          <w:shd w:val="clear" w:color="auto" w:fill="FFFFFF"/>
          <w:lang w:eastAsia="zh-CN"/>
        </w:rPr>
        <w:t>日</w:t>
      </w:r>
    </w:p>
    <w:p>
      <w:pPr>
        <w:keepNext w:val="0"/>
        <w:keepLines w:val="0"/>
        <w:pageBreakBefore w:val="0"/>
        <w:widowControl/>
        <w:shd w:val="clear" w:color="auto" w:fill="FFFFFF"/>
        <w:kinsoku/>
        <w:overflowPunct/>
        <w:topLinePunct w:val="0"/>
        <w:autoSpaceDE/>
        <w:autoSpaceDN/>
        <w:bidi w:val="0"/>
        <w:spacing w:line="288" w:lineRule="auto"/>
        <w:rPr>
          <w:color w:val="000000" w:themeColor="text1"/>
          <w:szCs w:val="21"/>
        </w:rPr>
      </w:pPr>
      <w:r>
        <w:rPr>
          <w:color w:val="000000" w:themeColor="text1"/>
          <w:kern w:val="0"/>
          <w:szCs w:val="21"/>
          <w:shd w:val="clear" w:color="auto" w:fill="FFFFFF"/>
        </w:rPr>
        <w:t> </w:t>
      </w:r>
    </w:p>
    <w:p>
      <w:pPr>
        <w:keepNext w:val="0"/>
        <w:keepLines w:val="0"/>
        <w:pageBreakBefore w:val="0"/>
        <w:kinsoku/>
        <w:overflowPunct/>
        <w:topLinePunct w:val="0"/>
        <w:autoSpaceDE/>
        <w:autoSpaceDN/>
        <w:bidi w:val="0"/>
        <w:spacing w:line="288" w:lineRule="auto"/>
        <w:jc w:val="center"/>
        <w:rPr>
          <w:rFonts w:ascii="宋体"/>
          <w:b/>
          <w:bCs/>
          <w:color w:val="000000" w:themeColor="text1"/>
          <w:sz w:val="36"/>
        </w:rPr>
      </w:pPr>
    </w:p>
    <w:p>
      <w:pPr>
        <w:keepNext w:val="0"/>
        <w:keepLines w:val="0"/>
        <w:pageBreakBefore w:val="0"/>
        <w:kinsoku/>
        <w:overflowPunct/>
        <w:topLinePunct w:val="0"/>
        <w:autoSpaceDE/>
        <w:autoSpaceDN/>
        <w:bidi w:val="0"/>
        <w:spacing w:line="288" w:lineRule="auto"/>
        <w:jc w:val="center"/>
        <w:rPr>
          <w:rFonts w:ascii="宋体"/>
          <w:b/>
          <w:bCs/>
          <w:color w:val="000000" w:themeColor="text1"/>
          <w:sz w:val="36"/>
        </w:rPr>
      </w:pPr>
    </w:p>
    <w:p>
      <w:pPr>
        <w:keepNext w:val="0"/>
        <w:keepLines w:val="0"/>
        <w:pageBreakBefore w:val="0"/>
        <w:kinsoku/>
        <w:overflowPunct/>
        <w:topLinePunct w:val="0"/>
        <w:autoSpaceDE/>
        <w:autoSpaceDN/>
        <w:bidi w:val="0"/>
        <w:spacing w:line="288" w:lineRule="auto"/>
        <w:jc w:val="center"/>
        <w:rPr>
          <w:rFonts w:ascii="宋体"/>
          <w:b/>
          <w:bCs/>
          <w:color w:val="000000" w:themeColor="text1"/>
          <w:sz w:val="36"/>
        </w:rPr>
      </w:pPr>
    </w:p>
    <w:p>
      <w:pPr>
        <w:keepNext w:val="0"/>
        <w:keepLines w:val="0"/>
        <w:pageBreakBefore w:val="0"/>
        <w:kinsoku/>
        <w:overflowPunct/>
        <w:topLinePunct w:val="0"/>
        <w:autoSpaceDE/>
        <w:autoSpaceDN/>
        <w:bidi w:val="0"/>
        <w:spacing w:line="288" w:lineRule="auto"/>
        <w:jc w:val="center"/>
        <w:rPr>
          <w:rFonts w:ascii="宋体"/>
          <w:b/>
          <w:bCs/>
          <w:color w:val="000000" w:themeColor="text1"/>
          <w:sz w:val="36"/>
        </w:rPr>
      </w:pPr>
      <w:r>
        <w:rPr>
          <w:rFonts w:hint="eastAsia" w:ascii="宋体" w:hAnsi="宋体"/>
          <w:b/>
          <w:bCs/>
          <w:color w:val="000000" w:themeColor="text1"/>
          <w:sz w:val="36"/>
        </w:rPr>
        <w:t>一、比选公告</w:t>
      </w:r>
    </w:p>
    <w:p>
      <w:pPr>
        <w:keepNext w:val="0"/>
        <w:keepLines w:val="0"/>
        <w:pageBreakBefore w:val="0"/>
        <w:kinsoku/>
        <w:overflowPunct/>
        <w:topLinePunct w:val="0"/>
        <w:autoSpaceDE/>
        <w:autoSpaceDN/>
        <w:bidi w:val="0"/>
        <w:spacing w:line="288" w:lineRule="auto"/>
        <w:jc w:val="center"/>
        <w:rPr>
          <w:rFonts w:hint="eastAsia" w:eastAsia="宋体"/>
          <w:b/>
          <w:bCs/>
          <w:color w:val="000000" w:themeColor="text1"/>
          <w:sz w:val="32"/>
          <w:lang w:eastAsia="zh-CN"/>
        </w:rPr>
      </w:pPr>
      <w:r>
        <w:rPr>
          <w:rFonts w:hint="eastAsia"/>
          <w:b/>
          <w:bCs/>
          <w:color w:val="000000" w:themeColor="text1"/>
          <w:sz w:val="32"/>
          <w:lang w:eastAsia="zh-CN"/>
        </w:rPr>
        <w:t>翔鹭石化（漳州）有限公司</w:t>
      </w:r>
    </w:p>
    <w:p>
      <w:pPr>
        <w:keepNext w:val="0"/>
        <w:keepLines w:val="0"/>
        <w:pageBreakBefore w:val="0"/>
        <w:kinsoku/>
        <w:overflowPunct/>
        <w:topLinePunct w:val="0"/>
        <w:autoSpaceDE/>
        <w:autoSpaceDN/>
        <w:bidi w:val="0"/>
        <w:spacing w:line="288" w:lineRule="auto"/>
        <w:jc w:val="center"/>
        <w:rPr>
          <w:bCs/>
          <w:color w:val="000000" w:themeColor="text1"/>
          <w:szCs w:val="21"/>
        </w:rPr>
      </w:pPr>
      <w:r>
        <w:rPr>
          <w:rFonts w:hint="eastAsia"/>
          <w:b/>
          <w:bCs/>
          <w:color w:val="000000" w:themeColor="text1"/>
          <w:sz w:val="32"/>
          <w:lang w:eastAsia="zh-CN"/>
        </w:rPr>
        <w:t>PTA装置闭式循环冷却水系统处理药剂</w:t>
      </w:r>
      <w:r>
        <w:rPr>
          <w:b/>
          <w:bCs/>
          <w:color w:val="000000" w:themeColor="text1"/>
          <w:sz w:val="32"/>
        </w:rPr>
        <w:t>采购</w:t>
      </w:r>
      <w:r>
        <w:rPr>
          <w:rFonts w:hint="eastAsia"/>
          <w:b/>
          <w:bCs/>
          <w:color w:val="000000" w:themeColor="text1"/>
          <w:sz w:val="32"/>
        </w:rPr>
        <w:t>比选公告</w:t>
      </w:r>
    </w:p>
    <w:p>
      <w:pPr>
        <w:keepNext w:val="0"/>
        <w:keepLines w:val="0"/>
        <w:pageBreakBefore w:val="0"/>
        <w:kinsoku/>
        <w:overflowPunct/>
        <w:topLinePunct w:val="0"/>
        <w:autoSpaceDE/>
        <w:autoSpaceDN/>
        <w:bidi w:val="0"/>
        <w:spacing w:before="100" w:beforeAutospacing="1" w:after="100" w:afterAutospacing="1" w:line="288" w:lineRule="auto"/>
        <w:ind w:firstLine="600" w:firstLineChars="250"/>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lang w:eastAsia="zh-CN"/>
        </w:rPr>
        <w:t>翔鹭石化（漳州）有限公司</w:t>
      </w:r>
      <w:r>
        <w:rPr>
          <w:rFonts w:hint="eastAsia" w:asciiTheme="minorEastAsia" w:hAnsiTheme="minorEastAsia" w:eastAsiaTheme="minorEastAsia"/>
          <w:bCs/>
          <w:color w:val="000000" w:themeColor="text1"/>
          <w:sz w:val="24"/>
        </w:rPr>
        <w:t>就</w:t>
      </w:r>
      <w:r>
        <w:rPr>
          <w:rFonts w:hint="eastAsia" w:asciiTheme="minorEastAsia" w:hAnsiTheme="minorEastAsia" w:eastAsiaTheme="minorEastAsia"/>
          <w:bCs/>
          <w:color w:val="000000" w:themeColor="text1"/>
          <w:sz w:val="24"/>
          <w:u w:val="single"/>
        </w:rPr>
        <w:t>“</w:t>
      </w:r>
      <w:r>
        <w:rPr>
          <w:rFonts w:hint="eastAsia" w:asciiTheme="minorEastAsia" w:hAnsiTheme="minorEastAsia" w:eastAsiaTheme="minorEastAsia"/>
          <w:bCs/>
          <w:color w:val="000000" w:themeColor="text1"/>
          <w:sz w:val="24"/>
          <w:u w:val="single"/>
          <w:lang w:val="en-US" w:eastAsia="zh-CN"/>
        </w:rPr>
        <w:t>PTA装置闭式循环冷却水系统处理药剂</w:t>
      </w:r>
      <w:r>
        <w:rPr>
          <w:rFonts w:hint="eastAsia" w:asciiTheme="minorEastAsia" w:hAnsiTheme="minorEastAsia" w:eastAsiaTheme="minorEastAsia"/>
          <w:bCs/>
          <w:color w:val="000000" w:themeColor="text1"/>
          <w:sz w:val="24"/>
          <w:u w:val="single"/>
        </w:rPr>
        <w:t>（项目编号：</w:t>
      </w:r>
      <w:r>
        <w:rPr>
          <w:rFonts w:hint="eastAsia" w:asciiTheme="minorEastAsia" w:hAnsiTheme="minorEastAsia" w:eastAsiaTheme="minorEastAsia"/>
          <w:bCs/>
          <w:color w:val="000000" w:themeColor="text1"/>
          <w:sz w:val="24"/>
          <w:u w:val="single"/>
          <w:lang w:eastAsia="zh-CN"/>
        </w:rPr>
        <w:t>2022-FHC-循环冷却水药剂-0721）</w:t>
      </w:r>
      <w:r>
        <w:rPr>
          <w:rFonts w:hint="eastAsia" w:asciiTheme="minorEastAsia" w:hAnsiTheme="minorEastAsia" w:eastAsiaTheme="minorEastAsia"/>
          <w:bCs/>
          <w:color w:val="000000" w:themeColor="text1"/>
          <w:sz w:val="24"/>
          <w:u w:val="single"/>
        </w:rPr>
        <w:t>”</w:t>
      </w:r>
      <w:r>
        <w:rPr>
          <w:rFonts w:hint="eastAsia" w:asciiTheme="minorEastAsia" w:hAnsiTheme="minorEastAsia" w:eastAsiaTheme="minorEastAsia"/>
          <w:bCs/>
          <w:color w:val="000000" w:themeColor="text1"/>
          <w:sz w:val="24"/>
        </w:rPr>
        <w:t>进行国内公开比选，</w:t>
      </w:r>
      <w:r>
        <w:rPr>
          <w:rFonts w:hint="eastAsia" w:asciiTheme="minorEastAsia" w:hAnsiTheme="minorEastAsia" w:eastAsiaTheme="minorEastAsia"/>
          <w:bCs/>
          <w:color w:val="000000" w:themeColor="text1"/>
          <w:spacing w:val="-2"/>
          <w:sz w:val="24"/>
        </w:rPr>
        <w:t>欢</w:t>
      </w:r>
      <w:r>
        <w:rPr>
          <w:rFonts w:hint="eastAsia" w:asciiTheme="minorEastAsia" w:hAnsiTheme="minorEastAsia" w:eastAsiaTheme="minorEastAsia"/>
          <w:bCs/>
          <w:color w:val="000000" w:themeColor="text1"/>
          <w:spacing w:val="-2"/>
          <w:sz w:val="24"/>
          <w:lang w:val="en-US" w:eastAsia="zh-CN"/>
        </w:rPr>
        <w:t>国内</w:t>
      </w:r>
      <w:r>
        <w:rPr>
          <w:rFonts w:hint="eastAsia" w:asciiTheme="minorEastAsia" w:hAnsiTheme="minorEastAsia" w:eastAsiaTheme="minorEastAsia"/>
          <w:bCs/>
          <w:color w:val="000000" w:themeColor="text1"/>
          <w:spacing w:val="-2"/>
          <w:sz w:val="24"/>
        </w:rPr>
        <w:t>迎符合条件的供应商积极参选。</w:t>
      </w:r>
    </w:p>
    <w:p>
      <w:pPr>
        <w:pStyle w:val="10"/>
        <w:keepNext w:val="0"/>
        <w:keepLines w:val="0"/>
        <w:pageBreakBefore w:val="0"/>
        <w:numPr>
          <w:ilvl w:val="0"/>
          <w:numId w:val="1"/>
        </w:numPr>
        <w:kinsoku/>
        <w:overflowPunct/>
        <w:topLinePunct w:val="0"/>
        <w:autoSpaceDE/>
        <w:autoSpaceDN/>
        <w:bidi w:val="0"/>
        <w:spacing w:before="100" w:beforeAutospacing="1" w:after="100" w:afterAutospacing="1" w:line="288" w:lineRule="auto"/>
        <w:rPr>
          <w:rFonts w:asciiTheme="minorEastAsia" w:hAnsiTheme="minorEastAsia" w:eastAsiaTheme="minorEastAsia"/>
          <w:b/>
          <w:bCs/>
          <w:color w:val="000000" w:themeColor="text1"/>
          <w:sz w:val="24"/>
        </w:rPr>
      </w:pPr>
      <w:r>
        <w:rPr>
          <w:rFonts w:hint="eastAsia" w:asciiTheme="minorEastAsia" w:hAnsiTheme="minorEastAsia" w:eastAsiaTheme="minorEastAsia"/>
          <w:b/>
          <w:bCs/>
          <w:color w:val="000000" w:themeColor="text1"/>
          <w:sz w:val="24"/>
        </w:rPr>
        <w:t>项目概况</w:t>
      </w:r>
    </w:p>
    <w:p>
      <w:pPr>
        <w:pStyle w:val="10"/>
        <w:keepNext w:val="0"/>
        <w:keepLines w:val="0"/>
        <w:pageBreakBefore w:val="0"/>
        <w:numPr>
          <w:ilvl w:val="0"/>
          <w:numId w:val="2"/>
        </w:numPr>
        <w:kinsoku/>
        <w:overflowPunct/>
        <w:topLinePunct w:val="0"/>
        <w:autoSpaceDE/>
        <w:autoSpaceDN/>
        <w:bidi w:val="0"/>
        <w:spacing w:before="100" w:beforeAutospacing="1" w:after="100" w:afterAutospacing="1" w:line="288" w:lineRule="auto"/>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项目名称：</w:t>
      </w:r>
      <w:r>
        <w:rPr>
          <w:rFonts w:hint="eastAsia" w:asciiTheme="minorEastAsia" w:hAnsiTheme="minorEastAsia" w:eastAsiaTheme="minorEastAsia"/>
          <w:bCs/>
          <w:color w:val="000000" w:themeColor="text1"/>
          <w:sz w:val="24"/>
          <w:lang w:val="en-US" w:eastAsia="zh-CN"/>
        </w:rPr>
        <w:t>PTA装置闭式循环冷却水系统处理药剂</w:t>
      </w:r>
    </w:p>
    <w:p>
      <w:pPr>
        <w:pStyle w:val="10"/>
        <w:keepNext w:val="0"/>
        <w:keepLines w:val="0"/>
        <w:pageBreakBefore w:val="0"/>
        <w:numPr>
          <w:ilvl w:val="0"/>
          <w:numId w:val="2"/>
        </w:numPr>
        <w:kinsoku/>
        <w:overflowPunct/>
        <w:topLinePunct w:val="0"/>
        <w:autoSpaceDE/>
        <w:autoSpaceDN/>
        <w:bidi w:val="0"/>
        <w:spacing w:before="100" w:beforeAutospacing="1" w:after="100" w:afterAutospacing="1" w:line="288" w:lineRule="auto"/>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比选项目：</w:t>
      </w:r>
      <w:r>
        <w:rPr>
          <w:rFonts w:hint="eastAsia" w:asciiTheme="minorEastAsia" w:hAnsiTheme="minorEastAsia" w:eastAsiaTheme="minorEastAsia"/>
          <w:bCs/>
          <w:color w:val="000000" w:themeColor="text1"/>
          <w:sz w:val="24"/>
          <w:lang w:eastAsia="zh-CN"/>
        </w:rPr>
        <w:t>PTA装置闭式循环冷却水系统处理药剂</w:t>
      </w:r>
      <w:r>
        <w:rPr>
          <w:rFonts w:hint="eastAsia" w:asciiTheme="minorEastAsia" w:hAnsiTheme="minorEastAsia" w:eastAsiaTheme="minorEastAsia"/>
          <w:bCs/>
          <w:color w:val="000000" w:themeColor="text1"/>
          <w:sz w:val="24"/>
        </w:rPr>
        <w:t>采购数量、质量、货期等要求详见比选文件</w:t>
      </w:r>
      <w:r>
        <w:rPr>
          <w:rFonts w:hint="eastAsia" w:asciiTheme="minorEastAsia" w:hAnsiTheme="minorEastAsia" w:eastAsiaTheme="minorEastAsia"/>
          <w:bCs/>
          <w:color w:val="000000" w:themeColor="text1"/>
          <w:sz w:val="24"/>
          <w:lang w:val="en-US" w:eastAsia="zh-CN"/>
        </w:rPr>
        <w:t>及技术要求</w:t>
      </w:r>
      <w:r>
        <w:rPr>
          <w:rFonts w:hint="eastAsia" w:asciiTheme="minorEastAsia" w:hAnsiTheme="minorEastAsia" w:eastAsiaTheme="minorEastAsia"/>
          <w:bCs/>
          <w:color w:val="000000" w:themeColor="text1"/>
          <w:sz w:val="24"/>
        </w:rPr>
        <w:t>。</w:t>
      </w:r>
    </w:p>
    <w:p>
      <w:pPr>
        <w:pStyle w:val="10"/>
        <w:keepNext w:val="0"/>
        <w:keepLines w:val="0"/>
        <w:pageBreakBefore w:val="0"/>
        <w:numPr>
          <w:ilvl w:val="0"/>
          <w:numId w:val="1"/>
        </w:numPr>
        <w:kinsoku/>
        <w:overflowPunct/>
        <w:topLinePunct w:val="0"/>
        <w:autoSpaceDE/>
        <w:autoSpaceDN/>
        <w:bidi w:val="0"/>
        <w:spacing w:before="100" w:beforeAutospacing="1" w:after="100" w:afterAutospacing="1" w:line="288" w:lineRule="auto"/>
        <w:rPr>
          <w:rFonts w:asciiTheme="minorEastAsia" w:hAnsiTheme="minorEastAsia" w:eastAsiaTheme="minorEastAsia"/>
          <w:b/>
          <w:bCs/>
          <w:color w:val="000000" w:themeColor="text1"/>
          <w:sz w:val="24"/>
        </w:rPr>
      </w:pPr>
      <w:r>
        <w:rPr>
          <w:rFonts w:hint="eastAsia" w:asciiTheme="minorEastAsia" w:hAnsiTheme="minorEastAsia" w:eastAsiaTheme="minorEastAsia"/>
          <w:b/>
          <w:bCs/>
          <w:color w:val="000000" w:themeColor="text1"/>
          <w:sz w:val="24"/>
        </w:rPr>
        <w:t>参选人资格要求</w:t>
      </w:r>
    </w:p>
    <w:p>
      <w:pPr>
        <w:pStyle w:val="10"/>
        <w:keepNext w:val="0"/>
        <w:keepLines w:val="0"/>
        <w:pageBreakBefore w:val="0"/>
        <w:numPr>
          <w:ilvl w:val="0"/>
          <w:numId w:val="3"/>
        </w:numPr>
        <w:kinsoku/>
        <w:overflowPunct/>
        <w:topLinePunct w:val="0"/>
        <w:autoSpaceDE/>
        <w:autoSpaceDN/>
        <w:bidi w:val="0"/>
        <w:spacing w:before="100" w:beforeAutospacing="1" w:after="100" w:afterAutospacing="1" w:line="288" w:lineRule="auto"/>
        <w:rPr>
          <w:rFonts w:asciiTheme="minorEastAsia" w:hAnsiTheme="minorEastAsia" w:eastAsiaTheme="minorEastAsia"/>
          <w:bCs/>
          <w:color w:val="000000" w:themeColor="text1"/>
          <w:sz w:val="24"/>
        </w:rPr>
      </w:pPr>
      <w:r>
        <w:rPr>
          <w:rFonts w:asciiTheme="minorEastAsia" w:hAnsiTheme="minorEastAsia" w:eastAsiaTheme="minorEastAsia"/>
          <w:bCs/>
          <w:color w:val="000000" w:themeColor="text1"/>
          <w:sz w:val="24"/>
        </w:rPr>
        <w:t>具备独立法人资格、具备有效的企业法人营业执照；</w:t>
      </w:r>
    </w:p>
    <w:p>
      <w:pPr>
        <w:pStyle w:val="10"/>
        <w:keepNext w:val="0"/>
        <w:keepLines w:val="0"/>
        <w:pageBreakBefore w:val="0"/>
        <w:numPr>
          <w:ilvl w:val="0"/>
          <w:numId w:val="3"/>
        </w:numPr>
        <w:kinsoku/>
        <w:overflowPunct/>
        <w:topLinePunct w:val="0"/>
        <w:autoSpaceDE/>
        <w:autoSpaceDN/>
        <w:bidi w:val="0"/>
        <w:spacing w:before="100" w:beforeAutospacing="1" w:after="100" w:afterAutospacing="1" w:line="288" w:lineRule="auto"/>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单位负责人为同一人或者存在控股、管理关系的不同单位不得同时参加本项目的比选；</w:t>
      </w:r>
    </w:p>
    <w:p>
      <w:pPr>
        <w:pStyle w:val="10"/>
        <w:keepNext w:val="0"/>
        <w:keepLines w:val="0"/>
        <w:pageBreakBefore w:val="0"/>
        <w:numPr>
          <w:ilvl w:val="0"/>
          <w:numId w:val="3"/>
        </w:numPr>
        <w:kinsoku/>
        <w:overflowPunct/>
        <w:topLinePunct w:val="0"/>
        <w:autoSpaceDE/>
        <w:autoSpaceDN/>
        <w:bidi w:val="0"/>
        <w:spacing w:before="100" w:beforeAutospacing="1" w:after="100" w:afterAutospacing="1" w:line="288" w:lineRule="auto"/>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没有失信黑名单记录（以最高院失信被执行人系统发布信息为准）；</w:t>
      </w:r>
    </w:p>
    <w:p>
      <w:pPr>
        <w:pStyle w:val="10"/>
        <w:keepNext w:val="0"/>
        <w:keepLines w:val="0"/>
        <w:pageBreakBefore w:val="0"/>
        <w:numPr>
          <w:ilvl w:val="0"/>
          <w:numId w:val="3"/>
        </w:numPr>
        <w:kinsoku/>
        <w:overflowPunct/>
        <w:topLinePunct w:val="0"/>
        <w:autoSpaceDE/>
        <w:autoSpaceDN/>
        <w:bidi w:val="0"/>
        <w:spacing w:before="100" w:beforeAutospacing="1" w:after="100" w:afterAutospacing="1" w:line="288" w:lineRule="auto"/>
        <w:ind w:hanging="361"/>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与比选人无诉讼纠纷</w:t>
      </w:r>
      <w:r>
        <w:rPr>
          <w:rFonts w:hint="eastAsia" w:asciiTheme="minorEastAsia" w:hAnsiTheme="minorEastAsia" w:eastAsiaTheme="minorEastAsia"/>
          <w:bCs/>
          <w:color w:val="000000" w:themeColor="text1"/>
          <w:sz w:val="24"/>
          <w:lang w:eastAsia="zh-CN"/>
        </w:rPr>
        <w:t>；</w:t>
      </w:r>
    </w:p>
    <w:p>
      <w:pPr>
        <w:pStyle w:val="10"/>
        <w:keepNext w:val="0"/>
        <w:keepLines w:val="0"/>
        <w:pageBreakBefore w:val="0"/>
        <w:numPr>
          <w:ilvl w:val="0"/>
          <w:numId w:val="3"/>
        </w:numPr>
        <w:kinsoku/>
        <w:overflowPunct/>
        <w:topLinePunct w:val="0"/>
        <w:autoSpaceDE/>
        <w:autoSpaceDN/>
        <w:bidi w:val="0"/>
        <w:spacing w:before="100" w:beforeAutospacing="1" w:after="100" w:afterAutospacing="1" w:line="288" w:lineRule="auto"/>
        <w:ind w:hanging="361"/>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通过质量管理体系ISO9001、环境管理体系ISO14001、职业健康安全管理体系认证且在认证有效期内的公司或企业</w:t>
      </w:r>
      <w:r>
        <w:rPr>
          <w:rFonts w:hint="eastAsia" w:asciiTheme="minorEastAsia" w:hAnsiTheme="minorEastAsia" w:eastAsiaTheme="minorEastAsia"/>
          <w:bCs/>
          <w:color w:val="000000" w:themeColor="text1"/>
          <w:sz w:val="24"/>
          <w:lang w:eastAsia="zh-CN"/>
        </w:rPr>
        <w:t>；</w:t>
      </w:r>
    </w:p>
    <w:p>
      <w:pPr>
        <w:pStyle w:val="10"/>
        <w:keepNext w:val="0"/>
        <w:keepLines w:val="0"/>
        <w:pageBreakBefore w:val="0"/>
        <w:numPr>
          <w:ilvl w:val="0"/>
          <w:numId w:val="3"/>
        </w:numPr>
        <w:kinsoku/>
        <w:overflowPunct/>
        <w:topLinePunct w:val="0"/>
        <w:autoSpaceDE/>
        <w:autoSpaceDN/>
        <w:bidi w:val="0"/>
        <w:spacing w:before="100" w:beforeAutospacing="1" w:after="100" w:afterAutospacing="1" w:line="288" w:lineRule="auto"/>
        <w:ind w:hanging="361"/>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lang w:val="en-US" w:eastAsia="zh-CN"/>
        </w:rPr>
        <w:t>提供</w:t>
      </w:r>
      <w:r>
        <w:rPr>
          <w:rFonts w:hint="eastAsia" w:asciiTheme="minorEastAsia" w:hAnsiTheme="minorEastAsia" w:eastAsiaTheme="minorEastAsia"/>
          <w:bCs/>
          <w:color w:val="000000" w:themeColor="text1"/>
          <w:sz w:val="24"/>
        </w:rPr>
        <w:t>标的物具有相同或相近行业（P</w:t>
      </w:r>
      <w:r>
        <w:rPr>
          <w:rFonts w:asciiTheme="minorEastAsia" w:hAnsiTheme="minorEastAsia" w:eastAsiaTheme="minorEastAsia"/>
          <w:bCs/>
          <w:color w:val="000000" w:themeColor="text1"/>
          <w:sz w:val="24"/>
        </w:rPr>
        <w:t>TA</w:t>
      </w:r>
      <w:r>
        <w:rPr>
          <w:rFonts w:hint="eastAsia" w:asciiTheme="minorEastAsia" w:hAnsiTheme="minorEastAsia" w:eastAsiaTheme="minorEastAsia"/>
          <w:bCs/>
          <w:color w:val="000000" w:themeColor="text1"/>
          <w:sz w:val="24"/>
        </w:rPr>
        <w:t>行业或石油化工行业）近三年内的大型闭式循环水系统处理经验和实际应用业绩，并提供业绩证明文件（合同或发票扫描件，加盖公章确认），所服务项目单系统循环量大于30000m3/h的装置不少于5套，签约服务的厂家数量不少于3家，且业绩应为投标厂商单独处理完成的业绩，不接受“联合体”投标。投标厂商应为标的物生产厂商，不接受代理商投标</w:t>
      </w:r>
      <w:r>
        <w:rPr>
          <w:rFonts w:hint="eastAsia" w:asciiTheme="minorEastAsia" w:hAnsiTheme="minorEastAsia" w:eastAsiaTheme="minorEastAsia"/>
          <w:bCs/>
          <w:color w:val="000000" w:themeColor="text1"/>
          <w:sz w:val="24"/>
          <w:lang w:eastAsia="zh-CN"/>
        </w:rPr>
        <w:t>；</w:t>
      </w:r>
    </w:p>
    <w:p>
      <w:pPr>
        <w:pStyle w:val="10"/>
        <w:keepNext w:val="0"/>
        <w:keepLines w:val="0"/>
        <w:pageBreakBefore w:val="0"/>
        <w:numPr>
          <w:ilvl w:val="0"/>
          <w:numId w:val="3"/>
        </w:numPr>
        <w:kinsoku/>
        <w:overflowPunct/>
        <w:topLinePunct w:val="0"/>
        <w:autoSpaceDE/>
        <w:autoSpaceDN/>
        <w:bidi w:val="0"/>
        <w:spacing w:before="100" w:beforeAutospacing="1" w:after="100" w:afterAutospacing="1" w:line="288" w:lineRule="auto"/>
        <w:ind w:hanging="361"/>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无自身原因造成的不良服务记录和客户投诉</w:t>
      </w:r>
      <w:r>
        <w:rPr>
          <w:rFonts w:hint="eastAsia" w:asciiTheme="minorEastAsia" w:hAnsiTheme="minorEastAsia" w:eastAsiaTheme="minorEastAsia"/>
          <w:bCs/>
          <w:color w:val="000000" w:themeColor="text1"/>
          <w:sz w:val="24"/>
          <w:lang w:eastAsia="zh-CN"/>
        </w:rPr>
        <w:t>；</w:t>
      </w:r>
      <w:bookmarkStart w:id="1" w:name="_GoBack"/>
      <w:bookmarkEnd w:id="1"/>
    </w:p>
    <w:p>
      <w:pPr>
        <w:pStyle w:val="10"/>
        <w:keepNext w:val="0"/>
        <w:keepLines w:val="0"/>
        <w:pageBreakBefore w:val="0"/>
        <w:numPr>
          <w:ilvl w:val="0"/>
          <w:numId w:val="3"/>
        </w:numPr>
        <w:kinsoku/>
        <w:overflowPunct/>
        <w:topLinePunct w:val="0"/>
        <w:autoSpaceDE/>
        <w:autoSpaceDN/>
        <w:bidi w:val="0"/>
        <w:spacing w:before="100" w:beforeAutospacing="1" w:after="100" w:afterAutospacing="1" w:line="288" w:lineRule="auto"/>
        <w:ind w:hanging="361"/>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参选保证</w:t>
      </w:r>
      <w:r>
        <w:rPr>
          <w:rFonts w:hint="eastAsia" w:asciiTheme="minorEastAsia" w:hAnsiTheme="minorEastAsia" w:eastAsiaTheme="minorEastAsia"/>
          <w:bCs/>
          <w:color w:val="000000" w:themeColor="text1"/>
          <w:sz w:val="24"/>
          <w:lang w:eastAsia="zh-CN"/>
        </w:rPr>
        <w:t>金</w:t>
      </w:r>
      <w:r>
        <w:rPr>
          <w:rFonts w:hint="eastAsia" w:asciiTheme="minorEastAsia" w:hAnsiTheme="minorEastAsia" w:eastAsiaTheme="minorEastAsia"/>
          <w:bCs/>
          <w:color w:val="000000" w:themeColor="text1"/>
          <w:sz w:val="24"/>
        </w:rPr>
        <w:t>：</w:t>
      </w:r>
      <w:r>
        <w:rPr>
          <w:rFonts w:hint="eastAsia" w:asciiTheme="minorEastAsia" w:hAnsiTheme="minorEastAsia" w:eastAsiaTheme="minorEastAsia"/>
          <w:bCs/>
          <w:color w:val="000000" w:themeColor="text1"/>
          <w:sz w:val="24"/>
          <w:lang w:val="en-US" w:eastAsia="zh-CN"/>
        </w:rPr>
        <w:t>陆万元整；</w:t>
      </w:r>
    </w:p>
    <w:p>
      <w:pPr>
        <w:keepNext w:val="0"/>
        <w:keepLines w:val="0"/>
        <w:pageBreakBefore w:val="0"/>
        <w:kinsoku/>
        <w:overflowPunct/>
        <w:topLinePunct w:val="0"/>
        <w:autoSpaceDE/>
        <w:autoSpaceDN/>
        <w:bidi w:val="0"/>
        <w:spacing w:line="288" w:lineRule="auto"/>
        <w:ind w:firstLine="472" w:firstLineChars="196"/>
        <w:rPr>
          <w:rFonts w:asciiTheme="minorEastAsia" w:hAnsiTheme="minorEastAsia" w:eastAsiaTheme="minorEastAsia"/>
          <w:b/>
          <w:bCs/>
          <w:color w:val="000000" w:themeColor="text1"/>
          <w:sz w:val="24"/>
        </w:rPr>
      </w:pPr>
      <w:r>
        <w:rPr>
          <w:rFonts w:hint="eastAsia"/>
          <w:b/>
          <w:bCs/>
          <w:color w:val="000000" w:themeColor="text1"/>
          <w:sz w:val="24"/>
        </w:rPr>
        <w:t>三、</w:t>
      </w:r>
      <w:r>
        <w:rPr>
          <w:rFonts w:hint="eastAsia" w:asciiTheme="minorEastAsia" w:hAnsiTheme="minorEastAsia" w:eastAsiaTheme="minorEastAsia"/>
          <w:b/>
          <w:bCs/>
          <w:color w:val="000000" w:themeColor="text1"/>
          <w:sz w:val="24"/>
        </w:rPr>
        <w:t>获取比选文件</w:t>
      </w:r>
    </w:p>
    <w:p>
      <w:pPr>
        <w:pStyle w:val="10"/>
        <w:keepNext w:val="0"/>
        <w:keepLines w:val="0"/>
        <w:pageBreakBefore w:val="0"/>
        <w:numPr>
          <w:ilvl w:val="0"/>
          <w:numId w:val="4"/>
        </w:numPr>
        <w:kinsoku/>
        <w:overflowPunct/>
        <w:topLinePunct w:val="0"/>
        <w:autoSpaceDE/>
        <w:autoSpaceDN/>
        <w:bidi w:val="0"/>
        <w:spacing w:before="0" w:line="288" w:lineRule="auto"/>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报名时间：</w:t>
      </w:r>
      <w:r>
        <w:rPr>
          <w:rFonts w:hint="eastAsia" w:asciiTheme="majorEastAsia" w:hAnsiTheme="majorEastAsia" w:eastAsiaTheme="majorEastAsia"/>
          <w:color w:val="000000" w:themeColor="text1"/>
          <w:sz w:val="24"/>
        </w:rPr>
        <w:t>自公告之日至2</w:t>
      </w:r>
      <w:r>
        <w:rPr>
          <w:rFonts w:asciiTheme="majorEastAsia" w:hAnsiTheme="majorEastAsia" w:eastAsiaTheme="majorEastAsia"/>
          <w:color w:val="000000" w:themeColor="text1"/>
          <w:sz w:val="24"/>
        </w:rPr>
        <w:t>02</w:t>
      </w:r>
      <w:r>
        <w:rPr>
          <w:rFonts w:hint="eastAsia" w:asciiTheme="majorEastAsia" w:hAnsiTheme="majorEastAsia" w:eastAsiaTheme="majorEastAsia"/>
          <w:color w:val="000000" w:themeColor="text1"/>
          <w:sz w:val="24"/>
          <w:lang w:val="en-US" w:eastAsia="zh-CN"/>
        </w:rPr>
        <w:t>2</w:t>
      </w:r>
      <w:r>
        <w:rPr>
          <w:rFonts w:hint="eastAsia" w:asciiTheme="majorEastAsia" w:hAnsiTheme="majorEastAsia" w:eastAsiaTheme="majorEastAsia"/>
          <w:color w:val="000000" w:themeColor="text1"/>
          <w:sz w:val="24"/>
        </w:rPr>
        <w:t>年</w:t>
      </w:r>
      <w:r>
        <w:rPr>
          <w:rFonts w:hint="eastAsia" w:asciiTheme="majorEastAsia" w:hAnsiTheme="majorEastAsia" w:eastAsiaTheme="majorEastAsia"/>
          <w:color w:val="000000" w:themeColor="text1"/>
          <w:sz w:val="24"/>
          <w:lang w:val="en-US" w:eastAsia="zh-CN"/>
        </w:rPr>
        <w:t>8</w:t>
      </w:r>
      <w:r>
        <w:rPr>
          <w:rFonts w:hint="eastAsia" w:asciiTheme="majorEastAsia" w:hAnsiTheme="majorEastAsia" w:eastAsiaTheme="majorEastAsia"/>
          <w:color w:val="000000" w:themeColor="text1"/>
          <w:sz w:val="24"/>
        </w:rPr>
        <w:t>月</w:t>
      </w:r>
      <w:r>
        <w:rPr>
          <w:rFonts w:hint="eastAsia" w:asciiTheme="majorEastAsia" w:hAnsiTheme="majorEastAsia" w:eastAsiaTheme="majorEastAsia"/>
          <w:color w:val="000000" w:themeColor="text1"/>
          <w:sz w:val="24"/>
          <w:lang w:val="en-US" w:eastAsia="zh-CN"/>
        </w:rPr>
        <w:t>15</w:t>
      </w:r>
      <w:r>
        <w:rPr>
          <w:rFonts w:hint="eastAsia" w:asciiTheme="majorEastAsia" w:hAnsiTheme="majorEastAsia" w:eastAsiaTheme="majorEastAsia"/>
          <w:color w:val="000000" w:themeColor="text1"/>
          <w:sz w:val="24"/>
        </w:rPr>
        <w:t>日（含当日）</w:t>
      </w:r>
      <w:r>
        <w:rPr>
          <w:rFonts w:hint="eastAsia" w:asciiTheme="majorEastAsia" w:hAnsiTheme="majorEastAsia" w:eastAsiaTheme="majorEastAsia"/>
          <w:color w:val="000000" w:themeColor="text1"/>
          <w:sz w:val="24"/>
          <w:lang w:eastAsia="zh-CN"/>
        </w:rPr>
        <w:t>。</w:t>
      </w:r>
    </w:p>
    <w:p>
      <w:pPr>
        <w:pStyle w:val="10"/>
        <w:keepNext w:val="0"/>
        <w:keepLines w:val="0"/>
        <w:pageBreakBefore w:val="0"/>
        <w:numPr>
          <w:ilvl w:val="255"/>
          <w:numId w:val="0"/>
        </w:numPr>
        <w:kinsoku/>
        <w:overflowPunct/>
        <w:topLinePunct w:val="0"/>
        <w:autoSpaceDE/>
        <w:autoSpaceDN/>
        <w:bidi w:val="0"/>
        <w:spacing w:before="0" w:line="288" w:lineRule="auto"/>
        <w:ind w:left="832"/>
        <w:rPr>
          <w:rFonts w:hint="eastAsia"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报名方式：</w:t>
      </w:r>
      <w:r>
        <w:rPr>
          <w:rFonts w:hint="eastAsia" w:asciiTheme="minorEastAsia" w:hAnsiTheme="minorEastAsia" w:eastAsiaTheme="minorEastAsia"/>
          <w:color w:val="000000" w:themeColor="text1"/>
          <w:sz w:val="24"/>
        </w:rPr>
        <w:t>参选人在报名时间内将报名文件发送至邮箱wzcgb@fjpec.com.cn，</w:t>
      </w:r>
      <w:r>
        <w:rPr>
          <w:rFonts w:hint="eastAsia" w:asciiTheme="minorEastAsia" w:hAnsiTheme="minorEastAsia" w:eastAsiaTheme="minorEastAsia"/>
          <w:bCs/>
          <w:color w:val="000000" w:themeColor="text1"/>
          <w:sz w:val="24"/>
        </w:rPr>
        <w:t>报名文件包含</w:t>
      </w:r>
      <w:r>
        <w:rPr>
          <w:rFonts w:asciiTheme="minorEastAsia" w:hAnsiTheme="minorEastAsia" w:eastAsiaTheme="minorEastAsia"/>
          <w:bCs/>
          <w:color w:val="000000" w:themeColor="text1"/>
          <w:sz w:val="24"/>
        </w:rPr>
        <w:t>：</w:t>
      </w:r>
      <w:r>
        <w:rPr>
          <w:rFonts w:asciiTheme="minorEastAsia" w:hAnsiTheme="minorEastAsia" w:eastAsiaTheme="minorEastAsia"/>
          <w:bCs/>
          <w:color w:val="000000" w:themeColor="text1"/>
          <w:sz w:val="24"/>
        </w:rPr>
        <w:cr/>
      </w:r>
      <w:r>
        <w:rPr>
          <w:rFonts w:asciiTheme="minorEastAsia" w:hAnsiTheme="minorEastAsia" w:eastAsiaTheme="minorEastAsia"/>
          <w:bCs/>
          <w:color w:val="000000" w:themeColor="text1"/>
          <w:sz w:val="24"/>
        </w:rPr>
        <w:t>（1）针对本项目的法</w:t>
      </w:r>
      <w:r>
        <w:rPr>
          <w:rFonts w:hint="eastAsia" w:asciiTheme="minorEastAsia" w:hAnsiTheme="minorEastAsia" w:eastAsiaTheme="minorEastAsia"/>
          <w:bCs/>
          <w:color w:val="000000" w:themeColor="text1"/>
          <w:sz w:val="24"/>
        </w:rPr>
        <w:t>定代表人</w:t>
      </w:r>
      <w:r>
        <w:rPr>
          <w:rFonts w:asciiTheme="minorEastAsia" w:hAnsiTheme="minorEastAsia" w:eastAsiaTheme="minorEastAsia"/>
          <w:bCs/>
          <w:color w:val="000000" w:themeColor="text1"/>
          <w:sz w:val="24"/>
        </w:rPr>
        <w:t>授权委托书（格式详见</w:t>
      </w:r>
      <w:r>
        <w:rPr>
          <w:rFonts w:hint="eastAsia" w:asciiTheme="minorEastAsia" w:hAnsiTheme="minorEastAsia" w:eastAsiaTheme="minorEastAsia"/>
          <w:bCs/>
          <w:color w:val="000000" w:themeColor="text1"/>
          <w:sz w:val="24"/>
        </w:rPr>
        <w:t>比选文件</w:t>
      </w:r>
      <w:r>
        <w:rPr>
          <w:rFonts w:asciiTheme="minorEastAsia" w:hAnsiTheme="minorEastAsia" w:eastAsiaTheme="minorEastAsia"/>
          <w:bCs/>
          <w:color w:val="000000" w:themeColor="text1"/>
          <w:sz w:val="24"/>
        </w:rPr>
        <w:t>）；</w:t>
      </w:r>
      <w:r>
        <w:rPr>
          <w:rFonts w:hint="eastAsia" w:asciiTheme="minorEastAsia" w:hAnsiTheme="minorEastAsia" w:eastAsiaTheme="minorEastAsia"/>
          <w:bCs/>
          <w:color w:val="000000" w:themeColor="text1"/>
          <w:sz w:val="24"/>
        </w:rPr>
        <w:cr/>
      </w:r>
      <w:r>
        <w:rPr>
          <w:rFonts w:asciiTheme="minorEastAsia" w:hAnsiTheme="minorEastAsia" w:eastAsiaTheme="minorEastAsia"/>
          <w:bCs/>
          <w:color w:val="000000" w:themeColor="text1"/>
          <w:sz w:val="24"/>
        </w:rPr>
        <w:t>（2）</w:t>
      </w:r>
      <w:r>
        <w:rPr>
          <w:rFonts w:hint="eastAsia" w:asciiTheme="minorEastAsia" w:hAnsiTheme="minorEastAsia" w:eastAsiaTheme="minorEastAsia"/>
          <w:bCs/>
          <w:color w:val="000000" w:themeColor="text1"/>
          <w:sz w:val="24"/>
        </w:rPr>
        <w:t>证件：</w:t>
      </w:r>
      <w:r>
        <w:rPr>
          <w:rFonts w:asciiTheme="minorEastAsia" w:hAnsiTheme="minorEastAsia" w:eastAsiaTheme="minorEastAsia"/>
          <w:bCs/>
          <w:color w:val="000000" w:themeColor="text1"/>
          <w:sz w:val="24"/>
        </w:rPr>
        <w:t>营业执照</w:t>
      </w:r>
      <w:r>
        <w:rPr>
          <w:rFonts w:hint="eastAsia" w:asciiTheme="minorEastAsia" w:hAnsiTheme="minorEastAsia" w:eastAsiaTheme="minorEastAsia"/>
          <w:bCs/>
          <w:color w:val="000000" w:themeColor="text1"/>
          <w:sz w:val="24"/>
        </w:rPr>
        <w:t>、开户许可证等证件</w:t>
      </w:r>
      <w:r>
        <w:rPr>
          <w:rFonts w:asciiTheme="minorEastAsia" w:hAnsiTheme="minorEastAsia" w:eastAsiaTheme="minorEastAsia"/>
          <w:bCs/>
          <w:color w:val="000000" w:themeColor="text1"/>
          <w:sz w:val="24"/>
        </w:rPr>
        <w:t>（加盖单位公章的复印件）</w:t>
      </w:r>
      <w:r>
        <w:rPr>
          <w:rFonts w:hint="eastAsia" w:asciiTheme="minorEastAsia" w:hAnsiTheme="minorEastAsia" w:eastAsiaTheme="minorEastAsia"/>
          <w:bCs/>
          <w:color w:val="000000" w:themeColor="text1"/>
          <w:sz w:val="24"/>
        </w:rPr>
        <w:t>；</w:t>
      </w:r>
    </w:p>
    <w:p>
      <w:pPr>
        <w:pStyle w:val="10"/>
        <w:keepNext w:val="0"/>
        <w:keepLines w:val="0"/>
        <w:pageBreakBefore w:val="0"/>
        <w:numPr>
          <w:ilvl w:val="255"/>
          <w:numId w:val="0"/>
        </w:numPr>
        <w:kinsoku/>
        <w:overflowPunct/>
        <w:topLinePunct w:val="0"/>
        <w:autoSpaceDE/>
        <w:autoSpaceDN/>
        <w:bidi w:val="0"/>
        <w:spacing w:before="0" w:line="288" w:lineRule="auto"/>
        <w:ind w:left="832"/>
        <w:rPr>
          <w:rFonts w:hint="eastAsia"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lang w:eastAsia="zh-CN"/>
        </w:rPr>
        <w:t>（</w:t>
      </w:r>
      <w:r>
        <w:rPr>
          <w:rFonts w:hint="eastAsia" w:asciiTheme="minorEastAsia" w:hAnsiTheme="minorEastAsia" w:eastAsiaTheme="minorEastAsia"/>
          <w:bCs/>
          <w:color w:val="000000" w:themeColor="text1"/>
          <w:sz w:val="24"/>
          <w:lang w:val="en-US" w:eastAsia="zh-CN"/>
        </w:rPr>
        <w:t>3</w:t>
      </w:r>
      <w:r>
        <w:rPr>
          <w:rFonts w:hint="eastAsia" w:asciiTheme="minorEastAsia" w:hAnsiTheme="minorEastAsia" w:eastAsiaTheme="minorEastAsia"/>
          <w:bCs/>
          <w:color w:val="000000" w:themeColor="text1"/>
          <w:sz w:val="24"/>
          <w:lang w:eastAsia="zh-CN"/>
        </w:rPr>
        <w:t>）</w:t>
      </w:r>
      <w:r>
        <w:rPr>
          <w:rFonts w:hint="eastAsia" w:asciiTheme="minorEastAsia" w:hAnsiTheme="minorEastAsia" w:eastAsiaTheme="minorEastAsia"/>
          <w:bCs/>
          <w:color w:val="000000" w:themeColor="text1"/>
          <w:sz w:val="24"/>
          <w:lang w:val="en-US" w:eastAsia="zh-CN"/>
        </w:rPr>
        <w:t>提供</w:t>
      </w:r>
      <w:r>
        <w:rPr>
          <w:rFonts w:hint="eastAsia" w:asciiTheme="minorEastAsia" w:hAnsiTheme="minorEastAsia" w:eastAsiaTheme="minorEastAsia"/>
          <w:bCs/>
          <w:color w:val="000000" w:themeColor="text1"/>
          <w:sz w:val="24"/>
        </w:rPr>
        <w:t>质量管理体系ISO9001、环境管理体系ISO14001、职业健康安全管理体系认证且在认证有效期内的</w:t>
      </w:r>
      <w:r>
        <w:rPr>
          <w:rFonts w:hint="eastAsia" w:asciiTheme="minorEastAsia" w:hAnsiTheme="minorEastAsia" w:eastAsiaTheme="minorEastAsia"/>
          <w:bCs/>
          <w:color w:val="000000" w:themeColor="text1"/>
          <w:sz w:val="24"/>
          <w:lang w:val="en-US" w:eastAsia="zh-CN"/>
        </w:rPr>
        <w:t>资质文件</w:t>
      </w:r>
      <w:r>
        <w:rPr>
          <w:rFonts w:hint="eastAsia" w:asciiTheme="minorEastAsia" w:hAnsiTheme="minorEastAsia" w:eastAsiaTheme="minorEastAsia"/>
          <w:bCs/>
          <w:color w:val="000000" w:themeColor="text1"/>
          <w:sz w:val="24"/>
        </w:rPr>
        <w:t>。</w:t>
      </w:r>
    </w:p>
    <w:p>
      <w:pPr>
        <w:pStyle w:val="10"/>
        <w:keepNext w:val="0"/>
        <w:keepLines w:val="0"/>
        <w:pageBreakBefore w:val="0"/>
        <w:numPr>
          <w:ilvl w:val="255"/>
          <w:numId w:val="0"/>
        </w:numPr>
        <w:kinsoku/>
        <w:overflowPunct/>
        <w:topLinePunct w:val="0"/>
        <w:autoSpaceDE/>
        <w:autoSpaceDN/>
        <w:bidi w:val="0"/>
        <w:spacing w:before="0" w:line="288" w:lineRule="auto"/>
        <w:ind w:left="832"/>
        <w:rPr>
          <w:rFonts w:hint="eastAsia"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lang w:val="en-US" w:eastAsia="zh-CN"/>
        </w:rPr>
        <w:t>（4）提供</w:t>
      </w:r>
      <w:r>
        <w:rPr>
          <w:rFonts w:hint="eastAsia" w:asciiTheme="minorEastAsia" w:hAnsiTheme="minorEastAsia" w:eastAsiaTheme="minorEastAsia"/>
          <w:bCs/>
          <w:color w:val="000000" w:themeColor="text1"/>
          <w:sz w:val="24"/>
        </w:rPr>
        <w:t>标的物具有相同或相近行业（PTA行业或石油化工行业）近三年内的大型闭式循环水系统处理经验和实际应用业绩，并提供业绩证明文件（合同或发票扫描件，加盖公章确认），所服务项目单系统循环量大于30000m3/h的装置不少于5套，签约服务的厂家数量不少于3家，且业绩应为投标厂商单独处理完成的业绩，不接受“联合体”投标。投标厂商应为标的物生产厂商，不接受代理商投标。</w:t>
      </w:r>
    </w:p>
    <w:p>
      <w:pPr>
        <w:pStyle w:val="10"/>
        <w:keepNext w:val="0"/>
        <w:keepLines w:val="0"/>
        <w:pageBreakBefore w:val="0"/>
        <w:numPr>
          <w:ilvl w:val="0"/>
          <w:numId w:val="0"/>
        </w:numPr>
        <w:kinsoku/>
        <w:overflowPunct/>
        <w:topLinePunct w:val="0"/>
        <w:autoSpaceDE/>
        <w:autoSpaceDN/>
        <w:bidi w:val="0"/>
        <w:spacing w:before="0" w:line="288" w:lineRule="auto"/>
        <w:ind w:left="832" w:leftChars="0"/>
        <w:rPr>
          <w:rFonts w:hint="eastAsia"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lang w:eastAsia="zh-CN"/>
        </w:rPr>
        <w:t>（</w:t>
      </w:r>
      <w:r>
        <w:rPr>
          <w:rFonts w:hint="eastAsia" w:asciiTheme="minorEastAsia" w:hAnsiTheme="minorEastAsia" w:eastAsiaTheme="minorEastAsia"/>
          <w:bCs/>
          <w:color w:val="000000" w:themeColor="text1"/>
          <w:sz w:val="24"/>
          <w:lang w:val="en-US" w:eastAsia="zh-CN"/>
        </w:rPr>
        <w:t>5</w:t>
      </w:r>
      <w:r>
        <w:rPr>
          <w:rFonts w:hint="eastAsia" w:asciiTheme="minorEastAsia" w:hAnsiTheme="minorEastAsia" w:eastAsiaTheme="minorEastAsia"/>
          <w:bCs/>
          <w:color w:val="000000" w:themeColor="text1"/>
          <w:sz w:val="24"/>
          <w:lang w:eastAsia="zh-CN"/>
        </w:rPr>
        <w:t>）</w:t>
      </w:r>
      <w:r>
        <w:rPr>
          <w:rFonts w:hint="eastAsia" w:asciiTheme="minorEastAsia" w:hAnsiTheme="minorEastAsia" w:eastAsiaTheme="minorEastAsia"/>
          <w:bCs/>
          <w:color w:val="000000" w:themeColor="text1"/>
          <w:sz w:val="24"/>
        </w:rPr>
        <w:t>保证</w:t>
      </w:r>
      <w:r>
        <w:rPr>
          <w:rFonts w:hint="eastAsia" w:asciiTheme="minorEastAsia" w:hAnsiTheme="minorEastAsia" w:eastAsiaTheme="minorEastAsia"/>
          <w:bCs/>
          <w:color w:val="000000" w:themeColor="text1"/>
          <w:sz w:val="24"/>
          <w:lang w:eastAsia="zh-CN"/>
        </w:rPr>
        <w:t>金</w:t>
      </w:r>
      <w:r>
        <w:rPr>
          <w:rFonts w:hint="eastAsia" w:asciiTheme="minorEastAsia" w:hAnsiTheme="minorEastAsia" w:eastAsiaTheme="minorEastAsia"/>
          <w:bCs/>
          <w:color w:val="000000" w:themeColor="text1"/>
          <w:sz w:val="24"/>
        </w:rPr>
        <w:t>汇款银行水单：投标单位需缴纳投标保证</w:t>
      </w:r>
      <w:r>
        <w:rPr>
          <w:rFonts w:hint="eastAsia" w:asciiTheme="minorEastAsia" w:hAnsiTheme="minorEastAsia" w:eastAsiaTheme="minorEastAsia"/>
          <w:bCs/>
          <w:color w:val="000000" w:themeColor="text1"/>
          <w:sz w:val="24"/>
          <w:lang w:eastAsia="zh-CN"/>
        </w:rPr>
        <w:t>金</w:t>
      </w:r>
      <w:r>
        <w:rPr>
          <w:rFonts w:hint="eastAsia" w:asciiTheme="minorEastAsia" w:hAnsiTheme="minorEastAsia" w:eastAsiaTheme="minorEastAsia"/>
          <w:bCs/>
          <w:color w:val="000000" w:themeColor="text1"/>
          <w:sz w:val="24"/>
        </w:rPr>
        <w:t>：</w:t>
      </w:r>
      <w:r>
        <w:rPr>
          <w:rFonts w:hint="eastAsia" w:asciiTheme="minorEastAsia" w:hAnsiTheme="minorEastAsia" w:eastAsiaTheme="minorEastAsia"/>
          <w:bCs/>
          <w:color w:val="000000" w:themeColor="text1"/>
          <w:sz w:val="24"/>
          <w:highlight w:val="yellow"/>
          <w:lang w:val="en-US" w:eastAsia="zh-CN"/>
        </w:rPr>
        <w:t>陆万元整</w:t>
      </w:r>
      <w:r>
        <w:rPr>
          <w:rFonts w:hint="eastAsia" w:asciiTheme="minorEastAsia" w:hAnsiTheme="minorEastAsia" w:eastAsiaTheme="minorEastAsia"/>
          <w:bCs/>
          <w:color w:val="000000" w:themeColor="text1"/>
          <w:sz w:val="24"/>
        </w:rPr>
        <w:t>，如中选、该保证</w:t>
      </w:r>
      <w:r>
        <w:rPr>
          <w:rFonts w:hint="eastAsia" w:asciiTheme="minorEastAsia" w:hAnsiTheme="minorEastAsia" w:eastAsiaTheme="minorEastAsia"/>
          <w:bCs/>
          <w:color w:val="000000" w:themeColor="text1"/>
          <w:sz w:val="24"/>
          <w:lang w:eastAsia="zh-CN"/>
        </w:rPr>
        <w:t>金</w:t>
      </w:r>
      <w:r>
        <w:rPr>
          <w:rFonts w:hint="eastAsia" w:asciiTheme="minorEastAsia" w:hAnsiTheme="minorEastAsia" w:eastAsiaTheme="minorEastAsia"/>
          <w:bCs/>
          <w:color w:val="000000" w:themeColor="text1"/>
          <w:sz w:val="24"/>
        </w:rPr>
        <w:t>转为履约保证</w:t>
      </w:r>
      <w:r>
        <w:rPr>
          <w:rFonts w:hint="eastAsia" w:asciiTheme="minorEastAsia" w:hAnsiTheme="minorEastAsia" w:eastAsiaTheme="minorEastAsia"/>
          <w:bCs/>
          <w:color w:val="000000" w:themeColor="text1"/>
          <w:sz w:val="24"/>
          <w:lang w:eastAsia="zh-CN"/>
        </w:rPr>
        <w:t>金</w:t>
      </w:r>
      <w:r>
        <w:rPr>
          <w:rFonts w:hint="eastAsia" w:asciiTheme="minorEastAsia" w:hAnsiTheme="minorEastAsia" w:eastAsiaTheme="minorEastAsia"/>
          <w:bCs/>
          <w:color w:val="000000" w:themeColor="text1"/>
          <w:sz w:val="24"/>
        </w:rPr>
        <w:t>，如不中选，在比选结束后请联系商务联系人办理无息等额退款。</w:t>
      </w:r>
    </w:p>
    <w:p>
      <w:pPr>
        <w:pStyle w:val="10"/>
        <w:keepNext w:val="0"/>
        <w:keepLines w:val="0"/>
        <w:pageBreakBefore w:val="0"/>
        <w:kinsoku/>
        <w:overflowPunct/>
        <w:topLinePunct w:val="0"/>
        <w:autoSpaceDE/>
        <w:autoSpaceDN/>
        <w:bidi w:val="0"/>
        <w:spacing w:line="288" w:lineRule="auto"/>
        <w:ind w:left="0" w:firstLine="1200" w:firstLineChars="500"/>
        <w:rPr>
          <w:rFonts w:hint="eastAsia"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汇款资料：</w:t>
      </w:r>
    </w:p>
    <w:p>
      <w:pPr>
        <w:keepNext w:val="0"/>
        <w:keepLines w:val="0"/>
        <w:pageBreakBefore w:val="0"/>
        <w:kinsoku/>
        <w:overflowPunct/>
        <w:topLinePunct w:val="0"/>
        <w:autoSpaceDE/>
        <w:autoSpaceDN/>
        <w:bidi w:val="0"/>
        <w:spacing w:line="288" w:lineRule="auto"/>
        <w:ind w:firstLine="1200" w:firstLineChars="500"/>
        <w:jc w:val="both"/>
        <w:rPr>
          <w:rFonts w:hint="eastAsia" w:asciiTheme="minorEastAsia" w:hAnsiTheme="minorEastAsia" w:eastAsiaTheme="minorEastAsia"/>
          <w:bCs/>
          <w:color w:val="000000" w:themeColor="text1"/>
          <w:sz w:val="24"/>
          <w:lang w:val="en-US" w:eastAsia="zh-CN"/>
        </w:rPr>
      </w:pPr>
      <w:r>
        <w:rPr>
          <w:rFonts w:hint="eastAsia" w:asciiTheme="minorEastAsia" w:hAnsiTheme="minorEastAsia" w:eastAsiaTheme="minorEastAsia"/>
          <w:bCs/>
          <w:color w:val="000000" w:themeColor="text1"/>
          <w:sz w:val="24"/>
          <w:lang w:val="en-US" w:eastAsia="zh-CN"/>
        </w:rPr>
        <w:t>收款人：福建福海创石油化工有限公司</w:t>
      </w:r>
    </w:p>
    <w:p>
      <w:pPr>
        <w:keepNext w:val="0"/>
        <w:keepLines w:val="0"/>
        <w:pageBreakBefore w:val="0"/>
        <w:kinsoku/>
        <w:overflowPunct/>
        <w:topLinePunct w:val="0"/>
        <w:autoSpaceDE/>
        <w:autoSpaceDN/>
        <w:bidi w:val="0"/>
        <w:spacing w:line="288" w:lineRule="auto"/>
        <w:ind w:firstLine="1200" w:firstLineChars="500"/>
        <w:rPr>
          <w:rFonts w:hint="eastAsia"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开户银行：中国银行漳州古雷经济开发区支行</w:t>
      </w:r>
    </w:p>
    <w:p>
      <w:pPr>
        <w:keepNext w:val="0"/>
        <w:keepLines w:val="0"/>
        <w:pageBreakBefore w:val="0"/>
        <w:kinsoku/>
        <w:overflowPunct/>
        <w:topLinePunct w:val="0"/>
        <w:autoSpaceDE/>
        <w:autoSpaceDN/>
        <w:bidi w:val="0"/>
        <w:spacing w:line="288" w:lineRule="auto"/>
        <w:ind w:firstLine="1200" w:firstLineChars="500"/>
        <w:rPr>
          <w:rFonts w:hint="eastAsia"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账    号：406574816628</w:t>
      </w:r>
    </w:p>
    <w:p>
      <w:pPr>
        <w:pStyle w:val="10"/>
        <w:keepNext w:val="0"/>
        <w:keepLines w:val="0"/>
        <w:pageBreakBefore w:val="0"/>
        <w:numPr>
          <w:ilvl w:val="0"/>
          <w:numId w:val="4"/>
        </w:numPr>
        <w:kinsoku/>
        <w:overflowPunct/>
        <w:topLinePunct w:val="0"/>
        <w:autoSpaceDE/>
        <w:autoSpaceDN/>
        <w:bidi w:val="0"/>
        <w:spacing w:before="0" w:line="288" w:lineRule="auto"/>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获取比选文件：参选人自行下载比选文件。</w:t>
      </w:r>
    </w:p>
    <w:p>
      <w:pPr>
        <w:pStyle w:val="10"/>
        <w:keepNext w:val="0"/>
        <w:keepLines w:val="0"/>
        <w:pageBreakBefore w:val="0"/>
        <w:widowControl w:val="0"/>
        <w:kinsoku/>
        <w:wordWrap/>
        <w:overflowPunct/>
        <w:topLinePunct w:val="0"/>
        <w:autoSpaceDE/>
        <w:autoSpaceDN/>
        <w:bidi w:val="0"/>
        <w:spacing w:before="0" w:line="300" w:lineRule="auto"/>
        <w:ind w:left="832" w:firstLine="0"/>
        <w:rPr>
          <w:rFonts w:asciiTheme="minorEastAsia" w:hAnsiTheme="minorEastAsia" w:eastAsiaTheme="minorEastAsia"/>
          <w:bCs/>
          <w:sz w:val="24"/>
        </w:rPr>
      </w:pPr>
      <w:r>
        <w:rPr>
          <w:rFonts w:hint="eastAsia" w:ascii="宋体" w:hAnsi="宋体" w:eastAsia="宋体"/>
          <w:bCs/>
          <w:color w:val="auto"/>
          <w:sz w:val="24"/>
          <w:lang w:val="en-US" w:eastAsia="zh-CN"/>
        </w:rPr>
        <w:t>请在报名后联系商务联系人获取“技术要求”文件。</w:t>
      </w:r>
    </w:p>
    <w:p>
      <w:pPr>
        <w:pStyle w:val="10"/>
        <w:keepNext w:val="0"/>
        <w:keepLines w:val="0"/>
        <w:pageBreakBefore w:val="0"/>
        <w:numPr>
          <w:ilvl w:val="0"/>
          <w:numId w:val="0"/>
        </w:numPr>
        <w:kinsoku/>
        <w:overflowPunct/>
        <w:topLinePunct w:val="0"/>
        <w:autoSpaceDE/>
        <w:autoSpaceDN/>
        <w:bidi w:val="0"/>
        <w:spacing w:before="0" w:line="288" w:lineRule="auto"/>
        <w:rPr>
          <w:rFonts w:asciiTheme="minorEastAsia" w:hAnsiTheme="minorEastAsia" w:eastAsiaTheme="minorEastAsia"/>
          <w:bCs/>
          <w:color w:val="000000" w:themeColor="text1"/>
          <w:sz w:val="24"/>
        </w:rPr>
      </w:pPr>
    </w:p>
    <w:p>
      <w:pPr>
        <w:keepNext w:val="0"/>
        <w:keepLines w:val="0"/>
        <w:pageBreakBefore w:val="0"/>
        <w:kinsoku/>
        <w:overflowPunct/>
        <w:topLinePunct w:val="0"/>
        <w:autoSpaceDE/>
        <w:autoSpaceDN/>
        <w:bidi w:val="0"/>
        <w:spacing w:line="288" w:lineRule="auto"/>
        <w:ind w:firstLine="472" w:firstLineChars="196"/>
        <w:rPr>
          <w:rFonts w:asciiTheme="minorEastAsia" w:hAnsiTheme="minorEastAsia" w:eastAsiaTheme="minorEastAsia"/>
          <w:b/>
          <w:bCs/>
          <w:color w:val="000000" w:themeColor="text1"/>
          <w:sz w:val="24"/>
        </w:rPr>
      </w:pPr>
      <w:r>
        <w:rPr>
          <w:rFonts w:hint="eastAsia"/>
          <w:b/>
          <w:bCs/>
          <w:color w:val="000000" w:themeColor="text1"/>
          <w:sz w:val="24"/>
        </w:rPr>
        <w:t>四、参选文件递交要求</w:t>
      </w:r>
    </w:p>
    <w:p>
      <w:pPr>
        <w:pStyle w:val="10"/>
        <w:keepNext w:val="0"/>
        <w:keepLines w:val="0"/>
        <w:pageBreakBefore w:val="0"/>
        <w:numPr>
          <w:ilvl w:val="0"/>
          <w:numId w:val="5"/>
        </w:numPr>
        <w:kinsoku/>
        <w:overflowPunct/>
        <w:topLinePunct w:val="0"/>
        <w:autoSpaceDE/>
        <w:autoSpaceDN/>
        <w:bidi w:val="0"/>
        <w:spacing w:before="100" w:beforeAutospacing="1" w:after="100" w:afterAutospacing="1" w:line="288" w:lineRule="auto"/>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参选文件递交地点：</w:t>
      </w:r>
      <w:r>
        <w:rPr>
          <w:rFonts w:hint="eastAsia" w:asciiTheme="minorEastAsia" w:hAnsiTheme="minorEastAsia" w:eastAsiaTheme="minorEastAsia"/>
          <w:bCs/>
          <w:color w:val="000000" w:themeColor="text1"/>
          <w:sz w:val="24"/>
          <w:lang w:eastAsia="zh-CN"/>
        </w:rPr>
        <w:t>福建福海创石油化工有限公司</w:t>
      </w:r>
      <w:r>
        <w:rPr>
          <w:rFonts w:hint="eastAsia" w:asciiTheme="minorEastAsia" w:hAnsiTheme="minorEastAsia" w:eastAsiaTheme="minorEastAsia"/>
          <w:bCs/>
          <w:color w:val="000000" w:themeColor="text1"/>
          <w:sz w:val="24"/>
        </w:rPr>
        <w:t>（地址：</w:t>
      </w:r>
      <w:r>
        <w:rPr>
          <w:rFonts w:hint="eastAsia" w:asciiTheme="minorEastAsia" w:hAnsiTheme="minorEastAsia" w:eastAsiaTheme="minorEastAsia"/>
          <w:bCs/>
          <w:color w:val="000000" w:themeColor="text1"/>
          <w:sz w:val="24"/>
          <w:lang w:val="en-US" w:eastAsia="zh-CN"/>
        </w:rPr>
        <w:t>漳州市漳浦县杜浔镇杜昌路9号福海创办公大楼2楼</w:t>
      </w:r>
      <w:r>
        <w:rPr>
          <w:rFonts w:hint="eastAsia" w:asciiTheme="minorEastAsia" w:hAnsiTheme="minorEastAsia" w:eastAsiaTheme="minorEastAsia"/>
          <w:bCs/>
          <w:color w:val="000000" w:themeColor="text1"/>
          <w:sz w:val="24"/>
        </w:rPr>
        <w:t>）</w:t>
      </w:r>
      <w:r>
        <w:rPr>
          <w:rFonts w:hint="eastAsia" w:asciiTheme="minorEastAsia" w:hAnsiTheme="minorEastAsia" w:eastAsiaTheme="minorEastAsia"/>
          <w:bCs/>
          <w:color w:val="000000" w:themeColor="text1"/>
          <w:sz w:val="24"/>
          <w:lang w:eastAsia="zh-CN"/>
        </w:rPr>
        <w:t>。</w:t>
      </w:r>
    </w:p>
    <w:p>
      <w:pPr>
        <w:pStyle w:val="10"/>
        <w:keepNext w:val="0"/>
        <w:keepLines w:val="0"/>
        <w:pageBreakBefore w:val="0"/>
        <w:numPr>
          <w:ilvl w:val="0"/>
          <w:numId w:val="5"/>
        </w:numPr>
        <w:kinsoku/>
        <w:overflowPunct/>
        <w:topLinePunct w:val="0"/>
        <w:autoSpaceDE/>
        <w:autoSpaceDN/>
        <w:bidi w:val="0"/>
        <w:spacing w:before="100" w:beforeAutospacing="1" w:after="100" w:afterAutospacing="1" w:line="288" w:lineRule="auto"/>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递交截止时间：</w:t>
      </w:r>
      <w:r>
        <w:rPr>
          <w:rFonts w:hint="eastAsia" w:asciiTheme="majorEastAsia" w:hAnsiTheme="majorEastAsia" w:eastAsiaTheme="majorEastAsia"/>
          <w:bCs/>
          <w:color w:val="000000" w:themeColor="text1"/>
          <w:sz w:val="24"/>
        </w:rPr>
        <w:t>报名截止时间延后2个工作日</w:t>
      </w:r>
      <w:r>
        <w:rPr>
          <w:rFonts w:hint="eastAsia" w:asciiTheme="majorEastAsia" w:hAnsiTheme="majorEastAsia" w:eastAsiaTheme="majorEastAsia"/>
          <w:bCs/>
          <w:color w:val="000000" w:themeColor="text1"/>
          <w:sz w:val="24"/>
          <w:lang w:eastAsia="zh-CN"/>
        </w:rPr>
        <w:t>。</w:t>
      </w:r>
    </w:p>
    <w:p>
      <w:pPr>
        <w:pStyle w:val="10"/>
        <w:keepNext w:val="0"/>
        <w:keepLines w:val="0"/>
        <w:pageBreakBefore w:val="0"/>
        <w:numPr>
          <w:ilvl w:val="0"/>
          <w:numId w:val="5"/>
        </w:numPr>
        <w:kinsoku/>
        <w:overflowPunct/>
        <w:topLinePunct w:val="0"/>
        <w:autoSpaceDE/>
        <w:autoSpaceDN/>
        <w:bidi w:val="0"/>
        <w:spacing w:before="100" w:beforeAutospacing="1" w:after="100" w:afterAutospacing="1" w:line="288" w:lineRule="auto"/>
        <w:ind w:left="1200" w:leftChars="0" w:firstLineChars="0"/>
        <w:rPr>
          <w:rFonts w:asciiTheme="minorEastAsia" w:hAnsiTheme="minorEastAsia" w:eastAsiaTheme="minorEastAsia"/>
          <w:bCs/>
          <w:color w:val="000000" w:themeColor="text1"/>
          <w:sz w:val="24"/>
        </w:rPr>
      </w:pPr>
      <w:r>
        <w:rPr>
          <w:rFonts w:asciiTheme="minorEastAsia" w:hAnsiTheme="minorEastAsia" w:eastAsiaTheme="minorEastAsia"/>
          <w:bCs/>
          <w:color w:val="000000" w:themeColor="text1"/>
          <w:sz w:val="24"/>
          <w:highlight w:val="yellow"/>
        </w:rPr>
        <w:t>寄送快递时，请在快递件</w:t>
      </w:r>
      <w:r>
        <w:rPr>
          <w:rFonts w:hint="eastAsia" w:asciiTheme="minorEastAsia" w:hAnsiTheme="minorEastAsia" w:eastAsiaTheme="minorEastAsia"/>
          <w:bCs/>
          <w:color w:val="000000" w:themeColor="text1"/>
          <w:sz w:val="24"/>
          <w:highlight w:val="yellow"/>
          <w:lang w:val="en-US" w:eastAsia="zh-CN"/>
        </w:rPr>
        <w:t>封面</w:t>
      </w:r>
      <w:r>
        <w:rPr>
          <w:rFonts w:asciiTheme="minorEastAsia" w:hAnsiTheme="minorEastAsia" w:eastAsiaTheme="minorEastAsia"/>
          <w:bCs/>
          <w:color w:val="000000" w:themeColor="text1"/>
          <w:sz w:val="24"/>
          <w:highlight w:val="yellow"/>
        </w:rPr>
        <w:t>备注清楚寄件人公司名称及相应标书项目名称</w:t>
      </w:r>
      <w:r>
        <w:rPr>
          <w:rFonts w:hint="eastAsia" w:asciiTheme="minorEastAsia" w:hAnsiTheme="minorEastAsia" w:eastAsiaTheme="minorEastAsia"/>
          <w:bCs/>
          <w:color w:val="000000" w:themeColor="text1"/>
          <w:sz w:val="24"/>
          <w:highlight w:val="yellow"/>
          <w:lang w:eastAsia="zh-CN"/>
        </w:rPr>
        <w:t>，</w:t>
      </w:r>
      <w:r>
        <w:rPr>
          <w:rFonts w:hint="eastAsia" w:asciiTheme="minorEastAsia" w:hAnsiTheme="minorEastAsia" w:eastAsiaTheme="minorEastAsia"/>
          <w:bCs/>
          <w:color w:val="000000" w:themeColor="text1"/>
          <w:sz w:val="24"/>
          <w:highlight w:val="yellow"/>
          <w:lang w:val="en-US" w:eastAsia="zh-CN"/>
        </w:rPr>
        <w:t>同时快递内随附标书电子版资料</w:t>
      </w:r>
      <w:r>
        <w:rPr>
          <w:rFonts w:asciiTheme="minorEastAsia" w:hAnsiTheme="minorEastAsia" w:eastAsiaTheme="minorEastAsia"/>
          <w:bCs/>
          <w:color w:val="000000" w:themeColor="text1"/>
          <w:sz w:val="24"/>
          <w:highlight w:val="yellow"/>
        </w:rPr>
        <w:t>！</w:t>
      </w:r>
    </w:p>
    <w:p>
      <w:pPr>
        <w:pStyle w:val="10"/>
        <w:keepNext w:val="0"/>
        <w:keepLines w:val="0"/>
        <w:pageBreakBefore w:val="0"/>
        <w:numPr>
          <w:ilvl w:val="0"/>
          <w:numId w:val="5"/>
        </w:numPr>
        <w:kinsoku/>
        <w:overflowPunct/>
        <w:topLinePunct w:val="0"/>
        <w:autoSpaceDE/>
        <w:autoSpaceDN/>
        <w:bidi w:val="0"/>
        <w:spacing w:before="100" w:beforeAutospacing="1" w:after="100" w:afterAutospacing="1" w:line="288" w:lineRule="auto"/>
        <w:ind w:left="1200" w:leftChars="0" w:firstLineChars="0"/>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如遇新型冠状病毒疫情影响导致无法保证物流配送时间，需邮件说明原因并在参选文件</w:t>
      </w:r>
      <w:r>
        <w:rPr>
          <w:rFonts w:hint="eastAsia" w:asciiTheme="majorEastAsia" w:hAnsiTheme="majorEastAsia" w:eastAsiaTheme="majorEastAsia"/>
          <w:bCs/>
          <w:color w:val="000000" w:themeColor="text1"/>
          <w:sz w:val="24"/>
        </w:rPr>
        <w:t>递交截止时间前邮件加密发送参选文件至：</w:t>
      </w:r>
      <w:r>
        <w:rPr>
          <w:rFonts w:hint="eastAsia" w:asciiTheme="majorEastAsia" w:hAnsiTheme="majorEastAsia" w:eastAsiaTheme="majorEastAsia"/>
          <w:bCs/>
          <w:color w:val="000000" w:themeColor="text1"/>
          <w:sz w:val="24"/>
        </w:rPr>
        <w:fldChar w:fldCharType="begin"/>
      </w:r>
      <w:r>
        <w:rPr>
          <w:rFonts w:hint="eastAsia" w:asciiTheme="majorEastAsia" w:hAnsiTheme="majorEastAsia" w:eastAsiaTheme="majorEastAsia"/>
          <w:bCs/>
          <w:color w:val="000000" w:themeColor="text1"/>
          <w:sz w:val="24"/>
        </w:rPr>
        <w:instrText xml:space="preserve"> HYPERLINK "mailto:wzcgb@fjpec.com.cn（邮件标题备注参选项目名称）。开选当日将由业务员联系获取加密密码。" </w:instrText>
      </w:r>
      <w:r>
        <w:rPr>
          <w:rFonts w:hint="eastAsia" w:asciiTheme="majorEastAsia" w:hAnsiTheme="majorEastAsia" w:eastAsiaTheme="majorEastAsia"/>
          <w:bCs/>
          <w:color w:val="000000" w:themeColor="text1"/>
          <w:sz w:val="24"/>
        </w:rPr>
        <w:fldChar w:fldCharType="separate"/>
      </w:r>
      <w:r>
        <w:rPr>
          <w:rFonts w:hint="eastAsia" w:asciiTheme="majorEastAsia" w:hAnsiTheme="majorEastAsia" w:eastAsiaTheme="majorEastAsia"/>
          <w:bCs/>
          <w:color w:val="000000" w:themeColor="text1"/>
          <w:sz w:val="24"/>
        </w:rPr>
        <w:t>wzcgb@fjpec.com.cn（邮件标题备注参选项目名称）。开选当日将由业务员联系获取加密密码。</w:t>
      </w:r>
      <w:r>
        <w:rPr>
          <w:rFonts w:hint="eastAsia" w:asciiTheme="majorEastAsia" w:hAnsiTheme="majorEastAsia" w:eastAsiaTheme="majorEastAsia"/>
          <w:bCs/>
          <w:color w:val="000000" w:themeColor="text1"/>
          <w:sz w:val="24"/>
        </w:rPr>
        <w:fldChar w:fldCharType="end"/>
      </w:r>
    </w:p>
    <w:p>
      <w:pPr>
        <w:pStyle w:val="10"/>
        <w:keepNext w:val="0"/>
        <w:keepLines w:val="0"/>
        <w:pageBreakBefore w:val="0"/>
        <w:numPr>
          <w:ilvl w:val="0"/>
          <w:numId w:val="5"/>
        </w:numPr>
        <w:kinsoku/>
        <w:overflowPunct/>
        <w:topLinePunct w:val="0"/>
        <w:autoSpaceDE/>
        <w:autoSpaceDN/>
        <w:bidi w:val="0"/>
        <w:spacing w:before="100" w:beforeAutospacing="1" w:after="100" w:afterAutospacing="1" w:line="288" w:lineRule="auto"/>
        <w:ind w:left="1200" w:leftChars="0" w:firstLineChars="0"/>
        <w:rPr>
          <w:rFonts w:asciiTheme="minorEastAsia" w:hAnsiTheme="minorEastAsia" w:eastAsiaTheme="minorEastAsia"/>
          <w:bCs/>
          <w:color w:val="000000" w:themeColor="text1"/>
          <w:sz w:val="24"/>
        </w:rPr>
      </w:pPr>
      <w:r>
        <w:rPr>
          <w:rFonts w:hint="eastAsia" w:asciiTheme="majorEastAsia" w:hAnsiTheme="majorEastAsia" w:eastAsiaTheme="majorEastAsia"/>
          <w:bCs/>
          <w:color w:val="000000" w:themeColor="text1"/>
          <w:sz w:val="24"/>
        </w:rPr>
        <w:t>特别声明：（1）参选人必须对全部物资进行参选，不得部分参选，否则其比选文件将被拒绝。（2）未进行登记报名的参选人，其递交的参选文件将被拒收。</w:t>
      </w:r>
      <w:r>
        <w:rPr>
          <w:rFonts w:hint="eastAsia" w:asciiTheme="majorEastAsia" w:hAnsiTheme="majorEastAsia" w:eastAsiaTheme="majorEastAsia"/>
          <w:bCs/>
          <w:color w:val="000000" w:themeColor="text1"/>
          <w:sz w:val="24"/>
          <w:lang w:eastAsia="zh-CN"/>
        </w:rPr>
        <w:t>（</w:t>
      </w:r>
      <w:r>
        <w:rPr>
          <w:rFonts w:hint="eastAsia" w:asciiTheme="majorEastAsia" w:hAnsiTheme="majorEastAsia" w:eastAsiaTheme="majorEastAsia"/>
          <w:bCs/>
          <w:color w:val="000000" w:themeColor="text1"/>
          <w:sz w:val="24"/>
          <w:lang w:val="en-US" w:eastAsia="zh-CN"/>
        </w:rPr>
        <w:t>3</w:t>
      </w:r>
      <w:r>
        <w:rPr>
          <w:rFonts w:hint="eastAsia" w:asciiTheme="majorEastAsia" w:hAnsiTheme="majorEastAsia" w:eastAsiaTheme="majorEastAsia"/>
          <w:bCs/>
          <w:color w:val="000000" w:themeColor="text1"/>
          <w:sz w:val="24"/>
          <w:lang w:eastAsia="zh-CN"/>
        </w:rPr>
        <w:t>）</w:t>
      </w:r>
      <w:r>
        <w:rPr>
          <w:rFonts w:hint="eastAsia" w:asciiTheme="majorEastAsia" w:hAnsiTheme="majorEastAsia" w:eastAsiaTheme="majorEastAsia"/>
          <w:bCs/>
          <w:color w:val="000000" w:themeColor="text1"/>
          <w:sz w:val="24"/>
          <w:lang w:val="en-US" w:eastAsia="zh-CN"/>
        </w:rPr>
        <w:t>不满足附件《2022年PTA装置闭式循环冷却水药剂采购技术要求》的</w:t>
      </w:r>
      <w:r>
        <w:rPr>
          <w:rFonts w:hint="eastAsia" w:asciiTheme="majorEastAsia" w:hAnsiTheme="majorEastAsia" w:eastAsiaTheme="majorEastAsia"/>
          <w:bCs/>
          <w:color w:val="000000" w:themeColor="text1"/>
          <w:sz w:val="24"/>
        </w:rPr>
        <w:t>参选文件将被拒收</w:t>
      </w:r>
      <w:r>
        <w:rPr>
          <w:rFonts w:hint="eastAsia" w:asciiTheme="majorEastAsia" w:hAnsiTheme="majorEastAsia" w:eastAsiaTheme="majorEastAsia"/>
          <w:bCs/>
          <w:color w:val="000000" w:themeColor="text1"/>
          <w:sz w:val="24"/>
          <w:lang w:eastAsia="zh-CN"/>
        </w:rPr>
        <w:t>。</w:t>
      </w:r>
    </w:p>
    <w:p>
      <w:pPr>
        <w:pStyle w:val="10"/>
        <w:keepNext w:val="0"/>
        <w:keepLines w:val="0"/>
        <w:pageBreakBefore w:val="0"/>
        <w:kinsoku/>
        <w:overflowPunct/>
        <w:topLinePunct w:val="0"/>
        <w:autoSpaceDE/>
        <w:autoSpaceDN/>
        <w:bidi w:val="0"/>
        <w:spacing w:before="100" w:beforeAutospacing="1" w:after="100" w:afterAutospacing="1" w:line="288" w:lineRule="auto"/>
        <w:ind w:left="412" w:firstLine="0"/>
        <w:rPr>
          <w:rFonts w:asciiTheme="minorEastAsia" w:hAnsiTheme="minorEastAsia" w:eastAsiaTheme="minorEastAsia"/>
          <w:b/>
          <w:bCs/>
          <w:color w:val="000000" w:themeColor="text1"/>
          <w:sz w:val="24"/>
        </w:rPr>
      </w:pPr>
      <w:r>
        <w:rPr>
          <w:rFonts w:hint="eastAsia" w:asciiTheme="minorEastAsia" w:hAnsiTheme="minorEastAsia" w:eastAsiaTheme="minorEastAsia"/>
          <w:b/>
          <w:bCs/>
          <w:color w:val="000000" w:themeColor="text1"/>
          <w:sz w:val="24"/>
        </w:rPr>
        <w:t>五、联系方式</w:t>
      </w:r>
    </w:p>
    <w:p>
      <w:pPr>
        <w:pStyle w:val="2"/>
        <w:keepNext w:val="0"/>
        <w:keepLines w:val="0"/>
        <w:pageBreakBefore w:val="0"/>
        <w:kinsoku/>
        <w:overflowPunct/>
        <w:topLinePunct w:val="0"/>
        <w:autoSpaceDE/>
        <w:autoSpaceDN/>
        <w:bidi w:val="0"/>
        <w:snapToGrid w:val="0"/>
        <w:spacing w:before="100" w:beforeAutospacing="1" w:after="100" w:afterAutospacing="1" w:line="288" w:lineRule="auto"/>
        <w:ind w:left="412" w:firstLine="480" w:firstLineChars="200"/>
        <w:rPr>
          <w:rFonts w:cs="宋体" w:asciiTheme="minorEastAsia" w:hAnsiTheme="minorEastAsia"/>
          <w:bCs/>
          <w:color w:val="000000" w:themeColor="text1"/>
          <w:sz w:val="24"/>
        </w:rPr>
      </w:pPr>
      <w:r>
        <w:rPr>
          <w:rFonts w:hint="eastAsia" w:cs="宋体" w:asciiTheme="minorEastAsia" w:hAnsiTheme="minorEastAsia"/>
          <w:bCs/>
          <w:color w:val="000000" w:themeColor="text1"/>
          <w:sz w:val="24"/>
        </w:rPr>
        <w:t>商务联系人：</w:t>
      </w:r>
      <w:r>
        <w:rPr>
          <w:rFonts w:hint="eastAsia" w:cs="宋体" w:asciiTheme="minorEastAsia" w:hAnsiTheme="minorEastAsia"/>
          <w:bCs/>
          <w:color w:val="000000" w:themeColor="text1"/>
          <w:sz w:val="24"/>
          <w:lang w:val="en-US" w:eastAsia="zh-CN"/>
        </w:rPr>
        <w:t>卢翠云</w:t>
      </w:r>
      <w:r>
        <w:rPr>
          <w:rFonts w:hint="eastAsia" w:cs="宋体" w:asciiTheme="minorEastAsia" w:hAnsiTheme="minorEastAsia"/>
          <w:bCs/>
          <w:color w:val="000000" w:themeColor="text1"/>
          <w:sz w:val="24"/>
        </w:rPr>
        <w:t xml:space="preserve">  电话：</w:t>
      </w:r>
      <w:r>
        <w:rPr>
          <w:rFonts w:hint="eastAsia" w:cs="宋体" w:asciiTheme="minorEastAsia" w:hAnsiTheme="minorEastAsia"/>
          <w:bCs/>
          <w:color w:val="000000" w:themeColor="text1"/>
          <w:sz w:val="24"/>
          <w:lang w:val="en-US" w:eastAsia="zh-CN"/>
        </w:rPr>
        <w:t>13599526303</w:t>
      </w:r>
      <w:r>
        <w:rPr>
          <w:rFonts w:hint="eastAsia" w:cs="宋体" w:asciiTheme="minorEastAsia" w:hAnsiTheme="minorEastAsia"/>
          <w:bCs/>
          <w:color w:val="000000" w:themeColor="text1"/>
          <w:sz w:val="24"/>
        </w:rPr>
        <w:tab/>
      </w:r>
      <w:r>
        <w:rPr>
          <w:rFonts w:hint="eastAsia" w:cs="宋体" w:asciiTheme="minorEastAsia" w:hAnsiTheme="minorEastAsia"/>
          <w:bCs/>
          <w:color w:val="000000" w:themeColor="text1"/>
          <w:sz w:val="24"/>
        </w:rPr>
        <w:t xml:space="preserve"> 邮箱：</w:t>
      </w:r>
      <w:r>
        <w:rPr>
          <w:rFonts w:hint="eastAsia" w:asciiTheme="minorEastAsia" w:hAnsiTheme="minorEastAsia"/>
          <w:color w:val="000000" w:themeColor="text1"/>
          <w:sz w:val="24"/>
        </w:rPr>
        <w:t>wzcgb</w:t>
      </w:r>
      <w:r>
        <w:rPr>
          <w:rStyle w:val="11"/>
          <w:rFonts w:hint="eastAsia" w:ascii="Times New Roman" w:hAnsi="Times New Roman" w:eastAsia="宋体" w:cs="Times New Roman"/>
          <w:color w:val="000000" w:themeColor="text1"/>
        </w:rPr>
        <w:t>@fjpec.com.cn</w:t>
      </w:r>
    </w:p>
    <w:p>
      <w:pPr>
        <w:pStyle w:val="2"/>
        <w:keepNext w:val="0"/>
        <w:keepLines w:val="0"/>
        <w:pageBreakBefore w:val="0"/>
        <w:kinsoku/>
        <w:overflowPunct/>
        <w:topLinePunct w:val="0"/>
        <w:autoSpaceDE/>
        <w:autoSpaceDN/>
        <w:bidi w:val="0"/>
        <w:snapToGrid w:val="0"/>
        <w:spacing w:before="100" w:beforeAutospacing="1" w:after="100" w:afterAutospacing="1" w:line="288" w:lineRule="auto"/>
        <w:ind w:left="412" w:firstLine="480" w:firstLineChars="200"/>
        <w:rPr>
          <w:rFonts w:cs="宋体" w:asciiTheme="minorEastAsia" w:hAnsiTheme="minorEastAsia"/>
          <w:bCs/>
          <w:color w:val="000000" w:themeColor="text1"/>
          <w:sz w:val="24"/>
        </w:rPr>
      </w:pPr>
      <w:r>
        <w:rPr>
          <w:rFonts w:hint="eastAsia" w:cs="宋体" w:asciiTheme="minorEastAsia" w:hAnsiTheme="minorEastAsia"/>
          <w:bCs/>
          <w:color w:val="000000" w:themeColor="text1"/>
          <w:sz w:val="24"/>
        </w:rPr>
        <w:t>技术联系人：</w:t>
      </w:r>
      <w:r>
        <w:rPr>
          <w:rFonts w:hint="eastAsia" w:cs="宋体" w:asciiTheme="minorEastAsia" w:hAnsiTheme="minorEastAsia"/>
          <w:bCs/>
          <w:color w:val="000000" w:themeColor="text1"/>
          <w:sz w:val="24"/>
          <w:lang w:val="en-US" w:eastAsia="zh-CN"/>
        </w:rPr>
        <w:t>陈海伟</w:t>
      </w:r>
      <w:r>
        <w:rPr>
          <w:rFonts w:hint="eastAsia" w:cs="宋体" w:asciiTheme="minorEastAsia" w:hAnsiTheme="minorEastAsia"/>
          <w:bCs/>
          <w:color w:val="000000" w:themeColor="text1"/>
          <w:sz w:val="24"/>
        </w:rPr>
        <w:t xml:space="preserve"> 电话：13616007156  </w:t>
      </w:r>
      <w:r>
        <w:rPr>
          <w:rFonts w:hint="eastAsia" w:cs="宋体" w:asciiTheme="minorEastAsia" w:hAnsiTheme="minorEastAsia"/>
          <w:bCs/>
          <w:color w:val="000000" w:themeColor="text1"/>
          <w:sz w:val="24"/>
          <w:lang w:val="en-US" w:eastAsia="zh-CN"/>
        </w:rPr>
        <w:t xml:space="preserve"> </w:t>
      </w:r>
      <w:r>
        <w:rPr>
          <w:rFonts w:hint="eastAsia" w:cs="宋体" w:asciiTheme="minorEastAsia" w:hAnsiTheme="minorEastAsia"/>
          <w:bCs/>
          <w:color w:val="000000" w:themeColor="text1"/>
          <w:sz w:val="24"/>
        </w:rPr>
        <w:t>邮箱：</w:t>
      </w:r>
      <w:r>
        <w:rPr>
          <w:rFonts w:ascii="Arial" w:hAnsi="Arial" w:eastAsia="宋体" w:cs="Arial"/>
          <w:color w:val="000000" w:themeColor="text1"/>
          <w:sz w:val="18"/>
          <w:szCs w:val="18"/>
        </w:rPr>
        <w:t>hwchen@fhcpec.com.cn</w:t>
      </w:r>
    </w:p>
    <w:p>
      <w:pPr>
        <w:pStyle w:val="2"/>
        <w:keepNext w:val="0"/>
        <w:keepLines w:val="0"/>
        <w:pageBreakBefore w:val="0"/>
        <w:kinsoku/>
        <w:overflowPunct/>
        <w:topLinePunct w:val="0"/>
        <w:autoSpaceDE/>
        <w:autoSpaceDN/>
        <w:bidi w:val="0"/>
        <w:snapToGrid w:val="0"/>
        <w:spacing w:before="100" w:beforeAutospacing="1" w:after="100" w:afterAutospacing="1" w:line="288" w:lineRule="auto"/>
        <w:ind w:left="412" w:firstLine="480" w:firstLineChars="200"/>
        <w:rPr>
          <w:rFonts w:cs="宋体" w:asciiTheme="minorEastAsia" w:hAnsiTheme="minorEastAsia"/>
          <w:b/>
          <w:bCs/>
          <w:color w:val="000000" w:themeColor="text1"/>
          <w:sz w:val="24"/>
        </w:rPr>
      </w:pPr>
      <w:r>
        <w:rPr>
          <w:rFonts w:hint="eastAsia" w:cs="宋体" w:asciiTheme="minorEastAsia" w:hAnsiTheme="minorEastAsia"/>
          <w:bCs/>
          <w:color w:val="000000" w:themeColor="text1"/>
          <w:sz w:val="24"/>
        </w:rPr>
        <w:t>纪检监察室电话：0596-6311774</w:t>
      </w:r>
    </w:p>
    <w:p>
      <w:pPr>
        <w:pStyle w:val="2"/>
        <w:keepNext w:val="0"/>
        <w:keepLines w:val="0"/>
        <w:pageBreakBefore w:val="0"/>
        <w:kinsoku/>
        <w:overflowPunct/>
        <w:topLinePunct w:val="0"/>
        <w:autoSpaceDE/>
        <w:autoSpaceDN/>
        <w:bidi w:val="0"/>
        <w:snapToGrid w:val="0"/>
        <w:spacing w:before="100" w:beforeAutospacing="1" w:after="100" w:afterAutospacing="1" w:line="288" w:lineRule="auto"/>
        <w:ind w:left="412" w:firstLine="480" w:firstLineChars="200"/>
        <w:rPr>
          <w:rFonts w:asciiTheme="minorEastAsia" w:hAnsiTheme="minorEastAsia"/>
          <w:bCs/>
          <w:color w:val="000000" w:themeColor="text1"/>
          <w:sz w:val="24"/>
        </w:rPr>
      </w:pPr>
      <w:r>
        <w:rPr>
          <w:rFonts w:hint="eastAsia" w:cs="宋体" w:asciiTheme="minorEastAsia" w:hAnsiTheme="minorEastAsia"/>
          <w:bCs/>
          <w:color w:val="000000" w:themeColor="text1"/>
          <w:sz w:val="24"/>
        </w:rPr>
        <w:t>联系地址：</w:t>
      </w:r>
      <w:r>
        <w:rPr>
          <w:rFonts w:hint="eastAsia" w:asciiTheme="minorEastAsia" w:hAnsiTheme="minorEastAsia"/>
          <w:bCs/>
          <w:color w:val="000000" w:themeColor="text1"/>
          <w:sz w:val="24"/>
        </w:rPr>
        <w:t>厦门市思明区莲前街道领事馆路16号银领中心B栋4楼</w:t>
      </w:r>
    </w:p>
    <w:p>
      <w:pPr>
        <w:pStyle w:val="2"/>
        <w:keepNext w:val="0"/>
        <w:keepLines w:val="0"/>
        <w:pageBreakBefore w:val="0"/>
        <w:kinsoku/>
        <w:overflowPunct/>
        <w:topLinePunct w:val="0"/>
        <w:autoSpaceDE/>
        <w:autoSpaceDN/>
        <w:bidi w:val="0"/>
        <w:snapToGrid w:val="0"/>
        <w:spacing w:before="100" w:beforeAutospacing="1" w:after="100" w:afterAutospacing="1" w:line="288" w:lineRule="auto"/>
        <w:ind w:left="412" w:firstLine="480" w:firstLineChars="200"/>
        <w:rPr>
          <w:rFonts w:cs="宋体" w:asciiTheme="minorEastAsia" w:hAnsiTheme="minorEastAsia"/>
          <w:bCs/>
          <w:color w:val="000000" w:themeColor="text1"/>
          <w:sz w:val="24"/>
        </w:rPr>
      </w:pPr>
      <w:r>
        <w:rPr>
          <w:rFonts w:hint="eastAsia" w:cs="宋体" w:asciiTheme="minorEastAsia" w:hAnsiTheme="minorEastAsia"/>
          <w:bCs/>
          <w:color w:val="000000" w:themeColor="text1"/>
          <w:sz w:val="24"/>
        </w:rPr>
        <w:t>邮    编：</w:t>
      </w:r>
      <w:r>
        <w:rPr>
          <w:rFonts w:ascii="Arial" w:hAnsi="Arial" w:eastAsia="宋体" w:cs="Arial"/>
          <w:color w:val="000000" w:themeColor="text1"/>
          <w:sz w:val="24"/>
          <w:shd w:val="clear" w:color="auto" w:fill="FFFFFF"/>
        </w:rPr>
        <w:t>361001</w:t>
      </w:r>
    </w:p>
    <w:p>
      <w:pPr>
        <w:keepNext w:val="0"/>
        <w:keepLines w:val="0"/>
        <w:pageBreakBefore w:val="0"/>
        <w:kinsoku/>
        <w:overflowPunct/>
        <w:topLinePunct w:val="0"/>
        <w:autoSpaceDE/>
        <w:autoSpaceDN/>
        <w:bidi w:val="0"/>
        <w:spacing w:before="100" w:beforeAutospacing="1" w:after="100" w:afterAutospacing="1" w:line="288" w:lineRule="auto"/>
        <w:ind w:firstLine="480" w:firstLineChars="200"/>
        <w:jc w:val="righ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lang w:eastAsia="zh-CN"/>
        </w:rPr>
        <w:t>翔鹭石化（漳州）有限公司</w:t>
      </w:r>
      <w:r>
        <w:rPr>
          <w:rFonts w:hint="eastAsia" w:asciiTheme="minorEastAsia" w:hAnsiTheme="minorEastAsia" w:eastAsiaTheme="minorEastAsia"/>
          <w:color w:val="000000" w:themeColor="text1"/>
          <w:sz w:val="24"/>
        </w:rPr>
        <w:t xml:space="preserve"> </w:t>
      </w:r>
    </w:p>
    <w:p>
      <w:pPr>
        <w:keepNext w:val="0"/>
        <w:keepLines w:val="0"/>
        <w:pageBreakBefore w:val="0"/>
        <w:kinsoku/>
        <w:overflowPunct/>
        <w:topLinePunct w:val="0"/>
        <w:autoSpaceDE/>
        <w:autoSpaceDN/>
        <w:bidi w:val="0"/>
        <w:spacing w:before="100" w:beforeAutospacing="1" w:after="100" w:afterAutospacing="1" w:line="288" w:lineRule="auto"/>
        <w:ind w:firstLine="480" w:firstLineChars="200"/>
        <w:rPr>
          <w:rFonts w:hint="eastAsia" w:asciiTheme="minorEastAsia" w:hAnsiTheme="minorEastAsia" w:eastAsiaTheme="minorEastAsia"/>
          <w:color w:val="000000" w:themeColor="text1"/>
          <w:sz w:val="24"/>
          <w:lang w:eastAsia="zh-CN"/>
        </w:rPr>
      </w:pP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lang w:eastAsia="zh-CN"/>
        </w:rPr>
        <w:t>2022年7月</w:t>
      </w:r>
      <w:r>
        <w:rPr>
          <w:rFonts w:hint="eastAsia" w:asciiTheme="minorEastAsia" w:hAnsiTheme="minorEastAsia" w:eastAsiaTheme="minorEastAsia"/>
          <w:color w:val="000000" w:themeColor="text1"/>
          <w:sz w:val="24"/>
          <w:lang w:val="en-US" w:eastAsia="zh-CN"/>
        </w:rPr>
        <w:t>26</w:t>
      </w:r>
      <w:r>
        <w:rPr>
          <w:rFonts w:hint="eastAsia" w:asciiTheme="minorEastAsia" w:hAnsiTheme="minorEastAsia" w:eastAsiaTheme="minorEastAsia"/>
          <w:color w:val="000000" w:themeColor="text1"/>
          <w:sz w:val="24"/>
          <w:lang w:eastAsia="zh-CN"/>
        </w:rPr>
        <w:t>日</w:t>
      </w: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rPr>
      </w:pPr>
    </w:p>
    <w:p>
      <w:pPr>
        <w:keepNext w:val="0"/>
        <w:keepLines w:val="0"/>
        <w:pageBreakBefore w:val="0"/>
        <w:kinsoku/>
        <w:overflowPunct/>
        <w:topLinePunct w:val="0"/>
        <w:autoSpaceDE/>
        <w:autoSpaceDN/>
        <w:bidi w:val="0"/>
        <w:spacing w:line="288" w:lineRule="auto"/>
        <w:jc w:val="center"/>
        <w:rPr>
          <w:rFonts w:ascii="宋体"/>
          <w:b/>
          <w:bCs/>
          <w:color w:val="000000" w:themeColor="text1"/>
          <w:sz w:val="36"/>
        </w:rPr>
      </w:pPr>
      <w:r>
        <w:rPr>
          <w:rFonts w:hint="eastAsia" w:ascii="宋体" w:hAnsi="宋体"/>
          <w:b/>
          <w:bCs/>
          <w:color w:val="000000" w:themeColor="text1"/>
          <w:sz w:val="36"/>
        </w:rPr>
        <w:t>二、参选规定及说明</w:t>
      </w:r>
    </w:p>
    <w:p>
      <w:pPr>
        <w:keepNext w:val="0"/>
        <w:keepLines w:val="0"/>
        <w:pageBreakBefore w:val="0"/>
        <w:kinsoku/>
        <w:overflowPunct/>
        <w:topLinePunct w:val="0"/>
        <w:autoSpaceDE/>
        <w:autoSpaceDN/>
        <w:bidi w:val="0"/>
        <w:spacing w:line="288" w:lineRule="auto"/>
        <w:rPr>
          <w:rFonts w:ascii="宋体"/>
          <w:color w:val="000000" w:themeColor="text1"/>
          <w:sz w:val="18"/>
          <w:szCs w:val="18"/>
        </w:rPr>
      </w:pPr>
      <w:r>
        <w:rPr>
          <w:rFonts w:ascii="宋体" w:hAnsi="宋体"/>
          <w:color w:val="000000" w:themeColor="text1"/>
          <w:sz w:val="18"/>
          <w:szCs w:val="18"/>
        </w:rPr>
        <w:t>1.</w:t>
      </w:r>
      <w:r>
        <w:rPr>
          <w:rFonts w:hint="eastAsia" w:ascii="宋体" w:hAnsi="宋体"/>
          <w:color w:val="000000" w:themeColor="text1"/>
          <w:sz w:val="18"/>
          <w:szCs w:val="18"/>
        </w:rPr>
        <w:t>本次</w:t>
      </w:r>
      <w:r>
        <w:rPr>
          <w:rFonts w:hint="eastAsia" w:ascii="宋体" w:hAnsi="宋体"/>
          <w:color w:val="000000" w:themeColor="text1"/>
          <w:sz w:val="18"/>
          <w:szCs w:val="18"/>
          <w:lang w:val="en-US" w:eastAsia="zh-CN"/>
        </w:rPr>
        <w:t>公开</w:t>
      </w:r>
      <w:r>
        <w:rPr>
          <w:rFonts w:hint="eastAsia" w:ascii="宋体" w:hAnsi="宋体"/>
          <w:color w:val="000000" w:themeColor="text1"/>
          <w:sz w:val="18"/>
          <w:szCs w:val="18"/>
        </w:rPr>
        <w:t>比选涉及产品为：</w:t>
      </w:r>
      <w:r>
        <w:rPr>
          <w:rFonts w:hint="eastAsia" w:ascii="宋体" w:hAnsi="宋体"/>
          <w:color w:val="000000" w:themeColor="text1"/>
          <w:sz w:val="18"/>
          <w:szCs w:val="18"/>
          <w:u w:val="single"/>
          <w:lang w:val="en-US" w:eastAsia="zh-CN"/>
        </w:rPr>
        <w:t>PTA装置闭式循环冷却水系统处理药剂</w:t>
      </w:r>
      <w:r>
        <w:rPr>
          <w:rFonts w:hint="eastAsia" w:ascii="宋体" w:hAnsi="宋体"/>
          <w:color w:val="000000" w:themeColor="text1"/>
          <w:sz w:val="18"/>
          <w:szCs w:val="18"/>
          <w:u w:val="single"/>
        </w:rPr>
        <w:t>。</w:t>
      </w:r>
    </w:p>
    <w:p>
      <w:pPr>
        <w:pStyle w:val="13"/>
        <w:keepNext w:val="0"/>
        <w:keepLines w:val="0"/>
        <w:pageBreakBefore w:val="0"/>
        <w:kinsoku/>
        <w:overflowPunct/>
        <w:topLinePunct w:val="0"/>
        <w:autoSpaceDE/>
        <w:autoSpaceDN/>
        <w:bidi w:val="0"/>
        <w:spacing w:line="288" w:lineRule="auto"/>
        <w:ind w:firstLine="0" w:firstLineChars="0"/>
        <w:rPr>
          <w:rFonts w:ascii="宋体"/>
          <w:color w:val="000000" w:themeColor="text1"/>
          <w:sz w:val="18"/>
          <w:szCs w:val="18"/>
        </w:rPr>
      </w:pPr>
      <w:r>
        <w:rPr>
          <w:rFonts w:hint="eastAsia" w:ascii="宋体" w:hAnsi="宋体"/>
          <w:color w:val="000000" w:themeColor="text1"/>
          <w:sz w:val="18"/>
          <w:szCs w:val="18"/>
        </w:rPr>
        <w:t>数量、时间、付款方式等、质量标准等按公开比选文件</w:t>
      </w:r>
      <w:r>
        <w:rPr>
          <w:rFonts w:hint="eastAsia" w:ascii="宋体" w:hAnsi="宋体"/>
          <w:color w:val="000000" w:themeColor="text1"/>
          <w:sz w:val="18"/>
          <w:szCs w:val="18"/>
          <w:lang w:val="en-US" w:eastAsia="zh-CN"/>
        </w:rPr>
        <w:t>及附件《2022年PTA装置闭式循环冷却水药剂采购技术要求》</w:t>
      </w:r>
      <w:r>
        <w:rPr>
          <w:rFonts w:hint="eastAsia" w:ascii="宋体" w:hAnsi="宋体"/>
          <w:color w:val="000000" w:themeColor="text1"/>
          <w:sz w:val="18"/>
          <w:szCs w:val="18"/>
        </w:rPr>
        <w:t>要求。</w:t>
      </w:r>
    </w:p>
    <w:p>
      <w:pPr>
        <w:keepNext w:val="0"/>
        <w:keepLines w:val="0"/>
        <w:pageBreakBefore w:val="0"/>
        <w:kinsoku/>
        <w:overflowPunct/>
        <w:topLinePunct w:val="0"/>
        <w:autoSpaceDE/>
        <w:autoSpaceDN/>
        <w:bidi w:val="0"/>
        <w:spacing w:line="288" w:lineRule="auto"/>
        <w:rPr>
          <w:rFonts w:ascii="宋体"/>
          <w:color w:val="000000" w:themeColor="text1"/>
          <w:sz w:val="18"/>
          <w:szCs w:val="18"/>
        </w:rPr>
      </w:pPr>
      <w:r>
        <w:rPr>
          <w:rFonts w:hint="eastAsia" w:ascii="宋体"/>
          <w:color w:val="000000" w:themeColor="text1"/>
          <w:sz w:val="18"/>
          <w:szCs w:val="18"/>
        </w:rPr>
        <w:t>2.参选人资格：</w:t>
      </w:r>
    </w:p>
    <w:p>
      <w:pPr>
        <w:keepNext w:val="0"/>
        <w:keepLines w:val="0"/>
        <w:pageBreakBefore w:val="0"/>
        <w:kinsoku/>
        <w:overflowPunct/>
        <w:topLinePunct w:val="0"/>
        <w:autoSpaceDE/>
        <w:autoSpaceDN/>
        <w:bidi w:val="0"/>
        <w:spacing w:line="288" w:lineRule="auto"/>
        <w:rPr>
          <w:rFonts w:ascii="宋体"/>
          <w:color w:val="000000" w:themeColor="text1"/>
          <w:sz w:val="18"/>
          <w:szCs w:val="18"/>
        </w:rPr>
      </w:pPr>
      <w:r>
        <w:rPr>
          <w:rFonts w:hint="eastAsia" w:ascii="宋体"/>
          <w:color w:val="000000" w:themeColor="text1"/>
          <w:sz w:val="18"/>
          <w:szCs w:val="18"/>
        </w:rPr>
        <w:t>（1）具备独立法人资格、具备有效的企业法人营业执照；</w:t>
      </w:r>
    </w:p>
    <w:p>
      <w:pPr>
        <w:keepNext w:val="0"/>
        <w:keepLines w:val="0"/>
        <w:pageBreakBefore w:val="0"/>
        <w:kinsoku/>
        <w:overflowPunct/>
        <w:topLinePunct w:val="0"/>
        <w:autoSpaceDE/>
        <w:autoSpaceDN/>
        <w:bidi w:val="0"/>
        <w:spacing w:line="288" w:lineRule="auto"/>
        <w:rPr>
          <w:rFonts w:ascii="宋体"/>
          <w:color w:val="000000" w:themeColor="text1"/>
          <w:sz w:val="18"/>
          <w:szCs w:val="18"/>
        </w:rPr>
      </w:pPr>
      <w:r>
        <w:rPr>
          <w:rFonts w:hint="eastAsia" w:ascii="宋体"/>
          <w:color w:val="000000" w:themeColor="text1"/>
          <w:sz w:val="18"/>
          <w:szCs w:val="18"/>
        </w:rPr>
        <w:t>（2）单位负责人为同一人或者存在控股、管理关系的不同单位不得同时参加本项目的比选；</w:t>
      </w:r>
    </w:p>
    <w:p>
      <w:pPr>
        <w:keepNext w:val="0"/>
        <w:keepLines w:val="0"/>
        <w:pageBreakBefore w:val="0"/>
        <w:kinsoku/>
        <w:overflowPunct/>
        <w:topLinePunct w:val="0"/>
        <w:autoSpaceDE/>
        <w:autoSpaceDN/>
        <w:bidi w:val="0"/>
        <w:spacing w:line="288" w:lineRule="auto"/>
        <w:rPr>
          <w:rFonts w:ascii="宋体"/>
          <w:color w:val="000000" w:themeColor="text1"/>
          <w:sz w:val="18"/>
          <w:szCs w:val="18"/>
        </w:rPr>
      </w:pPr>
      <w:r>
        <w:rPr>
          <w:rFonts w:hint="eastAsia" w:ascii="宋体"/>
          <w:color w:val="000000" w:themeColor="text1"/>
          <w:sz w:val="18"/>
          <w:szCs w:val="18"/>
        </w:rPr>
        <w:t>（3）没有失信黑名单记录（以最高院失信被执行人系统发布信息为准）；</w:t>
      </w:r>
    </w:p>
    <w:p>
      <w:pPr>
        <w:keepNext w:val="0"/>
        <w:keepLines w:val="0"/>
        <w:pageBreakBefore w:val="0"/>
        <w:kinsoku/>
        <w:overflowPunct/>
        <w:topLinePunct w:val="0"/>
        <w:autoSpaceDE/>
        <w:autoSpaceDN/>
        <w:bidi w:val="0"/>
        <w:spacing w:line="288" w:lineRule="auto"/>
        <w:rPr>
          <w:rFonts w:hint="eastAsia" w:ascii="宋体"/>
          <w:color w:val="000000" w:themeColor="text1"/>
          <w:sz w:val="18"/>
          <w:szCs w:val="18"/>
          <w:lang w:eastAsia="zh-CN"/>
        </w:rPr>
      </w:pPr>
      <w:r>
        <w:rPr>
          <w:rFonts w:hint="eastAsia" w:ascii="宋体"/>
          <w:color w:val="000000" w:themeColor="text1"/>
          <w:sz w:val="18"/>
          <w:szCs w:val="18"/>
        </w:rPr>
        <w:t>（</w:t>
      </w:r>
      <w:r>
        <w:rPr>
          <w:rFonts w:hint="eastAsia" w:ascii="宋体"/>
          <w:color w:val="000000" w:themeColor="text1"/>
          <w:sz w:val="18"/>
          <w:szCs w:val="18"/>
          <w:lang w:eastAsia="zh-CN"/>
        </w:rPr>
        <w:t>4）与比选人无诉讼纠纷。</w:t>
      </w:r>
    </w:p>
    <w:p>
      <w:pPr>
        <w:keepNext w:val="0"/>
        <w:keepLines w:val="0"/>
        <w:pageBreakBefore w:val="0"/>
        <w:kinsoku/>
        <w:overflowPunct/>
        <w:topLinePunct w:val="0"/>
        <w:autoSpaceDE/>
        <w:autoSpaceDN/>
        <w:bidi w:val="0"/>
        <w:spacing w:line="288" w:lineRule="auto"/>
        <w:rPr>
          <w:rFonts w:hint="eastAsia" w:ascii="宋体"/>
          <w:color w:val="000000" w:themeColor="text1"/>
          <w:sz w:val="18"/>
          <w:szCs w:val="18"/>
          <w:lang w:eastAsia="zh-CN"/>
        </w:rPr>
      </w:pPr>
      <w:r>
        <w:rPr>
          <w:rFonts w:hint="eastAsia" w:ascii="宋体"/>
          <w:color w:val="000000" w:themeColor="text1"/>
          <w:sz w:val="18"/>
          <w:szCs w:val="18"/>
          <w:lang w:eastAsia="zh-CN"/>
        </w:rPr>
        <w:t>（</w:t>
      </w:r>
      <w:r>
        <w:rPr>
          <w:rFonts w:hint="eastAsia" w:ascii="宋体"/>
          <w:color w:val="000000" w:themeColor="text1"/>
          <w:sz w:val="18"/>
          <w:szCs w:val="18"/>
          <w:lang w:val="en-US" w:eastAsia="zh-CN"/>
        </w:rPr>
        <w:t>5</w:t>
      </w:r>
      <w:r>
        <w:rPr>
          <w:rFonts w:hint="eastAsia" w:ascii="宋体"/>
          <w:color w:val="000000" w:themeColor="text1"/>
          <w:sz w:val="18"/>
          <w:szCs w:val="18"/>
          <w:lang w:eastAsia="zh-CN"/>
        </w:rPr>
        <w:t>）通过质量管理体系ISO9001、环境管理体系ISO14001、职业健康安全管理体系认证且在认证有效期内的公司或企业。</w:t>
      </w:r>
    </w:p>
    <w:p>
      <w:pPr>
        <w:keepNext w:val="0"/>
        <w:keepLines w:val="0"/>
        <w:pageBreakBefore w:val="0"/>
        <w:kinsoku/>
        <w:overflowPunct/>
        <w:topLinePunct w:val="0"/>
        <w:autoSpaceDE/>
        <w:autoSpaceDN/>
        <w:bidi w:val="0"/>
        <w:spacing w:line="288" w:lineRule="auto"/>
        <w:rPr>
          <w:rFonts w:hint="eastAsia" w:ascii="宋体"/>
          <w:color w:val="000000" w:themeColor="text1"/>
          <w:sz w:val="18"/>
          <w:szCs w:val="18"/>
          <w:lang w:eastAsia="zh-CN"/>
        </w:rPr>
      </w:pPr>
      <w:r>
        <w:rPr>
          <w:rFonts w:hint="eastAsia" w:ascii="宋体"/>
          <w:color w:val="000000" w:themeColor="text1"/>
          <w:sz w:val="18"/>
          <w:szCs w:val="18"/>
          <w:lang w:val="en-US" w:eastAsia="zh-CN"/>
        </w:rPr>
        <w:t>（6）提供</w:t>
      </w:r>
      <w:r>
        <w:rPr>
          <w:rFonts w:hint="eastAsia" w:ascii="宋体"/>
          <w:color w:val="000000" w:themeColor="text1"/>
          <w:sz w:val="18"/>
          <w:szCs w:val="18"/>
          <w:lang w:eastAsia="zh-CN"/>
        </w:rPr>
        <w:t>标的物具有相同或相近行业（PTA行业或石油化工行业）近三年内的大型闭式循环水系统处理经验和实际应用业绩，并提供业绩证明文件（合同或发票扫描件，加盖公章确认），所服务项目单系统循环量大于30000m3/h的装置不少于5套，签约服务的厂家数量不少于3家，且业绩应为投标厂商单独处理完成的业绩，不接受“联合体”投标。投标厂商应为标的物生产厂商，不接受代理商投标。</w:t>
      </w:r>
    </w:p>
    <w:p>
      <w:pPr>
        <w:keepNext w:val="0"/>
        <w:keepLines w:val="0"/>
        <w:pageBreakBefore w:val="0"/>
        <w:kinsoku/>
        <w:overflowPunct/>
        <w:topLinePunct w:val="0"/>
        <w:autoSpaceDE/>
        <w:autoSpaceDN/>
        <w:bidi w:val="0"/>
        <w:spacing w:line="288" w:lineRule="auto"/>
        <w:rPr>
          <w:rFonts w:hint="eastAsia" w:ascii="宋体"/>
          <w:color w:val="000000" w:themeColor="text1"/>
          <w:sz w:val="18"/>
          <w:szCs w:val="18"/>
          <w:lang w:eastAsia="zh-CN"/>
        </w:rPr>
      </w:pPr>
      <w:r>
        <w:rPr>
          <w:rFonts w:hint="eastAsia" w:ascii="宋体"/>
          <w:color w:val="000000" w:themeColor="text1"/>
          <w:sz w:val="18"/>
          <w:szCs w:val="18"/>
          <w:lang w:eastAsia="zh-CN"/>
        </w:rPr>
        <w:t>（</w:t>
      </w:r>
      <w:r>
        <w:rPr>
          <w:rFonts w:hint="eastAsia" w:ascii="宋体"/>
          <w:color w:val="000000" w:themeColor="text1"/>
          <w:sz w:val="18"/>
          <w:szCs w:val="18"/>
          <w:lang w:val="en-US" w:eastAsia="zh-CN"/>
        </w:rPr>
        <w:t>7</w:t>
      </w:r>
      <w:r>
        <w:rPr>
          <w:rFonts w:hint="eastAsia" w:ascii="宋体"/>
          <w:color w:val="000000" w:themeColor="text1"/>
          <w:sz w:val="18"/>
          <w:szCs w:val="18"/>
          <w:lang w:eastAsia="zh-CN"/>
        </w:rPr>
        <w:t>）无自身原因造成的不良服务记录和客户投诉。</w:t>
      </w:r>
    </w:p>
    <w:p>
      <w:pPr>
        <w:keepNext w:val="0"/>
        <w:keepLines w:val="0"/>
        <w:pageBreakBefore w:val="0"/>
        <w:kinsoku/>
        <w:overflowPunct/>
        <w:topLinePunct w:val="0"/>
        <w:autoSpaceDE/>
        <w:autoSpaceDN/>
        <w:bidi w:val="0"/>
        <w:spacing w:line="288" w:lineRule="auto"/>
        <w:rPr>
          <w:rFonts w:hint="eastAsia" w:ascii="宋体"/>
          <w:color w:val="000000" w:themeColor="text1"/>
          <w:sz w:val="18"/>
          <w:szCs w:val="18"/>
          <w:lang w:eastAsia="zh-CN"/>
        </w:rPr>
      </w:pPr>
      <w:r>
        <w:rPr>
          <w:rFonts w:hint="eastAsia" w:ascii="宋体"/>
          <w:color w:val="000000" w:themeColor="text1"/>
          <w:sz w:val="18"/>
          <w:szCs w:val="18"/>
          <w:lang w:eastAsia="zh-CN"/>
        </w:rPr>
        <w:t>（</w:t>
      </w:r>
      <w:r>
        <w:rPr>
          <w:rFonts w:hint="eastAsia" w:ascii="宋体"/>
          <w:color w:val="000000" w:themeColor="text1"/>
          <w:sz w:val="18"/>
          <w:szCs w:val="18"/>
          <w:lang w:val="en-US" w:eastAsia="zh-CN"/>
        </w:rPr>
        <w:t>8</w:t>
      </w:r>
      <w:r>
        <w:rPr>
          <w:rFonts w:hint="eastAsia" w:ascii="宋体"/>
          <w:color w:val="000000" w:themeColor="text1"/>
          <w:sz w:val="18"/>
          <w:szCs w:val="18"/>
          <w:lang w:eastAsia="zh-CN"/>
        </w:rPr>
        <w:t>）参选保证金：</w:t>
      </w:r>
      <w:r>
        <w:rPr>
          <w:rFonts w:hint="eastAsia" w:ascii="宋体"/>
          <w:color w:val="000000" w:themeColor="text1"/>
          <w:sz w:val="18"/>
          <w:szCs w:val="18"/>
          <w:lang w:val="en-US" w:eastAsia="zh-CN"/>
        </w:rPr>
        <w:t>陆万元整；</w:t>
      </w:r>
    </w:p>
    <w:p>
      <w:pPr>
        <w:keepNext w:val="0"/>
        <w:keepLines w:val="0"/>
        <w:pageBreakBefore w:val="0"/>
        <w:kinsoku/>
        <w:overflowPunct/>
        <w:topLinePunct w:val="0"/>
        <w:autoSpaceDE/>
        <w:autoSpaceDN/>
        <w:bidi w:val="0"/>
        <w:spacing w:line="288" w:lineRule="auto"/>
        <w:rPr>
          <w:rFonts w:ascii="宋体"/>
          <w:color w:val="000000" w:themeColor="text1"/>
          <w:sz w:val="18"/>
          <w:szCs w:val="18"/>
        </w:rPr>
      </w:pPr>
      <w:r>
        <w:rPr>
          <w:rFonts w:ascii="宋体" w:hAnsi="宋体"/>
          <w:color w:val="000000" w:themeColor="text1"/>
          <w:sz w:val="18"/>
          <w:szCs w:val="18"/>
        </w:rPr>
        <w:t>3.</w:t>
      </w:r>
      <w:r>
        <w:rPr>
          <w:rFonts w:hint="eastAsia"/>
          <w:color w:val="000000" w:themeColor="text1"/>
          <w:sz w:val="18"/>
          <w:szCs w:val="18"/>
        </w:rPr>
        <w:t>参选人要仔细阅读公开比选文件的内容，按该报价要求提供以下要求的文件，所提供资料必须真实。</w:t>
      </w:r>
    </w:p>
    <w:p>
      <w:pPr>
        <w:keepNext w:val="0"/>
        <w:keepLines w:val="0"/>
        <w:pageBreakBefore w:val="0"/>
        <w:kinsoku/>
        <w:overflowPunct/>
        <w:topLinePunct w:val="0"/>
        <w:autoSpaceDE/>
        <w:autoSpaceDN/>
        <w:bidi w:val="0"/>
        <w:spacing w:line="288" w:lineRule="auto"/>
        <w:rPr>
          <w:rFonts w:ascii="宋体" w:hAnsi="宋体"/>
          <w:color w:val="000000" w:themeColor="text1"/>
          <w:sz w:val="18"/>
          <w:szCs w:val="18"/>
        </w:rPr>
      </w:pPr>
      <w:r>
        <w:rPr>
          <w:rFonts w:ascii="宋体" w:hAnsi="宋体"/>
          <w:color w:val="000000" w:themeColor="text1"/>
          <w:sz w:val="18"/>
          <w:szCs w:val="18"/>
        </w:rPr>
        <w:t>4.</w:t>
      </w:r>
      <w:r>
        <w:rPr>
          <w:rFonts w:hint="eastAsia" w:ascii="宋体" w:hAnsi="宋体"/>
          <w:color w:val="000000" w:themeColor="text1"/>
          <w:sz w:val="18"/>
          <w:szCs w:val="18"/>
        </w:rPr>
        <w:t>公开比选请按以下要求密封报价。</w:t>
      </w:r>
    </w:p>
    <w:p>
      <w:pPr>
        <w:keepNext w:val="0"/>
        <w:keepLines w:val="0"/>
        <w:pageBreakBefore w:val="0"/>
        <w:kinsoku/>
        <w:overflowPunct/>
        <w:topLinePunct w:val="0"/>
        <w:autoSpaceDE/>
        <w:autoSpaceDN/>
        <w:bidi w:val="0"/>
        <w:spacing w:line="288" w:lineRule="auto"/>
        <w:rPr>
          <w:rFonts w:ascii="宋体" w:hAnsi="宋体"/>
          <w:color w:val="000000" w:themeColor="text1"/>
          <w:sz w:val="18"/>
          <w:szCs w:val="18"/>
        </w:rPr>
      </w:pPr>
      <w:r>
        <w:rPr>
          <w:rFonts w:ascii="宋体" w:hAnsi="宋体"/>
          <w:color w:val="000000" w:themeColor="text1"/>
          <w:sz w:val="18"/>
          <w:szCs w:val="18"/>
        </w:rPr>
        <w:t>5.</w:t>
      </w:r>
      <w:r>
        <w:rPr>
          <w:rFonts w:hint="eastAsia" w:ascii="宋体" w:hAnsi="宋体"/>
          <w:color w:val="000000" w:themeColor="text1"/>
          <w:sz w:val="18"/>
          <w:szCs w:val="18"/>
        </w:rPr>
        <w:t>参选人密封参选书，在各封口处加盖公司印章。以下材料一式两份，称为“参选文件”，需正、副本各一份，注明“正本”及“副本”并逐页盖公章，包括：</w:t>
      </w:r>
    </w:p>
    <w:p>
      <w:pPr>
        <w:keepNext w:val="0"/>
        <w:keepLines w:val="0"/>
        <w:pageBreakBefore w:val="0"/>
        <w:kinsoku/>
        <w:overflowPunct/>
        <w:topLinePunct w:val="0"/>
        <w:autoSpaceDE/>
        <w:autoSpaceDN/>
        <w:bidi w:val="0"/>
        <w:spacing w:line="288" w:lineRule="auto"/>
        <w:rPr>
          <w:rFonts w:ascii="宋体" w:hAnsi="宋体"/>
          <w:color w:val="000000" w:themeColor="text1"/>
          <w:sz w:val="18"/>
          <w:szCs w:val="18"/>
        </w:rPr>
      </w:pPr>
      <w:r>
        <w:rPr>
          <w:rFonts w:hint="eastAsia" w:ascii="宋体" w:hAnsi="宋体"/>
          <w:color w:val="000000" w:themeColor="text1"/>
          <w:sz w:val="18"/>
          <w:szCs w:val="18"/>
        </w:rPr>
        <w:t>（</w:t>
      </w:r>
      <w:r>
        <w:rPr>
          <w:rFonts w:ascii="宋体" w:hAnsi="宋体"/>
          <w:color w:val="000000" w:themeColor="text1"/>
          <w:sz w:val="18"/>
          <w:szCs w:val="18"/>
        </w:rPr>
        <w:t>1</w:t>
      </w:r>
      <w:r>
        <w:rPr>
          <w:rFonts w:hint="eastAsia" w:ascii="宋体" w:hAnsi="宋体"/>
          <w:color w:val="000000" w:themeColor="text1"/>
          <w:sz w:val="18"/>
          <w:szCs w:val="18"/>
        </w:rPr>
        <w:t>）比选公告</w:t>
      </w:r>
    </w:p>
    <w:p>
      <w:pPr>
        <w:keepNext w:val="0"/>
        <w:keepLines w:val="0"/>
        <w:pageBreakBefore w:val="0"/>
        <w:kinsoku/>
        <w:overflowPunct/>
        <w:topLinePunct w:val="0"/>
        <w:autoSpaceDE/>
        <w:autoSpaceDN/>
        <w:bidi w:val="0"/>
        <w:spacing w:line="288" w:lineRule="auto"/>
        <w:rPr>
          <w:rFonts w:ascii="宋体" w:hAnsi="宋体"/>
          <w:color w:val="000000" w:themeColor="text1"/>
          <w:sz w:val="18"/>
          <w:szCs w:val="18"/>
        </w:rPr>
      </w:pPr>
      <w:r>
        <w:rPr>
          <w:rFonts w:hint="eastAsia" w:ascii="宋体" w:hAnsi="宋体"/>
          <w:color w:val="000000" w:themeColor="text1"/>
          <w:sz w:val="18"/>
          <w:szCs w:val="18"/>
        </w:rPr>
        <w:t>（2）参选规定及说明</w:t>
      </w:r>
    </w:p>
    <w:p>
      <w:pPr>
        <w:keepNext w:val="0"/>
        <w:keepLines w:val="0"/>
        <w:pageBreakBefore w:val="0"/>
        <w:kinsoku/>
        <w:overflowPunct/>
        <w:topLinePunct w:val="0"/>
        <w:autoSpaceDE/>
        <w:autoSpaceDN/>
        <w:bidi w:val="0"/>
        <w:spacing w:line="288" w:lineRule="auto"/>
        <w:rPr>
          <w:rFonts w:ascii="宋体" w:hAnsi="宋体"/>
          <w:color w:val="000000" w:themeColor="text1"/>
          <w:sz w:val="18"/>
          <w:szCs w:val="18"/>
        </w:rPr>
      </w:pPr>
      <w:r>
        <w:rPr>
          <w:rFonts w:hint="eastAsia" w:ascii="宋体" w:hAnsi="宋体"/>
          <w:color w:val="000000" w:themeColor="text1"/>
          <w:sz w:val="18"/>
          <w:szCs w:val="18"/>
        </w:rPr>
        <w:t>（3）公开比选文件</w:t>
      </w:r>
    </w:p>
    <w:p>
      <w:pPr>
        <w:keepNext w:val="0"/>
        <w:keepLines w:val="0"/>
        <w:pageBreakBefore w:val="0"/>
        <w:kinsoku/>
        <w:overflowPunct/>
        <w:topLinePunct w:val="0"/>
        <w:autoSpaceDE/>
        <w:autoSpaceDN/>
        <w:bidi w:val="0"/>
        <w:spacing w:line="288" w:lineRule="auto"/>
        <w:rPr>
          <w:rFonts w:ascii="宋体" w:hAnsi="宋体"/>
          <w:color w:val="000000" w:themeColor="text1"/>
          <w:sz w:val="18"/>
          <w:szCs w:val="18"/>
        </w:rPr>
      </w:pPr>
      <w:r>
        <w:rPr>
          <w:rFonts w:hint="eastAsia" w:ascii="宋体" w:hAnsi="宋体"/>
          <w:color w:val="000000" w:themeColor="text1"/>
          <w:sz w:val="18"/>
          <w:szCs w:val="18"/>
        </w:rPr>
        <w:t>（4）参选书</w:t>
      </w:r>
    </w:p>
    <w:p>
      <w:pPr>
        <w:keepNext w:val="0"/>
        <w:keepLines w:val="0"/>
        <w:pageBreakBefore w:val="0"/>
        <w:kinsoku/>
        <w:overflowPunct/>
        <w:topLinePunct w:val="0"/>
        <w:autoSpaceDE/>
        <w:autoSpaceDN/>
        <w:bidi w:val="0"/>
        <w:spacing w:line="288" w:lineRule="auto"/>
        <w:rPr>
          <w:rFonts w:ascii="宋体" w:hAnsi="宋体"/>
          <w:color w:val="000000" w:themeColor="text1"/>
          <w:sz w:val="18"/>
          <w:szCs w:val="18"/>
        </w:rPr>
      </w:pPr>
      <w:r>
        <w:rPr>
          <w:rFonts w:hint="eastAsia" w:ascii="宋体" w:hAnsi="宋体"/>
          <w:color w:val="000000" w:themeColor="text1"/>
          <w:sz w:val="18"/>
          <w:szCs w:val="18"/>
        </w:rPr>
        <w:t>（5）法定代表人授权书</w:t>
      </w:r>
    </w:p>
    <w:p>
      <w:pPr>
        <w:keepNext w:val="0"/>
        <w:keepLines w:val="0"/>
        <w:pageBreakBefore w:val="0"/>
        <w:kinsoku/>
        <w:overflowPunct/>
        <w:topLinePunct w:val="0"/>
        <w:autoSpaceDE/>
        <w:autoSpaceDN/>
        <w:bidi w:val="0"/>
        <w:spacing w:line="288" w:lineRule="auto"/>
        <w:rPr>
          <w:rFonts w:hint="eastAsia" w:ascii="宋体" w:hAnsi="宋体"/>
          <w:color w:val="000000" w:themeColor="text1"/>
          <w:sz w:val="18"/>
          <w:szCs w:val="18"/>
        </w:rPr>
      </w:pPr>
      <w:r>
        <w:rPr>
          <w:rFonts w:hint="eastAsia" w:ascii="宋体" w:hAnsi="宋体"/>
          <w:color w:val="000000" w:themeColor="text1"/>
          <w:sz w:val="18"/>
          <w:szCs w:val="18"/>
        </w:rPr>
        <w:t>（6）报价单</w:t>
      </w:r>
    </w:p>
    <w:p>
      <w:pPr>
        <w:pStyle w:val="10"/>
        <w:keepNext w:val="0"/>
        <w:keepLines w:val="0"/>
        <w:pageBreakBefore w:val="0"/>
        <w:numPr>
          <w:ilvl w:val="0"/>
          <w:numId w:val="0"/>
        </w:numPr>
        <w:kinsoku/>
        <w:overflowPunct/>
        <w:topLinePunct w:val="0"/>
        <w:autoSpaceDE/>
        <w:autoSpaceDN/>
        <w:bidi w:val="0"/>
        <w:spacing w:before="0" w:line="288" w:lineRule="auto"/>
        <w:rPr>
          <w:rFonts w:hint="eastAsia" w:ascii="宋体" w:hAnsi="宋体" w:eastAsia="宋体"/>
          <w:color w:val="000000" w:themeColor="text1"/>
          <w:sz w:val="18"/>
          <w:szCs w:val="18"/>
          <w:lang w:eastAsia="zh-CN"/>
        </w:rPr>
      </w:pPr>
      <w:r>
        <w:rPr>
          <w:rFonts w:hint="eastAsia" w:ascii="宋体" w:hAnsi="宋体" w:eastAsia="宋体" w:cs="Times New Roman"/>
          <w:color w:val="000000" w:themeColor="text1"/>
          <w:kern w:val="2"/>
          <w:sz w:val="18"/>
          <w:szCs w:val="18"/>
          <w:lang w:val="en-US" w:eastAsia="zh-CN" w:bidi="ar-SA"/>
        </w:rPr>
        <w:t>（7）附件《2022年PTA装置闭式循环冷却水药剂采购技术要求》及其中要求的文件。</w:t>
      </w:r>
    </w:p>
    <w:p>
      <w:pPr>
        <w:keepNext w:val="0"/>
        <w:keepLines w:val="0"/>
        <w:pageBreakBefore w:val="0"/>
        <w:kinsoku/>
        <w:overflowPunct/>
        <w:topLinePunct w:val="0"/>
        <w:autoSpaceDE/>
        <w:autoSpaceDN/>
        <w:bidi w:val="0"/>
        <w:spacing w:line="288" w:lineRule="auto"/>
        <w:rPr>
          <w:rFonts w:ascii="宋体" w:hAnsi="宋体"/>
          <w:color w:val="000000" w:themeColor="text1"/>
          <w:sz w:val="18"/>
          <w:szCs w:val="18"/>
        </w:rPr>
      </w:pPr>
      <w:r>
        <w:rPr>
          <w:rFonts w:ascii="宋体" w:hAnsi="宋体"/>
          <w:color w:val="000000" w:themeColor="text1"/>
          <w:sz w:val="18"/>
          <w:szCs w:val="18"/>
        </w:rPr>
        <w:t>6.</w:t>
      </w:r>
      <w:r>
        <w:rPr>
          <w:rFonts w:hint="eastAsia" w:ascii="宋体" w:hAnsi="宋体"/>
          <w:color w:val="000000" w:themeColor="text1"/>
          <w:sz w:val="18"/>
          <w:szCs w:val="18"/>
        </w:rPr>
        <w:t>参选文件的修改：</w:t>
      </w:r>
    </w:p>
    <w:p>
      <w:pPr>
        <w:keepNext w:val="0"/>
        <w:keepLines w:val="0"/>
        <w:pageBreakBefore w:val="0"/>
        <w:kinsoku/>
        <w:overflowPunct/>
        <w:topLinePunct w:val="0"/>
        <w:autoSpaceDE/>
        <w:autoSpaceDN/>
        <w:bidi w:val="0"/>
        <w:spacing w:line="288" w:lineRule="auto"/>
        <w:rPr>
          <w:rFonts w:ascii="宋体" w:hAnsi="宋体"/>
          <w:color w:val="000000" w:themeColor="text1"/>
          <w:sz w:val="18"/>
          <w:szCs w:val="18"/>
        </w:rPr>
      </w:pPr>
      <w:r>
        <w:rPr>
          <w:rFonts w:hint="eastAsia" w:ascii="宋体" w:hAnsi="宋体"/>
          <w:color w:val="000000" w:themeColor="text1"/>
          <w:sz w:val="18"/>
          <w:szCs w:val="18"/>
        </w:rPr>
        <w:t>在参选文件收取时间截止</w:t>
      </w:r>
      <w:r>
        <w:rPr>
          <w:rFonts w:ascii="宋体" w:hAnsi="宋体"/>
          <w:color w:val="000000" w:themeColor="text1"/>
          <w:sz w:val="18"/>
          <w:szCs w:val="18"/>
        </w:rPr>
        <w:t>24</w:t>
      </w:r>
      <w:r>
        <w:rPr>
          <w:rFonts w:hint="eastAsia" w:ascii="宋体" w:hAnsi="宋体"/>
          <w:color w:val="000000" w:themeColor="text1"/>
          <w:sz w:val="18"/>
          <w:szCs w:val="18"/>
        </w:rPr>
        <w:t>小时之前，参选人有权修改、补充或撤回已邮寄的参选文件，修改书将替代被修改的部分，成为参选文件的一部分。截至参选文件收取日期前</w:t>
      </w:r>
      <w:r>
        <w:rPr>
          <w:rFonts w:ascii="宋体" w:hAnsi="宋体"/>
          <w:color w:val="000000" w:themeColor="text1"/>
          <w:sz w:val="18"/>
          <w:szCs w:val="18"/>
        </w:rPr>
        <w:t>24</w:t>
      </w:r>
      <w:r>
        <w:rPr>
          <w:rFonts w:hint="eastAsia" w:ascii="宋体" w:hAnsi="宋体"/>
          <w:color w:val="000000" w:themeColor="text1"/>
          <w:sz w:val="18"/>
          <w:szCs w:val="18"/>
        </w:rPr>
        <w:t>小时内，不允许修改、补充或撤回参选文件。</w:t>
      </w:r>
    </w:p>
    <w:p>
      <w:pPr>
        <w:keepNext w:val="0"/>
        <w:keepLines w:val="0"/>
        <w:pageBreakBefore w:val="0"/>
        <w:kinsoku/>
        <w:overflowPunct/>
        <w:topLinePunct w:val="0"/>
        <w:autoSpaceDE/>
        <w:autoSpaceDN/>
        <w:bidi w:val="0"/>
        <w:spacing w:line="288" w:lineRule="auto"/>
        <w:rPr>
          <w:rFonts w:ascii="宋体" w:hAnsi="宋体"/>
          <w:color w:val="000000" w:themeColor="text1"/>
          <w:sz w:val="18"/>
          <w:szCs w:val="18"/>
        </w:rPr>
      </w:pPr>
      <w:r>
        <w:rPr>
          <w:rFonts w:hint="eastAsia" w:ascii="宋体" w:hAnsi="宋体"/>
          <w:color w:val="000000" w:themeColor="text1"/>
          <w:sz w:val="18"/>
          <w:szCs w:val="18"/>
        </w:rPr>
        <w:t>除参选人对错误处做必要修改外，参选文件不允许有加行、涂抹或改写。如有修改错漏处，必须由参选人法定代表人或被授权代表签字并加盖公章。</w:t>
      </w:r>
    </w:p>
    <w:p>
      <w:pPr>
        <w:keepNext w:val="0"/>
        <w:keepLines w:val="0"/>
        <w:pageBreakBefore w:val="0"/>
        <w:kinsoku/>
        <w:overflowPunct/>
        <w:topLinePunct w:val="0"/>
        <w:autoSpaceDE/>
        <w:autoSpaceDN/>
        <w:bidi w:val="0"/>
        <w:spacing w:line="288" w:lineRule="auto"/>
        <w:rPr>
          <w:rFonts w:ascii="宋体" w:hAnsi="宋体"/>
          <w:color w:val="000000" w:themeColor="text1"/>
          <w:sz w:val="18"/>
          <w:szCs w:val="18"/>
        </w:rPr>
      </w:pPr>
      <w:r>
        <w:rPr>
          <w:rFonts w:ascii="宋体" w:hAnsi="宋体"/>
          <w:color w:val="000000" w:themeColor="text1"/>
          <w:sz w:val="18"/>
          <w:szCs w:val="18"/>
        </w:rPr>
        <w:t>7.</w:t>
      </w:r>
      <w:r>
        <w:rPr>
          <w:rFonts w:hint="eastAsia" w:ascii="宋体" w:hAnsi="宋体"/>
          <w:color w:val="000000" w:themeColor="text1"/>
          <w:sz w:val="18"/>
          <w:szCs w:val="18"/>
        </w:rPr>
        <w:t>报价均应为人民币一票含增值税目的地交货价。小写和大写不符，以大写为准；副本与正本不符，以正本为准。</w:t>
      </w:r>
    </w:p>
    <w:p>
      <w:pPr>
        <w:keepNext w:val="0"/>
        <w:keepLines w:val="0"/>
        <w:pageBreakBefore w:val="0"/>
        <w:kinsoku/>
        <w:overflowPunct/>
        <w:topLinePunct w:val="0"/>
        <w:autoSpaceDE/>
        <w:autoSpaceDN/>
        <w:bidi w:val="0"/>
        <w:spacing w:line="288" w:lineRule="auto"/>
        <w:rPr>
          <w:rFonts w:ascii="宋体" w:hAnsi="宋体"/>
          <w:color w:val="000000" w:themeColor="text1"/>
          <w:sz w:val="18"/>
          <w:szCs w:val="18"/>
        </w:rPr>
      </w:pPr>
      <w:r>
        <w:rPr>
          <w:rFonts w:ascii="宋体" w:hAnsi="宋体"/>
          <w:color w:val="000000" w:themeColor="text1"/>
          <w:sz w:val="18"/>
          <w:szCs w:val="18"/>
        </w:rPr>
        <w:t>8.</w:t>
      </w:r>
      <w:r>
        <w:rPr>
          <w:rFonts w:hint="eastAsia" w:ascii="宋体" w:hAnsi="宋体"/>
          <w:color w:val="000000" w:themeColor="text1"/>
          <w:sz w:val="18"/>
          <w:szCs w:val="18"/>
        </w:rPr>
        <w:t>公开比选在本公司或本集团范围内组织比选小组成员召开比选会议，检查参选文件是否符合规定，并作记录。比选会议旨在确定所公开比选</w:t>
      </w:r>
      <w:r>
        <w:rPr>
          <w:rFonts w:hint="eastAsia" w:ascii="宋体" w:hAnsi="宋体"/>
          <w:color w:val="000000" w:themeColor="text1"/>
          <w:sz w:val="18"/>
          <w:szCs w:val="18"/>
          <w:u w:val="single"/>
          <w:lang w:eastAsia="zh-CN"/>
        </w:rPr>
        <w:t>PTA装置闭式循环冷却水系统处理药剂</w:t>
      </w:r>
      <w:r>
        <w:rPr>
          <w:rFonts w:hint="eastAsia" w:ascii="宋体" w:hAnsi="宋体"/>
          <w:color w:val="000000" w:themeColor="text1"/>
          <w:sz w:val="18"/>
          <w:szCs w:val="18"/>
          <w:u w:val="single"/>
        </w:rPr>
        <w:t>的</w:t>
      </w:r>
      <w:r>
        <w:rPr>
          <w:rFonts w:hint="eastAsia" w:ascii="宋体" w:hAnsi="宋体"/>
          <w:color w:val="000000" w:themeColor="text1"/>
          <w:sz w:val="18"/>
          <w:szCs w:val="18"/>
        </w:rPr>
        <w:t>采购指导价格。比选会议确定指导价格之后：</w:t>
      </w:r>
    </w:p>
    <w:p>
      <w:pPr>
        <w:keepNext w:val="0"/>
        <w:keepLines w:val="0"/>
        <w:pageBreakBefore w:val="0"/>
        <w:kinsoku/>
        <w:overflowPunct/>
        <w:topLinePunct w:val="0"/>
        <w:autoSpaceDE/>
        <w:autoSpaceDN/>
        <w:bidi w:val="0"/>
        <w:spacing w:line="288" w:lineRule="auto"/>
        <w:rPr>
          <w:rFonts w:ascii="Arial" w:hAnsi="Arial" w:cs="Arial"/>
          <w:color w:val="000000" w:themeColor="text1"/>
          <w:sz w:val="18"/>
          <w:szCs w:val="18"/>
        </w:rPr>
      </w:pPr>
      <w:r>
        <w:rPr>
          <w:rFonts w:ascii="Arial" w:hAnsi="Arial" w:cs="Arial"/>
          <w:color w:val="000000" w:themeColor="text1"/>
          <w:sz w:val="18"/>
          <w:szCs w:val="18"/>
        </w:rPr>
        <w:t>8.1</w:t>
      </w:r>
      <w:r>
        <w:rPr>
          <w:rFonts w:hint="eastAsia" w:ascii="Arial" w:hAnsi="Arial" w:cs="Arial"/>
          <w:color w:val="000000" w:themeColor="text1"/>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keepNext w:val="0"/>
        <w:keepLines w:val="0"/>
        <w:pageBreakBefore w:val="0"/>
        <w:kinsoku/>
        <w:overflowPunct/>
        <w:topLinePunct w:val="0"/>
        <w:autoSpaceDE/>
        <w:autoSpaceDN/>
        <w:bidi w:val="0"/>
        <w:spacing w:line="288" w:lineRule="auto"/>
        <w:rPr>
          <w:rFonts w:ascii="宋体"/>
          <w:color w:val="000000" w:themeColor="text1"/>
          <w:sz w:val="18"/>
          <w:szCs w:val="18"/>
        </w:rPr>
      </w:pPr>
      <w:r>
        <w:rPr>
          <w:rFonts w:ascii="Arial" w:hAnsi="Arial" w:cs="Arial"/>
          <w:color w:val="000000" w:themeColor="text1"/>
          <w:sz w:val="18"/>
          <w:szCs w:val="18"/>
        </w:rPr>
        <w:t>8.2</w:t>
      </w:r>
      <w:r>
        <w:rPr>
          <w:rFonts w:hint="eastAsia" w:ascii="Arial" w:hAnsi="Arial" w:cs="Arial"/>
          <w:color w:val="000000" w:themeColor="text1"/>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keepNext w:val="0"/>
        <w:keepLines w:val="0"/>
        <w:pageBreakBefore w:val="0"/>
        <w:kinsoku/>
        <w:overflowPunct/>
        <w:topLinePunct w:val="0"/>
        <w:autoSpaceDE/>
        <w:autoSpaceDN/>
        <w:bidi w:val="0"/>
        <w:spacing w:line="288" w:lineRule="auto"/>
        <w:rPr>
          <w:rFonts w:ascii="宋体"/>
          <w:color w:val="000000" w:themeColor="text1"/>
          <w:sz w:val="18"/>
          <w:szCs w:val="18"/>
        </w:rPr>
      </w:pPr>
      <w:r>
        <w:rPr>
          <w:rFonts w:ascii="宋体" w:hAnsi="宋体"/>
          <w:color w:val="000000" w:themeColor="text1"/>
          <w:sz w:val="18"/>
          <w:szCs w:val="18"/>
        </w:rPr>
        <w:t>9.</w:t>
      </w:r>
      <w:r>
        <w:rPr>
          <w:rFonts w:hint="eastAsia" w:ascii="宋体" w:hAnsi="宋体"/>
          <w:color w:val="000000" w:themeColor="text1"/>
          <w:sz w:val="18"/>
          <w:szCs w:val="18"/>
        </w:rPr>
        <w:t>公开比选小组将允许修改参选文件中不构成重大偏离的、不一致或不规则的地方。</w:t>
      </w:r>
    </w:p>
    <w:p>
      <w:pPr>
        <w:keepNext w:val="0"/>
        <w:keepLines w:val="0"/>
        <w:pageBreakBefore w:val="0"/>
        <w:kinsoku/>
        <w:overflowPunct/>
        <w:topLinePunct w:val="0"/>
        <w:autoSpaceDE/>
        <w:autoSpaceDN/>
        <w:bidi w:val="0"/>
        <w:spacing w:line="288" w:lineRule="auto"/>
        <w:rPr>
          <w:rFonts w:ascii="宋体"/>
          <w:color w:val="000000" w:themeColor="text1"/>
          <w:sz w:val="18"/>
          <w:szCs w:val="18"/>
        </w:rPr>
      </w:pPr>
      <w:r>
        <w:rPr>
          <w:rFonts w:ascii="宋体" w:hAnsi="宋体"/>
          <w:color w:val="000000" w:themeColor="text1"/>
          <w:sz w:val="18"/>
          <w:szCs w:val="18"/>
        </w:rPr>
        <w:t>1</w:t>
      </w:r>
      <w:r>
        <w:rPr>
          <w:rFonts w:hint="eastAsia" w:ascii="宋体" w:hAnsi="宋体"/>
          <w:color w:val="000000" w:themeColor="text1"/>
          <w:sz w:val="18"/>
          <w:szCs w:val="18"/>
        </w:rPr>
        <w:t>0</w:t>
      </w:r>
      <w:r>
        <w:rPr>
          <w:rFonts w:ascii="宋体" w:hAnsi="宋体"/>
          <w:color w:val="000000" w:themeColor="text1"/>
          <w:sz w:val="18"/>
          <w:szCs w:val="18"/>
        </w:rPr>
        <w:t>.</w:t>
      </w:r>
      <w:r>
        <w:rPr>
          <w:rFonts w:hint="eastAsia" w:ascii="宋体" w:hAnsi="宋体"/>
          <w:color w:val="000000" w:themeColor="text1"/>
          <w:sz w:val="18"/>
          <w:szCs w:val="18"/>
        </w:rPr>
        <w:t>公开比选小组各成员均有权参与议价。确定价格后，由采购部成员记录各供应商报价以及会议过程的调价情况，各成员共同签署《比选会议纪要》。</w:t>
      </w:r>
    </w:p>
    <w:p>
      <w:pPr>
        <w:keepNext w:val="0"/>
        <w:keepLines w:val="0"/>
        <w:pageBreakBefore w:val="0"/>
        <w:kinsoku/>
        <w:overflowPunct/>
        <w:topLinePunct w:val="0"/>
        <w:autoSpaceDE/>
        <w:autoSpaceDN/>
        <w:bidi w:val="0"/>
        <w:spacing w:line="288" w:lineRule="auto"/>
        <w:rPr>
          <w:rFonts w:ascii="宋体" w:hAnsi="宋体"/>
          <w:color w:val="000000" w:themeColor="text1"/>
          <w:sz w:val="18"/>
          <w:szCs w:val="18"/>
        </w:rPr>
      </w:pPr>
      <w:r>
        <w:rPr>
          <w:rFonts w:ascii="宋体" w:hAnsi="宋体"/>
          <w:color w:val="000000" w:themeColor="text1"/>
          <w:sz w:val="18"/>
          <w:szCs w:val="18"/>
        </w:rPr>
        <w:t>1</w:t>
      </w:r>
      <w:r>
        <w:rPr>
          <w:rFonts w:hint="eastAsia" w:ascii="宋体" w:hAnsi="宋体"/>
          <w:color w:val="000000" w:themeColor="text1"/>
          <w:sz w:val="18"/>
          <w:szCs w:val="18"/>
        </w:rPr>
        <w:t>1.公开比选会议期间，确定价格后，愿意以确定的价格供货的报价人立即或会后邮件扫描或传真《公开比选确认单》至我司，由采购部成员办理随后的公司订单送审手续。比选数量为总数量，订单签署上</w:t>
      </w:r>
      <w:r>
        <w:rPr>
          <w:rFonts w:ascii="宋体"/>
          <w:color w:val="000000" w:themeColor="text1"/>
          <w:sz w:val="18"/>
          <w:szCs w:val="18"/>
        </w:rPr>
        <w:t>,</w:t>
      </w:r>
      <w:r>
        <w:rPr>
          <w:rFonts w:hint="eastAsia" w:ascii="宋体" w:hAnsi="宋体"/>
          <w:color w:val="000000" w:themeColor="text1"/>
          <w:sz w:val="18"/>
          <w:szCs w:val="18"/>
        </w:rPr>
        <w:t>实际订单签署数量根据各供应商实际供应能力和在途、库存周转情况而定。</w:t>
      </w:r>
    </w:p>
    <w:p>
      <w:pPr>
        <w:keepNext w:val="0"/>
        <w:keepLines w:val="0"/>
        <w:pageBreakBefore w:val="0"/>
        <w:kinsoku/>
        <w:overflowPunct/>
        <w:topLinePunct w:val="0"/>
        <w:autoSpaceDE/>
        <w:autoSpaceDN/>
        <w:bidi w:val="0"/>
        <w:spacing w:line="288" w:lineRule="auto"/>
        <w:rPr>
          <w:rFonts w:ascii="宋体"/>
          <w:color w:val="000000" w:themeColor="text1"/>
          <w:sz w:val="18"/>
          <w:szCs w:val="18"/>
        </w:rPr>
      </w:pPr>
      <w:r>
        <w:rPr>
          <w:rFonts w:hint="eastAsia" w:ascii="宋体" w:hAnsi="宋体"/>
          <w:color w:val="000000" w:themeColor="text1"/>
          <w:sz w:val="18"/>
          <w:szCs w:val="18"/>
        </w:rPr>
        <w:t>12.参选文件不退还。</w:t>
      </w:r>
    </w:p>
    <w:p>
      <w:pPr>
        <w:keepNext w:val="0"/>
        <w:keepLines w:val="0"/>
        <w:pageBreakBefore w:val="0"/>
        <w:kinsoku/>
        <w:overflowPunct/>
        <w:topLinePunct w:val="0"/>
        <w:autoSpaceDE/>
        <w:autoSpaceDN/>
        <w:bidi w:val="0"/>
        <w:spacing w:line="288" w:lineRule="auto"/>
        <w:rPr>
          <w:rFonts w:ascii="宋体" w:hAnsi="宋体" w:cs="宋体"/>
          <w:b/>
          <w:color w:val="000000" w:themeColor="text1"/>
          <w:kern w:val="0"/>
          <w:sz w:val="24"/>
        </w:rPr>
      </w:pPr>
      <w:r>
        <w:rPr>
          <w:rFonts w:ascii="宋体" w:hAnsi="宋体"/>
          <w:color w:val="000000" w:themeColor="text1"/>
          <w:sz w:val="18"/>
          <w:szCs w:val="18"/>
        </w:rPr>
        <w:t>1</w:t>
      </w:r>
      <w:r>
        <w:rPr>
          <w:rFonts w:hint="eastAsia" w:ascii="宋体" w:hAnsi="宋体"/>
          <w:color w:val="000000" w:themeColor="text1"/>
          <w:sz w:val="18"/>
          <w:szCs w:val="18"/>
        </w:rPr>
        <w:t>3</w:t>
      </w:r>
      <w:r>
        <w:rPr>
          <w:rFonts w:ascii="宋体" w:hAnsi="宋体"/>
          <w:color w:val="000000" w:themeColor="text1"/>
          <w:sz w:val="18"/>
          <w:szCs w:val="18"/>
        </w:rPr>
        <w:t>.</w:t>
      </w:r>
      <w:r>
        <w:rPr>
          <w:rFonts w:hint="eastAsia" w:ascii="宋体" w:hAnsi="宋体" w:cs="宋体"/>
          <w:b/>
          <w:color w:val="000000" w:themeColor="text1"/>
          <w:kern w:val="0"/>
          <w:sz w:val="24"/>
        </w:rPr>
        <w:t>若报价偏离市场行情，</w:t>
      </w:r>
      <w:r>
        <w:rPr>
          <w:rFonts w:hint="eastAsia" w:ascii="宋体" w:hAnsi="宋体" w:cs="宋体"/>
          <w:b/>
          <w:color w:val="000000" w:themeColor="text1"/>
          <w:kern w:val="0"/>
          <w:sz w:val="24"/>
          <w:lang w:eastAsia="zh-CN"/>
        </w:rPr>
        <w:t>翔鹭石化（漳州）有限公司</w:t>
      </w:r>
      <w:r>
        <w:rPr>
          <w:rFonts w:hint="eastAsia" w:ascii="宋体" w:hAnsi="宋体" w:cs="宋体"/>
          <w:b/>
          <w:color w:val="000000" w:themeColor="text1"/>
          <w:kern w:val="0"/>
          <w:sz w:val="24"/>
        </w:rPr>
        <w:t>有权选择废选。</w:t>
      </w:r>
    </w:p>
    <w:p>
      <w:pPr>
        <w:keepNext w:val="0"/>
        <w:keepLines w:val="0"/>
        <w:pageBreakBefore w:val="0"/>
        <w:kinsoku/>
        <w:overflowPunct/>
        <w:topLinePunct w:val="0"/>
        <w:autoSpaceDE/>
        <w:autoSpaceDN/>
        <w:bidi w:val="0"/>
        <w:spacing w:line="288" w:lineRule="auto"/>
        <w:jc w:val="center"/>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center"/>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center"/>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center"/>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center"/>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center"/>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center"/>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center"/>
        <w:rPr>
          <w:rFonts w:ascii="宋体"/>
          <w:b/>
          <w:bCs/>
          <w:color w:val="000000" w:themeColor="text1"/>
          <w:sz w:val="36"/>
          <w:szCs w:val="36"/>
        </w:rPr>
      </w:pPr>
      <w:r>
        <w:rPr>
          <w:rFonts w:hint="eastAsia" w:ascii="宋体" w:hAnsi="宋体"/>
          <w:b/>
          <w:bCs/>
          <w:color w:val="000000" w:themeColor="text1"/>
          <w:sz w:val="36"/>
          <w:szCs w:val="36"/>
        </w:rPr>
        <w:t>三、比选文件</w:t>
      </w:r>
    </w:p>
    <w:p>
      <w:pPr>
        <w:keepNext w:val="0"/>
        <w:keepLines w:val="0"/>
        <w:pageBreakBefore w:val="0"/>
        <w:kinsoku/>
        <w:overflowPunct/>
        <w:topLinePunct w:val="0"/>
        <w:autoSpaceDE/>
        <w:autoSpaceDN/>
        <w:bidi w:val="0"/>
        <w:spacing w:line="288" w:lineRule="auto"/>
        <w:jc w:val="right"/>
        <w:rPr>
          <w:rFonts w:hint="eastAsia" w:ascii="宋体" w:eastAsia="宋体"/>
          <w:b/>
          <w:bCs/>
          <w:color w:val="000000" w:themeColor="text1"/>
          <w:sz w:val="24"/>
          <w:lang w:eastAsia="zh-CN"/>
        </w:rPr>
      </w:pPr>
      <w:r>
        <w:rPr>
          <w:rFonts w:hint="eastAsia" w:ascii="宋体" w:hAnsi="宋体"/>
          <w:color w:val="000000" w:themeColor="text1"/>
          <w:sz w:val="24"/>
        </w:rPr>
        <w:t>编号：</w:t>
      </w:r>
      <w:r>
        <w:rPr>
          <w:rFonts w:hint="eastAsia" w:asciiTheme="minorEastAsia" w:hAnsiTheme="minorEastAsia" w:eastAsiaTheme="minorEastAsia"/>
          <w:bCs/>
          <w:color w:val="000000" w:themeColor="text1"/>
          <w:sz w:val="24"/>
          <w:u w:val="single"/>
          <w:lang w:eastAsia="zh-CN"/>
        </w:rPr>
        <w:t>2022-FHC-循环冷却水药剂-0721</w:t>
      </w:r>
    </w:p>
    <w:p>
      <w:pPr>
        <w:keepNext w:val="0"/>
        <w:keepLines w:val="0"/>
        <w:pageBreakBefore w:val="0"/>
        <w:tabs>
          <w:tab w:val="left" w:pos="6846"/>
        </w:tabs>
        <w:kinsoku/>
        <w:overflowPunct/>
        <w:topLinePunct w:val="0"/>
        <w:autoSpaceDE/>
        <w:autoSpaceDN/>
        <w:bidi w:val="0"/>
        <w:spacing w:line="288" w:lineRule="auto"/>
        <w:jc w:val="left"/>
        <w:rPr>
          <w:rFonts w:ascii="宋体" w:hAnsi="宋体"/>
          <w:color w:val="000000" w:themeColor="text1"/>
          <w:sz w:val="28"/>
          <w:szCs w:val="28"/>
        </w:rPr>
      </w:pPr>
    </w:p>
    <w:p>
      <w:pPr>
        <w:keepNext w:val="0"/>
        <w:keepLines w:val="0"/>
        <w:pageBreakBefore w:val="0"/>
        <w:tabs>
          <w:tab w:val="left" w:pos="6846"/>
        </w:tabs>
        <w:kinsoku/>
        <w:overflowPunct/>
        <w:topLinePunct w:val="0"/>
        <w:autoSpaceDE/>
        <w:autoSpaceDN/>
        <w:bidi w:val="0"/>
        <w:spacing w:line="288" w:lineRule="auto"/>
        <w:jc w:val="left"/>
        <w:rPr>
          <w:rFonts w:ascii="宋体"/>
          <w:color w:val="000000" w:themeColor="text1"/>
          <w:sz w:val="28"/>
          <w:szCs w:val="28"/>
        </w:rPr>
      </w:pPr>
      <w:r>
        <w:rPr>
          <w:rFonts w:hint="eastAsia" w:ascii="宋体" w:hAnsi="宋体"/>
          <w:color w:val="000000" w:themeColor="text1"/>
          <w:sz w:val="28"/>
          <w:szCs w:val="28"/>
        </w:rPr>
        <w:t>我公司计划采购</w:t>
      </w:r>
      <w:r>
        <w:rPr>
          <w:rFonts w:hint="eastAsia" w:ascii="宋体" w:hAnsi="宋体"/>
          <w:color w:val="000000" w:themeColor="text1"/>
          <w:sz w:val="28"/>
          <w:szCs w:val="28"/>
          <w:lang w:val="en-US" w:eastAsia="zh-CN"/>
        </w:rPr>
        <w:t>PTA装置闭式循环冷却水系统处理药剂</w:t>
      </w:r>
      <w:r>
        <w:rPr>
          <w:rFonts w:hint="eastAsia" w:ascii="宋体" w:hAnsi="宋体"/>
          <w:color w:val="000000" w:themeColor="text1"/>
          <w:sz w:val="28"/>
          <w:szCs w:val="28"/>
        </w:rPr>
        <w:t>，具体要求如下：</w:t>
      </w:r>
      <w:r>
        <w:rPr>
          <w:rFonts w:ascii="宋体"/>
          <w:color w:val="000000" w:themeColor="text1"/>
          <w:sz w:val="28"/>
          <w:szCs w:val="28"/>
        </w:rPr>
        <w:tab/>
      </w:r>
    </w:p>
    <w:p>
      <w:pPr>
        <w:keepNext w:val="0"/>
        <w:keepLines w:val="0"/>
        <w:pageBreakBefore w:val="0"/>
        <w:numPr>
          <w:ilvl w:val="0"/>
          <w:numId w:val="6"/>
        </w:numPr>
        <w:kinsoku/>
        <w:overflowPunct/>
        <w:topLinePunct w:val="0"/>
        <w:autoSpaceDE/>
        <w:autoSpaceDN/>
        <w:bidi w:val="0"/>
        <w:spacing w:line="288" w:lineRule="auto"/>
        <w:jc w:val="left"/>
        <w:rPr>
          <w:rFonts w:hint="eastAsia" w:ascii="宋体" w:hAnsi="宋体" w:cs="宋体"/>
          <w:color w:val="000000" w:themeColor="text1"/>
          <w:sz w:val="24"/>
          <w:lang w:val="en-US" w:eastAsia="zh-CN"/>
        </w:rPr>
      </w:pPr>
      <w:r>
        <w:rPr>
          <w:rFonts w:hint="eastAsia" w:ascii="宋体" w:hAnsi="宋体" w:eastAsia="宋体" w:cs="宋体"/>
          <w:color w:val="000000" w:themeColor="text1"/>
          <w:sz w:val="24"/>
          <w:lang w:val="en-US" w:eastAsia="zh-CN"/>
        </w:rPr>
        <w:t>数量：</w:t>
      </w:r>
      <w:r>
        <w:rPr>
          <w:rFonts w:hint="eastAsia" w:ascii="宋体" w:hAnsi="宋体" w:cs="宋体"/>
          <w:color w:val="000000" w:themeColor="text1"/>
          <w:sz w:val="24"/>
          <w:lang w:val="en-US" w:eastAsia="zh-CN"/>
        </w:rPr>
        <w:t>以总包的方式进行，合约期限为</w:t>
      </w:r>
      <w:r>
        <w:rPr>
          <w:rFonts w:hint="eastAsia" w:ascii="宋体" w:hAnsi="宋体" w:eastAsia="宋体" w:cs="宋体"/>
          <w:color w:val="000000" w:themeColor="text1"/>
          <w:sz w:val="24"/>
          <w:szCs w:val="24"/>
          <w:lang w:val="en-US" w:eastAsia="zh-CN"/>
        </w:rPr>
        <w:t>2022年10月1日至2023年12月31日</w:t>
      </w:r>
      <w:r>
        <w:rPr>
          <w:rFonts w:hint="eastAsia" w:ascii="宋体" w:hAnsi="宋体" w:cs="宋体"/>
          <w:color w:val="000000" w:themeColor="text1"/>
          <w:sz w:val="24"/>
          <w:lang w:val="en-US" w:eastAsia="zh-CN"/>
        </w:rPr>
        <w:t>。</w:t>
      </w:r>
    </w:p>
    <w:p>
      <w:pPr>
        <w:keepNext w:val="0"/>
        <w:keepLines w:val="0"/>
        <w:pageBreakBefore w:val="0"/>
        <w:numPr>
          <w:ilvl w:val="0"/>
          <w:numId w:val="6"/>
        </w:numPr>
        <w:kinsoku/>
        <w:overflowPunct/>
        <w:topLinePunct w:val="0"/>
        <w:autoSpaceDE/>
        <w:autoSpaceDN/>
        <w:bidi w:val="0"/>
        <w:spacing w:line="288" w:lineRule="auto"/>
        <w:jc w:val="left"/>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t>水质控制指标：</w:t>
      </w:r>
    </w:p>
    <w:p>
      <w:pPr>
        <w:keepNext w:val="0"/>
        <w:keepLines w:val="0"/>
        <w:pageBreakBefore w:val="0"/>
        <w:numPr>
          <w:ilvl w:val="0"/>
          <w:numId w:val="0"/>
        </w:numPr>
        <w:kinsoku/>
        <w:overflowPunct/>
        <w:topLinePunct w:val="0"/>
        <w:autoSpaceDE/>
        <w:autoSpaceDN/>
        <w:bidi w:val="0"/>
        <w:spacing w:line="288" w:lineRule="auto"/>
        <w:jc w:val="left"/>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t>2.1以下的水质指标和处理成效必须达成，且列入对供方的重点考核。</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701"/>
        <w:gridCol w:w="1275"/>
        <w:gridCol w:w="1134"/>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center"/>
          </w:tcPr>
          <w:p>
            <w:pPr>
              <w:jc w:val="center"/>
              <w:rPr>
                <w:b/>
                <w:bCs/>
              </w:rPr>
            </w:pPr>
            <w:r>
              <w:rPr>
                <w:rFonts w:hint="eastAsia"/>
                <w:b/>
                <w:bCs/>
              </w:rPr>
              <w:t>检测项目</w:t>
            </w:r>
          </w:p>
        </w:tc>
        <w:tc>
          <w:tcPr>
            <w:tcW w:w="1701" w:type="dxa"/>
            <w:vAlign w:val="center"/>
          </w:tcPr>
          <w:p>
            <w:pPr>
              <w:jc w:val="center"/>
              <w:rPr>
                <w:b/>
                <w:bCs/>
              </w:rPr>
            </w:pPr>
            <w:r>
              <w:rPr>
                <w:rFonts w:hint="eastAsia"/>
                <w:b/>
                <w:bCs/>
              </w:rPr>
              <w:t>单位</w:t>
            </w:r>
          </w:p>
        </w:tc>
        <w:tc>
          <w:tcPr>
            <w:tcW w:w="1275" w:type="dxa"/>
            <w:vAlign w:val="center"/>
          </w:tcPr>
          <w:p>
            <w:pPr>
              <w:jc w:val="center"/>
              <w:rPr>
                <w:b/>
                <w:bCs/>
              </w:rPr>
            </w:pPr>
            <w:r>
              <w:rPr>
                <w:rFonts w:hint="eastAsia"/>
                <w:b/>
                <w:bCs/>
              </w:rPr>
              <w:t>标准值</w:t>
            </w:r>
          </w:p>
        </w:tc>
        <w:tc>
          <w:tcPr>
            <w:tcW w:w="1134" w:type="dxa"/>
            <w:vAlign w:val="center"/>
          </w:tcPr>
          <w:p>
            <w:pPr>
              <w:jc w:val="center"/>
              <w:rPr>
                <w:b/>
                <w:bCs/>
              </w:rPr>
            </w:pPr>
            <w:r>
              <w:rPr>
                <w:rFonts w:hint="eastAsia"/>
                <w:b/>
                <w:bCs/>
              </w:rPr>
              <w:t>分析频率</w:t>
            </w:r>
          </w:p>
        </w:tc>
        <w:tc>
          <w:tcPr>
            <w:tcW w:w="1610" w:type="dxa"/>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center"/>
          </w:tcPr>
          <w:p>
            <w:pPr>
              <w:jc w:val="center"/>
            </w:pPr>
            <w:r>
              <w:rPr>
                <w:rFonts w:hint="eastAsia"/>
              </w:rPr>
              <w:t>PH值</w:t>
            </w:r>
          </w:p>
        </w:tc>
        <w:tc>
          <w:tcPr>
            <w:tcW w:w="1701" w:type="dxa"/>
            <w:vAlign w:val="center"/>
          </w:tcPr>
          <w:p>
            <w:pPr>
              <w:jc w:val="center"/>
            </w:pPr>
          </w:p>
        </w:tc>
        <w:tc>
          <w:tcPr>
            <w:tcW w:w="1275" w:type="dxa"/>
            <w:vAlign w:val="center"/>
          </w:tcPr>
          <w:p>
            <w:pPr>
              <w:jc w:val="center"/>
            </w:pPr>
            <w:r>
              <w:rPr>
                <w:rFonts w:hint="eastAsia"/>
              </w:rPr>
              <w:t>8～10</w:t>
            </w:r>
          </w:p>
        </w:tc>
        <w:tc>
          <w:tcPr>
            <w:tcW w:w="1134" w:type="dxa"/>
            <w:vAlign w:val="center"/>
          </w:tcPr>
          <w:p>
            <w:pPr>
              <w:jc w:val="center"/>
            </w:pPr>
            <w:r>
              <w:rPr>
                <w:rFonts w:hint="eastAsia"/>
              </w:rPr>
              <w:t>每日三次</w:t>
            </w:r>
          </w:p>
        </w:tc>
        <w:tc>
          <w:tcPr>
            <w:tcW w:w="1610" w:type="dxa"/>
            <w:vAlign w:val="center"/>
          </w:tcPr>
          <w:p>
            <w:pPr>
              <w:jc w:val="center"/>
            </w:pPr>
            <w:r>
              <w:rPr>
                <w:rFonts w:hint="eastAsia"/>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center"/>
          </w:tcPr>
          <w:p>
            <w:pPr>
              <w:jc w:val="center"/>
            </w:pPr>
            <w:r>
              <w:rPr>
                <w:rFonts w:hint="eastAsia"/>
              </w:rPr>
              <w:t>浊度</w:t>
            </w:r>
          </w:p>
        </w:tc>
        <w:tc>
          <w:tcPr>
            <w:tcW w:w="1701" w:type="dxa"/>
            <w:vAlign w:val="center"/>
          </w:tcPr>
          <w:p>
            <w:pPr>
              <w:jc w:val="center"/>
            </w:pPr>
            <w:r>
              <w:rPr>
                <w:rFonts w:hint="eastAsia"/>
              </w:rPr>
              <w:t>NTU</w:t>
            </w:r>
          </w:p>
        </w:tc>
        <w:tc>
          <w:tcPr>
            <w:tcW w:w="1275" w:type="dxa"/>
            <w:vAlign w:val="center"/>
          </w:tcPr>
          <w:p>
            <w:pPr>
              <w:jc w:val="center"/>
            </w:pPr>
            <w:r>
              <w:rPr>
                <w:rFonts w:hint="eastAsia"/>
              </w:rPr>
              <w:t>≤10</w:t>
            </w:r>
          </w:p>
        </w:tc>
        <w:tc>
          <w:tcPr>
            <w:tcW w:w="1134" w:type="dxa"/>
            <w:vAlign w:val="center"/>
          </w:tcPr>
          <w:p>
            <w:pPr>
              <w:jc w:val="center"/>
            </w:pPr>
            <w:r>
              <w:rPr>
                <w:rFonts w:hint="eastAsia"/>
              </w:rPr>
              <w:t>每日一次</w:t>
            </w:r>
          </w:p>
        </w:tc>
        <w:tc>
          <w:tcPr>
            <w:tcW w:w="1610" w:type="dxa"/>
            <w:vAlign w:val="center"/>
          </w:tcPr>
          <w:p>
            <w:pPr>
              <w:jc w:val="center"/>
            </w:pPr>
            <w:r>
              <w:rPr>
                <w:rFonts w:hint="eastAsia"/>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center"/>
          </w:tcPr>
          <w:p>
            <w:pPr>
              <w:jc w:val="center"/>
            </w:pPr>
            <w:r>
              <w:rPr>
                <w:rFonts w:hint="eastAsia"/>
              </w:rPr>
              <w:t>总铁</w:t>
            </w:r>
          </w:p>
        </w:tc>
        <w:tc>
          <w:tcPr>
            <w:tcW w:w="1701" w:type="dxa"/>
            <w:vAlign w:val="center"/>
          </w:tcPr>
          <w:p>
            <w:pPr>
              <w:jc w:val="center"/>
            </w:pPr>
            <w:r>
              <w:rPr>
                <w:rFonts w:hint="eastAsia"/>
              </w:rPr>
              <w:t>mg/L</w:t>
            </w:r>
          </w:p>
        </w:tc>
        <w:tc>
          <w:tcPr>
            <w:tcW w:w="1275" w:type="dxa"/>
            <w:vAlign w:val="center"/>
          </w:tcPr>
          <w:p>
            <w:pPr>
              <w:jc w:val="center"/>
            </w:pPr>
            <w:r>
              <w:rPr>
                <w:rFonts w:hint="eastAsia"/>
              </w:rPr>
              <w:t>≤0.5</w:t>
            </w:r>
          </w:p>
        </w:tc>
        <w:tc>
          <w:tcPr>
            <w:tcW w:w="1134" w:type="dxa"/>
            <w:vAlign w:val="center"/>
          </w:tcPr>
          <w:p>
            <w:pPr>
              <w:jc w:val="center"/>
            </w:pPr>
            <w:r>
              <w:rPr>
                <w:rFonts w:hint="eastAsia"/>
              </w:rPr>
              <w:t>每日一次</w:t>
            </w:r>
          </w:p>
        </w:tc>
        <w:tc>
          <w:tcPr>
            <w:tcW w:w="1610" w:type="dxa"/>
            <w:vAlign w:val="center"/>
          </w:tcPr>
          <w:p>
            <w:pPr>
              <w:jc w:val="center"/>
            </w:pPr>
            <w:r>
              <w:rPr>
                <w:rFonts w:hint="eastAsia"/>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center"/>
          </w:tcPr>
          <w:p>
            <w:pPr>
              <w:jc w:val="center"/>
              <w:rPr>
                <w:rFonts w:hint="eastAsia"/>
              </w:rPr>
            </w:pPr>
            <w:r>
              <w:rPr>
                <w:rFonts w:hint="eastAsia"/>
              </w:rPr>
              <w:t>电</w:t>
            </w:r>
            <w:r>
              <w:t>导</w:t>
            </w:r>
            <w:r>
              <w:rPr>
                <w:rFonts w:hint="eastAsia"/>
              </w:rPr>
              <w:t>率</w:t>
            </w:r>
          </w:p>
        </w:tc>
        <w:tc>
          <w:tcPr>
            <w:tcW w:w="1701" w:type="dxa"/>
            <w:vAlign w:val="center"/>
          </w:tcPr>
          <w:p>
            <w:pPr>
              <w:jc w:val="center"/>
              <w:rPr>
                <w:rFonts w:hint="eastAsia"/>
              </w:rPr>
            </w:pPr>
            <w:r>
              <w:rPr>
                <w:rFonts w:ascii="楷体" w:hAnsi="楷体" w:eastAsia="楷体" w:cs="楷体_GB2312"/>
                <w:szCs w:val="24"/>
              </w:rPr>
              <w:t>μS/cm (25</w:t>
            </w:r>
            <w:r>
              <w:rPr>
                <w:rFonts w:hint="eastAsia" w:ascii="楷体" w:hAnsi="楷体" w:eastAsia="楷体" w:cs="楷体_GB2312"/>
                <w:szCs w:val="24"/>
              </w:rPr>
              <w:t>℃</w:t>
            </w:r>
            <w:r>
              <w:rPr>
                <w:rFonts w:ascii="楷体" w:hAnsi="楷体" w:eastAsia="楷体" w:cs="楷体_GB2312"/>
                <w:szCs w:val="24"/>
              </w:rPr>
              <w:t>)</w:t>
            </w:r>
          </w:p>
        </w:tc>
        <w:tc>
          <w:tcPr>
            <w:tcW w:w="1275" w:type="dxa"/>
            <w:vAlign w:val="center"/>
          </w:tcPr>
          <w:p>
            <w:pPr>
              <w:jc w:val="center"/>
              <w:rPr>
                <w:rFonts w:hint="eastAsia"/>
              </w:rPr>
            </w:pPr>
            <w:r>
              <w:rPr>
                <w:rFonts w:ascii="楷体" w:hAnsi="楷体" w:eastAsia="楷体" w:cs="楷体_GB2312"/>
                <w:szCs w:val="24"/>
              </w:rPr>
              <w:t>≤</w:t>
            </w:r>
            <w:r>
              <w:rPr>
                <w:rFonts w:hint="eastAsia" w:ascii="楷体" w:hAnsi="楷体" w:eastAsia="楷体" w:cs="楷体_GB2312"/>
                <w:szCs w:val="24"/>
              </w:rPr>
              <w:t>3</w:t>
            </w:r>
            <w:r>
              <w:rPr>
                <w:rFonts w:ascii="楷体" w:hAnsi="楷体" w:eastAsia="楷体" w:cs="楷体_GB2312"/>
                <w:szCs w:val="24"/>
              </w:rPr>
              <w:t>00</w:t>
            </w:r>
          </w:p>
        </w:tc>
        <w:tc>
          <w:tcPr>
            <w:tcW w:w="1134" w:type="dxa"/>
            <w:vAlign w:val="center"/>
          </w:tcPr>
          <w:p>
            <w:pPr>
              <w:jc w:val="center"/>
              <w:rPr>
                <w:rFonts w:hint="eastAsia"/>
              </w:rPr>
            </w:pPr>
            <w:r>
              <w:rPr>
                <w:rFonts w:hint="eastAsia"/>
              </w:rPr>
              <w:t>每日一次</w:t>
            </w:r>
          </w:p>
        </w:tc>
        <w:tc>
          <w:tcPr>
            <w:tcW w:w="1610" w:type="dxa"/>
            <w:vAlign w:val="center"/>
          </w:tcPr>
          <w:p>
            <w:pPr>
              <w:jc w:val="center"/>
              <w:rPr>
                <w:rFonts w:hint="eastAsia"/>
              </w:rPr>
            </w:pPr>
            <w:r>
              <w:rPr>
                <w:rFonts w:hint="eastAsia"/>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center"/>
          </w:tcPr>
          <w:p>
            <w:pPr>
              <w:jc w:val="center"/>
              <w:rPr>
                <w:b/>
              </w:rPr>
            </w:pPr>
            <w:r>
              <w:rPr>
                <w:rFonts w:hint="eastAsia"/>
                <w:b/>
              </w:rPr>
              <w:t>腐蚀率（碳钢）</w:t>
            </w:r>
          </w:p>
        </w:tc>
        <w:tc>
          <w:tcPr>
            <w:tcW w:w="1701" w:type="dxa"/>
            <w:vAlign w:val="center"/>
          </w:tcPr>
          <w:p>
            <w:pPr>
              <w:jc w:val="center"/>
              <w:rPr>
                <w:b/>
              </w:rPr>
            </w:pPr>
            <w:r>
              <w:rPr>
                <w:rFonts w:hint="eastAsia"/>
                <w:b/>
              </w:rPr>
              <w:t>mm/</w:t>
            </w:r>
            <w:r>
              <w:rPr>
                <w:rFonts w:hint="eastAsia"/>
              </w:rPr>
              <w:t xml:space="preserve"> a</w:t>
            </w:r>
          </w:p>
        </w:tc>
        <w:tc>
          <w:tcPr>
            <w:tcW w:w="1275" w:type="dxa"/>
            <w:vAlign w:val="center"/>
          </w:tcPr>
          <w:p>
            <w:pPr>
              <w:jc w:val="center"/>
              <w:rPr>
                <w:b/>
              </w:rPr>
            </w:pPr>
            <w:r>
              <w:rPr>
                <w:rFonts w:hint="eastAsia"/>
                <w:b/>
              </w:rPr>
              <w:t>＜0.015</w:t>
            </w:r>
          </w:p>
        </w:tc>
        <w:tc>
          <w:tcPr>
            <w:tcW w:w="1134" w:type="dxa"/>
            <w:vAlign w:val="center"/>
          </w:tcPr>
          <w:p>
            <w:pPr>
              <w:jc w:val="center"/>
              <w:rPr>
                <w:b/>
              </w:rPr>
            </w:pPr>
            <w:r>
              <w:rPr>
                <w:rFonts w:hint="eastAsia"/>
                <w:b/>
              </w:rPr>
              <w:t>每月一次</w:t>
            </w:r>
          </w:p>
        </w:tc>
        <w:tc>
          <w:tcPr>
            <w:tcW w:w="1610" w:type="dxa"/>
            <w:vAlign w:val="center"/>
          </w:tcPr>
          <w:p>
            <w:pPr>
              <w:jc w:val="center"/>
              <w:rPr>
                <w:b/>
              </w:rPr>
            </w:pPr>
            <w:r>
              <w:rPr>
                <w:rFonts w:hint="eastAsia"/>
                <w:b/>
              </w:rPr>
              <w:t>重要考核指标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center"/>
          </w:tcPr>
          <w:p>
            <w:pPr>
              <w:jc w:val="center"/>
              <w:rPr>
                <w:b/>
              </w:rPr>
            </w:pPr>
            <w:r>
              <w:rPr>
                <w:rFonts w:hint="eastAsia"/>
                <w:b/>
              </w:rPr>
              <w:t>腐蚀率（铜合金、不锈钢）</w:t>
            </w:r>
          </w:p>
        </w:tc>
        <w:tc>
          <w:tcPr>
            <w:tcW w:w="1701" w:type="dxa"/>
            <w:vAlign w:val="center"/>
          </w:tcPr>
          <w:p>
            <w:pPr>
              <w:jc w:val="center"/>
              <w:rPr>
                <w:b/>
              </w:rPr>
            </w:pPr>
            <w:r>
              <w:rPr>
                <w:rFonts w:hint="eastAsia"/>
                <w:b/>
              </w:rPr>
              <w:t>mm/</w:t>
            </w:r>
            <w:r>
              <w:rPr>
                <w:rFonts w:hint="eastAsia"/>
              </w:rPr>
              <w:t xml:space="preserve"> a</w:t>
            </w:r>
          </w:p>
        </w:tc>
        <w:tc>
          <w:tcPr>
            <w:tcW w:w="1275" w:type="dxa"/>
            <w:vAlign w:val="center"/>
          </w:tcPr>
          <w:p>
            <w:pPr>
              <w:jc w:val="center"/>
              <w:rPr>
                <w:b/>
              </w:rPr>
            </w:pPr>
            <w:r>
              <w:rPr>
                <w:rFonts w:hint="eastAsia"/>
                <w:b/>
              </w:rPr>
              <w:t>＜0.005</w:t>
            </w:r>
          </w:p>
        </w:tc>
        <w:tc>
          <w:tcPr>
            <w:tcW w:w="1134" w:type="dxa"/>
            <w:vAlign w:val="center"/>
          </w:tcPr>
          <w:p>
            <w:pPr>
              <w:jc w:val="center"/>
              <w:rPr>
                <w:b/>
              </w:rPr>
            </w:pPr>
            <w:r>
              <w:rPr>
                <w:rFonts w:hint="eastAsia"/>
                <w:b/>
              </w:rPr>
              <w:t>每月一次</w:t>
            </w:r>
          </w:p>
        </w:tc>
        <w:tc>
          <w:tcPr>
            <w:tcW w:w="1610" w:type="dxa"/>
            <w:vAlign w:val="center"/>
          </w:tcPr>
          <w:p>
            <w:pPr>
              <w:jc w:val="center"/>
              <w:rPr>
                <w:b/>
              </w:rPr>
            </w:pPr>
            <w:r>
              <w:rPr>
                <w:rFonts w:hint="eastAsia"/>
                <w:b/>
              </w:rPr>
              <w:t>重要考核指标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center"/>
          </w:tcPr>
          <w:p>
            <w:pPr>
              <w:jc w:val="center"/>
              <w:rPr>
                <w:b/>
              </w:rPr>
            </w:pPr>
            <w:r>
              <w:rPr>
                <w:rFonts w:hint="eastAsia"/>
                <w:b/>
              </w:rPr>
              <w:t>细菌总数</w:t>
            </w:r>
          </w:p>
        </w:tc>
        <w:tc>
          <w:tcPr>
            <w:tcW w:w="1701" w:type="dxa"/>
            <w:vAlign w:val="center"/>
          </w:tcPr>
          <w:p>
            <w:pPr>
              <w:jc w:val="center"/>
              <w:rPr>
                <w:b/>
              </w:rPr>
            </w:pPr>
            <w:r>
              <w:rPr>
                <w:rFonts w:hint="eastAsia"/>
                <w:b/>
              </w:rPr>
              <w:t>个/ml</w:t>
            </w:r>
          </w:p>
        </w:tc>
        <w:tc>
          <w:tcPr>
            <w:tcW w:w="1275" w:type="dxa"/>
            <w:vAlign w:val="center"/>
          </w:tcPr>
          <w:p>
            <w:pPr>
              <w:jc w:val="center"/>
              <w:rPr>
                <w:b/>
              </w:rPr>
            </w:pPr>
            <w:r>
              <w:rPr>
                <w:rFonts w:hint="eastAsia"/>
                <w:b/>
              </w:rPr>
              <w:t>＜3*10</w:t>
            </w:r>
            <w:r>
              <w:rPr>
                <w:rFonts w:hint="eastAsia"/>
                <w:b/>
                <w:vertAlign w:val="superscript"/>
              </w:rPr>
              <w:t>3</w:t>
            </w:r>
          </w:p>
        </w:tc>
        <w:tc>
          <w:tcPr>
            <w:tcW w:w="1134" w:type="dxa"/>
            <w:vAlign w:val="center"/>
          </w:tcPr>
          <w:p>
            <w:pPr>
              <w:jc w:val="center"/>
              <w:rPr>
                <w:b/>
              </w:rPr>
            </w:pPr>
            <w:r>
              <w:rPr>
                <w:rFonts w:hint="eastAsia"/>
                <w:b/>
              </w:rPr>
              <w:t>每月一次</w:t>
            </w:r>
          </w:p>
        </w:tc>
        <w:tc>
          <w:tcPr>
            <w:tcW w:w="1610" w:type="dxa"/>
            <w:vAlign w:val="center"/>
          </w:tcPr>
          <w:p>
            <w:pPr>
              <w:jc w:val="center"/>
              <w:rPr>
                <w:b/>
              </w:rPr>
            </w:pPr>
            <w:r>
              <w:rPr>
                <w:rFonts w:hint="eastAsia"/>
                <w:b/>
              </w:rPr>
              <w:t>重要考核指标</w:t>
            </w:r>
          </w:p>
        </w:tc>
      </w:tr>
    </w:tbl>
    <w:p>
      <w:pPr>
        <w:keepNext w:val="0"/>
        <w:keepLines w:val="0"/>
        <w:pageBreakBefore w:val="0"/>
        <w:numPr>
          <w:ilvl w:val="0"/>
          <w:numId w:val="0"/>
        </w:numPr>
        <w:kinsoku/>
        <w:overflowPunct/>
        <w:topLinePunct w:val="0"/>
        <w:autoSpaceDE/>
        <w:autoSpaceDN/>
        <w:bidi w:val="0"/>
        <w:spacing w:line="288" w:lineRule="auto"/>
        <w:jc w:val="left"/>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t>2.2腐蚀率（包括碳钢、铜合金和不锈钢）指标超标一次，扣罚当月全部药剂费用；</w:t>
      </w:r>
    </w:p>
    <w:p>
      <w:pPr>
        <w:keepNext w:val="0"/>
        <w:keepLines w:val="0"/>
        <w:pageBreakBefore w:val="0"/>
        <w:numPr>
          <w:ilvl w:val="0"/>
          <w:numId w:val="0"/>
        </w:numPr>
        <w:kinsoku/>
        <w:overflowPunct/>
        <w:topLinePunct w:val="0"/>
        <w:autoSpaceDE/>
        <w:autoSpaceDN/>
        <w:bidi w:val="0"/>
        <w:spacing w:line="288" w:lineRule="auto"/>
        <w:jc w:val="left"/>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t>2.3细菌总数指标超标一次，扣罚当月药剂费用的50%；</w:t>
      </w:r>
    </w:p>
    <w:p>
      <w:pPr>
        <w:keepNext w:val="0"/>
        <w:keepLines w:val="0"/>
        <w:pageBreakBefore w:val="0"/>
        <w:numPr>
          <w:ilvl w:val="0"/>
          <w:numId w:val="0"/>
        </w:numPr>
        <w:kinsoku/>
        <w:overflowPunct/>
        <w:topLinePunct w:val="0"/>
        <w:autoSpaceDE/>
        <w:autoSpaceDN/>
        <w:bidi w:val="0"/>
        <w:spacing w:line="288" w:lineRule="auto"/>
        <w:jc w:val="left"/>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t>2.4其它指标月累计超标三次，扣当月药剂费用的30%；</w:t>
      </w:r>
    </w:p>
    <w:p>
      <w:pPr>
        <w:keepNext w:val="0"/>
        <w:keepLines w:val="0"/>
        <w:pageBreakBefore w:val="0"/>
        <w:numPr>
          <w:ilvl w:val="0"/>
          <w:numId w:val="0"/>
        </w:numPr>
        <w:kinsoku/>
        <w:overflowPunct/>
        <w:topLinePunct w:val="0"/>
        <w:autoSpaceDE/>
        <w:autoSpaceDN/>
        <w:bidi w:val="0"/>
        <w:spacing w:line="288" w:lineRule="auto"/>
        <w:jc w:val="left"/>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t>2.5供方服务承诺月累计未达成一次，扣罚当月药剂费用的20%；</w:t>
      </w:r>
    </w:p>
    <w:p>
      <w:pPr>
        <w:keepNext w:val="0"/>
        <w:keepLines w:val="0"/>
        <w:pageBreakBefore w:val="0"/>
        <w:numPr>
          <w:ilvl w:val="0"/>
          <w:numId w:val="0"/>
        </w:numPr>
        <w:kinsoku/>
        <w:overflowPunct/>
        <w:topLinePunct w:val="0"/>
        <w:autoSpaceDE/>
        <w:autoSpaceDN/>
        <w:bidi w:val="0"/>
        <w:spacing w:line="288" w:lineRule="auto"/>
        <w:jc w:val="left"/>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t>2.6药剂必须为无磷碱性配方，所用缓蚀剂、阻垢分散剂、或缓蚀阻垢复合制剂的稳定性要达到国际或国内同行业的先进水平，与选用的非氧化性杀菌剂和粘泥剥离剂等药剂要求有良好的相容性，并有相关的试验数据和实例证明。</w:t>
      </w:r>
    </w:p>
    <w:p>
      <w:pPr>
        <w:keepNext w:val="0"/>
        <w:keepLines w:val="0"/>
        <w:pageBreakBefore w:val="0"/>
        <w:numPr>
          <w:ilvl w:val="0"/>
          <w:numId w:val="0"/>
        </w:numPr>
        <w:kinsoku/>
        <w:overflowPunct/>
        <w:topLinePunct w:val="0"/>
        <w:autoSpaceDE/>
        <w:autoSpaceDN/>
        <w:bidi w:val="0"/>
        <w:spacing w:line="288" w:lineRule="auto"/>
        <w:jc w:val="left"/>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t>2.7在保证水质处理效果和考核指标的前提下，实际投加用量以供方的药剂投加技术方案为准。如现有加药设备能力无法满足需求，则供方自行配备，新增设施所有权归供方。</w:t>
      </w:r>
    </w:p>
    <w:p>
      <w:pPr>
        <w:pStyle w:val="6"/>
        <w:keepNext w:val="0"/>
        <w:keepLines w:val="0"/>
        <w:pageBreakBefore w:val="0"/>
        <w:widowControl/>
        <w:kinsoku/>
        <w:overflowPunct/>
        <w:topLinePunct w:val="0"/>
        <w:autoSpaceDE/>
        <w:autoSpaceDN/>
        <w:bidi w:val="0"/>
        <w:spacing w:line="288" w:lineRule="auto"/>
        <w:rPr>
          <w:rFonts w:hint="eastAsia" w:ascii="宋体" w:hAnsi="宋体" w:cs="宋体"/>
          <w:color w:val="000000" w:themeColor="text1"/>
          <w:sz w:val="24"/>
        </w:rPr>
      </w:pPr>
      <w:r>
        <w:rPr>
          <w:rFonts w:hint="eastAsia" w:ascii="宋体" w:hAnsi="宋体" w:cs="宋体"/>
          <w:color w:val="000000" w:themeColor="text1"/>
          <w:sz w:val="24"/>
          <w:lang w:val="en-US" w:eastAsia="zh-CN"/>
        </w:rPr>
        <w:t>3</w:t>
      </w:r>
      <w:r>
        <w:rPr>
          <w:rFonts w:hint="eastAsia" w:ascii="宋体" w:hAnsi="宋体" w:cs="宋体"/>
          <w:color w:val="000000" w:themeColor="text1"/>
          <w:sz w:val="24"/>
        </w:rPr>
        <w:t>.技术参数指标：</w:t>
      </w:r>
      <w:r>
        <w:rPr>
          <w:rFonts w:hint="eastAsia" w:ascii="宋体" w:hAnsi="宋体" w:cs="宋体"/>
          <w:color w:val="000000" w:themeColor="text1"/>
          <w:sz w:val="24"/>
          <w:lang w:val="en-US" w:eastAsia="zh-CN"/>
        </w:rPr>
        <w:t>符合《2022年PTA装置闭式循环冷却水药剂采购技术要求》</w:t>
      </w:r>
      <w:r>
        <w:rPr>
          <w:rFonts w:hint="eastAsia" w:ascii="宋体" w:hAnsi="宋体" w:cs="宋体"/>
          <w:color w:val="000000" w:themeColor="text1"/>
          <w:sz w:val="24"/>
        </w:rPr>
        <w:t>。</w:t>
      </w:r>
    </w:p>
    <w:p>
      <w:pPr>
        <w:keepNext w:val="0"/>
        <w:keepLines w:val="0"/>
        <w:pageBreakBefore w:val="0"/>
        <w:kinsoku/>
        <w:overflowPunct/>
        <w:topLinePunct w:val="0"/>
        <w:autoSpaceDE/>
        <w:autoSpaceDN/>
        <w:bidi w:val="0"/>
        <w:spacing w:line="288" w:lineRule="auto"/>
        <w:jc w:val="left"/>
        <w:rPr>
          <w:rFonts w:hint="eastAsia" w:ascii="宋体" w:eastAsia="宋体" w:cs="宋体"/>
          <w:color w:val="000000" w:themeColor="text1"/>
          <w:sz w:val="24"/>
          <w:lang w:eastAsia="zh-CN"/>
        </w:rPr>
      </w:pPr>
      <w:r>
        <w:rPr>
          <w:rFonts w:hint="eastAsia" w:ascii="宋体" w:hAnsi="宋体" w:cs="宋体"/>
          <w:color w:val="000000" w:themeColor="text1"/>
          <w:sz w:val="24"/>
          <w:lang w:val="en-US" w:eastAsia="zh-CN"/>
        </w:rPr>
        <w:t>4</w:t>
      </w:r>
      <w:r>
        <w:rPr>
          <w:rFonts w:hint="eastAsia" w:ascii="宋体" w:hAnsi="宋体" w:cs="宋体"/>
          <w:color w:val="000000" w:themeColor="text1"/>
          <w:sz w:val="24"/>
        </w:rPr>
        <w:t>.</w:t>
      </w:r>
      <w:r>
        <w:rPr>
          <w:rFonts w:hint="eastAsia" w:ascii="宋体" w:hAnsi="宋体"/>
          <w:color w:val="000000" w:themeColor="text1"/>
          <w:sz w:val="24"/>
        </w:rPr>
        <w:t>到货时间：</w:t>
      </w:r>
      <w:r>
        <w:rPr>
          <w:rFonts w:hint="eastAsia" w:ascii="宋体" w:hAnsi="宋体"/>
          <w:color w:val="000000" w:themeColor="text1"/>
          <w:sz w:val="24"/>
          <w:lang w:val="en-US" w:eastAsia="zh-CN"/>
        </w:rPr>
        <w:t>分批到货，</w:t>
      </w:r>
      <w:r>
        <w:rPr>
          <w:rFonts w:hint="eastAsia" w:ascii="宋体" w:hAnsi="宋体"/>
          <w:color w:val="000000" w:themeColor="text1"/>
          <w:sz w:val="24"/>
        </w:rPr>
        <w:t>具体以需方通知为准</w:t>
      </w:r>
      <w:r>
        <w:rPr>
          <w:rFonts w:hint="eastAsia" w:ascii="宋体" w:hAnsi="宋体"/>
          <w:color w:val="000000" w:themeColor="text1"/>
          <w:sz w:val="24"/>
          <w:lang w:eastAsia="zh-CN"/>
        </w:rPr>
        <w:t>。</w:t>
      </w:r>
    </w:p>
    <w:p>
      <w:pPr>
        <w:keepNext w:val="0"/>
        <w:keepLines w:val="0"/>
        <w:pageBreakBefore w:val="0"/>
        <w:kinsoku/>
        <w:overflowPunct/>
        <w:topLinePunct w:val="0"/>
        <w:autoSpaceDE/>
        <w:autoSpaceDN/>
        <w:bidi w:val="0"/>
        <w:spacing w:line="288" w:lineRule="auto"/>
        <w:jc w:val="left"/>
        <w:rPr>
          <w:rFonts w:ascii="宋体" w:cs="宋体"/>
          <w:color w:val="000000" w:themeColor="text1"/>
          <w:sz w:val="24"/>
        </w:rPr>
      </w:pPr>
      <w:r>
        <w:rPr>
          <w:rFonts w:hint="eastAsia" w:asciiTheme="minorEastAsia" w:hAnsiTheme="minorEastAsia" w:eastAsiaTheme="minorEastAsia"/>
          <w:bCs/>
          <w:color w:val="000000" w:themeColor="text1"/>
          <w:kern w:val="0"/>
          <w:sz w:val="24"/>
          <w:lang w:val="en-US" w:eastAsia="zh-CN"/>
        </w:rPr>
        <w:t>5</w:t>
      </w:r>
      <w:r>
        <w:rPr>
          <w:rFonts w:hint="eastAsia" w:asciiTheme="minorEastAsia" w:hAnsiTheme="minorEastAsia" w:eastAsiaTheme="minorEastAsia"/>
          <w:bCs/>
          <w:color w:val="000000" w:themeColor="text1"/>
          <w:kern w:val="0"/>
          <w:sz w:val="24"/>
        </w:rPr>
        <w:t>.报价须知：</w:t>
      </w:r>
      <w:r>
        <w:rPr>
          <w:rFonts w:hint="eastAsia" w:asciiTheme="minorEastAsia" w:hAnsiTheme="minorEastAsia" w:eastAsiaTheme="minorEastAsia"/>
          <w:bCs/>
          <w:color w:val="000000" w:themeColor="text1"/>
          <w:kern w:val="0"/>
          <w:sz w:val="24"/>
          <w:lang w:eastAsia="zh-CN"/>
        </w:rPr>
        <w:t>PTA装置闭式循环冷却水系统处理药剂</w:t>
      </w:r>
      <w:r>
        <w:rPr>
          <w:rFonts w:hint="eastAsia" w:ascii="宋体" w:hAnsi="宋体" w:cs="宋体"/>
          <w:color w:val="000000" w:themeColor="text1"/>
          <w:sz w:val="24"/>
        </w:rPr>
        <w:t>含税送到价。参选人需对全部比选数量进行报价。</w:t>
      </w:r>
    </w:p>
    <w:p>
      <w:pPr>
        <w:keepNext w:val="0"/>
        <w:keepLines w:val="0"/>
        <w:pageBreakBefore w:val="0"/>
        <w:kinsoku/>
        <w:overflowPunct/>
        <w:topLinePunct w:val="0"/>
        <w:autoSpaceDE/>
        <w:autoSpaceDN/>
        <w:bidi w:val="0"/>
        <w:spacing w:line="288" w:lineRule="auto"/>
        <w:jc w:val="left"/>
        <w:rPr>
          <w:rFonts w:ascii="宋体" w:cs="宋体"/>
          <w:color w:val="000000" w:themeColor="text1"/>
          <w:sz w:val="24"/>
        </w:rPr>
      </w:pPr>
      <w:r>
        <w:rPr>
          <w:rFonts w:hint="eastAsia" w:ascii="宋体" w:hAnsi="宋体" w:cs="宋体"/>
          <w:color w:val="000000" w:themeColor="text1"/>
          <w:sz w:val="24"/>
          <w:lang w:val="en-US" w:eastAsia="zh-CN"/>
        </w:rPr>
        <w:t>6</w:t>
      </w:r>
      <w:r>
        <w:rPr>
          <w:rFonts w:hint="eastAsia" w:ascii="宋体" w:hAnsi="宋体" w:cs="宋体"/>
          <w:color w:val="000000" w:themeColor="text1"/>
          <w:sz w:val="24"/>
        </w:rPr>
        <w:t>.其他要求按双方签订的合同执行，关键条款重申如下：</w:t>
      </w:r>
    </w:p>
    <w:p>
      <w:pPr>
        <w:keepNext w:val="0"/>
        <w:keepLines w:val="0"/>
        <w:pageBreakBefore w:val="0"/>
        <w:tabs>
          <w:tab w:val="left" w:pos="825"/>
        </w:tabs>
        <w:kinsoku/>
        <w:overflowPunct/>
        <w:topLinePunct w:val="0"/>
        <w:autoSpaceDE/>
        <w:autoSpaceDN/>
        <w:bidi w:val="0"/>
        <w:spacing w:line="288" w:lineRule="auto"/>
        <w:rPr>
          <w:rFonts w:hint="default" w:ascii="宋体" w:hAnsi="宋体" w:eastAsia="宋体" w:cs="宋体"/>
          <w:color w:val="000000" w:themeColor="text1"/>
          <w:sz w:val="24"/>
          <w:lang w:val="en-US" w:eastAsia="zh-CN"/>
        </w:rPr>
      </w:pPr>
      <w:r>
        <w:rPr>
          <w:rFonts w:hint="eastAsia" w:ascii="宋体" w:hAnsi="宋体" w:cs="宋体"/>
          <w:color w:val="000000" w:themeColor="text1"/>
          <w:sz w:val="24"/>
          <w:lang w:val="en-US" w:eastAsia="zh-CN"/>
        </w:rPr>
        <w:t>6</w:t>
      </w:r>
      <w:r>
        <w:rPr>
          <w:rFonts w:ascii="宋体" w:hAnsi="宋体" w:cs="宋体"/>
          <w:color w:val="000000" w:themeColor="text1"/>
          <w:sz w:val="24"/>
        </w:rPr>
        <w:t>.1</w:t>
      </w:r>
      <w:r>
        <w:rPr>
          <w:rFonts w:hint="eastAsia" w:ascii="宋体" w:hAnsi="宋体" w:cs="宋体"/>
          <w:color w:val="000000" w:themeColor="text1"/>
          <w:sz w:val="24"/>
        </w:rPr>
        <w:t>付款方式：</w:t>
      </w:r>
      <w:r>
        <w:rPr>
          <w:rFonts w:hint="eastAsia" w:ascii="宋体" w:hAnsi="宋体" w:cs="宋体"/>
          <w:color w:val="000000" w:themeColor="text1"/>
          <w:sz w:val="24"/>
          <w:lang w:val="en-US" w:eastAsia="zh-CN"/>
        </w:rPr>
        <w:t>现汇支付，正常运行投加的药剂按月度考核付款，清洗预膜按实际发生付款。货到验收合格后，经需方或需方指定单位根据双方签订的合同及技术要求约定的月度考核周期、质量、数量及考核结果，供方提供相应金额的13%增值税专用发票以及结算所需的各种清单，需方收到并确认无误后向供方支付货款。</w:t>
      </w:r>
    </w:p>
    <w:p>
      <w:pPr>
        <w:keepNext w:val="0"/>
        <w:keepLines w:val="0"/>
        <w:pageBreakBefore w:val="0"/>
        <w:kinsoku/>
        <w:overflowPunct/>
        <w:topLinePunct w:val="0"/>
        <w:autoSpaceDE/>
        <w:autoSpaceDN/>
        <w:bidi w:val="0"/>
        <w:spacing w:line="288" w:lineRule="auto"/>
        <w:jc w:val="left"/>
        <w:rPr>
          <w:rFonts w:ascii="宋体" w:hAnsi="宋体"/>
          <w:color w:val="000000" w:themeColor="text1"/>
          <w:sz w:val="24"/>
        </w:rPr>
      </w:pPr>
      <w:r>
        <w:rPr>
          <w:rFonts w:hint="eastAsia" w:ascii="宋体" w:hAnsi="宋体"/>
          <w:color w:val="000000" w:themeColor="text1"/>
          <w:sz w:val="24"/>
          <w:lang w:val="en-US" w:eastAsia="zh-CN"/>
        </w:rPr>
        <w:t>6</w:t>
      </w:r>
      <w:r>
        <w:rPr>
          <w:rFonts w:ascii="宋体" w:hAnsi="宋体"/>
          <w:color w:val="000000" w:themeColor="text1"/>
          <w:sz w:val="24"/>
        </w:rPr>
        <w:t>.2</w:t>
      </w:r>
      <w:r>
        <w:rPr>
          <w:rFonts w:hint="eastAsia" w:ascii="宋体" w:hAnsi="宋体"/>
          <w:color w:val="000000" w:themeColor="text1"/>
          <w:sz w:val="24"/>
        </w:rPr>
        <w:t>数量验收：以需方使用单位验收为准。</w:t>
      </w:r>
    </w:p>
    <w:p>
      <w:pPr>
        <w:keepNext w:val="0"/>
        <w:keepLines w:val="0"/>
        <w:pageBreakBefore w:val="0"/>
        <w:numPr>
          <w:ilvl w:val="0"/>
          <w:numId w:val="0"/>
        </w:numPr>
        <w:kinsoku/>
        <w:overflowPunct/>
        <w:topLinePunct w:val="0"/>
        <w:autoSpaceDE/>
        <w:autoSpaceDN/>
        <w:bidi w:val="0"/>
        <w:spacing w:line="288" w:lineRule="auto"/>
        <w:jc w:val="left"/>
        <w:rPr>
          <w:rFonts w:asciiTheme="minorEastAsia" w:hAnsiTheme="minorEastAsia" w:eastAsiaTheme="minorEastAsia"/>
          <w:color w:val="000000" w:themeColor="text1"/>
          <w:kern w:val="0"/>
          <w:sz w:val="24"/>
        </w:rPr>
      </w:pPr>
      <w:r>
        <w:rPr>
          <w:rFonts w:hint="eastAsia" w:ascii="宋体" w:hAnsi="宋体"/>
          <w:color w:val="000000" w:themeColor="text1"/>
          <w:sz w:val="24"/>
          <w:lang w:val="en-US" w:eastAsia="zh-CN"/>
        </w:rPr>
        <w:t>7</w:t>
      </w:r>
      <w:r>
        <w:rPr>
          <w:rFonts w:hint="eastAsia" w:ascii="宋体" w:hAnsi="宋体"/>
          <w:color w:val="000000" w:themeColor="text1"/>
          <w:sz w:val="24"/>
        </w:rPr>
        <w:t>运输条款：</w:t>
      </w:r>
      <w:r>
        <w:rPr>
          <w:rFonts w:hint="eastAsia" w:asciiTheme="minorEastAsia" w:hAnsiTheme="minorEastAsia" w:eastAsiaTheme="minorEastAsia"/>
          <w:color w:val="000000" w:themeColor="text1"/>
          <w:sz w:val="24"/>
        </w:rPr>
        <w:t>汽车运输</w:t>
      </w:r>
      <w:r>
        <w:rPr>
          <w:rFonts w:hint="eastAsia" w:asciiTheme="minorEastAsia" w:hAnsiTheme="minorEastAsia" w:eastAsiaTheme="minorEastAsia"/>
          <w:color w:val="000000" w:themeColor="text1"/>
          <w:sz w:val="24"/>
          <w:lang w:val="en-US" w:eastAsia="zh-CN"/>
        </w:rPr>
        <w:t>至</w:t>
      </w:r>
      <w:r>
        <w:rPr>
          <w:rFonts w:hint="eastAsia" w:asciiTheme="minorEastAsia" w:hAnsiTheme="minorEastAsia" w:eastAsiaTheme="minorEastAsia"/>
          <w:color w:val="000000" w:themeColor="text1"/>
          <w:sz w:val="24"/>
          <w:lang w:eastAsia="zh-CN"/>
        </w:rPr>
        <w:t>翔鹭石化（漳州）有限公司</w:t>
      </w:r>
      <w:r>
        <w:rPr>
          <w:rFonts w:hint="eastAsia" w:asciiTheme="minorEastAsia" w:hAnsiTheme="minorEastAsia" w:eastAsiaTheme="minorEastAsia"/>
          <w:color w:val="000000" w:themeColor="text1"/>
          <w:sz w:val="24"/>
          <w:lang w:val="en-US" w:eastAsia="zh-CN"/>
        </w:rPr>
        <w:t>指定仓库</w:t>
      </w:r>
      <w:r>
        <w:rPr>
          <w:rFonts w:hint="eastAsia" w:asciiTheme="minorEastAsia" w:hAnsiTheme="minorEastAsia" w:eastAsiaTheme="minorEastAsia"/>
          <w:color w:val="000000" w:themeColor="text1"/>
          <w:sz w:val="24"/>
        </w:rPr>
        <w:t>。</w:t>
      </w:r>
    </w:p>
    <w:p>
      <w:pPr>
        <w:keepNext w:val="0"/>
        <w:keepLines w:val="0"/>
        <w:pageBreakBefore w:val="0"/>
        <w:kinsoku/>
        <w:overflowPunct/>
        <w:topLinePunct w:val="0"/>
        <w:autoSpaceDE/>
        <w:autoSpaceDN/>
        <w:bidi w:val="0"/>
        <w:spacing w:line="288" w:lineRule="auto"/>
        <w:jc w:val="left"/>
        <w:rPr>
          <w:rFonts w:ascii="宋体" w:hAnsi="宋体" w:cs="宋体"/>
          <w:color w:val="000000" w:themeColor="text1"/>
          <w:sz w:val="24"/>
        </w:rPr>
      </w:pPr>
      <w:r>
        <w:rPr>
          <w:rFonts w:hint="eastAsia" w:ascii="宋体" w:hAnsi="宋体" w:cs="宋体"/>
          <w:color w:val="000000" w:themeColor="text1"/>
          <w:sz w:val="24"/>
          <w:lang w:val="en-US" w:eastAsia="zh-CN"/>
        </w:rPr>
        <w:t>8</w:t>
      </w:r>
      <w:r>
        <w:rPr>
          <w:rFonts w:hint="eastAsia" w:ascii="宋体" w:hAnsi="宋体" w:cs="宋体"/>
          <w:color w:val="000000" w:themeColor="text1"/>
          <w:sz w:val="24"/>
        </w:rPr>
        <w:t>.参选文件的递交</w:t>
      </w:r>
    </w:p>
    <w:p>
      <w:pPr>
        <w:keepNext w:val="0"/>
        <w:keepLines w:val="0"/>
        <w:pageBreakBefore w:val="0"/>
        <w:kinsoku/>
        <w:overflowPunct/>
        <w:topLinePunct w:val="0"/>
        <w:autoSpaceDE/>
        <w:autoSpaceDN/>
        <w:bidi w:val="0"/>
        <w:spacing w:line="288" w:lineRule="auto"/>
        <w:jc w:val="left"/>
        <w:rPr>
          <w:rFonts w:ascii="宋体" w:hAnsi="宋体" w:cs="宋体"/>
          <w:color w:val="000000" w:themeColor="text1"/>
          <w:sz w:val="24"/>
        </w:rPr>
      </w:pPr>
      <w:r>
        <w:rPr>
          <w:rFonts w:hint="eastAsia" w:ascii="宋体" w:hAnsi="宋体" w:cs="宋体"/>
          <w:color w:val="000000" w:themeColor="text1"/>
          <w:sz w:val="24"/>
          <w:lang w:val="en-US" w:eastAsia="zh-CN"/>
        </w:rPr>
        <w:t>8</w:t>
      </w:r>
      <w:r>
        <w:rPr>
          <w:rFonts w:hint="eastAsia" w:ascii="宋体" w:hAnsi="宋体" w:cs="宋体"/>
          <w:color w:val="000000" w:themeColor="text1"/>
          <w:sz w:val="24"/>
        </w:rPr>
        <w:t>.1参选文件递交截止时间：见比选公告。</w:t>
      </w:r>
    </w:p>
    <w:p>
      <w:pPr>
        <w:keepNext w:val="0"/>
        <w:keepLines w:val="0"/>
        <w:pageBreakBefore w:val="0"/>
        <w:kinsoku/>
        <w:overflowPunct/>
        <w:topLinePunct w:val="0"/>
        <w:autoSpaceDE/>
        <w:autoSpaceDN/>
        <w:bidi w:val="0"/>
        <w:spacing w:line="288" w:lineRule="auto"/>
        <w:jc w:val="left"/>
        <w:rPr>
          <w:rFonts w:ascii="宋体" w:hAnsi="宋体" w:cs="宋体"/>
          <w:color w:val="000000" w:themeColor="text1"/>
          <w:sz w:val="24"/>
        </w:rPr>
      </w:pPr>
      <w:r>
        <w:rPr>
          <w:rFonts w:hint="eastAsia" w:ascii="宋体" w:hAnsi="宋体" w:cs="宋体"/>
          <w:color w:val="000000" w:themeColor="text1"/>
          <w:sz w:val="24"/>
          <w:lang w:val="en-US" w:eastAsia="zh-CN"/>
        </w:rPr>
        <w:t>8</w:t>
      </w:r>
      <w:r>
        <w:rPr>
          <w:rFonts w:hint="eastAsia" w:ascii="宋体" w:hAnsi="宋体" w:cs="宋体"/>
          <w:color w:val="000000" w:themeColor="text1"/>
          <w:sz w:val="24"/>
        </w:rPr>
        <w:t>.2参选文件应密封，包含比选公告、参选规定及说明、公开比选文件、参选书、法定代表人授权书、报价单</w:t>
      </w:r>
      <w:r>
        <w:rPr>
          <w:rFonts w:hint="eastAsia" w:ascii="宋体" w:hAnsi="宋体" w:cs="宋体"/>
          <w:color w:val="000000" w:themeColor="text1"/>
          <w:sz w:val="24"/>
          <w:lang w:eastAsia="zh-CN"/>
        </w:rPr>
        <w:t>、</w:t>
      </w:r>
      <w:r>
        <w:rPr>
          <w:rFonts w:hint="eastAsia" w:ascii="宋体" w:hAnsi="宋体" w:cs="宋体"/>
          <w:color w:val="000000" w:themeColor="text1"/>
          <w:sz w:val="24"/>
          <w:lang w:val="en-US" w:eastAsia="zh-CN"/>
        </w:rPr>
        <w:t>附件《2022年PTA装置闭式循环冷却水药剂采购技术要求》及其中要求的文件</w:t>
      </w:r>
      <w:r>
        <w:rPr>
          <w:rFonts w:hint="eastAsia" w:ascii="宋体" w:hAnsi="宋体" w:cs="宋体"/>
          <w:color w:val="000000" w:themeColor="text1"/>
          <w:sz w:val="24"/>
        </w:rPr>
        <w:t>，上述文件一式两份并逐页盖公章。密封处盖章。</w:t>
      </w:r>
    </w:p>
    <w:p>
      <w:pPr>
        <w:keepNext w:val="0"/>
        <w:keepLines w:val="0"/>
        <w:pageBreakBefore w:val="0"/>
        <w:kinsoku/>
        <w:overflowPunct/>
        <w:topLinePunct w:val="0"/>
        <w:autoSpaceDE/>
        <w:autoSpaceDN/>
        <w:bidi w:val="0"/>
        <w:spacing w:line="288" w:lineRule="auto"/>
        <w:jc w:val="left"/>
        <w:rPr>
          <w:rFonts w:hint="eastAsia" w:ascii="宋体" w:hAnsi="宋体" w:cs="宋体"/>
          <w:color w:val="000000" w:themeColor="text1"/>
          <w:sz w:val="24"/>
        </w:rPr>
      </w:pPr>
      <w:r>
        <w:rPr>
          <w:rFonts w:hint="eastAsia" w:ascii="宋体" w:hAnsi="宋体" w:cs="宋体"/>
          <w:color w:val="000000" w:themeColor="text1"/>
          <w:sz w:val="24"/>
          <w:lang w:val="en-US" w:eastAsia="zh-CN"/>
        </w:rPr>
        <w:t>8</w:t>
      </w:r>
      <w:r>
        <w:rPr>
          <w:rFonts w:hint="eastAsia" w:ascii="宋体" w:hAnsi="宋体" w:cs="宋体"/>
          <w:color w:val="000000" w:themeColor="text1"/>
          <w:sz w:val="24"/>
        </w:rPr>
        <w:t>.3我公司快递联系方式：</w:t>
      </w:r>
    </w:p>
    <w:p>
      <w:pPr>
        <w:keepNext w:val="0"/>
        <w:keepLines w:val="0"/>
        <w:pageBreakBefore w:val="0"/>
        <w:kinsoku/>
        <w:overflowPunct/>
        <w:topLinePunct w:val="0"/>
        <w:autoSpaceDE/>
        <w:autoSpaceDN/>
        <w:bidi w:val="0"/>
        <w:spacing w:line="288" w:lineRule="auto"/>
        <w:jc w:val="left"/>
        <w:rPr>
          <w:rFonts w:ascii="宋体" w:hAnsi="宋体" w:cs="宋体"/>
          <w:color w:val="000000" w:themeColor="text1"/>
          <w:sz w:val="24"/>
        </w:rPr>
      </w:pPr>
      <w:r>
        <w:rPr>
          <w:rFonts w:hint="eastAsia" w:ascii="宋体" w:hAnsi="宋体" w:cs="宋体"/>
          <w:color w:val="000000" w:themeColor="text1"/>
          <w:sz w:val="24"/>
        </w:rPr>
        <w:t>公司名称：</w:t>
      </w:r>
      <w:r>
        <w:rPr>
          <w:rFonts w:hint="eastAsia" w:ascii="宋体" w:hAnsi="宋体" w:cs="宋体"/>
          <w:color w:val="000000" w:themeColor="text1"/>
          <w:sz w:val="24"/>
          <w:lang w:eastAsia="zh-CN"/>
        </w:rPr>
        <w:t>翔鹭石化（漳州）有限公司</w:t>
      </w:r>
    </w:p>
    <w:p>
      <w:pPr>
        <w:keepNext w:val="0"/>
        <w:keepLines w:val="0"/>
        <w:pageBreakBefore w:val="0"/>
        <w:kinsoku/>
        <w:overflowPunct/>
        <w:topLinePunct w:val="0"/>
        <w:autoSpaceDE/>
        <w:autoSpaceDN/>
        <w:bidi w:val="0"/>
        <w:spacing w:line="288" w:lineRule="auto"/>
        <w:jc w:val="left"/>
        <w:rPr>
          <w:rFonts w:hint="eastAsia" w:ascii="宋体" w:hAnsi="宋体" w:cs="宋体"/>
          <w:color w:val="000000" w:themeColor="text1"/>
          <w:sz w:val="24"/>
        </w:rPr>
      </w:pPr>
      <w:r>
        <w:rPr>
          <w:rFonts w:hint="eastAsia" w:ascii="宋体" w:hAnsi="宋体" w:cs="宋体"/>
          <w:color w:val="000000" w:themeColor="text1"/>
          <w:sz w:val="24"/>
        </w:rPr>
        <w:t>地址：福建</w:t>
      </w:r>
      <w:r>
        <w:rPr>
          <w:rFonts w:hint="eastAsia" w:ascii="宋体" w:hAnsi="宋体" w:cs="宋体"/>
          <w:color w:val="000000" w:themeColor="text1"/>
          <w:sz w:val="24"/>
          <w:lang w:val="en-US" w:eastAsia="zh-CN"/>
        </w:rPr>
        <w:t>省漳州市漳浦县杜浔镇杜昌路9号福海创办公大楼2楼</w:t>
      </w:r>
      <w:r>
        <w:rPr>
          <w:rFonts w:hint="eastAsia" w:ascii="宋体" w:hAnsi="宋体" w:cs="宋体"/>
          <w:color w:val="000000" w:themeColor="text1"/>
          <w:sz w:val="24"/>
        </w:rPr>
        <w:t xml:space="preserve"> </w:t>
      </w:r>
    </w:p>
    <w:p>
      <w:pPr>
        <w:keepNext w:val="0"/>
        <w:keepLines w:val="0"/>
        <w:pageBreakBefore w:val="0"/>
        <w:kinsoku/>
        <w:overflowPunct/>
        <w:topLinePunct w:val="0"/>
        <w:autoSpaceDE/>
        <w:autoSpaceDN/>
        <w:bidi w:val="0"/>
        <w:spacing w:line="288" w:lineRule="auto"/>
        <w:jc w:val="left"/>
        <w:rPr>
          <w:rFonts w:ascii="宋体" w:hAnsi="宋体"/>
          <w:b/>
          <w:bCs/>
          <w:color w:val="000000" w:themeColor="text1"/>
          <w:sz w:val="36"/>
          <w:szCs w:val="36"/>
        </w:rPr>
      </w:pPr>
      <w:r>
        <w:rPr>
          <w:rFonts w:hint="eastAsia" w:ascii="宋体" w:hAnsi="宋体" w:cs="宋体"/>
          <w:color w:val="000000" w:themeColor="text1"/>
          <w:sz w:val="24"/>
        </w:rPr>
        <w:t>联系人：</w:t>
      </w:r>
      <w:r>
        <w:rPr>
          <w:rFonts w:hint="eastAsia" w:ascii="宋体" w:hAnsi="宋体" w:cs="宋体"/>
          <w:color w:val="000000" w:themeColor="text1"/>
          <w:sz w:val="24"/>
          <w:lang w:val="en-US" w:eastAsia="zh-CN"/>
        </w:rPr>
        <w:t>卢翠云 13599526303</w:t>
      </w:r>
    </w:p>
    <w:p>
      <w:pPr>
        <w:keepNext w:val="0"/>
        <w:keepLines w:val="0"/>
        <w:pageBreakBefore w:val="0"/>
        <w:kinsoku/>
        <w:overflowPunct/>
        <w:topLinePunct w:val="0"/>
        <w:autoSpaceDE/>
        <w:autoSpaceDN/>
        <w:bidi w:val="0"/>
        <w:spacing w:line="288" w:lineRule="auto"/>
        <w:jc w:val="center"/>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center"/>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center"/>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both"/>
        <w:rPr>
          <w:rFonts w:hint="eastAsia" w:ascii="宋体" w:hAnsi="宋体"/>
          <w:b/>
          <w:bCs/>
          <w:color w:val="000000" w:themeColor="text1"/>
          <w:sz w:val="36"/>
          <w:szCs w:val="36"/>
        </w:rPr>
      </w:pPr>
    </w:p>
    <w:p>
      <w:pPr>
        <w:keepNext w:val="0"/>
        <w:keepLines w:val="0"/>
        <w:pageBreakBefore w:val="0"/>
        <w:kinsoku/>
        <w:overflowPunct/>
        <w:topLinePunct w:val="0"/>
        <w:autoSpaceDE/>
        <w:autoSpaceDN/>
        <w:bidi w:val="0"/>
        <w:spacing w:line="288" w:lineRule="auto"/>
        <w:jc w:val="center"/>
        <w:rPr>
          <w:rFonts w:ascii="宋体"/>
          <w:b/>
          <w:bCs/>
          <w:color w:val="000000" w:themeColor="text1"/>
          <w:sz w:val="36"/>
          <w:szCs w:val="36"/>
        </w:rPr>
      </w:pPr>
      <w:r>
        <w:rPr>
          <w:rFonts w:hint="eastAsia" w:ascii="宋体" w:hAnsi="宋体"/>
          <w:b/>
          <w:bCs/>
          <w:color w:val="000000" w:themeColor="text1"/>
          <w:sz w:val="36"/>
          <w:szCs w:val="36"/>
        </w:rPr>
        <w:t>四、参选书</w:t>
      </w:r>
    </w:p>
    <w:p>
      <w:pPr>
        <w:keepNext w:val="0"/>
        <w:keepLines w:val="0"/>
        <w:pageBreakBefore w:val="0"/>
        <w:kinsoku/>
        <w:overflowPunct/>
        <w:topLinePunct w:val="0"/>
        <w:autoSpaceDE/>
        <w:autoSpaceDN/>
        <w:bidi w:val="0"/>
        <w:spacing w:line="288" w:lineRule="auto"/>
        <w:jc w:val="center"/>
        <w:rPr>
          <w:rFonts w:ascii="宋体"/>
          <w:b/>
          <w:bCs/>
          <w:color w:val="000000" w:themeColor="text1"/>
          <w:sz w:val="36"/>
          <w:szCs w:val="36"/>
        </w:rPr>
      </w:pPr>
    </w:p>
    <w:p>
      <w:pPr>
        <w:keepNext w:val="0"/>
        <w:keepLines w:val="0"/>
        <w:pageBreakBefore w:val="0"/>
        <w:kinsoku/>
        <w:overflowPunct/>
        <w:topLinePunct w:val="0"/>
        <w:autoSpaceDE/>
        <w:autoSpaceDN/>
        <w:bidi w:val="0"/>
        <w:spacing w:line="288" w:lineRule="auto"/>
        <w:rPr>
          <w:rFonts w:hint="eastAsia" w:ascii="宋体" w:eastAsia="宋体"/>
          <w:color w:val="000000" w:themeColor="text1"/>
          <w:sz w:val="24"/>
          <w:lang w:eastAsia="zh-CN"/>
        </w:rPr>
      </w:pPr>
      <w:r>
        <w:rPr>
          <w:rFonts w:hint="eastAsia" w:ascii="宋体" w:hAnsi="宋体"/>
          <w:color w:val="000000" w:themeColor="text1"/>
          <w:sz w:val="24"/>
        </w:rPr>
        <w:t>致：</w:t>
      </w:r>
      <w:r>
        <w:rPr>
          <w:rFonts w:hint="eastAsia" w:ascii="宋体" w:hAnsi="宋体"/>
          <w:color w:val="000000" w:themeColor="text1"/>
          <w:sz w:val="24"/>
          <w:lang w:eastAsia="zh-CN"/>
        </w:rPr>
        <w:t>翔鹭石化（漳州）有限公司</w:t>
      </w:r>
    </w:p>
    <w:p>
      <w:pPr>
        <w:keepNext w:val="0"/>
        <w:keepLines w:val="0"/>
        <w:pageBreakBefore w:val="0"/>
        <w:kinsoku/>
        <w:overflowPunct/>
        <w:topLinePunct w:val="0"/>
        <w:autoSpaceDE/>
        <w:autoSpaceDN/>
        <w:bidi w:val="0"/>
        <w:spacing w:line="288" w:lineRule="auto"/>
        <w:ind w:firstLine="480" w:firstLineChars="200"/>
        <w:rPr>
          <w:rFonts w:ascii="宋体" w:hAnsi="宋体"/>
          <w:color w:val="000000" w:themeColor="text1"/>
          <w:sz w:val="24"/>
        </w:rPr>
      </w:pPr>
      <w:r>
        <w:rPr>
          <w:rFonts w:hint="eastAsia" w:ascii="宋体" w:hAnsi="宋体"/>
          <w:color w:val="000000" w:themeColor="text1"/>
          <w:sz w:val="24"/>
        </w:rPr>
        <w:t>根据贵方的公开比选文件（编号：</w:t>
      </w:r>
      <w:r>
        <w:rPr>
          <w:rFonts w:hint="eastAsia" w:asciiTheme="minorEastAsia" w:hAnsiTheme="minorEastAsia" w:eastAsiaTheme="minorEastAsia"/>
          <w:bCs/>
          <w:color w:val="000000" w:themeColor="text1"/>
          <w:sz w:val="24"/>
          <w:u w:val="single"/>
          <w:lang w:eastAsia="zh-CN"/>
        </w:rPr>
        <w:t>2022-FHC-循环冷却水药剂-0721</w:t>
      </w:r>
      <w:r>
        <w:rPr>
          <w:rFonts w:hint="eastAsia" w:ascii="宋体" w:hAnsi="宋体"/>
          <w:color w:val="000000" w:themeColor="text1"/>
          <w:sz w:val="24"/>
        </w:rPr>
        <w:t>），被我方正式授权并代表我公司递交下述文件，并对此负责。</w:t>
      </w:r>
    </w:p>
    <w:p>
      <w:pPr>
        <w:keepNext w:val="0"/>
        <w:keepLines w:val="0"/>
        <w:pageBreakBefore w:val="0"/>
        <w:kinsoku/>
        <w:overflowPunct/>
        <w:topLinePunct w:val="0"/>
        <w:autoSpaceDE/>
        <w:autoSpaceDN/>
        <w:bidi w:val="0"/>
        <w:spacing w:line="288" w:lineRule="auto"/>
        <w:ind w:firstLine="480" w:firstLineChars="200"/>
        <w:rPr>
          <w:rFonts w:ascii="宋体"/>
          <w:color w:val="000000" w:themeColor="text1"/>
          <w:sz w:val="24"/>
        </w:rPr>
      </w:pPr>
      <w:r>
        <w:rPr>
          <w:rFonts w:hint="eastAsia" w:ascii="宋体" w:hAnsi="宋体"/>
          <w:color w:val="000000" w:themeColor="text1"/>
          <w:sz w:val="24"/>
        </w:rPr>
        <w:t>（</w:t>
      </w:r>
      <w:r>
        <w:rPr>
          <w:rFonts w:ascii="宋体" w:hAnsi="宋体"/>
          <w:color w:val="000000" w:themeColor="text1"/>
          <w:sz w:val="24"/>
        </w:rPr>
        <w:t>1</w:t>
      </w:r>
      <w:r>
        <w:rPr>
          <w:rFonts w:hint="eastAsia" w:ascii="宋体" w:hAnsi="宋体"/>
          <w:color w:val="000000" w:themeColor="text1"/>
          <w:sz w:val="24"/>
        </w:rPr>
        <w:t>）参选规定及说明</w:t>
      </w:r>
    </w:p>
    <w:p>
      <w:pPr>
        <w:keepNext w:val="0"/>
        <w:keepLines w:val="0"/>
        <w:pageBreakBefore w:val="0"/>
        <w:kinsoku/>
        <w:overflowPunct/>
        <w:topLinePunct w:val="0"/>
        <w:autoSpaceDE/>
        <w:autoSpaceDN/>
        <w:bidi w:val="0"/>
        <w:spacing w:line="288" w:lineRule="auto"/>
        <w:ind w:firstLine="480" w:firstLineChars="200"/>
        <w:rPr>
          <w:rFonts w:ascii="宋体"/>
          <w:color w:val="000000" w:themeColor="text1"/>
          <w:sz w:val="24"/>
        </w:rPr>
      </w:pPr>
      <w:r>
        <w:rPr>
          <w:rFonts w:hint="eastAsia" w:ascii="宋体" w:hAnsi="宋体"/>
          <w:color w:val="000000" w:themeColor="text1"/>
          <w:sz w:val="24"/>
        </w:rPr>
        <w:t>（</w:t>
      </w:r>
      <w:r>
        <w:rPr>
          <w:rFonts w:ascii="宋体" w:hAnsi="宋体"/>
          <w:color w:val="000000" w:themeColor="text1"/>
          <w:sz w:val="24"/>
        </w:rPr>
        <w:t>2</w:t>
      </w:r>
      <w:r>
        <w:rPr>
          <w:rFonts w:hint="eastAsia" w:ascii="宋体" w:hAnsi="宋体"/>
          <w:color w:val="000000" w:themeColor="text1"/>
          <w:sz w:val="24"/>
        </w:rPr>
        <w:t>）公开比选文件</w:t>
      </w:r>
    </w:p>
    <w:p>
      <w:pPr>
        <w:keepNext w:val="0"/>
        <w:keepLines w:val="0"/>
        <w:pageBreakBefore w:val="0"/>
        <w:kinsoku/>
        <w:overflowPunct/>
        <w:topLinePunct w:val="0"/>
        <w:autoSpaceDE/>
        <w:autoSpaceDN/>
        <w:bidi w:val="0"/>
        <w:spacing w:line="288" w:lineRule="auto"/>
        <w:ind w:firstLine="480" w:firstLineChars="200"/>
        <w:rPr>
          <w:rFonts w:ascii="宋体"/>
          <w:color w:val="000000" w:themeColor="text1"/>
          <w:sz w:val="24"/>
        </w:rPr>
      </w:pPr>
      <w:r>
        <w:rPr>
          <w:rFonts w:hint="eastAsia" w:ascii="宋体" w:hAnsi="宋体"/>
          <w:color w:val="000000" w:themeColor="text1"/>
          <w:sz w:val="24"/>
        </w:rPr>
        <w:t>（</w:t>
      </w:r>
      <w:r>
        <w:rPr>
          <w:rFonts w:ascii="宋体" w:hAnsi="宋体"/>
          <w:color w:val="000000" w:themeColor="text1"/>
          <w:sz w:val="24"/>
        </w:rPr>
        <w:t>3</w:t>
      </w:r>
      <w:r>
        <w:rPr>
          <w:rFonts w:hint="eastAsia" w:ascii="宋体" w:hAnsi="宋体"/>
          <w:color w:val="000000" w:themeColor="text1"/>
          <w:sz w:val="24"/>
        </w:rPr>
        <w:t>）参选书</w:t>
      </w:r>
    </w:p>
    <w:p>
      <w:pPr>
        <w:keepNext w:val="0"/>
        <w:keepLines w:val="0"/>
        <w:pageBreakBefore w:val="0"/>
        <w:kinsoku/>
        <w:overflowPunct/>
        <w:topLinePunct w:val="0"/>
        <w:autoSpaceDE/>
        <w:autoSpaceDN/>
        <w:bidi w:val="0"/>
        <w:spacing w:line="288" w:lineRule="auto"/>
        <w:ind w:firstLine="480" w:firstLineChars="200"/>
        <w:rPr>
          <w:rFonts w:ascii="宋体"/>
          <w:color w:val="000000" w:themeColor="text1"/>
          <w:sz w:val="24"/>
        </w:rPr>
      </w:pPr>
      <w:r>
        <w:rPr>
          <w:rFonts w:hint="eastAsia" w:ascii="宋体" w:hAnsi="宋体"/>
          <w:color w:val="000000" w:themeColor="text1"/>
          <w:sz w:val="24"/>
        </w:rPr>
        <w:t>（</w:t>
      </w:r>
      <w:r>
        <w:rPr>
          <w:rFonts w:ascii="宋体" w:hAnsi="宋体"/>
          <w:color w:val="000000" w:themeColor="text1"/>
          <w:sz w:val="24"/>
        </w:rPr>
        <w:t>4</w:t>
      </w:r>
      <w:r>
        <w:rPr>
          <w:rFonts w:hint="eastAsia" w:ascii="宋体" w:hAnsi="宋体"/>
          <w:color w:val="000000" w:themeColor="text1"/>
          <w:sz w:val="24"/>
        </w:rPr>
        <w:t>）法定代表人授权书</w:t>
      </w:r>
    </w:p>
    <w:p>
      <w:pPr>
        <w:keepNext w:val="0"/>
        <w:keepLines w:val="0"/>
        <w:pageBreakBefore w:val="0"/>
        <w:kinsoku/>
        <w:overflowPunct/>
        <w:topLinePunct w:val="0"/>
        <w:autoSpaceDE/>
        <w:autoSpaceDN/>
        <w:bidi w:val="0"/>
        <w:spacing w:line="288" w:lineRule="auto"/>
        <w:ind w:firstLine="480" w:firstLineChars="200"/>
        <w:rPr>
          <w:rFonts w:hint="eastAsia" w:ascii="宋体" w:hAnsi="宋体"/>
          <w:color w:val="000000" w:themeColor="text1"/>
          <w:sz w:val="24"/>
        </w:rPr>
      </w:pPr>
      <w:r>
        <w:rPr>
          <w:rFonts w:hint="eastAsia" w:ascii="宋体" w:hAnsi="宋体"/>
          <w:color w:val="000000" w:themeColor="text1"/>
          <w:sz w:val="24"/>
        </w:rPr>
        <w:t>（</w:t>
      </w:r>
      <w:r>
        <w:rPr>
          <w:rFonts w:ascii="宋体" w:hAnsi="宋体"/>
          <w:color w:val="000000" w:themeColor="text1"/>
          <w:sz w:val="24"/>
        </w:rPr>
        <w:t>5</w:t>
      </w:r>
      <w:r>
        <w:rPr>
          <w:rFonts w:hint="eastAsia" w:ascii="宋体" w:hAnsi="宋体"/>
          <w:color w:val="000000" w:themeColor="text1"/>
          <w:sz w:val="24"/>
        </w:rPr>
        <w:t>）报价单</w:t>
      </w:r>
    </w:p>
    <w:p>
      <w:pPr>
        <w:keepNext w:val="0"/>
        <w:keepLines w:val="0"/>
        <w:pageBreakBefore w:val="0"/>
        <w:kinsoku/>
        <w:overflowPunct/>
        <w:topLinePunct w:val="0"/>
        <w:autoSpaceDE/>
        <w:autoSpaceDN/>
        <w:bidi w:val="0"/>
        <w:spacing w:line="288" w:lineRule="auto"/>
        <w:ind w:firstLine="480" w:firstLineChars="200"/>
        <w:rPr>
          <w:rFonts w:hint="eastAsia" w:ascii="宋体" w:hAnsi="宋体" w:eastAsia="宋体"/>
          <w:color w:val="000000" w:themeColor="text1"/>
          <w:sz w:val="24"/>
          <w:lang w:eastAsia="zh-CN"/>
        </w:rPr>
      </w:pPr>
      <w:r>
        <w:rPr>
          <w:rFonts w:hint="eastAsia" w:ascii="宋体" w:hAnsi="宋体"/>
          <w:color w:val="000000" w:themeColor="text1"/>
          <w:sz w:val="24"/>
          <w:lang w:eastAsia="zh-CN"/>
        </w:rPr>
        <w:t>（</w:t>
      </w:r>
      <w:r>
        <w:rPr>
          <w:rFonts w:hint="eastAsia" w:ascii="宋体" w:hAnsi="宋体"/>
          <w:color w:val="000000" w:themeColor="text1"/>
          <w:sz w:val="24"/>
          <w:lang w:val="en-US" w:eastAsia="zh-CN"/>
        </w:rPr>
        <w:t>6</w:t>
      </w:r>
      <w:r>
        <w:rPr>
          <w:rFonts w:hint="eastAsia" w:ascii="宋体" w:hAnsi="宋体"/>
          <w:color w:val="000000" w:themeColor="text1"/>
          <w:sz w:val="24"/>
          <w:lang w:eastAsia="zh-CN"/>
        </w:rPr>
        <w:t>）</w:t>
      </w:r>
      <w:r>
        <w:rPr>
          <w:rFonts w:hint="eastAsia" w:ascii="宋体" w:hAnsi="宋体" w:cs="宋体"/>
          <w:color w:val="000000" w:themeColor="text1"/>
          <w:sz w:val="24"/>
          <w:lang w:val="en-US" w:eastAsia="zh-CN"/>
        </w:rPr>
        <w:t>附件《2022年PTA装置闭式循环冷却水药剂采购技术要求》及其中要求的文件</w:t>
      </w:r>
    </w:p>
    <w:p>
      <w:pPr>
        <w:keepNext w:val="0"/>
        <w:keepLines w:val="0"/>
        <w:pageBreakBefore w:val="0"/>
        <w:kinsoku/>
        <w:overflowPunct/>
        <w:topLinePunct w:val="0"/>
        <w:autoSpaceDE/>
        <w:autoSpaceDN/>
        <w:bidi w:val="0"/>
        <w:spacing w:line="288" w:lineRule="auto"/>
        <w:ind w:firstLine="480" w:firstLineChars="200"/>
        <w:rPr>
          <w:rFonts w:ascii="宋体"/>
          <w:color w:val="000000" w:themeColor="text1"/>
          <w:sz w:val="24"/>
        </w:rPr>
      </w:pPr>
      <w:r>
        <w:rPr>
          <w:rFonts w:hint="eastAsia" w:ascii="宋体" w:hAnsi="宋体"/>
          <w:color w:val="000000" w:themeColor="text1"/>
          <w:sz w:val="24"/>
        </w:rPr>
        <w:t>据此参与书，我公司及签字代表宣布同意如下：</w:t>
      </w:r>
    </w:p>
    <w:p>
      <w:pPr>
        <w:keepNext w:val="0"/>
        <w:keepLines w:val="0"/>
        <w:pageBreakBefore w:val="0"/>
        <w:numPr>
          <w:ilvl w:val="0"/>
          <w:numId w:val="7"/>
        </w:numPr>
        <w:kinsoku/>
        <w:overflowPunct/>
        <w:topLinePunct w:val="0"/>
        <w:autoSpaceDE/>
        <w:autoSpaceDN/>
        <w:bidi w:val="0"/>
        <w:spacing w:line="288" w:lineRule="auto"/>
        <w:ind w:firstLine="480" w:firstLineChars="200"/>
        <w:rPr>
          <w:rFonts w:ascii="宋体"/>
          <w:color w:val="000000" w:themeColor="text1"/>
          <w:sz w:val="24"/>
        </w:rPr>
      </w:pPr>
      <w:r>
        <w:rPr>
          <w:rFonts w:hint="eastAsia" w:ascii="宋体" w:hAnsi="宋体"/>
          <w:color w:val="000000" w:themeColor="text1"/>
          <w:sz w:val="24"/>
        </w:rPr>
        <w:t>所交付的货物和所递交的报价真实、可靠。</w:t>
      </w:r>
    </w:p>
    <w:p>
      <w:pPr>
        <w:keepNext w:val="0"/>
        <w:keepLines w:val="0"/>
        <w:pageBreakBefore w:val="0"/>
        <w:numPr>
          <w:ilvl w:val="0"/>
          <w:numId w:val="7"/>
        </w:numPr>
        <w:kinsoku/>
        <w:overflowPunct/>
        <w:topLinePunct w:val="0"/>
        <w:autoSpaceDE/>
        <w:autoSpaceDN/>
        <w:bidi w:val="0"/>
        <w:spacing w:line="288" w:lineRule="auto"/>
        <w:ind w:firstLine="480" w:firstLineChars="200"/>
        <w:rPr>
          <w:rFonts w:ascii="宋体"/>
          <w:color w:val="000000" w:themeColor="text1"/>
          <w:sz w:val="24"/>
        </w:rPr>
      </w:pPr>
      <w:r>
        <w:rPr>
          <w:rFonts w:hint="eastAsia" w:ascii="宋体" w:hAnsi="宋体"/>
          <w:color w:val="000000" w:themeColor="text1"/>
          <w:sz w:val="24"/>
        </w:rPr>
        <w:t>我方将履行公开比选文件规定的每一项要求、按期、按质、按量履行合同及订单。</w:t>
      </w:r>
    </w:p>
    <w:p>
      <w:pPr>
        <w:keepNext w:val="0"/>
        <w:keepLines w:val="0"/>
        <w:pageBreakBefore w:val="0"/>
        <w:numPr>
          <w:ilvl w:val="0"/>
          <w:numId w:val="7"/>
        </w:numPr>
        <w:kinsoku/>
        <w:overflowPunct/>
        <w:topLinePunct w:val="0"/>
        <w:autoSpaceDE/>
        <w:autoSpaceDN/>
        <w:bidi w:val="0"/>
        <w:spacing w:line="288" w:lineRule="auto"/>
        <w:ind w:firstLine="480" w:firstLineChars="200"/>
        <w:rPr>
          <w:rFonts w:ascii="宋体"/>
          <w:color w:val="000000" w:themeColor="text1"/>
          <w:sz w:val="24"/>
        </w:rPr>
      </w:pPr>
      <w:r>
        <w:rPr>
          <w:rFonts w:hint="eastAsia" w:ascii="宋体" w:hAnsi="宋体"/>
          <w:color w:val="000000" w:themeColor="text1"/>
          <w:sz w:val="24"/>
        </w:rPr>
        <w:t>我公司报价有效期从报价日起至合同履约执行结束为止。</w:t>
      </w:r>
    </w:p>
    <w:p>
      <w:pPr>
        <w:keepNext w:val="0"/>
        <w:keepLines w:val="0"/>
        <w:pageBreakBefore w:val="0"/>
        <w:kinsoku/>
        <w:overflowPunct/>
        <w:topLinePunct w:val="0"/>
        <w:autoSpaceDE/>
        <w:autoSpaceDN/>
        <w:bidi w:val="0"/>
        <w:spacing w:line="288" w:lineRule="auto"/>
        <w:ind w:firstLine="480" w:firstLineChars="200"/>
        <w:rPr>
          <w:rFonts w:ascii="宋体"/>
          <w:color w:val="000000" w:themeColor="text1"/>
          <w:sz w:val="24"/>
        </w:rPr>
      </w:pPr>
    </w:p>
    <w:p>
      <w:pPr>
        <w:keepNext w:val="0"/>
        <w:keepLines w:val="0"/>
        <w:pageBreakBefore w:val="0"/>
        <w:kinsoku/>
        <w:overflowPunct/>
        <w:topLinePunct w:val="0"/>
        <w:autoSpaceDE/>
        <w:autoSpaceDN/>
        <w:bidi w:val="0"/>
        <w:spacing w:line="288" w:lineRule="auto"/>
        <w:ind w:firstLine="480" w:firstLineChars="200"/>
        <w:rPr>
          <w:rFonts w:ascii="宋体"/>
          <w:color w:val="000000" w:themeColor="text1"/>
          <w:sz w:val="24"/>
        </w:rPr>
      </w:pPr>
    </w:p>
    <w:p>
      <w:pPr>
        <w:keepNext w:val="0"/>
        <w:keepLines w:val="0"/>
        <w:pageBreakBefore w:val="0"/>
        <w:kinsoku/>
        <w:overflowPunct/>
        <w:topLinePunct w:val="0"/>
        <w:autoSpaceDE/>
        <w:autoSpaceDN/>
        <w:bidi w:val="0"/>
        <w:spacing w:line="288" w:lineRule="auto"/>
        <w:ind w:firstLine="480" w:firstLineChars="200"/>
        <w:rPr>
          <w:rFonts w:ascii="宋体"/>
          <w:color w:val="000000" w:themeColor="text1"/>
          <w:sz w:val="24"/>
        </w:rPr>
      </w:pPr>
      <w:r>
        <w:rPr>
          <w:rFonts w:hint="eastAsia" w:ascii="宋体" w:hAnsi="宋体"/>
          <w:color w:val="000000" w:themeColor="text1"/>
          <w:sz w:val="24"/>
        </w:rPr>
        <w:t>被授权代表姓名：</w:t>
      </w:r>
    </w:p>
    <w:p>
      <w:pPr>
        <w:keepNext w:val="0"/>
        <w:keepLines w:val="0"/>
        <w:pageBreakBefore w:val="0"/>
        <w:kinsoku/>
        <w:overflowPunct/>
        <w:topLinePunct w:val="0"/>
        <w:autoSpaceDE/>
        <w:autoSpaceDN/>
        <w:bidi w:val="0"/>
        <w:spacing w:line="288" w:lineRule="auto"/>
        <w:ind w:firstLine="480" w:firstLineChars="200"/>
        <w:rPr>
          <w:rFonts w:ascii="宋体"/>
          <w:color w:val="000000" w:themeColor="text1"/>
          <w:sz w:val="24"/>
        </w:rPr>
      </w:pPr>
      <w:r>
        <w:rPr>
          <w:rFonts w:hint="eastAsia" w:ascii="宋体" w:hAnsi="宋体"/>
          <w:color w:val="000000" w:themeColor="text1"/>
          <w:sz w:val="24"/>
        </w:rPr>
        <w:t>职务：</w:t>
      </w:r>
    </w:p>
    <w:p>
      <w:pPr>
        <w:keepNext w:val="0"/>
        <w:keepLines w:val="0"/>
        <w:pageBreakBefore w:val="0"/>
        <w:kinsoku/>
        <w:overflowPunct/>
        <w:topLinePunct w:val="0"/>
        <w:autoSpaceDE/>
        <w:autoSpaceDN/>
        <w:bidi w:val="0"/>
        <w:spacing w:line="288" w:lineRule="auto"/>
        <w:ind w:firstLine="480" w:firstLineChars="200"/>
        <w:rPr>
          <w:rFonts w:ascii="宋体"/>
          <w:color w:val="000000" w:themeColor="text1"/>
          <w:sz w:val="24"/>
        </w:rPr>
      </w:pPr>
      <w:r>
        <w:rPr>
          <w:rFonts w:hint="eastAsia" w:ascii="宋体" w:hAnsi="宋体"/>
          <w:color w:val="000000" w:themeColor="text1"/>
          <w:sz w:val="24"/>
        </w:rPr>
        <w:t>联系方式：</w:t>
      </w:r>
    </w:p>
    <w:p>
      <w:pPr>
        <w:keepNext w:val="0"/>
        <w:keepLines w:val="0"/>
        <w:pageBreakBefore w:val="0"/>
        <w:kinsoku/>
        <w:overflowPunct/>
        <w:topLinePunct w:val="0"/>
        <w:autoSpaceDE/>
        <w:autoSpaceDN/>
        <w:bidi w:val="0"/>
        <w:spacing w:line="288" w:lineRule="auto"/>
        <w:ind w:firstLine="480" w:firstLineChars="200"/>
        <w:rPr>
          <w:rFonts w:ascii="宋体"/>
          <w:color w:val="000000" w:themeColor="text1"/>
          <w:sz w:val="24"/>
        </w:rPr>
      </w:pPr>
    </w:p>
    <w:p>
      <w:pPr>
        <w:keepNext w:val="0"/>
        <w:keepLines w:val="0"/>
        <w:pageBreakBefore w:val="0"/>
        <w:kinsoku/>
        <w:overflowPunct/>
        <w:topLinePunct w:val="0"/>
        <w:autoSpaceDE/>
        <w:autoSpaceDN/>
        <w:bidi w:val="0"/>
        <w:spacing w:line="288" w:lineRule="auto"/>
        <w:ind w:firstLine="480" w:firstLineChars="200"/>
        <w:rPr>
          <w:rFonts w:ascii="宋体"/>
          <w:color w:val="000000" w:themeColor="text1"/>
          <w:sz w:val="24"/>
        </w:rPr>
      </w:pPr>
      <w:r>
        <w:rPr>
          <w:rFonts w:hint="eastAsia" w:ascii="宋体" w:hAnsi="宋体"/>
          <w:color w:val="000000" w:themeColor="text1"/>
          <w:sz w:val="24"/>
        </w:rPr>
        <w:t>被授权代表签字；</w:t>
      </w:r>
    </w:p>
    <w:p>
      <w:pPr>
        <w:keepNext w:val="0"/>
        <w:keepLines w:val="0"/>
        <w:pageBreakBefore w:val="0"/>
        <w:widowControl/>
        <w:kinsoku/>
        <w:overflowPunct/>
        <w:topLinePunct w:val="0"/>
        <w:autoSpaceDE/>
        <w:autoSpaceDN/>
        <w:bidi w:val="0"/>
        <w:spacing w:line="288" w:lineRule="auto"/>
        <w:jc w:val="left"/>
        <w:rPr>
          <w:rFonts w:ascii="宋体"/>
          <w:b/>
          <w:bCs/>
          <w:color w:val="000000" w:themeColor="text1"/>
          <w:sz w:val="36"/>
          <w:szCs w:val="36"/>
        </w:rPr>
      </w:pPr>
      <w:r>
        <w:rPr>
          <w:rFonts w:ascii="宋体"/>
          <w:b/>
          <w:bCs/>
          <w:color w:val="000000" w:themeColor="text1"/>
          <w:sz w:val="36"/>
          <w:szCs w:val="36"/>
        </w:rPr>
        <w:br w:type="page"/>
      </w:r>
    </w:p>
    <w:p>
      <w:pPr>
        <w:keepNext w:val="0"/>
        <w:keepLines w:val="0"/>
        <w:pageBreakBefore w:val="0"/>
        <w:kinsoku/>
        <w:overflowPunct/>
        <w:topLinePunct w:val="0"/>
        <w:autoSpaceDE/>
        <w:autoSpaceDN/>
        <w:bidi w:val="0"/>
        <w:spacing w:line="288" w:lineRule="auto"/>
        <w:jc w:val="center"/>
        <w:rPr>
          <w:rFonts w:ascii="宋体"/>
          <w:b/>
          <w:bCs/>
          <w:color w:val="000000" w:themeColor="text1"/>
          <w:sz w:val="36"/>
          <w:szCs w:val="36"/>
        </w:rPr>
      </w:pPr>
      <w:r>
        <w:rPr>
          <w:rFonts w:hint="eastAsia" w:ascii="宋体" w:hAnsi="宋体"/>
          <w:b/>
          <w:bCs/>
          <w:color w:val="000000" w:themeColor="text1"/>
          <w:sz w:val="36"/>
          <w:szCs w:val="36"/>
        </w:rPr>
        <w:t>五、法定代表人授权书</w:t>
      </w:r>
    </w:p>
    <w:p>
      <w:pPr>
        <w:keepNext w:val="0"/>
        <w:keepLines w:val="0"/>
        <w:pageBreakBefore w:val="0"/>
        <w:kinsoku/>
        <w:overflowPunct/>
        <w:topLinePunct w:val="0"/>
        <w:autoSpaceDE/>
        <w:autoSpaceDN/>
        <w:bidi w:val="0"/>
        <w:spacing w:line="288" w:lineRule="auto"/>
        <w:ind w:firstLine="480" w:firstLineChars="200"/>
        <w:rPr>
          <w:rFonts w:ascii="宋体"/>
          <w:color w:val="000000" w:themeColor="text1"/>
          <w:sz w:val="24"/>
        </w:rPr>
      </w:pPr>
    </w:p>
    <w:p>
      <w:pPr>
        <w:keepNext w:val="0"/>
        <w:keepLines w:val="0"/>
        <w:pageBreakBefore w:val="0"/>
        <w:kinsoku/>
        <w:overflowPunct/>
        <w:topLinePunct w:val="0"/>
        <w:autoSpaceDE/>
        <w:autoSpaceDN/>
        <w:bidi w:val="0"/>
        <w:spacing w:line="288" w:lineRule="auto"/>
        <w:ind w:firstLine="480" w:firstLineChars="200"/>
        <w:rPr>
          <w:rFonts w:ascii="宋体" w:hAnsi="宋体"/>
          <w:color w:val="000000" w:themeColor="text1"/>
          <w:sz w:val="24"/>
        </w:rPr>
      </w:pPr>
      <w:r>
        <w:rPr>
          <w:rFonts w:hint="eastAsia" w:ascii="宋体" w:hAnsi="宋体"/>
          <w:color w:val="000000" w:themeColor="text1"/>
          <w:sz w:val="24"/>
        </w:rPr>
        <w:t>本授权书声明：注册于</w:t>
      </w:r>
      <w:r>
        <w:rPr>
          <w:rFonts w:hint="eastAsia" w:ascii="宋体" w:hAnsi="宋体"/>
          <w:color w:val="000000" w:themeColor="text1"/>
          <w:sz w:val="24"/>
          <w:u w:val="single"/>
        </w:rPr>
        <w:t xml:space="preserve">              </w:t>
      </w:r>
      <w:r>
        <w:rPr>
          <w:rFonts w:hint="eastAsia" w:ascii="宋体" w:hAnsi="宋体"/>
          <w:color w:val="000000" w:themeColor="text1"/>
          <w:sz w:val="24"/>
        </w:rPr>
        <w:t>的</w:t>
      </w:r>
      <w:r>
        <w:rPr>
          <w:rFonts w:hint="eastAsia" w:ascii="宋体" w:hAnsi="宋体"/>
          <w:color w:val="000000" w:themeColor="text1"/>
          <w:sz w:val="24"/>
          <w:u w:val="single"/>
        </w:rPr>
        <w:t xml:space="preserve">            </w:t>
      </w:r>
      <w:r>
        <w:rPr>
          <w:rFonts w:hint="eastAsia" w:ascii="宋体" w:hAnsi="宋体"/>
          <w:color w:val="000000" w:themeColor="text1"/>
          <w:sz w:val="24"/>
        </w:rPr>
        <w:t>在下方签字（或签章）的</w:t>
      </w:r>
      <w:r>
        <w:rPr>
          <w:rFonts w:hint="eastAsia" w:ascii="宋体" w:hAnsi="宋体"/>
          <w:color w:val="000000" w:themeColor="text1"/>
          <w:sz w:val="24"/>
          <w:u w:val="single"/>
        </w:rPr>
        <w:t xml:space="preserve">              </w:t>
      </w:r>
      <w:r>
        <w:rPr>
          <w:rFonts w:hint="eastAsia" w:ascii="宋体" w:hAnsi="宋体"/>
          <w:color w:val="000000" w:themeColor="text1"/>
          <w:sz w:val="24"/>
        </w:rPr>
        <w:t>代表本公司授权</w:t>
      </w:r>
      <w:r>
        <w:rPr>
          <w:rFonts w:hint="eastAsia" w:ascii="宋体" w:hAnsi="宋体"/>
          <w:color w:val="000000" w:themeColor="text1"/>
          <w:sz w:val="24"/>
          <w:u w:val="single"/>
        </w:rPr>
        <w:t xml:space="preserve">               </w:t>
      </w:r>
      <w:r>
        <w:rPr>
          <w:rFonts w:hint="eastAsia" w:ascii="宋体" w:hAnsi="宋体"/>
          <w:color w:val="000000" w:themeColor="text1"/>
          <w:sz w:val="24"/>
        </w:rPr>
        <w:t>为本公司的合法代理人，就本次报价（编号：</w:t>
      </w:r>
      <w:r>
        <w:rPr>
          <w:rFonts w:hint="eastAsia" w:asciiTheme="minorEastAsia" w:hAnsiTheme="minorEastAsia" w:eastAsiaTheme="minorEastAsia"/>
          <w:bCs/>
          <w:color w:val="000000" w:themeColor="text1"/>
          <w:sz w:val="24"/>
          <w:u w:val="single"/>
          <w:lang w:eastAsia="zh-CN"/>
        </w:rPr>
        <w:t>2022-FHC-循环冷却水药剂-0721</w:t>
      </w:r>
      <w:r>
        <w:rPr>
          <w:rFonts w:hint="eastAsia" w:ascii="宋体" w:hAnsi="宋体"/>
          <w:color w:val="000000" w:themeColor="text1"/>
          <w:sz w:val="24"/>
        </w:rPr>
        <w:t>）的参与报价和合同的执行、以本公司名义处理与之有关的事务。</w:t>
      </w:r>
    </w:p>
    <w:p>
      <w:pPr>
        <w:keepNext w:val="0"/>
        <w:keepLines w:val="0"/>
        <w:pageBreakBefore w:val="0"/>
        <w:kinsoku/>
        <w:overflowPunct/>
        <w:topLinePunct w:val="0"/>
        <w:autoSpaceDE/>
        <w:autoSpaceDN/>
        <w:bidi w:val="0"/>
        <w:spacing w:line="288" w:lineRule="auto"/>
        <w:rPr>
          <w:rFonts w:ascii="宋体"/>
          <w:color w:val="000000" w:themeColor="text1"/>
          <w:sz w:val="24"/>
        </w:rPr>
      </w:pPr>
      <w:r>
        <w:rPr>
          <w:rFonts w:hint="eastAsia" w:ascii="宋体" w:hAnsi="宋体"/>
          <w:color w:val="000000" w:themeColor="text1"/>
          <w:sz w:val="24"/>
        </w:rPr>
        <w:t>本授权书于    年   月   日生效，本授权书有效期至此次报价，以及合同履行完毕时止。特此声明。</w:t>
      </w:r>
    </w:p>
    <w:p>
      <w:pPr>
        <w:keepNext w:val="0"/>
        <w:keepLines w:val="0"/>
        <w:pageBreakBefore w:val="0"/>
        <w:kinsoku/>
        <w:overflowPunct/>
        <w:topLinePunct w:val="0"/>
        <w:autoSpaceDE/>
        <w:autoSpaceDN/>
        <w:bidi w:val="0"/>
        <w:spacing w:line="288" w:lineRule="auto"/>
        <w:rPr>
          <w:rFonts w:ascii="宋体" w:hAnsi="宋体"/>
          <w:color w:val="000000" w:themeColor="text1"/>
          <w:sz w:val="24"/>
        </w:rPr>
      </w:pPr>
      <w:r>
        <w:rPr>
          <w:rFonts w:hint="eastAsia" w:ascii="宋体" w:hAnsi="宋体"/>
          <w:color w:val="000000" w:themeColor="text1"/>
          <w:sz w:val="24"/>
        </w:rPr>
        <w:t>法定代表人（签字或签章）：</w:t>
      </w:r>
    </w:p>
    <w:p>
      <w:pPr>
        <w:keepNext w:val="0"/>
        <w:keepLines w:val="0"/>
        <w:pageBreakBefore w:val="0"/>
        <w:kinsoku/>
        <w:overflowPunct/>
        <w:topLinePunct w:val="0"/>
        <w:autoSpaceDE/>
        <w:autoSpaceDN/>
        <w:bidi w:val="0"/>
        <w:spacing w:line="288" w:lineRule="auto"/>
        <w:rPr>
          <w:rFonts w:ascii="宋体" w:hAnsi="宋体"/>
          <w:color w:val="000000" w:themeColor="text1"/>
          <w:sz w:val="24"/>
        </w:rPr>
      </w:pPr>
    </w:p>
    <w:p>
      <w:pPr>
        <w:keepNext w:val="0"/>
        <w:keepLines w:val="0"/>
        <w:pageBreakBefore w:val="0"/>
        <w:kinsoku/>
        <w:overflowPunct/>
        <w:topLinePunct w:val="0"/>
        <w:autoSpaceDE/>
        <w:autoSpaceDN/>
        <w:bidi w:val="0"/>
        <w:spacing w:line="288" w:lineRule="auto"/>
        <w:rPr>
          <w:rFonts w:ascii="宋体" w:hAnsi="宋体"/>
          <w:color w:val="000000" w:themeColor="text1"/>
          <w:sz w:val="24"/>
        </w:rPr>
      </w:pPr>
    </w:p>
    <w:p>
      <w:pPr>
        <w:keepNext w:val="0"/>
        <w:keepLines w:val="0"/>
        <w:pageBreakBefore w:val="0"/>
        <w:kinsoku/>
        <w:overflowPunct/>
        <w:topLinePunct w:val="0"/>
        <w:autoSpaceDE/>
        <w:autoSpaceDN/>
        <w:bidi w:val="0"/>
        <w:spacing w:line="288" w:lineRule="auto"/>
        <w:rPr>
          <w:rFonts w:ascii="宋体"/>
          <w:color w:val="000000" w:themeColor="text1"/>
          <w:sz w:val="24"/>
        </w:rPr>
      </w:pPr>
      <w:r>
        <w:rPr>
          <w:rFonts w:hint="eastAsia" w:ascii="宋体" w:hAnsi="宋体"/>
          <w:color w:val="000000" w:themeColor="text1"/>
          <w:sz w:val="24"/>
        </w:rPr>
        <w:t>被授权代表签字：</w:t>
      </w:r>
    </w:p>
    <w:p>
      <w:pPr>
        <w:keepNext w:val="0"/>
        <w:keepLines w:val="0"/>
        <w:pageBreakBefore w:val="0"/>
        <w:kinsoku/>
        <w:overflowPunct/>
        <w:topLinePunct w:val="0"/>
        <w:autoSpaceDE/>
        <w:autoSpaceDN/>
        <w:bidi w:val="0"/>
        <w:spacing w:line="288" w:lineRule="auto"/>
        <w:rPr>
          <w:rFonts w:ascii="宋体"/>
          <w:color w:val="000000" w:themeColor="text1"/>
          <w:sz w:val="24"/>
        </w:rPr>
      </w:pPr>
    </w:p>
    <w:p>
      <w:pPr>
        <w:keepNext w:val="0"/>
        <w:keepLines w:val="0"/>
        <w:pageBreakBefore w:val="0"/>
        <w:kinsoku/>
        <w:overflowPunct/>
        <w:topLinePunct w:val="0"/>
        <w:autoSpaceDE/>
        <w:autoSpaceDN/>
        <w:bidi w:val="0"/>
        <w:spacing w:line="288" w:lineRule="auto"/>
        <w:rPr>
          <w:rFonts w:ascii="宋体"/>
          <w:color w:val="000000" w:themeColor="text1"/>
          <w:sz w:val="24"/>
        </w:rPr>
      </w:pPr>
      <w:r>
        <w:rPr>
          <w:rFonts w:hint="eastAsia" w:ascii="宋体" w:hAnsi="宋体"/>
          <w:color w:val="000000" w:themeColor="text1"/>
          <w:sz w:val="24"/>
        </w:rPr>
        <w:t>单位名称（公章）：</w:t>
      </w:r>
    </w:p>
    <w:p>
      <w:pPr>
        <w:keepNext w:val="0"/>
        <w:keepLines w:val="0"/>
        <w:pageBreakBefore w:val="0"/>
        <w:kinsoku/>
        <w:overflowPunct/>
        <w:topLinePunct w:val="0"/>
        <w:autoSpaceDE/>
        <w:autoSpaceDN/>
        <w:bidi w:val="0"/>
        <w:spacing w:line="288" w:lineRule="auto"/>
        <w:rPr>
          <w:rFonts w:ascii="宋体"/>
          <w:color w:val="000000" w:themeColor="text1"/>
          <w:sz w:val="24"/>
        </w:rPr>
      </w:pPr>
      <w:r>
        <w:rPr>
          <w:rFonts w:hint="eastAsia" w:ascii="宋体" w:hAnsi="宋体"/>
          <w:color w:val="000000" w:themeColor="text1"/>
          <w:sz w:val="24"/>
        </w:rPr>
        <w:t>地址：</w:t>
      </w:r>
    </w:p>
    <w:p>
      <w:pPr>
        <w:keepNext w:val="0"/>
        <w:keepLines w:val="0"/>
        <w:pageBreakBefore w:val="0"/>
        <w:kinsoku/>
        <w:overflowPunct/>
        <w:topLinePunct w:val="0"/>
        <w:autoSpaceDE/>
        <w:autoSpaceDN/>
        <w:bidi w:val="0"/>
        <w:spacing w:line="288" w:lineRule="auto"/>
        <w:rPr>
          <w:rFonts w:ascii="宋体"/>
          <w:color w:val="000000" w:themeColor="text1"/>
          <w:sz w:val="24"/>
        </w:rPr>
      </w:pPr>
      <w:r>
        <w:rPr>
          <w:rFonts w:hint="eastAsia" w:ascii="宋体" w:hAnsi="宋体"/>
          <w:color w:val="000000" w:themeColor="text1"/>
          <w:sz w:val="24"/>
        </w:rPr>
        <w:t>电话：</w:t>
      </w:r>
    </w:p>
    <w:p>
      <w:pPr>
        <w:keepNext w:val="0"/>
        <w:keepLines w:val="0"/>
        <w:pageBreakBefore w:val="0"/>
        <w:kinsoku/>
        <w:overflowPunct/>
        <w:topLinePunct w:val="0"/>
        <w:autoSpaceDE/>
        <w:autoSpaceDN/>
        <w:bidi w:val="0"/>
        <w:spacing w:line="288" w:lineRule="auto"/>
        <w:rPr>
          <w:rFonts w:ascii="宋体"/>
          <w:color w:val="000000" w:themeColor="text1"/>
          <w:sz w:val="24"/>
        </w:rPr>
      </w:pPr>
      <w:r>
        <w:rPr>
          <w:rFonts w:hint="eastAsia" w:ascii="宋体" w:hAnsi="宋体"/>
          <w:color w:val="000000" w:themeColor="text1"/>
          <w:sz w:val="24"/>
        </w:rPr>
        <w:t>传真：</w:t>
      </w:r>
    </w:p>
    <w:p>
      <w:pPr>
        <w:keepNext w:val="0"/>
        <w:keepLines w:val="0"/>
        <w:pageBreakBefore w:val="0"/>
        <w:kinsoku/>
        <w:overflowPunct/>
        <w:topLinePunct w:val="0"/>
        <w:autoSpaceDE/>
        <w:autoSpaceDN/>
        <w:bidi w:val="0"/>
        <w:spacing w:line="288" w:lineRule="auto"/>
        <w:rPr>
          <w:rFonts w:ascii="宋体"/>
          <w:b/>
          <w:bCs/>
          <w:color w:val="000000" w:themeColor="text1"/>
          <w:sz w:val="28"/>
        </w:rPr>
      </w:pPr>
    </w:p>
    <w:p>
      <w:pPr>
        <w:keepNext w:val="0"/>
        <w:keepLines w:val="0"/>
        <w:pageBreakBefore w:val="0"/>
        <w:kinsoku/>
        <w:overflowPunct/>
        <w:topLinePunct w:val="0"/>
        <w:autoSpaceDE/>
        <w:autoSpaceDN/>
        <w:bidi w:val="0"/>
        <w:spacing w:line="288" w:lineRule="auto"/>
        <w:rPr>
          <w:rFonts w:ascii="宋体"/>
          <w:color w:val="000000" w:themeColor="text1"/>
          <w:sz w:val="24"/>
        </w:rPr>
      </w:pPr>
    </w:p>
    <w:p>
      <w:pPr>
        <w:keepNext w:val="0"/>
        <w:keepLines w:val="0"/>
        <w:pageBreakBefore w:val="0"/>
        <w:widowControl/>
        <w:kinsoku/>
        <w:overflowPunct/>
        <w:topLinePunct w:val="0"/>
        <w:autoSpaceDE/>
        <w:autoSpaceDN/>
        <w:bidi w:val="0"/>
        <w:spacing w:line="288" w:lineRule="auto"/>
        <w:jc w:val="left"/>
        <w:rPr>
          <w:rFonts w:ascii="宋体"/>
          <w:b/>
          <w:bCs/>
          <w:color w:val="000000" w:themeColor="text1"/>
          <w:sz w:val="36"/>
          <w:szCs w:val="36"/>
        </w:rPr>
      </w:pPr>
      <w:r>
        <w:rPr>
          <w:rFonts w:ascii="宋体"/>
          <w:b/>
          <w:bCs/>
          <w:color w:val="000000" w:themeColor="text1"/>
          <w:sz w:val="36"/>
          <w:szCs w:val="36"/>
        </w:rPr>
        <w:br w:type="page"/>
      </w:r>
    </w:p>
    <w:p>
      <w:pPr>
        <w:keepNext w:val="0"/>
        <w:keepLines w:val="0"/>
        <w:pageBreakBefore w:val="0"/>
        <w:kinsoku/>
        <w:overflowPunct/>
        <w:topLinePunct w:val="0"/>
        <w:autoSpaceDE/>
        <w:autoSpaceDN/>
        <w:bidi w:val="0"/>
        <w:spacing w:line="288" w:lineRule="auto"/>
        <w:jc w:val="center"/>
        <w:rPr>
          <w:rFonts w:ascii="宋体" w:hAnsi="宋体"/>
          <w:b/>
          <w:bCs/>
          <w:color w:val="000000" w:themeColor="text1"/>
          <w:sz w:val="36"/>
          <w:szCs w:val="36"/>
        </w:rPr>
      </w:pPr>
      <w:r>
        <w:rPr>
          <w:rFonts w:hint="eastAsia" w:ascii="宋体" w:hAnsi="宋体"/>
          <w:b/>
          <w:bCs/>
          <w:color w:val="000000" w:themeColor="text1"/>
          <w:sz w:val="36"/>
          <w:szCs w:val="36"/>
        </w:rPr>
        <w:t>六、报价单</w:t>
      </w:r>
    </w:p>
    <w:p>
      <w:pPr>
        <w:keepNext w:val="0"/>
        <w:keepLines w:val="0"/>
        <w:pageBreakBefore w:val="0"/>
        <w:kinsoku/>
        <w:overflowPunct/>
        <w:topLinePunct w:val="0"/>
        <w:autoSpaceDE/>
        <w:autoSpaceDN/>
        <w:bidi w:val="0"/>
        <w:spacing w:line="288" w:lineRule="auto"/>
        <w:rPr>
          <w:rFonts w:ascii="宋体" w:hAnsi="宋体"/>
          <w:color w:val="000000" w:themeColor="text1"/>
          <w:sz w:val="24"/>
        </w:rPr>
      </w:pPr>
    </w:p>
    <w:p>
      <w:pPr>
        <w:keepNext w:val="0"/>
        <w:keepLines w:val="0"/>
        <w:pageBreakBefore w:val="0"/>
        <w:kinsoku/>
        <w:overflowPunct/>
        <w:topLinePunct w:val="0"/>
        <w:autoSpaceDE/>
        <w:autoSpaceDN/>
        <w:bidi w:val="0"/>
        <w:spacing w:line="288" w:lineRule="auto"/>
        <w:rPr>
          <w:rFonts w:hint="eastAsia" w:ascii="宋体" w:eastAsia="宋体"/>
          <w:color w:val="000000" w:themeColor="text1"/>
          <w:sz w:val="24"/>
          <w:lang w:eastAsia="zh-CN"/>
        </w:rPr>
      </w:pPr>
      <w:r>
        <w:rPr>
          <w:rFonts w:hint="eastAsia" w:ascii="宋体" w:hAnsi="宋体"/>
          <w:color w:val="000000" w:themeColor="text1"/>
          <w:sz w:val="24"/>
        </w:rPr>
        <w:t>致：</w:t>
      </w:r>
      <w:r>
        <w:rPr>
          <w:rFonts w:hint="eastAsia" w:ascii="宋体" w:hAnsi="宋体"/>
          <w:color w:val="000000" w:themeColor="text1"/>
          <w:sz w:val="24"/>
          <w:lang w:eastAsia="zh-CN"/>
        </w:rPr>
        <w:t>翔鹭石化（漳州）有限公司</w:t>
      </w:r>
    </w:p>
    <w:p>
      <w:pPr>
        <w:keepNext w:val="0"/>
        <w:keepLines w:val="0"/>
        <w:pageBreakBefore w:val="0"/>
        <w:kinsoku/>
        <w:overflowPunct/>
        <w:topLinePunct w:val="0"/>
        <w:autoSpaceDE/>
        <w:autoSpaceDN/>
        <w:bidi w:val="0"/>
        <w:spacing w:line="288" w:lineRule="auto"/>
        <w:rPr>
          <w:rFonts w:ascii="宋体"/>
          <w:color w:val="000000" w:themeColor="text1"/>
          <w:sz w:val="24"/>
        </w:rPr>
      </w:pPr>
      <w:r>
        <w:rPr>
          <w:rFonts w:hint="eastAsia" w:ascii="宋体" w:hAnsi="宋体"/>
          <w:color w:val="000000" w:themeColor="text1"/>
          <w:sz w:val="24"/>
        </w:rPr>
        <w:t>一、对于贵公司（需方）公开比选文件（编号：</w:t>
      </w:r>
      <w:r>
        <w:rPr>
          <w:rFonts w:hint="eastAsia" w:asciiTheme="minorEastAsia" w:hAnsiTheme="minorEastAsia" w:eastAsiaTheme="minorEastAsia"/>
          <w:bCs/>
          <w:color w:val="000000" w:themeColor="text1"/>
          <w:sz w:val="24"/>
          <w:u w:val="single"/>
          <w:lang w:eastAsia="zh-CN"/>
        </w:rPr>
        <w:t>2022-FHC-循环冷却水药剂-0721</w:t>
      </w:r>
      <w:r>
        <w:rPr>
          <w:rFonts w:hint="eastAsia" w:ascii="宋体" w:hAnsi="宋体"/>
          <w:color w:val="000000" w:themeColor="text1"/>
          <w:sz w:val="24"/>
        </w:rPr>
        <w:t>），报价如下：</w:t>
      </w:r>
    </w:p>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r>
        <w:rPr>
          <w:rFonts w:ascii="宋体" w:hAnsi="宋体"/>
          <w:color w:val="000000" w:themeColor="text1"/>
          <w:sz w:val="24"/>
        </w:rPr>
        <w:t xml:space="preserve">1. </w:t>
      </w:r>
      <w:r>
        <w:rPr>
          <w:rFonts w:hint="eastAsia" w:ascii="宋体" w:hAnsi="宋体"/>
          <w:color w:val="000000" w:themeColor="text1"/>
          <w:sz w:val="24"/>
        </w:rPr>
        <w:t>我公司可按贵司要求供应</w:t>
      </w:r>
      <w:r>
        <w:rPr>
          <w:rFonts w:hint="eastAsia" w:ascii="宋体" w:hAnsi="宋体"/>
          <w:color w:val="000000" w:themeColor="text1"/>
          <w:sz w:val="24"/>
          <w:lang w:eastAsia="zh-CN"/>
        </w:rPr>
        <w:t>PTA装置闭式循环冷却水系统处理药剂</w:t>
      </w:r>
      <w:r>
        <w:rPr>
          <w:rFonts w:hint="eastAsia" w:ascii="宋体" w:hAnsi="宋体"/>
          <w:color w:val="000000" w:themeColor="text1"/>
          <w:sz w:val="24"/>
        </w:rPr>
        <w:t>：</w:t>
      </w:r>
    </w:p>
    <w:p>
      <w:pPr>
        <w:keepNext w:val="0"/>
        <w:keepLines w:val="0"/>
        <w:pageBreakBefore w:val="0"/>
        <w:kinsoku/>
        <w:overflowPunct/>
        <w:topLinePunct w:val="0"/>
        <w:autoSpaceDE/>
        <w:autoSpaceDN/>
        <w:bidi w:val="0"/>
        <w:spacing w:line="288" w:lineRule="auto"/>
        <w:rPr>
          <w:rFonts w:hint="default" w:ascii="宋体" w:hAnsi="宋体" w:eastAsia="宋体"/>
          <w:color w:val="000000" w:themeColor="text1"/>
          <w:sz w:val="24"/>
          <w:lang w:val="en-US" w:eastAsia="zh-CN"/>
        </w:rPr>
      </w:pPr>
      <w:r>
        <w:rPr>
          <w:rFonts w:hint="eastAsia" w:ascii="宋体" w:hAnsi="宋体"/>
          <w:color w:val="000000" w:themeColor="text1"/>
          <w:sz w:val="24"/>
          <w:lang w:val="en-US" w:eastAsia="zh-CN"/>
        </w:rPr>
        <w:t>1.1正常运行投加的药剂：</w:t>
      </w:r>
    </w:p>
    <w:tbl>
      <w:tblPr>
        <w:tblStyle w:val="9"/>
        <w:tblW w:w="8519"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2"/>
        <w:gridCol w:w="1315"/>
        <w:gridCol w:w="1315"/>
        <w:gridCol w:w="1315"/>
        <w:gridCol w:w="1315"/>
        <w:gridCol w:w="1316"/>
        <w:gridCol w:w="132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0" w:hRule="atLeast"/>
          <w:jc w:val="center"/>
        </w:trPr>
        <w:tc>
          <w:tcPr>
            <w:tcW w:w="622" w:type="dxa"/>
            <w:vAlign w:val="top"/>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序</w:t>
            </w:r>
          </w:p>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号</w:t>
            </w:r>
          </w:p>
        </w:tc>
        <w:tc>
          <w:tcPr>
            <w:tcW w:w="1315" w:type="dxa"/>
            <w:vAlign w:val="center"/>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lang w:val="en-US" w:eastAsia="zh-CN"/>
              </w:rPr>
              <w:t>药剂名称</w:t>
            </w:r>
          </w:p>
        </w:tc>
        <w:tc>
          <w:tcPr>
            <w:tcW w:w="1315" w:type="dxa"/>
            <w:vAlign w:val="center"/>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规格型号</w:t>
            </w:r>
          </w:p>
        </w:tc>
        <w:tc>
          <w:tcPr>
            <w:tcW w:w="1315" w:type="dxa"/>
            <w:tcBorders>
              <w:right w:val="single" w:color="auto" w:sz="4" w:space="0"/>
            </w:tcBorders>
            <w:vAlign w:val="center"/>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lang w:val="en-US" w:eastAsia="zh-CN"/>
              </w:rPr>
              <w:t>封顶</w:t>
            </w:r>
            <w:r>
              <w:rPr>
                <w:rFonts w:hint="eastAsia" w:ascii="宋体" w:hAnsi="宋体"/>
                <w:color w:val="000000" w:themeColor="text1"/>
                <w:sz w:val="24"/>
              </w:rPr>
              <w:t>数量</w:t>
            </w:r>
          </w:p>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（吨）</w:t>
            </w:r>
          </w:p>
        </w:tc>
        <w:tc>
          <w:tcPr>
            <w:tcW w:w="1315"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lang w:val="en-US" w:eastAsia="zh-CN"/>
              </w:rPr>
              <w:t>含税</w:t>
            </w:r>
            <w:r>
              <w:rPr>
                <w:rFonts w:hint="eastAsia" w:ascii="宋体" w:hAnsi="宋体"/>
                <w:color w:val="000000" w:themeColor="text1"/>
                <w:sz w:val="24"/>
              </w:rPr>
              <w:t>单价</w:t>
            </w:r>
          </w:p>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（元/吨）</w:t>
            </w:r>
          </w:p>
        </w:tc>
        <w:tc>
          <w:tcPr>
            <w:tcW w:w="1316" w:type="dxa"/>
            <w:tcBorders>
              <w:left w:val="single" w:color="auto" w:sz="4" w:space="0"/>
            </w:tcBorders>
            <w:vAlign w:val="center"/>
          </w:tcPr>
          <w:p>
            <w:pPr>
              <w:keepNext w:val="0"/>
              <w:keepLines w:val="0"/>
              <w:pageBreakBefore w:val="0"/>
              <w:kinsoku/>
              <w:overflowPunct/>
              <w:topLinePunct w:val="0"/>
              <w:autoSpaceDE/>
              <w:autoSpaceDN/>
              <w:bidi w:val="0"/>
              <w:spacing w:line="288" w:lineRule="auto"/>
              <w:jc w:val="center"/>
              <w:rPr>
                <w:rFonts w:hint="default" w:ascii="宋体" w:hAnsi="宋体"/>
                <w:color w:val="000000" w:themeColor="text1"/>
                <w:sz w:val="24"/>
                <w:lang w:val="en-US" w:eastAsia="zh-CN"/>
              </w:rPr>
            </w:pPr>
            <w:r>
              <w:rPr>
                <w:rFonts w:hint="eastAsia" w:ascii="宋体" w:hAnsi="宋体"/>
                <w:color w:val="000000" w:themeColor="text1"/>
                <w:sz w:val="24"/>
                <w:lang w:val="en-US" w:eastAsia="zh-CN"/>
              </w:rPr>
              <w:t>含税金额</w:t>
            </w:r>
          </w:p>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（元）</w:t>
            </w:r>
          </w:p>
        </w:tc>
        <w:tc>
          <w:tcPr>
            <w:tcW w:w="1321" w:type="dxa"/>
            <w:tcBorders>
              <w:bottom w:val="single" w:color="auto" w:sz="4" w:space="0"/>
            </w:tcBorders>
            <w:vAlign w:val="center"/>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4" w:hRule="atLeast"/>
          <w:jc w:val="center"/>
        </w:trPr>
        <w:tc>
          <w:tcPr>
            <w:tcW w:w="622" w:type="dxa"/>
            <w:vAlign w:val="top"/>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1</w:t>
            </w:r>
          </w:p>
        </w:tc>
        <w:tc>
          <w:tcPr>
            <w:tcW w:w="1315" w:type="dxa"/>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lang w:eastAsia="zh-CN"/>
              </w:rPr>
            </w:pPr>
          </w:p>
        </w:tc>
        <w:tc>
          <w:tcPr>
            <w:tcW w:w="1315" w:type="dxa"/>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tcBorders>
              <w:righ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6" w:type="dxa"/>
            <w:tcBorders>
              <w:lef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21" w:type="dxa"/>
            <w:tcBorders>
              <w:top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4" w:hRule="atLeast"/>
          <w:jc w:val="center"/>
        </w:trPr>
        <w:tc>
          <w:tcPr>
            <w:tcW w:w="622" w:type="dxa"/>
            <w:vAlign w:val="top"/>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2</w:t>
            </w:r>
          </w:p>
        </w:tc>
        <w:tc>
          <w:tcPr>
            <w:tcW w:w="1315" w:type="dxa"/>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tcBorders>
              <w:righ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6" w:type="dxa"/>
            <w:tcBorders>
              <w:lef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21" w:type="dxa"/>
            <w:tcBorders>
              <w:top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4" w:hRule="atLeast"/>
          <w:jc w:val="center"/>
        </w:trPr>
        <w:tc>
          <w:tcPr>
            <w:tcW w:w="622" w:type="dxa"/>
            <w:vAlign w:val="top"/>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3</w:t>
            </w:r>
          </w:p>
        </w:tc>
        <w:tc>
          <w:tcPr>
            <w:tcW w:w="1315" w:type="dxa"/>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tcBorders>
              <w:righ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6" w:type="dxa"/>
            <w:tcBorders>
              <w:lef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21" w:type="dxa"/>
            <w:tcBorders>
              <w:top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4" w:hRule="atLeast"/>
          <w:jc w:val="center"/>
        </w:trPr>
        <w:tc>
          <w:tcPr>
            <w:tcW w:w="5882" w:type="dxa"/>
            <w:gridSpan w:val="5"/>
            <w:tcBorders>
              <w:right w:val="single" w:color="auto" w:sz="4" w:space="0"/>
            </w:tcBorders>
            <w:vAlign w:val="top"/>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highlight w:val="yellow"/>
                <w:lang w:val="en-US" w:eastAsia="zh-CN"/>
              </w:rPr>
              <w:t>小计（元）</w:t>
            </w:r>
          </w:p>
        </w:tc>
        <w:tc>
          <w:tcPr>
            <w:tcW w:w="2637" w:type="dxa"/>
            <w:gridSpan w:val="2"/>
            <w:tcBorders>
              <w:lef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4" w:hRule="atLeast"/>
          <w:jc w:val="center"/>
        </w:trPr>
        <w:tc>
          <w:tcPr>
            <w:tcW w:w="8519" w:type="dxa"/>
            <w:gridSpan w:val="7"/>
            <w:vAlign w:val="center"/>
          </w:tcPr>
          <w:p>
            <w:pPr>
              <w:keepNext w:val="0"/>
              <w:keepLines w:val="0"/>
              <w:pageBreakBefore w:val="0"/>
              <w:widowControl/>
              <w:numPr>
                <w:ilvl w:val="0"/>
                <w:numId w:val="0"/>
              </w:numPr>
              <w:kinsoku/>
              <w:overflowPunct/>
              <w:topLinePunct w:val="0"/>
              <w:autoSpaceDE/>
              <w:autoSpaceDN/>
              <w:bidi w:val="0"/>
              <w:spacing w:line="288"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备注：</w:t>
            </w:r>
          </w:p>
          <w:p>
            <w:pPr>
              <w:keepNext w:val="0"/>
              <w:keepLines w:val="0"/>
              <w:pageBreakBefore w:val="0"/>
              <w:widowControl/>
              <w:numPr>
                <w:ilvl w:val="0"/>
                <w:numId w:val="0"/>
              </w:numPr>
              <w:kinsoku/>
              <w:overflowPunct/>
              <w:topLinePunct w:val="0"/>
              <w:autoSpaceDE/>
              <w:autoSpaceDN/>
              <w:bidi w:val="0"/>
              <w:spacing w:line="288" w:lineRule="auto"/>
              <w:jc w:val="left"/>
              <w:rPr>
                <w:rFonts w:hint="eastAsia" w:ascii="宋体" w:hAnsi="宋体" w:eastAsia="宋体" w:cs="宋体"/>
                <w:color w:val="000000" w:themeColor="text1"/>
                <w:kern w:val="0"/>
                <w:sz w:val="24"/>
                <w:szCs w:val="24"/>
                <w:lang w:eastAsia="zh-CN"/>
              </w:rPr>
            </w:pPr>
            <w:r>
              <w:rPr>
                <w:rFonts w:hint="eastAsia" w:ascii="宋体" w:hAnsi="宋体" w:eastAsia="宋体" w:cs="宋体"/>
                <w:color w:val="000000" w:themeColor="text1"/>
                <w:kern w:val="0"/>
                <w:sz w:val="24"/>
                <w:szCs w:val="24"/>
              </w:rPr>
              <w:t>药剂名称</w:t>
            </w:r>
            <w:r>
              <w:rPr>
                <w:rFonts w:hint="eastAsia" w:ascii="宋体" w:hAnsi="宋体" w:eastAsia="宋体" w:cs="宋体"/>
                <w:color w:val="000000" w:themeColor="text1"/>
                <w:kern w:val="0"/>
                <w:sz w:val="24"/>
                <w:szCs w:val="24"/>
                <w:lang w:eastAsia="zh-CN"/>
              </w:rPr>
              <w:t>、</w:t>
            </w:r>
            <w:r>
              <w:rPr>
                <w:rFonts w:hint="eastAsia" w:ascii="宋体" w:hAnsi="宋体" w:eastAsia="宋体" w:cs="宋体"/>
                <w:color w:val="000000" w:themeColor="text1"/>
                <w:kern w:val="0"/>
                <w:sz w:val="24"/>
                <w:szCs w:val="24"/>
                <w:lang w:val="en-US" w:eastAsia="zh-CN"/>
              </w:rPr>
              <w:t>规格型号、</w:t>
            </w:r>
            <w:r>
              <w:rPr>
                <w:rFonts w:hint="eastAsia" w:ascii="宋体" w:hAnsi="宋体" w:eastAsia="宋体" w:cs="宋体"/>
                <w:color w:val="000000" w:themeColor="text1"/>
                <w:kern w:val="0"/>
                <w:sz w:val="24"/>
                <w:szCs w:val="24"/>
              </w:rPr>
              <w:t>数</w:t>
            </w:r>
            <w:r>
              <w:rPr>
                <w:rFonts w:hint="eastAsia" w:ascii="宋体" w:hAnsi="宋体" w:eastAsia="宋体" w:cs="宋体"/>
                <w:color w:val="000000" w:themeColor="text1"/>
                <w:kern w:val="0"/>
                <w:sz w:val="24"/>
                <w:szCs w:val="24"/>
                <w:lang w:eastAsia="zh-CN"/>
              </w:rPr>
              <w:t>量</w:t>
            </w:r>
            <w:r>
              <w:rPr>
                <w:rFonts w:hint="eastAsia" w:ascii="宋体" w:hAnsi="宋体" w:eastAsia="宋体" w:cs="宋体"/>
                <w:color w:val="000000" w:themeColor="text1"/>
                <w:kern w:val="0"/>
                <w:sz w:val="24"/>
                <w:szCs w:val="24"/>
                <w:lang w:val="en-US" w:eastAsia="zh-CN"/>
              </w:rPr>
              <w:t>请</w:t>
            </w:r>
            <w:r>
              <w:rPr>
                <w:rFonts w:hint="eastAsia" w:ascii="宋体" w:hAnsi="宋体" w:cs="宋体"/>
                <w:color w:val="000000" w:themeColor="text1"/>
                <w:kern w:val="0"/>
                <w:sz w:val="24"/>
                <w:szCs w:val="24"/>
                <w:lang w:val="en-US" w:eastAsia="zh-CN"/>
              </w:rPr>
              <w:t>供方</w:t>
            </w:r>
            <w:r>
              <w:rPr>
                <w:rFonts w:hint="eastAsia" w:ascii="宋体" w:hAnsi="宋体" w:eastAsia="宋体" w:cs="宋体"/>
                <w:color w:val="000000" w:themeColor="text1"/>
                <w:kern w:val="0"/>
                <w:sz w:val="24"/>
                <w:szCs w:val="24"/>
                <w:lang w:val="en-US" w:eastAsia="zh-CN"/>
              </w:rPr>
              <w:t>自行根据技术要求填写。</w:t>
            </w:r>
          </w:p>
          <w:p>
            <w:pPr>
              <w:keepNext w:val="0"/>
              <w:keepLines w:val="0"/>
              <w:pageBreakBefore w:val="0"/>
              <w:kinsoku/>
              <w:overflowPunct/>
              <w:topLinePunct w:val="0"/>
              <w:autoSpaceDE/>
              <w:autoSpaceDN/>
              <w:bidi w:val="0"/>
              <w:spacing w:line="288" w:lineRule="auto"/>
              <w:jc w:val="left"/>
              <w:rPr>
                <w:rFonts w:hint="eastAsia" w:ascii="宋体" w:hAnsi="宋体" w:eastAsia="宋体" w:cs="宋体"/>
                <w:b/>
                <w:bCs/>
                <w:color w:val="000000" w:themeColor="text1"/>
                <w:kern w:val="0"/>
                <w:sz w:val="24"/>
                <w:szCs w:val="24"/>
              </w:rPr>
            </w:pPr>
            <w:r>
              <w:rPr>
                <w:rFonts w:hint="eastAsia" w:ascii="宋体" w:hAnsi="宋体" w:eastAsia="宋体" w:cs="宋体"/>
                <w:color w:val="000000" w:themeColor="text1"/>
                <w:kern w:val="0"/>
                <w:sz w:val="24"/>
                <w:szCs w:val="24"/>
                <w:lang w:val="en-US" w:eastAsia="zh-CN"/>
              </w:rPr>
              <w:t>供方</w:t>
            </w:r>
            <w:r>
              <w:rPr>
                <w:rFonts w:hint="eastAsia" w:ascii="宋体" w:hAnsi="宋体" w:eastAsia="宋体" w:cs="宋体"/>
                <w:color w:val="000000" w:themeColor="text1"/>
                <w:kern w:val="0"/>
                <w:sz w:val="24"/>
                <w:szCs w:val="24"/>
              </w:rPr>
              <w:t>提报的数量为</w:t>
            </w:r>
            <w:r>
              <w:rPr>
                <w:rFonts w:hint="eastAsia" w:ascii="宋体" w:hAnsi="宋体" w:eastAsia="宋体" w:cs="宋体"/>
                <w:color w:val="000000" w:themeColor="text1"/>
                <w:sz w:val="24"/>
                <w:szCs w:val="24"/>
                <w:lang w:val="en-US" w:eastAsia="zh-CN"/>
              </w:rPr>
              <w:t>2022年10月1日至2023年12月31日</w:t>
            </w:r>
            <w:r>
              <w:rPr>
                <w:rFonts w:hint="eastAsia" w:ascii="宋体" w:hAnsi="宋体" w:eastAsia="宋体" w:cs="宋体"/>
                <w:color w:val="000000" w:themeColor="text1"/>
                <w:kern w:val="0"/>
                <w:sz w:val="24"/>
                <w:szCs w:val="24"/>
              </w:rPr>
              <w:t>封顶数量</w:t>
            </w:r>
            <w:r>
              <w:rPr>
                <w:rFonts w:hint="eastAsia" w:ascii="宋体" w:hAnsi="宋体" w:cs="宋体"/>
                <w:color w:val="000000" w:themeColor="text1"/>
                <w:kern w:val="0"/>
                <w:sz w:val="24"/>
                <w:szCs w:val="24"/>
                <w:lang w:eastAsia="zh-CN"/>
              </w:rPr>
              <w:t>。</w:t>
            </w:r>
            <w:r>
              <w:rPr>
                <w:rFonts w:hint="eastAsia" w:ascii="宋体" w:hAnsi="宋体" w:eastAsia="宋体" w:cs="Times New Roman"/>
                <w:b/>
                <w:bCs/>
                <w:color w:val="000000" w:themeColor="text1"/>
                <w:sz w:val="24"/>
                <w:szCs w:val="24"/>
              </w:rPr>
              <w:t>结算总量不超过合同签订的正常运行</w:t>
            </w:r>
            <w:r>
              <w:rPr>
                <w:rFonts w:hint="eastAsia" w:ascii="宋体" w:hAnsi="宋体" w:eastAsia="宋体" w:cs="Times New Roman"/>
                <w:b/>
                <w:bCs/>
                <w:color w:val="000000" w:themeColor="text1"/>
                <w:sz w:val="24"/>
                <w:szCs w:val="24"/>
                <w:lang w:val="en-US" w:eastAsia="zh-CN"/>
              </w:rPr>
              <w:t>药剂</w:t>
            </w:r>
            <w:r>
              <w:rPr>
                <w:rFonts w:hint="eastAsia" w:ascii="宋体" w:hAnsi="宋体" w:eastAsia="宋体" w:cs="Times New Roman"/>
                <w:b/>
                <w:bCs/>
                <w:color w:val="000000" w:themeColor="text1"/>
                <w:sz w:val="24"/>
                <w:szCs w:val="24"/>
              </w:rPr>
              <w:t>总价，超过部分的药剂量视同赠送，同时要保证系统的水质。</w:t>
            </w:r>
          </w:p>
          <w:p>
            <w:pPr>
              <w:keepNext w:val="0"/>
              <w:keepLines w:val="0"/>
              <w:pageBreakBefore w:val="0"/>
              <w:widowControl/>
              <w:numPr>
                <w:ilvl w:val="0"/>
                <w:numId w:val="0"/>
              </w:numPr>
              <w:kinsoku/>
              <w:overflowPunct/>
              <w:topLinePunct w:val="0"/>
              <w:autoSpaceDE/>
              <w:autoSpaceDN/>
              <w:bidi w:val="0"/>
              <w:spacing w:line="288" w:lineRule="auto"/>
              <w:jc w:val="left"/>
              <w:rPr>
                <w:rFonts w:hint="eastAsia" w:ascii="宋体" w:hAnsi="宋体"/>
                <w:color w:val="000000" w:themeColor="text1"/>
                <w:sz w:val="24"/>
                <w:lang w:val="en-US" w:eastAsia="zh-CN"/>
              </w:rPr>
            </w:pPr>
            <w:r>
              <w:rPr>
                <w:rFonts w:hint="eastAsia" w:ascii="宋体" w:hAnsi="宋体" w:eastAsia="宋体" w:cs="宋体"/>
                <w:color w:val="000000" w:themeColor="text1"/>
                <w:kern w:val="0"/>
                <w:sz w:val="24"/>
                <w:szCs w:val="24"/>
                <w:lang w:val="en-US" w:eastAsia="zh-CN"/>
              </w:rPr>
              <w:t>含税单价包含药剂（含配送到工厂指定仓库）、及技术要求</w:t>
            </w:r>
            <w:r>
              <w:rPr>
                <w:rFonts w:hint="eastAsia" w:ascii="宋体" w:hAnsi="宋体" w:eastAsia="宋体" w:cs="宋体"/>
                <w:color w:val="000000" w:themeColor="text1"/>
                <w:kern w:val="0"/>
                <w:sz w:val="24"/>
                <w:szCs w:val="24"/>
              </w:rPr>
              <w:t>中</w:t>
            </w:r>
            <w:r>
              <w:rPr>
                <w:rFonts w:hint="eastAsia" w:ascii="宋体" w:hAnsi="宋体" w:eastAsia="宋体" w:cs="宋体"/>
                <w:color w:val="000000" w:themeColor="text1"/>
                <w:kern w:val="0"/>
                <w:sz w:val="24"/>
                <w:szCs w:val="24"/>
                <w:lang w:val="en-US" w:eastAsia="zh-CN"/>
              </w:rPr>
              <w:t>所约定的费用。</w:t>
            </w:r>
          </w:p>
        </w:tc>
      </w:tr>
    </w:tbl>
    <w:p>
      <w:pPr>
        <w:keepNext w:val="0"/>
        <w:keepLines w:val="0"/>
        <w:pageBreakBefore w:val="0"/>
        <w:kinsoku/>
        <w:overflowPunct/>
        <w:topLinePunct w:val="0"/>
        <w:autoSpaceDE/>
        <w:autoSpaceDN/>
        <w:bidi w:val="0"/>
        <w:spacing w:line="288" w:lineRule="auto"/>
        <w:rPr>
          <w:rFonts w:hint="eastAsia" w:ascii="宋体" w:hAnsi="宋体"/>
          <w:color w:val="000000" w:themeColor="text1"/>
          <w:sz w:val="24"/>
          <w:lang w:eastAsia="zh-CN"/>
        </w:rPr>
      </w:pPr>
      <w:r>
        <w:rPr>
          <w:rFonts w:hint="eastAsia" w:ascii="宋体" w:hAnsi="宋体"/>
          <w:color w:val="000000" w:themeColor="text1"/>
          <w:sz w:val="24"/>
          <w:lang w:val="en-US" w:eastAsia="zh-CN"/>
        </w:rPr>
        <w:t>1.2一次清洗</w:t>
      </w:r>
      <w:r>
        <w:rPr>
          <w:rFonts w:hint="eastAsia" w:ascii="宋体" w:hAnsi="宋体"/>
          <w:color w:val="000000" w:themeColor="text1"/>
          <w:sz w:val="24"/>
        </w:rPr>
        <w:t>预膜</w:t>
      </w:r>
      <w:r>
        <w:rPr>
          <w:rFonts w:hint="eastAsia" w:ascii="宋体" w:hAnsi="宋体"/>
          <w:color w:val="000000" w:themeColor="text1"/>
          <w:sz w:val="24"/>
          <w:lang w:eastAsia="zh-CN"/>
        </w:rPr>
        <w:t>：</w:t>
      </w:r>
    </w:p>
    <w:tbl>
      <w:tblPr>
        <w:tblStyle w:val="9"/>
        <w:tblW w:w="8519"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2"/>
        <w:gridCol w:w="1315"/>
        <w:gridCol w:w="1315"/>
        <w:gridCol w:w="1315"/>
        <w:gridCol w:w="1315"/>
        <w:gridCol w:w="1316"/>
        <w:gridCol w:w="132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0" w:hRule="atLeast"/>
          <w:jc w:val="center"/>
        </w:trPr>
        <w:tc>
          <w:tcPr>
            <w:tcW w:w="622" w:type="dxa"/>
            <w:vAlign w:val="top"/>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序</w:t>
            </w:r>
          </w:p>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号</w:t>
            </w:r>
          </w:p>
        </w:tc>
        <w:tc>
          <w:tcPr>
            <w:tcW w:w="1315" w:type="dxa"/>
            <w:vAlign w:val="center"/>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lang w:val="en-US" w:eastAsia="zh-CN"/>
              </w:rPr>
              <w:t>药剂名称</w:t>
            </w:r>
          </w:p>
        </w:tc>
        <w:tc>
          <w:tcPr>
            <w:tcW w:w="1315" w:type="dxa"/>
            <w:vAlign w:val="center"/>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规格型号</w:t>
            </w:r>
          </w:p>
        </w:tc>
        <w:tc>
          <w:tcPr>
            <w:tcW w:w="1315" w:type="dxa"/>
            <w:tcBorders>
              <w:right w:val="single" w:color="auto" w:sz="4" w:space="0"/>
            </w:tcBorders>
            <w:vAlign w:val="center"/>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数量</w:t>
            </w:r>
          </w:p>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（吨</w:t>
            </w:r>
            <w:r>
              <w:rPr>
                <w:rFonts w:hint="eastAsia" w:ascii="宋体" w:hAnsi="宋体"/>
                <w:color w:val="000000" w:themeColor="text1"/>
                <w:sz w:val="24"/>
                <w:lang w:val="en-US" w:eastAsia="zh-CN"/>
              </w:rPr>
              <w:t>/次</w:t>
            </w:r>
            <w:r>
              <w:rPr>
                <w:rFonts w:hint="eastAsia" w:ascii="宋体" w:hAnsi="宋体"/>
                <w:color w:val="000000" w:themeColor="text1"/>
                <w:sz w:val="24"/>
              </w:rPr>
              <w:t>）</w:t>
            </w:r>
          </w:p>
        </w:tc>
        <w:tc>
          <w:tcPr>
            <w:tcW w:w="1315"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lang w:val="en-US" w:eastAsia="zh-CN"/>
              </w:rPr>
              <w:t>含税</w:t>
            </w:r>
            <w:r>
              <w:rPr>
                <w:rFonts w:hint="eastAsia" w:ascii="宋体" w:hAnsi="宋体"/>
                <w:color w:val="000000" w:themeColor="text1"/>
                <w:sz w:val="24"/>
              </w:rPr>
              <w:t>单价</w:t>
            </w:r>
          </w:p>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（元/吨）</w:t>
            </w:r>
          </w:p>
        </w:tc>
        <w:tc>
          <w:tcPr>
            <w:tcW w:w="1316" w:type="dxa"/>
            <w:tcBorders>
              <w:left w:val="single" w:color="auto" w:sz="4" w:space="0"/>
            </w:tcBorders>
            <w:vAlign w:val="center"/>
          </w:tcPr>
          <w:p>
            <w:pPr>
              <w:keepNext w:val="0"/>
              <w:keepLines w:val="0"/>
              <w:pageBreakBefore w:val="0"/>
              <w:kinsoku/>
              <w:overflowPunct/>
              <w:topLinePunct w:val="0"/>
              <w:autoSpaceDE/>
              <w:autoSpaceDN/>
              <w:bidi w:val="0"/>
              <w:spacing w:line="288" w:lineRule="auto"/>
              <w:jc w:val="center"/>
              <w:rPr>
                <w:rFonts w:hint="default" w:ascii="宋体" w:hAnsi="宋体"/>
                <w:color w:val="000000" w:themeColor="text1"/>
                <w:sz w:val="24"/>
                <w:lang w:val="en-US" w:eastAsia="zh-CN"/>
              </w:rPr>
            </w:pPr>
            <w:r>
              <w:rPr>
                <w:rFonts w:hint="eastAsia" w:ascii="宋体" w:hAnsi="宋体"/>
                <w:color w:val="000000" w:themeColor="text1"/>
                <w:sz w:val="24"/>
                <w:lang w:val="en-US" w:eastAsia="zh-CN"/>
              </w:rPr>
              <w:t>含税金额</w:t>
            </w:r>
          </w:p>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（元）</w:t>
            </w:r>
          </w:p>
        </w:tc>
        <w:tc>
          <w:tcPr>
            <w:tcW w:w="1321" w:type="dxa"/>
            <w:tcBorders>
              <w:bottom w:val="single" w:color="auto" w:sz="4" w:space="0"/>
            </w:tcBorders>
            <w:vAlign w:val="center"/>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4" w:hRule="atLeast"/>
          <w:jc w:val="center"/>
        </w:trPr>
        <w:tc>
          <w:tcPr>
            <w:tcW w:w="622" w:type="dxa"/>
            <w:vAlign w:val="top"/>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1</w:t>
            </w:r>
          </w:p>
        </w:tc>
        <w:tc>
          <w:tcPr>
            <w:tcW w:w="1315" w:type="dxa"/>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lang w:eastAsia="zh-CN"/>
              </w:rPr>
            </w:pPr>
          </w:p>
        </w:tc>
        <w:tc>
          <w:tcPr>
            <w:tcW w:w="1315" w:type="dxa"/>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tcBorders>
              <w:righ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6" w:type="dxa"/>
            <w:tcBorders>
              <w:lef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21" w:type="dxa"/>
            <w:tcBorders>
              <w:top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4" w:hRule="atLeast"/>
          <w:jc w:val="center"/>
        </w:trPr>
        <w:tc>
          <w:tcPr>
            <w:tcW w:w="622" w:type="dxa"/>
            <w:vAlign w:val="top"/>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2</w:t>
            </w:r>
          </w:p>
        </w:tc>
        <w:tc>
          <w:tcPr>
            <w:tcW w:w="1315" w:type="dxa"/>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tcBorders>
              <w:righ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6" w:type="dxa"/>
            <w:tcBorders>
              <w:lef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21" w:type="dxa"/>
            <w:tcBorders>
              <w:top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4" w:hRule="atLeast"/>
          <w:jc w:val="center"/>
        </w:trPr>
        <w:tc>
          <w:tcPr>
            <w:tcW w:w="622" w:type="dxa"/>
            <w:vAlign w:val="top"/>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rPr>
              <w:t>3</w:t>
            </w:r>
          </w:p>
        </w:tc>
        <w:tc>
          <w:tcPr>
            <w:tcW w:w="1315" w:type="dxa"/>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tcBorders>
              <w:righ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5"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16" w:type="dxa"/>
            <w:tcBorders>
              <w:lef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c>
          <w:tcPr>
            <w:tcW w:w="1321" w:type="dxa"/>
            <w:tcBorders>
              <w:top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4" w:hRule="atLeast"/>
          <w:jc w:val="center"/>
        </w:trPr>
        <w:tc>
          <w:tcPr>
            <w:tcW w:w="5882" w:type="dxa"/>
            <w:gridSpan w:val="5"/>
            <w:tcBorders>
              <w:right w:val="single" w:color="auto" w:sz="4" w:space="0"/>
            </w:tcBorders>
            <w:vAlign w:val="top"/>
          </w:tcPr>
          <w:p>
            <w:pPr>
              <w:keepNext w:val="0"/>
              <w:keepLines w:val="0"/>
              <w:pageBreakBefore w:val="0"/>
              <w:kinsoku/>
              <w:overflowPunct/>
              <w:topLinePunct w:val="0"/>
              <w:autoSpaceDE/>
              <w:autoSpaceDN/>
              <w:bidi w:val="0"/>
              <w:spacing w:line="288" w:lineRule="auto"/>
              <w:jc w:val="center"/>
              <w:rPr>
                <w:rFonts w:hint="eastAsia" w:ascii="宋体" w:hAnsi="宋体"/>
                <w:color w:val="000000" w:themeColor="text1"/>
                <w:sz w:val="24"/>
              </w:rPr>
            </w:pPr>
            <w:r>
              <w:rPr>
                <w:rFonts w:hint="eastAsia" w:ascii="宋体" w:hAnsi="宋体"/>
                <w:color w:val="000000" w:themeColor="text1"/>
                <w:sz w:val="24"/>
                <w:highlight w:val="yellow"/>
                <w:lang w:val="en-US" w:eastAsia="zh-CN"/>
              </w:rPr>
              <w:t>小计（元/次）</w:t>
            </w:r>
          </w:p>
        </w:tc>
        <w:tc>
          <w:tcPr>
            <w:tcW w:w="2637" w:type="dxa"/>
            <w:gridSpan w:val="2"/>
            <w:tcBorders>
              <w:left w:val="single" w:color="auto" w:sz="4" w:space="0"/>
            </w:tcBorders>
            <w:vAlign w:val="center"/>
          </w:tcPr>
          <w:p>
            <w:pPr>
              <w:keepNext w:val="0"/>
              <w:keepLines w:val="0"/>
              <w:pageBreakBefore w:val="0"/>
              <w:kinsoku/>
              <w:overflowPunct/>
              <w:topLinePunct w:val="0"/>
              <w:autoSpaceDE/>
              <w:autoSpaceDN/>
              <w:bidi w:val="0"/>
              <w:spacing w:line="288" w:lineRule="auto"/>
              <w:rPr>
                <w:rFonts w:hint="eastAsia" w:ascii="宋体" w:hAnsi="宋体"/>
                <w:color w:val="000000" w:themeColor="text1"/>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4" w:hRule="atLeast"/>
          <w:jc w:val="center"/>
        </w:trPr>
        <w:tc>
          <w:tcPr>
            <w:tcW w:w="8519" w:type="dxa"/>
            <w:gridSpan w:val="7"/>
            <w:vAlign w:val="center"/>
          </w:tcPr>
          <w:p>
            <w:pPr>
              <w:keepNext w:val="0"/>
              <w:keepLines w:val="0"/>
              <w:pageBreakBefore w:val="0"/>
              <w:widowControl/>
              <w:numPr>
                <w:ilvl w:val="0"/>
                <w:numId w:val="0"/>
              </w:numPr>
              <w:kinsoku/>
              <w:overflowPunct/>
              <w:topLinePunct w:val="0"/>
              <w:autoSpaceDE/>
              <w:autoSpaceDN/>
              <w:bidi w:val="0"/>
              <w:spacing w:line="288"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备注：</w:t>
            </w:r>
          </w:p>
          <w:p>
            <w:pPr>
              <w:keepNext w:val="0"/>
              <w:keepLines w:val="0"/>
              <w:pageBreakBefore w:val="0"/>
              <w:widowControl/>
              <w:numPr>
                <w:ilvl w:val="0"/>
                <w:numId w:val="0"/>
              </w:numPr>
              <w:kinsoku/>
              <w:overflowPunct/>
              <w:topLinePunct w:val="0"/>
              <w:autoSpaceDE/>
              <w:autoSpaceDN/>
              <w:bidi w:val="0"/>
              <w:spacing w:line="288" w:lineRule="auto"/>
              <w:jc w:val="left"/>
              <w:rPr>
                <w:rFonts w:hint="eastAsia" w:ascii="宋体" w:hAnsi="宋体" w:eastAsia="宋体" w:cs="宋体"/>
                <w:color w:val="000000" w:themeColor="text1"/>
                <w:kern w:val="0"/>
                <w:sz w:val="24"/>
                <w:szCs w:val="24"/>
                <w:lang w:eastAsia="zh-CN"/>
              </w:rPr>
            </w:pPr>
            <w:r>
              <w:rPr>
                <w:rFonts w:hint="eastAsia" w:ascii="宋体" w:hAnsi="宋体" w:eastAsia="宋体" w:cs="宋体"/>
                <w:color w:val="000000" w:themeColor="text1"/>
                <w:kern w:val="0"/>
                <w:sz w:val="24"/>
                <w:szCs w:val="24"/>
              </w:rPr>
              <w:t>药剂名称</w:t>
            </w:r>
            <w:r>
              <w:rPr>
                <w:rFonts w:hint="eastAsia" w:ascii="宋体" w:hAnsi="宋体" w:eastAsia="宋体" w:cs="宋体"/>
                <w:color w:val="000000" w:themeColor="text1"/>
                <w:kern w:val="0"/>
                <w:sz w:val="24"/>
                <w:szCs w:val="24"/>
                <w:lang w:eastAsia="zh-CN"/>
              </w:rPr>
              <w:t>、</w:t>
            </w:r>
            <w:r>
              <w:rPr>
                <w:rFonts w:hint="eastAsia" w:ascii="宋体" w:hAnsi="宋体" w:eastAsia="宋体" w:cs="宋体"/>
                <w:color w:val="000000" w:themeColor="text1"/>
                <w:kern w:val="0"/>
                <w:sz w:val="24"/>
                <w:szCs w:val="24"/>
                <w:lang w:val="en-US" w:eastAsia="zh-CN"/>
              </w:rPr>
              <w:t>规格型号、</w:t>
            </w:r>
            <w:r>
              <w:rPr>
                <w:rFonts w:hint="eastAsia" w:ascii="宋体" w:hAnsi="宋体" w:eastAsia="宋体" w:cs="宋体"/>
                <w:color w:val="000000" w:themeColor="text1"/>
                <w:kern w:val="0"/>
                <w:sz w:val="24"/>
                <w:szCs w:val="24"/>
              </w:rPr>
              <w:t>数</w:t>
            </w:r>
            <w:r>
              <w:rPr>
                <w:rFonts w:hint="eastAsia" w:ascii="宋体" w:hAnsi="宋体" w:eastAsia="宋体" w:cs="宋体"/>
                <w:color w:val="000000" w:themeColor="text1"/>
                <w:kern w:val="0"/>
                <w:sz w:val="24"/>
                <w:szCs w:val="24"/>
                <w:lang w:eastAsia="zh-CN"/>
              </w:rPr>
              <w:t>量</w:t>
            </w:r>
            <w:r>
              <w:rPr>
                <w:rFonts w:hint="eastAsia" w:ascii="宋体" w:hAnsi="宋体" w:eastAsia="宋体" w:cs="宋体"/>
                <w:color w:val="000000" w:themeColor="text1"/>
                <w:kern w:val="0"/>
                <w:sz w:val="24"/>
                <w:szCs w:val="24"/>
                <w:lang w:val="en-US" w:eastAsia="zh-CN"/>
              </w:rPr>
              <w:t>请</w:t>
            </w:r>
            <w:r>
              <w:rPr>
                <w:rFonts w:hint="eastAsia" w:ascii="宋体" w:hAnsi="宋体" w:cs="宋体"/>
                <w:color w:val="000000" w:themeColor="text1"/>
                <w:kern w:val="0"/>
                <w:sz w:val="24"/>
                <w:szCs w:val="24"/>
                <w:lang w:val="en-US" w:eastAsia="zh-CN"/>
              </w:rPr>
              <w:t>供方</w:t>
            </w:r>
            <w:r>
              <w:rPr>
                <w:rFonts w:hint="eastAsia" w:ascii="宋体" w:hAnsi="宋体" w:eastAsia="宋体" w:cs="宋体"/>
                <w:color w:val="000000" w:themeColor="text1"/>
                <w:kern w:val="0"/>
                <w:sz w:val="24"/>
                <w:szCs w:val="24"/>
                <w:lang w:val="en-US" w:eastAsia="zh-CN"/>
              </w:rPr>
              <w:t>自行根据技术要求填写。</w:t>
            </w:r>
          </w:p>
          <w:p>
            <w:pPr>
              <w:keepNext w:val="0"/>
              <w:keepLines w:val="0"/>
              <w:pageBreakBefore w:val="0"/>
              <w:kinsoku/>
              <w:overflowPunct/>
              <w:topLinePunct w:val="0"/>
              <w:autoSpaceDE/>
              <w:autoSpaceDN/>
              <w:bidi w:val="0"/>
              <w:spacing w:line="288" w:lineRule="auto"/>
              <w:rPr>
                <w:rFonts w:hint="default" w:ascii="宋体" w:hAnsi="宋体" w:eastAsia="宋体"/>
                <w:color w:val="000000" w:themeColor="text1"/>
                <w:sz w:val="24"/>
                <w:highlight w:val="none"/>
                <w:u w:val="single"/>
                <w:lang w:val="en-US" w:eastAsia="zh-CN"/>
              </w:rPr>
            </w:pPr>
            <w:r>
              <w:rPr>
                <w:rFonts w:hint="eastAsia" w:ascii="宋体" w:hAnsi="宋体"/>
                <w:color w:val="000000" w:themeColor="text1"/>
                <w:sz w:val="24"/>
                <w:highlight w:val="none"/>
                <w:lang w:val="en-US" w:eastAsia="zh-CN"/>
              </w:rPr>
              <w:t>依据技术要求，</w:t>
            </w:r>
            <w:r>
              <w:rPr>
                <w:rFonts w:hint="eastAsia" w:ascii="宋体" w:hAnsi="宋体"/>
                <w:color w:val="000000" w:themeColor="text1"/>
                <w:sz w:val="24"/>
                <w:highlight w:val="none"/>
              </w:rPr>
              <w:t>单独提报“一次清洗预膜的价格”，包含清洗预膜所需的全部药剂及技术支持</w:t>
            </w:r>
            <w:r>
              <w:rPr>
                <w:rFonts w:hint="eastAsia" w:ascii="宋体" w:hAnsi="宋体"/>
                <w:color w:val="000000" w:themeColor="text1"/>
                <w:sz w:val="24"/>
                <w:highlight w:val="none"/>
                <w:lang w:eastAsia="zh-CN"/>
              </w:rPr>
              <w:t>。</w:t>
            </w:r>
            <w:r>
              <w:rPr>
                <w:rFonts w:hint="eastAsia" w:ascii="宋体" w:hAnsi="宋体"/>
                <w:b/>
                <w:bCs/>
                <w:color w:val="000000" w:themeColor="text1"/>
                <w:sz w:val="24"/>
                <w:highlight w:val="none"/>
                <w:lang w:val="en-US" w:eastAsia="zh-CN"/>
              </w:rPr>
              <w:t>一次清洗预膜费用不超过所提报价格，超过部分的药剂量视同赠送。</w:t>
            </w:r>
            <w:r>
              <w:rPr>
                <w:rFonts w:hint="eastAsia" w:ascii="宋体" w:hAnsi="宋体"/>
                <w:color w:val="000000" w:themeColor="text1"/>
                <w:sz w:val="24"/>
                <w:highlight w:val="none"/>
                <w:lang w:val="en-US" w:eastAsia="zh-CN"/>
              </w:rPr>
              <w:t>清洗预膜费用结算按实际发生的次数作为结算的依据，发生一次结算一次。</w:t>
            </w:r>
          </w:p>
          <w:p>
            <w:pPr>
              <w:keepNext w:val="0"/>
              <w:keepLines w:val="0"/>
              <w:pageBreakBefore w:val="0"/>
              <w:widowControl/>
              <w:numPr>
                <w:ilvl w:val="0"/>
                <w:numId w:val="0"/>
              </w:numPr>
              <w:kinsoku/>
              <w:overflowPunct/>
              <w:topLinePunct w:val="0"/>
              <w:autoSpaceDE/>
              <w:autoSpaceDN/>
              <w:bidi w:val="0"/>
              <w:spacing w:line="288" w:lineRule="auto"/>
              <w:jc w:val="left"/>
              <w:rPr>
                <w:rFonts w:hint="eastAsia" w:ascii="宋体" w:hAnsi="宋体"/>
                <w:color w:val="000000" w:themeColor="text1"/>
                <w:sz w:val="24"/>
                <w:lang w:val="en-US" w:eastAsia="zh-CN"/>
              </w:rPr>
            </w:pPr>
            <w:r>
              <w:rPr>
                <w:rFonts w:hint="eastAsia" w:ascii="宋体" w:hAnsi="宋体" w:eastAsia="宋体" w:cs="宋体"/>
                <w:color w:val="000000" w:themeColor="text1"/>
                <w:kern w:val="0"/>
                <w:sz w:val="24"/>
                <w:szCs w:val="24"/>
                <w:lang w:val="en-US" w:eastAsia="zh-CN"/>
              </w:rPr>
              <w:t>含税单价包含药剂（含配送到工厂指定仓库）、及技术要求</w:t>
            </w:r>
            <w:r>
              <w:rPr>
                <w:rFonts w:hint="eastAsia" w:ascii="宋体" w:hAnsi="宋体" w:eastAsia="宋体" w:cs="宋体"/>
                <w:color w:val="000000" w:themeColor="text1"/>
                <w:kern w:val="0"/>
                <w:sz w:val="24"/>
                <w:szCs w:val="24"/>
              </w:rPr>
              <w:t>中</w:t>
            </w:r>
            <w:r>
              <w:rPr>
                <w:rFonts w:hint="eastAsia" w:ascii="宋体" w:hAnsi="宋体" w:eastAsia="宋体" w:cs="宋体"/>
                <w:color w:val="000000" w:themeColor="text1"/>
                <w:kern w:val="0"/>
                <w:sz w:val="24"/>
                <w:szCs w:val="24"/>
                <w:lang w:val="en-US" w:eastAsia="zh-CN"/>
              </w:rPr>
              <w:t>所约定的费用。</w:t>
            </w:r>
          </w:p>
        </w:tc>
      </w:tr>
    </w:tbl>
    <w:p>
      <w:pPr>
        <w:keepNext w:val="0"/>
        <w:keepLines w:val="0"/>
        <w:pageBreakBefore w:val="0"/>
        <w:kinsoku/>
        <w:overflowPunct/>
        <w:topLinePunct w:val="0"/>
        <w:autoSpaceDE/>
        <w:autoSpaceDN/>
        <w:bidi w:val="0"/>
        <w:spacing w:line="288" w:lineRule="auto"/>
        <w:rPr>
          <w:rFonts w:hint="eastAsia" w:ascii="宋体" w:hAnsi="宋体"/>
          <w:b/>
          <w:bCs/>
          <w:color w:val="000000" w:themeColor="text1"/>
          <w:sz w:val="28"/>
          <w:szCs w:val="28"/>
        </w:rPr>
      </w:pPr>
      <w:r>
        <w:rPr>
          <w:rFonts w:hint="eastAsia" w:ascii="宋体" w:hAnsi="宋体"/>
          <w:b/>
          <w:bCs/>
          <w:color w:val="000000" w:themeColor="text1"/>
          <w:sz w:val="28"/>
          <w:szCs w:val="28"/>
          <w:lang w:val="en-US" w:eastAsia="zh-CN"/>
        </w:rPr>
        <w:t>含税总价金额</w:t>
      </w:r>
      <w:r>
        <w:rPr>
          <w:rFonts w:hint="eastAsia" w:ascii="宋体" w:hAnsi="宋体"/>
          <w:b/>
          <w:bCs/>
          <w:color w:val="000000" w:themeColor="text1"/>
          <w:sz w:val="28"/>
          <w:szCs w:val="28"/>
          <w:lang w:eastAsia="zh-CN"/>
        </w:rPr>
        <w:t>（</w:t>
      </w:r>
      <w:r>
        <w:rPr>
          <w:rFonts w:hint="eastAsia" w:ascii="宋体" w:hAnsi="宋体"/>
          <w:b/>
          <w:bCs/>
          <w:color w:val="000000" w:themeColor="text1"/>
          <w:sz w:val="28"/>
          <w:szCs w:val="28"/>
          <w:lang w:val="en-US" w:eastAsia="zh-CN"/>
        </w:rPr>
        <w:t>含技术要求中约定的项目</w:t>
      </w:r>
      <w:r>
        <w:rPr>
          <w:rFonts w:hint="eastAsia" w:ascii="宋体" w:hAnsi="宋体"/>
          <w:b/>
          <w:bCs/>
          <w:color w:val="000000" w:themeColor="text1"/>
          <w:sz w:val="28"/>
          <w:szCs w:val="28"/>
          <w:lang w:eastAsia="zh-CN"/>
        </w:rPr>
        <w:t>）</w:t>
      </w:r>
      <w:r>
        <w:rPr>
          <w:rFonts w:hint="eastAsia" w:ascii="宋体" w:hAnsi="宋体"/>
          <w:b/>
          <w:bCs/>
          <w:color w:val="000000" w:themeColor="text1"/>
          <w:sz w:val="28"/>
          <w:szCs w:val="28"/>
        </w:rPr>
        <w:t>=</w:t>
      </w:r>
      <w:r>
        <w:rPr>
          <w:rFonts w:hint="eastAsia" w:ascii="宋体" w:hAnsi="宋体"/>
          <w:b/>
          <w:bCs/>
          <w:color w:val="000000" w:themeColor="text1"/>
          <w:sz w:val="28"/>
          <w:szCs w:val="28"/>
          <w:u w:val="single"/>
        </w:rPr>
        <w:t xml:space="preserve">             </w:t>
      </w:r>
      <w:r>
        <w:rPr>
          <w:rFonts w:hint="eastAsia" w:ascii="宋体" w:hAnsi="宋体"/>
          <w:b/>
          <w:bCs/>
          <w:color w:val="000000" w:themeColor="text1"/>
          <w:sz w:val="28"/>
          <w:szCs w:val="28"/>
        </w:rPr>
        <w:t>元</w:t>
      </w:r>
    </w:p>
    <w:p>
      <w:pPr>
        <w:keepNext w:val="0"/>
        <w:keepLines w:val="0"/>
        <w:pageBreakBefore w:val="0"/>
        <w:kinsoku/>
        <w:overflowPunct/>
        <w:topLinePunct w:val="0"/>
        <w:autoSpaceDE/>
        <w:autoSpaceDN/>
        <w:bidi w:val="0"/>
        <w:spacing w:line="288" w:lineRule="auto"/>
        <w:rPr>
          <w:rFonts w:hint="eastAsia" w:ascii="宋体" w:hAnsi="宋体"/>
          <w:color w:val="000000" w:themeColor="text1"/>
          <w:sz w:val="24"/>
          <w:lang w:val="en-US" w:eastAsia="zh-CN"/>
        </w:rPr>
      </w:pPr>
      <w:r>
        <w:rPr>
          <w:rFonts w:hint="eastAsia" w:ascii="宋体" w:hAnsi="宋体"/>
          <w:color w:val="000000" w:themeColor="text1"/>
          <w:sz w:val="24"/>
          <w:lang w:val="en-US" w:eastAsia="zh-CN"/>
        </w:rPr>
        <w:t>总价说明：</w:t>
      </w:r>
    </w:p>
    <w:p>
      <w:pPr>
        <w:keepNext w:val="0"/>
        <w:keepLines w:val="0"/>
        <w:pageBreakBefore w:val="0"/>
        <w:numPr>
          <w:ilvl w:val="0"/>
          <w:numId w:val="8"/>
        </w:numPr>
        <w:kinsoku/>
        <w:overflowPunct/>
        <w:topLinePunct w:val="0"/>
        <w:autoSpaceDE/>
        <w:autoSpaceDN/>
        <w:bidi w:val="0"/>
        <w:spacing w:line="288" w:lineRule="auto"/>
        <w:rPr>
          <w:rFonts w:hint="eastAsia" w:ascii="宋体" w:hAnsi="宋体"/>
          <w:color w:val="000000" w:themeColor="text1"/>
          <w:sz w:val="24"/>
          <w:lang w:val="en-US" w:eastAsia="zh-CN"/>
        </w:rPr>
      </w:pPr>
      <w:r>
        <w:rPr>
          <w:rFonts w:hint="eastAsia" w:ascii="宋体" w:hAnsi="宋体"/>
          <w:color w:val="000000" w:themeColor="text1"/>
          <w:sz w:val="24"/>
          <w:lang w:val="en-US" w:eastAsia="zh-CN"/>
        </w:rPr>
        <w:t>费用构成说明：即，上表1.1正常运行投加的药剂封顶总价+1.2</w:t>
      </w:r>
      <w:r>
        <w:rPr>
          <w:rFonts w:hint="eastAsia" w:ascii="宋体" w:hAnsi="宋体"/>
          <w:color w:val="000000" w:themeColor="text1"/>
          <w:sz w:val="24"/>
        </w:rPr>
        <w:t>一次清洗预膜价格</w:t>
      </w:r>
      <w:r>
        <w:rPr>
          <w:rFonts w:hint="eastAsia" w:ascii="宋体" w:hAnsi="宋体"/>
          <w:color w:val="000000" w:themeColor="text1"/>
          <w:sz w:val="24"/>
          <w:lang w:val="en-US" w:eastAsia="zh-CN"/>
        </w:rPr>
        <w:t>=报价总价</w:t>
      </w:r>
      <w:r>
        <w:rPr>
          <w:rFonts w:hint="eastAsia" w:ascii="宋体" w:hAnsi="宋体"/>
          <w:color w:val="000000" w:themeColor="text1"/>
          <w:sz w:val="24"/>
        </w:rPr>
        <w:t>。</w:t>
      </w:r>
    </w:p>
    <w:p>
      <w:pPr>
        <w:keepNext w:val="0"/>
        <w:keepLines w:val="0"/>
        <w:pageBreakBefore w:val="0"/>
        <w:numPr>
          <w:ilvl w:val="0"/>
          <w:numId w:val="0"/>
        </w:numPr>
        <w:kinsoku/>
        <w:overflowPunct/>
        <w:topLinePunct w:val="0"/>
        <w:autoSpaceDE/>
        <w:autoSpaceDN/>
        <w:bidi w:val="0"/>
        <w:spacing w:line="288" w:lineRule="auto"/>
        <w:rPr>
          <w:rFonts w:hint="eastAsia" w:ascii="宋体" w:hAnsi="宋体" w:eastAsia="宋体"/>
          <w:color w:val="000000" w:themeColor="text1"/>
          <w:sz w:val="24"/>
          <w:lang w:val="en-US" w:eastAsia="zh-CN"/>
        </w:rPr>
      </w:pPr>
      <w:r>
        <w:rPr>
          <w:rFonts w:hint="eastAsia" w:ascii="宋体" w:hAnsi="宋体"/>
          <w:color w:val="000000" w:themeColor="text1"/>
          <w:sz w:val="24"/>
          <w:lang w:val="en-US" w:eastAsia="zh-CN"/>
        </w:rPr>
        <w:t>二、闭式循环冷却水药剂价格说明：</w:t>
      </w:r>
    </w:p>
    <w:p>
      <w:pPr>
        <w:keepNext w:val="0"/>
        <w:keepLines w:val="0"/>
        <w:pageBreakBefore w:val="0"/>
        <w:numPr>
          <w:ilvl w:val="0"/>
          <w:numId w:val="0"/>
        </w:numPr>
        <w:kinsoku/>
        <w:overflowPunct/>
        <w:topLinePunct w:val="0"/>
        <w:autoSpaceDE/>
        <w:autoSpaceDN/>
        <w:bidi w:val="0"/>
        <w:spacing w:line="288" w:lineRule="auto"/>
        <w:rPr>
          <w:rFonts w:hint="eastAsia" w:ascii="宋体" w:hAnsi="宋体"/>
          <w:color w:val="000000" w:themeColor="text1"/>
          <w:sz w:val="24"/>
          <w:lang w:eastAsia="zh-CN"/>
        </w:rPr>
      </w:pPr>
      <w:r>
        <w:rPr>
          <w:rFonts w:hint="eastAsia" w:ascii="宋体" w:hAnsi="宋体"/>
          <w:color w:val="000000" w:themeColor="text1"/>
          <w:sz w:val="24"/>
          <w:lang w:val="en-US" w:eastAsia="zh-CN"/>
        </w:rPr>
        <w:t>1、1）</w:t>
      </w:r>
      <w:r>
        <w:rPr>
          <w:rFonts w:hint="eastAsia" w:ascii="宋体" w:hAnsi="宋体" w:eastAsia="宋体"/>
          <w:color w:val="000000" w:themeColor="text1"/>
          <w:sz w:val="24"/>
        </w:rPr>
        <w:t>含13%增值税送到厂价</w:t>
      </w:r>
      <w:r>
        <w:rPr>
          <w:rFonts w:hint="eastAsia" w:ascii="宋体" w:hAnsi="宋体"/>
          <w:color w:val="000000" w:themeColor="text1"/>
          <w:sz w:val="24"/>
          <w:lang w:eastAsia="zh-CN"/>
        </w:rPr>
        <w:t>。</w:t>
      </w:r>
    </w:p>
    <w:p>
      <w:pPr>
        <w:keepNext w:val="0"/>
        <w:keepLines w:val="0"/>
        <w:pageBreakBefore w:val="0"/>
        <w:numPr>
          <w:ilvl w:val="0"/>
          <w:numId w:val="0"/>
        </w:numPr>
        <w:kinsoku/>
        <w:overflowPunct/>
        <w:topLinePunct w:val="0"/>
        <w:autoSpaceDE/>
        <w:autoSpaceDN/>
        <w:bidi w:val="0"/>
        <w:spacing w:line="288" w:lineRule="auto"/>
        <w:rPr>
          <w:rFonts w:hint="eastAsia" w:ascii="宋体" w:hAnsi="宋体"/>
          <w:color w:val="000000" w:themeColor="text1"/>
          <w:sz w:val="24"/>
          <w:lang w:val="en-US" w:eastAsia="zh-CN"/>
        </w:rPr>
      </w:pPr>
      <w:r>
        <w:rPr>
          <w:rFonts w:hint="eastAsia" w:ascii="宋体" w:hAnsi="宋体"/>
          <w:color w:val="000000" w:themeColor="text1"/>
          <w:sz w:val="24"/>
          <w:lang w:val="en-US" w:eastAsia="zh-CN"/>
        </w:rPr>
        <w:t xml:space="preserve">   2）结算方式：</w:t>
      </w:r>
    </w:p>
    <w:p>
      <w:pPr>
        <w:keepNext w:val="0"/>
        <w:keepLines w:val="0"/>
        <w:pageBreakBefore w:val="0"/>
        <w:numPr>
          <w:ilvl w:val="0"/>
          <w:numId w:val="0"/>
        </w:numPr>
        <w:kinsoku/>
        <w:overflowPunct/>
        <w:topLinePunct w:val="0"/>
        <w:autoSpaceDE/>
        <w:autoSpaceDN/>
        <w:bidi w:val="0"/>
        <w:spacing w:line="288" w:lineRule="auto"/>
        <w:ind w:firstLine="720" w:firstLineChars="300"/>
        <w:rPr>
          <w:rFonts w:hint="eastAsia" w:ascii="宋体" w:hAnsi="宋体"/>
          <w:color w:val="000000" w:themeColor="text1"/>
          <w:sz w:val="24"/>
          <w:lang w:val="en-US" w:eastAsia="zh-CN"/>
        </w:rPr>
      </w:pPr>
      <w:r>
        <w:rPr>
          <w:rFonts w:hint="eastAsia" w:ascii="宋体" w:hAnsi="宋体"/>
          <w:color w:val="000000" w:themeColor="text1"/>
          <w:sz w:val="24"/>
          <w:lang w:val="en-US" w:eastAsia="zh-CN"/>
        </w:rPr>
        <w:t>a、正常运行投加的药剂费用按月结算支付。供方提报的技术方案需明确系统正常运行情况下每月水处理药剂消耗的封顶数量，每月月底双方根据技术要求对水处理效果进行评估和验收，每月水处理药剂实际耗量高于技术方案提报的封顶数量，按照封顶数量进行结算；每月水处理药剂实际耗量低于技术方案提报的封顶数量，按照实际耗量进行结算。正常运行投加的药剂</w:t>
      </w:r>
      <w:r>
        <w:rPr>
          <w:rFonts w:hint="eastAsia" w:ascii="宋体" w:hAnsi="宋体" w:eastAsia="宋体" w:cs="Times New Roman"/>
          <w:color w:val="000000" w:themeColor="text1"/>
          <w:sz w:val="24"/>
          <w:szCs w:val="24"/>
        </w:rPr>
        <w:t>结算总量不超过合同签订的正常运行</w:t>
      </w:r>
      <w:r>
        <w:rPr>
          <w:rFonts w:hint="eastAsia" w:ascii="宋体" w:hAnsi="宋体" w:cs="Times New Roman"/>
          <w:color w:val="000000" w:themeColor="text1"/>
          <w:sz w:val="24"/>
          <w:szCs w:val="24"/>
          <w:lang w:val="en-US" w:eastAsia="zh-CN"/>
        </w:rPr>
        <w:t>药剂</w:t>
      </w:r>
      <w:r>
        <w:rPr>
          <w:rFonts w:hint="eastAsia" w:ascii="宋体" w:hAnsi="宋体" w:eastAsia="宋体" w:cs="Times New Roman"/>
          <w:color w:val="000000" w:themeColor="text1"/>
          <w:sz w:val="24"/>
          <w:szCs w:val="24"/>
        </w:rPr>
        <w:t>总价，超过部分的药剂量视同赠送，同时要保证系统的水质。</w:t>
      </w:r>
    </w:p>
    <w:p>
      <w:pPr>
        <w:keepNext w:val="0"/>
        <w:keepLines w:val="0"/>
        <w:pageBreakBefore w:val="0"/>
        <w:numPr>
          <w:ilvl w:val="0"/>
          <w:numId w:val="0"/>
        </w:numPr>
        <w:kinsoku/>
        <w:overflowPunct/>
        <w:topLinePunct w:val="0"/>
        <w:autoSpaceDE/>
        <w:autoSpaceDN/>
        <w:bidi w:val="0"/>
        <w:spacing w:line="288" w:lineRule="auto"/>
        <w:ind w:firstLine="720" w:firstLineChars="300"/>
        <w:rPr>
          <w:rFonts w:hint="eastAsia" w:ascii="宋体" w:hAnsi="宋体"/>
          <w:color w:val="000000" w:themeColor="text1"/>
          <w:sz w:val="24"/>
          <w:lang w:val="en-US" w:eastAsia="zh-CN"/>
        </w:rPr>
      </w:pPr>
      <w:r>
        <w:rPr>
          <w:rFonts w:hint="eastAsia" w:ascii="宋体" w:hAnsi="宋体"/>
          <w:color w:val="000000" w:themeColor="text1"/>
          <w:sz w:val="24"/>
          <w:highlight w:val="none"/>
          <w:lang w:val="en-US" w:eastAsia="zh-CN"/>
        </w:rPr>
        <w:t>b、清洗预膜按实际发生的次数作为结算的依据，发生一次结算一次。清洗预膜费用结算不超过合同签订的清洗预膜费用，超过部分的药剂量视同赠送。</w:t>
      </w:r>
    </w:p>
    <w:p>
      <w:pPr>
        <w:keepNext w:val="0"/>
        <w:keepLines w:val="0"/>
        <w:pageBreakBefore w:val="0"/>
        <w:numPr>
          <w:ilvl w:val="0"/>
          <w:numId w:val="0"/>
        </w:numPr>
        <w:kinsoku/>
        <w:overflowPunct/>
        <w:topLinePunct w:val="0"/>
        <w:autoSpaceDE/>
        <w:autoSpaceDN/>
        <w:bidi w:val="0"/>
        <w:spacing w:line="288" w:lineRule="auto"/>
        <w:rPr>
          <w:rFonts w:hint="eastAsia" w:ascii="宋体" w:hAnsi="宋体"/>
          <w:color w:val="000000" w:themeColor="text1"/>
          <w:sz w:val="24"/>
          <w:lang w:val="en-US" w:eastAsia="zh-CN"/>
        </w:rPr>
      </w:pPr>
      <w:r>
        <w:rPr>
          <w:rFonts w:hint="eastAsia" w:ascii="宋体" w:hAnsi="宋体"/>
          <w:color w:val="000000" w:themeColor="text1"/>
          <w:sz w:val="24"/>
          <w:lang w:val="en-US" w:eastAsia="zh-CN"/>
        </w:rPr>
        <w:t xml:space="preserve">   3）付款方式：现汇支付，正常运行投加的药剂按月度考核付款，清洗预膜按实际发生付款。货到验收合格后，经需方或需方指定单位根据双方签订的合同及技术要求约定的月度考核周期、质量、数量及考核结果，供方提供相应金额的13%增值税专用发票以及结算所需的各种清单，需方收到并确认无误后向供方支付货款。</w:t>
      </w:r>
    </w:p>
    <w:p>
      <w:pPr>
        <w:pStyle w:val="6"/>
        <w:keepNext w:val="0"/>
        <w:keepLines w:val="0"/>
        <w:pageBreakBefore w:val="0"/>
        <w:widowControl/>
        <w:kinsoku/>
        <w:overflowPunct/>
        <w:topLinePunct w:val="0"/>
        <w:autoSpaceDE/>
        <w:autoSpaceDN/>
        <w:bidi w:val="0"/>
        <w:spacing w:line="288" w:lineRule="auto"/>
        <w:rPr>
          <w:rFonts w:ascii="宋体" w:hAnsi="宋体"/>
          <w:color w:val="000000" w:themeColor="text1"/>
          <w:sz w:val="24"/>
        </w:rPr>
      </w:pPr>
      <w:r>
        <w:rPr>
          <w:rFonts w:hint="eastAsia" w:ascii="宋体" w:hAnsi="宋体"/>
          <w:color w:val="000000" w:themeColor="text1"/>
          <w:sz w:val="24"/>
          <w:lang w:val="en-US" w:eastAsia="zh-CN"/>
        </w:rPr>
        <w:t>2.</w:t>
      </w:r>
      <w:r>
        <w:rPr>
          <w:rFonts w:hint="eastAsia" w:ascii="宋体" w:hAnsi="宋体"/>
          <w:color w:val="000000" w:themeColor="text1"/>
          <w:sz w:val="24"/>
        </w:rPr>
        <w:t>质量验收标准</w:t>
      </w:r>
      <w:r>
        <w:rPr>
          <w:rFonts w:hint="eastAsia" w:ascii="宋体" w:hAnsi="宋体"/>
          <w:color w:val="000000" w:themeColor="text1"/>
          <w:sz w:val="24"/>
          <w:lang w:eastAsia="zh-CN"/>
        </w:rPr>
        <w:t>：</w:t>
      </w:r>
      <w:r>
        <w:rPr>
          <w:rFonts w:hint="eastAsia" w:ascii="宋体" w:hAnsi="宋体" w:eastAsia="宋体" w:cs="宋体"/>
          <w:color w:val="000000" w:themeColor="text1"/>
          <w:lang w:val="en-US" w:eastAsia="zh-CN"/>
        </w:rPr>
        <w:t>详见附件</w:t>
      </w:r>
      <w:r>
        <w:rPr>
          <w:rFonts w:hint="eastAsia" w:ascii="宋体" w:hAnsi="宋体" w:cs="宋体"/>
          <w:color w:val="000000" w:themeColor="text1"/>
          <w:lang w:val="en-US" w:eastAsia="zh-CN"/>
        </w:rPr>
        <w:t>技术要求</w:t>
      </w:r>
      <w:r>
        <w:rPr>
          <w:rFonts w:hint="eastAsia" w:ascii="宋体" w:hAnsi="宋体" w:eastAsia="宋体" w:cs="宋体"/>
          <w:color w:val="000000" w:themeColor="text1"/>
        </w:rPr>
        <w:t>。</w:t>
      </w:r>
    </w:p>
    <w:p>
      <w:pPr>
        <w:keepNext w:val="0"/>
        <w:keepLines w:val="0"/>
        <w:pageBreakBefore w:val="0"/>
        <w:numPr>
          <w:ilvl w:val="0"/>
          <w:numId w:val="0"/>
        </w:numPr>
        <w:kinsoku/>
        <w:overflowPunct/>
        <w:topLinePunct w:val="0"/>
        <w:autoSpaceDE/>
        <w:autoSpaceDN/>
        <w:bidi w:val="0"/>
        <w:spacing w:line="288" w:lineRule="auto"/>
        <w:rPr>
          <w:rFonts w:hint="eastAsia" w:ascii="宋体" w:hAnsi="宋体"/>
          <w:color w:val="000000" w:themeColor="text1"/>
          <w:sz w:val="24"/>
        </w:rPr>
      </w:pPr>
      <w:r>
        <w:rPr>
          <w:rFonts w:hint="eastAsia" w:ascii="宋体" w:hAnsi="宋体"/>
          <w:color w:val="000000" w:themeColor="text1"/>
          <w:sz w:val="24"/>
          <w:lang w:val="en-US" w:eastAsia="zh-CN"/>
        </w:rPr>
        <w:t>3.</w:t>
      </w:r>
      <w:r>
        <w:rPr>
          <w:rFonts w:hint="eastAsia" w:ascii="宋体" w:hAnsi="宋体"/>
          <w:color w:val="000000" w:themeColor="text1"/>
          <w:sz w:val="24"/>
        </w:rPr>
        <w:t>我公司（供方）负责进厂交货途中的一切责任由我司（供方）承担。</w:t>
      </w:r>
    </w:p>
    <w:p>
      <w:pPr>
        <w:keepNext w:val="0"/>
        <w:keepLines w:val="0"/>
        <w:pageBreakBefore w:val="0"/>
        <w:numPr>
          <w:ilvl w:val="0"/>
          <w:numId w:val="0"/>
        </w:numPr>
        <w:kinsoku/>
        <w:overflowPunct/>
        <w:topLinePunct w:val="0"/>
        <w:autoSpaceDE/>
        <w:autoSpaceDN/>
        <w:bidi w:val="0"/>
        <w:spacing w:line="288" w:lineRule="auto"/>
        <w:rPr>
          <w:rFonts w:ascii="宋体" w:hAnsi="宋体"/>
          <w:color w:val="000000" w:themeColor="text1"/>
          <w:sz w:val="24"/>
          <w:highlight w:val="yellow"/>
        </w:rPr>
      </w:pPr>
      <w:r>
        <w:rPr>
          <w:rFonts w:hint="eastAsia" w:ascii="宋体" w:hAnsi="宋体"/>
          <w:color w:val="000000" w:themeColor="text1"/>
          <w:sz w:val="24"/>
          <w:lang w:val="en-US" w:eastAsia="zh-CN"/>
        </w:rPr>
        <w:t>4</w:t>
      </w:r>
      <w:r>
        <w:rPr>
          <w:rFonts w:hint="eastAsia" w:ascii="宋体" w:hAnsi="宋体"/>
          <w:color w:val="000000" w:themeColor="text1"/>
          <w:sz w:val="24"/>
          <w:highlight w:val="yellow"/>
          <w:lang w:val="en-US" w:eastAsia="zh-CN"/>
        </w:rPr>
        <w:t>.</w:t>
      </w:r>
      <w:r>
        <w:rPr>
          <w:rFonts w:hint="eastAsia" w:ascii="宋体" w:hAnsi="宋体"/>
          <w:color w:val="000000" w:themeColor="text1"/>
          <w:sz w:val="24"/>
          <w:highlight w:val="yellow"/>
        </w:rPr>
        <w:t>我司同意在投标前缴纳保证</w:t>
      </w:r>
      <w:r>
        <w:rPr>
          <w:rFonts w:hint="eastAsia" w:ascii="宋体" w:hAnsi="宋体"/>
          <w:color w:val="000000" w:themeColor="text1"/>
          <w:sz w:val="24"/>
          <w:highlight w:val="yellow"/>
          <w:lang w:eastAsia="zh-CN"/>
        </w:rPr>
        <w:t>金</w:t>
      </w:r>
      <w:r>
        <w:rPr>
          <w:rFonts w:hint="eastAsia" w:ascii="宋体" w:hAnsi="宋体"/>
          <w:color w:val="000000" w:themeColor="text1"/>
          <w:sz w:val="24"/>
          <w:highlight w:val="yellow"/>
          <w:lang w:val="en-US" w:eastAsia="zh-CN"/>
        </w:rPr>
        <w:t>陆万元整，</w:t>
      </w:r>
      <w:r>
        <w:rPr>
          <w:rFonts w:hint="eastAsia" w:ascii="宋体" w:hAnsi="宋体"/>
          <w:color w:val="000000" w:themeColor="text1"/>
          <w:sz w:val="24"/>
          <w:highlight w:val="yellow"/>
        </w:rPr>
        <w:t>若我司中选，我司同意按照要求</w:t>
      </w:r>
      <w:r>
        <w:rPr>
          <w:rFonts w:hint="eastAsia" w:ascii="宋体" w:hAnsi="宋体"/>
          <w:color w:val="000000" w:themeColor="text1"/>
          <w:sz w:val="24"/>
          <w:highlight w:val="yellow"/>
          <w:lang w:val="en-US" w:eastAsia="zh-CN"/>
        </w:rPr>
        <w:t>转为履约保证金待履约期满后</w:t>
      </w:r>
      <w:r>
        <w:rPr>
          <w:rFonts w:hint="eastAsia" w:ascii="宋体" w:hAnsi="宋体"/>
          <w:color w:val="000000" w:themeColor="text1"/>
          <w:sz w:val="24"/>
          <w:highlight w:val="yellow"/>
        </w:rPr>
        <w:t>申请无息返还。</w:t>
      </w:r>
    </w:p>
    <w:p>
      <w:pPr>
        <w:keepNext w:val="0"/>
        <w:keepLines w:val="0"/>
        <w:pageBreakBefore w:val="0"/>
        <w:kinsoku/>
        <w:overflowPunct/>
        <w:topLinePunct w:val="0"/>
        <w:autoSpaceDE/>
        <w:autoSpaceDN/>
        <w:bidi w:val="0"/>
        <w:spacing w:line="288" w:lineRule="auto"/>
        <w:jc w:val="left"/>
        <w:rPr>
          <w:rFonts w:hint="default" w:ascii="宋体" w:hAnsi="宋体" w:eastAsia="宋体" w:cs="宋体"/>
          <w:color w:val="000000" w:themeColor="text1"/>
          <w:sz w:val="24"/>
          <w:lang w:val="en-US" w:eastAsia="zh-CN"/>
        </w:rPr>
      </w:pPr>
      <w:r>
        <w:rPr>
          <w:rFonts w:hint="eastAsia" w:ascii="宋体" w:hAnsi="宋体"/>
          <w:color w:val="000000" w:themeColor="text1"/>
          <w:sz w:val="24"/>
          <w:lang w:val="en-US" w:eastAsia="zh-CN"/>
        </w:rPr>
        <w:t>三</w:t>
      </w:r>
      <w:r>
        <w:rPr>
          <w:rFonts w:hint="eastAsia" w:ascii="宋体" w:hAnsi="宋体"/>
          <w:color w:val="000000" w:themeColor="text1"/>
          <w:sz w:val="24"/>
        </w:rPr>
        <w:t>、到货期：</w:t>
      </w:r>
      <w:r>
        <w:rPr>
          <w:rFonts w:hint="eastAsia" w:ascii="宋体" w:hAnsi="宋体"/>
          <w:color w:val="000000" w:themeColor="text1"/>
          <w:sz w:val="24"/>
          <w:lang w:val="en-US" w:eastAsia="zh-CN"/>
        </w:rPr>
        <w:t>分批到货，</w:t>
      </w:r>
      <w:r>
        <w:rPr>
          <w:rFonts w:hint="eastAsia" w:ascii="宋体" w:hAnsi="宋体" w:cs="宋体"/>
          <w:color w:val="000000" w:themeColor="text1"/>
          <w:sz w:val="24"/>
        </w:rPr>
        <w:t>具体以需方通知为准。</w:t>
      </w:r>
    </w:p>
    <w:p>
      <w:pPr>
        <w:keepNext w:val="0"/>
        <w:keepLines w:val="0"/>
        <w:pageBreakBefore w:val="0"/>
        <w:kinsoku/>
        <w:overflowPunct/>
        <w:topLinePunct w:val="0"/>
        <w:autoSpaceDE/>
        <w:autoSpaceDN/>
        <w:bidi w:val="0"/>
        <w:spacing w:line="288" w:lineRule="auto"/>
        <w:rPr>
          <w:rFonts w:ascii="宋体" w:hAnsi="宋体"/>
          <w:color w:val="000000" w:themeColor="text1"/>
          <w:sz w:val="24"/>
        </w:rPr>
      </w:pPr>
      <w:r>
        <w:rPr>
          <w:rFonts w:hint="eastAsia" w:ascii="宋体" w:hAnsi="宋体"/>
          <w:color w:val="000000" w:themeColor="text1"/>
          <w:sz w:val="24"/>
        </w:rPr>
        <w:t>四、质量验收标准：以需方质量规范验收为准。</w:t>
      </w:r>
    </w:p>
    <w:p>
      <w:pPr>
        <w:keepNext w:val="0"/>
        <w:keepLines w:val="0"/>
        <w:pageBreakBefore w:val="0"/>
        <w:numPr>
          <w:ilvl w:val="0"/>
          <w:numId w:val="9"/>
        </w:numPr>
        <w:kinsoku/>
        <w:overflowPunct/>
        <w:topLinePunct w:val="0"/>
        <w:autoSpaceDE/>
        <w:autoSpaceDN/>
        <w:bidi w:val="0"/>
        <w:spacing w:line="288" w:lineRule="auto"/>
        <w:rPr>
          <w:rFonts w:ascii="宋体" w:hAnsi="宋体"/>
          <w:color w:val="000000" w:themeColor="text1"/>
          <w:sz w:val="24"/>
        </w:rPr>
      </w:pPr>
      <w:r>
        <w:rPr>
          <w:rFonts w:hint="eastAsia" w:ascii="宋体" w:hAnsi="宋体"/>
          <w:color w:val="000000" w:themeColor="text1"/>
          <w:sz w:val="24"/>
        </w:rPr>
        <w:t>数量验收以需方使用单位检验数量为准。</w:t>
      </w:r>
    </w:p>
    <w:p>
      <w:pPr>
        <w:keepNext w:val="0"/>
        <w:keepLines w:val="0"/>
        <w:pageBreakBefore w:val="0"/>
        <w:numPr>
          <w:ilvl w:val="0"/>
          <w:numId w:val="9"/>
        </w:numPr>
        <w:kinsoku/>
        <w:overflowPunct/>
        <w:topLinePunct w:val="0"/>
        <w:autoSpaceDE/>
        <w:autoSpaceDN/>
        <w:bidi w:val="0"/>
        <w:spacing w:line="288" w:lineRule="auto"/>
        <w:rPr>
          <w:rFonts w:ascii="宋体" w:hAnsi="宋体"/>
          <w:color w:val="000000" w:themeColor="text1"/>
          <w:sz w:val="24"/>
        </w:rPr>
      </w:pPr>
      <w:r>
        <w:rPr>
          <w:rFonts w:hint="eastAsia" w:ascii="宋体" w:hAnsi="宋体"/>
          <w:color w:val="000000" w:themeColor="text1"/>
          <w:sz w:val="24"/>
          <w:lang w:val="en-US" w:eastAsia="zh-CN"/>
        </w:rPr>
        <w:t>具体以</w:t>
      </w:r>
      <w:r>
        <w:rPr>
          <w:rFonts w:hint="eastAsia" w:ascii="宋体" w:hAnsi="宋体" w:cs="宋体"/>
          <w:color w:val="000000" w:themeColor="text1"/>
          <w:sz w:val="24"/>
          <w:lang w:val="en-US" w:eastAsia="zh-CN"/>
        </w:rPr>
        <w:t>附件《2022年PTA装置闭式循环冷却水药剂采购技术要求》为准。</w:t>
      </w:r>
    </w:p>
    <w:p>
      <w:pPr>
        <w:keepNext w:val="0"/>
        <w:keepLines w:val="0"/>
        <w:pageBreakBefore w:val="0"/>
        <w:kinsoku/>
        <w:overflowPunct/>
        <w:topLinePunct w:val="0"/>
        <w:autoSpaceDE/>
        <w:autoSpaceDN/>
        <w:bidi w:val="0"/>
        <w:spacing w:line="288" w:lineRule="auto"/>
        <w:rPr>
          <w:rFonts w:hint="eastAsia" w:ascii="宋体" w:hAnsi="宋体"/>
          <w:color w:val="000000" w:themeColor="text1"/>
          <w:sz w:val="24"/>
          <w:lang w:val="en-US" w:eastAsia="zh-CN"/>
        </w:rPr>
      </w:pPr>
      <w:r>
        <w:rPr>
          <w:rFonts w:hint="eastAsia" w:ascii="宋体" w:hAnsi="宋体"/>
          <w:color w:val="000000" w:themeColor="text1"/>
          <w:sz w:val="24"/>
          <w:lang w:val="en-US" w:eastAsia="zh-CN"/>
        </w:rPr>
        <w:t>七、执行时间：合同供货有效期：2022年10月1日-2023年12月31日。</w:t>
      </w:r>
    </w:p>
    <w:p>
      <w:pPr>
        <w:keepNext w:val="0"/>
        <w:keepLines w:val="0"/>
        <w:pageBreakBefore w:val="0"/>
        <w:kinsoku/>
        <w:overflowPunct/>
        <w:topLinePunct w:val="0"/>
        <w:autoSpaceDE/>
        <w:autoSpaceDN/>
        <w:bidi w:val="0"/>
        <w:spacing w:line="288" w:lineRule="auto"/>
        <w:rPr>
          <w:rFonts w:hint="eastAsia" w:ascii="宋体" w:hAnsi="宋体"/>
          <w:color w:val="000000" w:themeColor="text1"/>
          <w:sz w:val="24"/>
          <w:lang w:val="en-US" w:eastAsia="zh-CN"/>
        </w:rPr>
      </w:pPr>
    </w:p>
    <w:p>
      <w:pPr>
        <w:keepNext w:val="0"/>
        <w:keepLines w:val="0"/>
        <w:pageBreakBefore w:val="0"/>
        <w:kinsoku/>
        <w:overflowPunct/>
        <w:topLinePunct w:val="0"/>
        <w:autoSpaceDE/>
        <w:autoSpaceDN/>
        <w:bidi w:val="0"/>
        <w:spacing w:line="288" w:lineRule="auto"/>
        <w:rPr>
          <w:rFonts w:ascii="宋体"/>
          <w:color w:val="000000" w:themeColor="text1"/>
          <w:sz w:val="24"/>
        </w:rPr>
      </w:pPr>
      <w:r>
        <w:rPr>
          <w:rFonts w:hint="eastAsia" w:ascii="宋体" w:hAnsi="宋体"/>
          <w:color w:val="000000" w:themeColor="text1"/>
          <w:sz w:val="24"/>
        </w:rPr>
        <w:t>报价单位名称（公章）：</w:t>
      </w:r>
    </w:p>
    <w:p>
      <w:pPr>
        <w:keepNext w:val="0"/>
        <w:keepLines w:val="0"/>
        <w:pageBreakBefore w:val="0"/>
        <w:kinsoku/>
        <w:overflowPunct/>
        <w:topLinePunct w:val="0"/>
        <w:autoSpaceDE/>
        <w:autoSpaceDN/>
        <w:bidi w:val="0"/>
        <w:spacing w:line="288" w:lineRule="auto"/>
        <w:rPr>
          <w:rFonts w:ascii="宋体"/>
          <w:color w:val="000000" w:themeColor="text1"/>
          <w:sz w:val="24"/>
        </w:rPr>
      </w:pPr>
      <w:bookmarkStart w:id="0" w:name="_Hlk532224866"/>
      <w:r>
        <w:rPr>
          <w:rFonts w:hint="eastAsia" w:ascii="宋体" w:hAnsi="宋体"/>
          <w:color w:val="000000" w:themeColor="text1"/>
          <w:sz w:val="24"/>
        </w:rPr>
        <w:t>被授权代表签字：</w:t>
      </w:r>
    </w:p>
    <w:bookmarkEnd w:id="0"/>
    <w:p>
      <w:pPr>
        <w:keepNext w:val="0"/>
        <w:keepLines w:val="0"/>
        <w:pageBreakBefore w:val="0"/>
        <w:kinsoku/>
        <w:overflowPunct/>
        <w:topLinePunct w:val="0"/>
        <w:autoSpaceDE/>
        <w:autoSpaceDN/>
        <w:bidi w:val="0"/>
        <w:spacing w:line="288" w:lineRule="auto"/>
        <w:rPr>
          <w:rFonts w:ascii="宋体"/>
          <w:color w:val="000000" w:themeColor="text1"/>
          <w:sz w:val="24"/>
        </w:rPr>
      </w:pPr>
      <w:r>
        <w:rPr>
          <w:rFonts w:hint="eastAsia" w:ascii="宋体" w:hAnsi="宋体"/>
          <w:color w:val="000000" w:themeColor="text1"/>
          <w:sz w:val="24"/>
        </w:rPr>
        <w:t>时间：</w:t>
      </w:r>
    </w:p>
    <w:p>
      <w:pPr>
        <w:keepNext w:val="0"/>
        <w:keepLines w:val="0"/>
        <w:pageBreakBefore w:val="0"/>
        <w:kinsoku/>
        <w:overflowPunct/>
        <w:topLinePunct w:val="0"/>
        <w:autoSpaceDE/>
        <w:autoSpaceDN/>
        <w:bidi w:val="0"/>
        <w:spacing w:line="288" w:lineRule="auto"/>
        <w:rPr>
          <w:rFonts w:ascii="宋体"/>
          <w:color w:val="000000" w:themeColor="text1"/>
          <w:sz w:val="24"/>
        </w:rPr>
      </w:pPr>
    </w:p>
    <w:p>
      <w:pPr>
        <w:keepNext w:val="0"/>
        <w:keepLines w:val="0"/>
        <w:pageBreakBefore w:val="0"/>
        <w:widowControl/>
        <w:kinsoku/>
        <w:overflowPunct/>
        <w:topLinePunct w:val="0"/>
        <w:autoSpaceDE/>
        <w:autoSpaceDN/>
        <w:bidi w:val="0"/>
        <w:adjustRightInd/>
        <w:snapToGrid/>
        <w:spacing w:line="288" w:lineRule="auto"/>
        <w:jc w:val="left"/>
        <w:textAlignment w:val="auto"/>
        <w:rPr>
          <w:color w:val="000000" w:themeColor="text1"/>
        </w:rPr>
      </w:pPr>
      <w:r>
        <w:rPr>
          <w:rFonts w:ascii="宋体" w:hAnsi="宋体"/>
          <w:color w:val="000000" w:themeColor="text1"/>
          <w:sz w:val="32"/>
          <w:szCs w:val="32"/>
        </w:rPr>
        <w:br w:type="page"/>
      </w:r>
      <w:r>
        <w:rPr>
          <w:rFonts w:hint="eastAsia" w:ascii="宋体" w:hAnsi="宋体"/>
          <w:color w:val="000000" w:themeColor="text1"/>
          <w:szCs w:val="21"/>
        </w:rPr>
        <w:t>注：</w:t>
      </w:r>
      <w:r>
        <w:rPr>
          <w:rFonts w:hint="eastAsia" w:ascii="宋体"/>
          <w:color w:val="000000" w:themeColor="text1"/>
          <w:szCs w:val="21"/>
        </w:rPr>
        <w:t>请把报价填至“报价单”内，公开</w:t>
      </w:r>
      <w:r>
        <w:rPr>
          <w:rFonts w:hint="eastAsia" w:ascii="宋体"/>
          <w:b/>
          <w:bCs/>
          <w:color w:val="000000" w:themeColor="text1"/>
          <w:szCs w:val="21"/>
        </w:rPr>
        <w:t>比选确认单仅作为比选结束后确认数量和价格使用</w:t>
      </w:r>
    </w:p>
    <w:p>
      <w:pPr>
        <w:keepNext w:val="0"/>
        <w:keepLines w:val="0"/>
        <w:pageBreakBefore w:val="0"/>
        <w:kinsoku/>
        <w:overflowPunct/>
        <w:topLinePunct w:val="0"/>
        <w:autoSpaceDE/>
        <w:autoSpaceDN/>
        <w:bidi w:val="0"/>
        <w:adjustRightInd/>
        <w:snapToGrid/>
        <w:spacing w:line="288" w:lineRule="auto"/>
        <w:jc w:val="left"/>
        <w:textAlignment w:val="auto"/>
        <w:rPr>
          <w:rFonts w:ascii="宋体" w:hAnsi="宋体"/>
          <w:color w:val="000000" w:themeColor="text1"/>
          <w:sz w:val="32"/>
          <w:szCs w:val="32"/>
        </w:rPr>
      </w:pPr>
      <w:r>
        <w:rPr>
          <w:rFonts w:hint="eastAsia" w:ascii="宋体" w:hAnsi="宋体"/>
          <w:color w:val="000000" w:themeColor="text1"/>
          <w:sz w:val="32"/>
          <w:szCs w:val="32"/>
        </w:rPr>
        <w:t>附表：</w:t>
      </w:r>
    </w:p>
    <w:p>
      <w:pPr>
        <w:keepNext w:val="0"/>
        <w:keepLines w:val="0"/>
        <w:pageBreakBefore w:val="0"/>
        <w:kinsoku/>
        <w:overflowPunct/>
        <w:topLinePunct w:val="0"/>
        <w:autoSpaceDE/>
        <w:autoSpaceDN/>
        <w:bidi w:val="0"/>
        <w:adjustRightInd/>
        <w:snapToGrid/>
        <w:spacing w:line="288" w:lineRule="auto"/>
        <w:jc w:val="center"/>
        <w:textAlignment w:val="auto"/>
        <w:rPr>
          <w:rFonts w:hint="eastAsia" w:ascii="宋体" w:hAnsi="宋体"/>
          <w:color w:val="000000" w:themeColor="text1"/>
          <w:sz w:val="32"/>
          <w:szCs w:val="32"/>
        </w:rPr>
      </w:pPr>
      <w:r>
        <w:rPr>
          <w:rFonts w:hint="eastAsia" w:ascii="宋体" w:hAnsi="宋体"/>
          <w:color w:val="000000" w:themeColor="text1"/>
          <w:sz w:val="32"/>
          <w:szCs w:val="32"/>
        </w:rPr>
        <w:t>公开比选确认单</w:t>
      </w:r>
    </w:p>
    <w:p>
      <w:pPr>
        <w:keepNext w:val="0"/>
        <w:keepLines w:val="0"/>
        <w:pageBreakBefore w:val="0"/>
        <w:kinsoku/>
        <w:overflowPunct/>
        <w:topLinePunct w:val="0"/>
        <w:autoSpaceDE/>
        <w:autoSpaceDN/>
        <w:bidi w:val="0"/>
        <w:adjustRightInd/>
        <w:snapToGrid/>
        <w:spacing w:line="288" w:lineRule="auto"/>
        <w:jc w:val="center"/>
        <w:textAlignment w:val="auto"/>
        <w:rPr>
          <w:rFonts w:hint="eastAsia" w:ascii="宋体" w:hAnsi="宋体"/>
          <w:color w:val="000000" w:themeColor="text1"/>
          <w:sz w:val="32"/>
          <w:szCs w:val="32"/>
        </w:rPr>
      </w:pPr>
    </w:p>
    <w:p>
      <w:pPr>
        <w:keepNext w:val="0"/>
        <w:keepLines w:val="0"/>
        <w:pageBreakBefore w:val="0"/>
        <w:kinsoku/>
        <w:overflowPunct/>
        <w:topLinePunct w:val="0"/>
        <w:autoSpaceDE/>
        <w:autoSpaceDN/>
        <w:bidi w:val="0"/>
        <w:adjustRightInd/>
        <w:snapToGrid/>
        <w:spacing w:line="288" w:lineRule="auto"/>
        <w:textAlignment w:val="auto"/>
        <w:rPr>
          <w:rFonts w:ascii="宋体"/>
          <w:color w:val="000000" w:themeColor="text1"/>
          <w:sz w:val="24"/>
          <w:szCs w:val="24"/>
        </w:rPr>
      </w:pPr>
      <w:r>
        <w:rPr>
          <w:rFonts w:hint="eastAsia" w:ascii="宋体" w:hAnsi="宋体"/>
          <w:color w:val="000000" w:themeColor="text1"/>
          <w:sz w:val="24"/>
          <w:szCs w:val="24"/>
          <w:lang w:eastAsia="zh-CN"/>
        </w:rPr>
        <w:t>翔鹭石化（漳州）有限公司</w:t>
      </w:r>
      <w:r>
        <w:rPr>
          <w:rFonts w:hint="eastAsia" w:ascii="宋体" w:hAnsi="宋体"/>
          <w:color w:val="000000" w:themeColor="text1"/>
          <w:sz w:val="24"/>
          <w:szCs w:val="24"/>
        </w:rPr>
        <w:t>：</w:t>
      </w:r>
    </w:p>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r>
        <w:rPr>
          <w:rFonts w:hint="eastAsia" w:ascii="宋体" w:hAnsi="宋体"/>
          <w:color w:val="000000" w:themeColor="text1"/>
          <w:sz w:val="24"/>
          <w:szCs w:val="24"/>
        </w:rPr>
        <w:t>对于贵公司的公开比选文件（编号：</w:t>
      </w:r>
      <w:r>
        <w:rPr>
          <w:rFonts w:hint="eastAsia" w:ascii="宋体" w:hAnsi="宋体" w:cs="宋体"/>
          <w:bCs/>
          <w:color w:val="000000" w:themeColor="text1"/>
          <w:sz w:val="24"/>
          <w:szCs w:val="24"/>
          <w:u w:val="single"/>
          <w:lang w:eastAsia="zh-CN"/>
        </w:rPr>
        <w:t>2022-FHC-循环冷却水药剂-0721</w:t>
      </w:r>
      <w:r>
        <w:rPr>
          <w:rFonts w:hint="eastAsia" w:ascii="宋体" w:hAnsi="宋体" w:eastAsia="宋体" w:cs="宋体"/>
          <w:color w:val="000000" w:themeColor="text1"/>
          <w:sz w:val="24"/>
          <w:szCs w:val="24"/>
        </w:rPr>
        <w:t>）</w:t>
      </w:r>
      <w:r>
        <w:rPr>
          <w:rFonts w:hint="eastAsia" w:ascii="宋体" w:hAnsi="宋体"/>
          <w:color w:val="000000" w:themeColor="text1"/>
          <w:sz w:val="24"/>
          <w:szCs w:val="24"/>
        </w:rPr>
        <w:t>，含税一票送到</w:t>
      </w:r>
      <w:r>
        <w:rPr>
          <w:rFonts w:hint="eastAsia" w:ascii="宋体" w:hAnsi="宋体"/>
          <w:color w:val="000000" w:themeColor="text1"/>
          <w:sz w:val="24"/>
          <w:szCs w:val="24"/>
          <w:lang w:val="en-US" w:eastAsia="zh-CN"/>
        </w:rPr>
        <w:t>总金额</w:t>
      </w:r>
      <w:r>
        <w:rPr>
          <w:rFonts w:hint="eastAsia" w:ascii="宋体" w:hAnsi="宋体"/>
          <w:color w:val="000000" w:themeColor="text1"/>
          <w:sz w:val="24"/>
          <w:szCs w:val="24"/>
          <w:lang w:eastAsia="zh-CN"/>
        </w:rPr>
        <w:t>（</w:t>
      </w:r>
      <w:r>
        <w:rPr>
          <w:rFonts w:hint="eastAsia" w:ascii="宋体" w:hAnsi="宋体"/>
          <w:color w:val="000000" w:themeColor="text1"/>
          <w:sz w:val="24"/>
          <w:szCs w:val="24"/>
          <w:lang w:val="en-US" w:eastAsia="zh-CN"/>
        </w:rPr>
        <w:t>含技术要求中约定的项目</w:t>
      </w:r>
      <w:r>
        <w:rPr>
          <w:rFonts w:hint="eastAsia" w:ascii="宋体" w:hAnsi="宋体"/>
          <w:color w:val="000000" w:themeColor="text1"/>
          <w:sz w:val="24"/>
          <w:szCs w:val="24"/>
          <w:lang w:eastAsia="zh-CN"/>
        </w:rPr>
        <w:t>）</w:t>
      </w:r>
      <w:r>
        <w:rPr>
          <w:rFonts w:hint="eastAsia" w:ascii="宋体" w:hAnsi="宋体"/>
          <w:color w:val="000000" w:themeColor="text1"/>
          <w:sz w:val="24"/>
          <w:szCs w:val="24"/>
        </w:rPr>
        <w:t>=</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元，以汽运方式送到</w:t>
      </w:r>
      <w:r>
        <w:rPr>
          <w:rFonts w:hint="eastAsia" w:ascii="宋体" w:hAnsi="宋体"/>
          <w:color w:val="000000" w:themeColor="text1"/>
          <w:sz w:val="24"/>
          <w:szCs w:val="24"/>
          <w:lang w:val="en-US" w:eastAsia="zh-CN"/>
        </w:rPr>
        <w:t>福海创石油化工有限公司</w:t>
      </w:r>
      <w:r>
        <w:rPr>
          <w:rFonts w:hint="eastAsia" w:ascii="宋体" w:hAnsi="宋体"/>
          <w:color w:val="000000" w:themeColor="text1"/>
          <w:sz w:val="24"/>
          <w:szCs w:val="24"/>
        </w:rPr>
        <w:t>（详见我公司</w:t>
      </w:r>
      <w:r>
        <w:rPr>
          <w:rFonts w:hint="eastAsia" w:ascii="宋体" w:hAnsi="宋体"/>
          <w:color w:val="000000" w:themeColor="text1"/>
          <w:sz w:val="24"/>
          <w:szCs w:val="24"/>
          <w:lang w:val="en-US" w:eastAsia="zh-CN"/>
        </w:rPr>
        <w:t>2022</w:t>
      </w:r>
      <w:r>
        <w:rPr>
          <w:rFonts w:hint="eastAsia" w:ascii="宋体" w:hAnsi="宋体"/>
          <w:color w:val="000000" w:themeColor="text1"/>
          <w:sz w:val="24"/>
          <w:szCs w:val="24"/>
        </w:rPr>
        <w:t>年    月   日报价单），经协商，我公司最终同意按:</w:t>
      </w:r>
    </w:p>
    <w:p>
      <w:pPr>
        <w:keepNext w:val="0"/>
        <w:keepLines w:val="0"/>
        <w:pageBreakBefore w:val="0"/>
        <w:kinsoku/>
        <w:overflowPunct/>
        <w:topLinePunct w:val="0"/>
        <w:autoSpaceDE/>
        <w:autoSpaceDN/>
        <w:bidi w:val="0"/>
        <w:adjustRightInd/>
        <w:snapToGrid/>
        <w:spacing w:line="288" w:lineRule="auto"/>
        <w:textAlignment w:val="auto"/>
        <w:rPr>
          <w:rFonts w:hint="default" w:ascii="宋体" w:hAnsi="宋体" w:eastAsia="宋体"/>
          <w:color w:val="000000" w:themeColor="text1"/>
          <w:sz w:val="24"/>
          <w:szCs w:val="24"/>
          <w:lang w:val="en-US" w:eastAsia="zh-CN"/>
        </w:rPr>
      </w:pPr>
      <w:r>
        <w:rPr>
          <w:rFonts w:hint="eastAsia" w:ascii="宋体" w:hAnsi="宋体"/>
          <w:color w:val="000000" w:themeColor="text1"/>
          <w:sz w:val="24"/>
          <w:szCs w:val="24"/>
          <w:lang w:val="en-US" w:eastAsia="zh-CN"/>
        </w:rPr>
        <w:t>1.1正常运行投加的药剂：</w:t>
      </w:r>
    </w:p>
    <w:tbl>
      <w:tblPr>
        <w:tblStyle w:val="9"/>
        <w:tblW w:w="8519"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2"/>
        <w:gridCol w:w="1315"/>
        <w:gridCol w:w="1315"/>
        <w:gridCol w:w="1315"/>
        <w:gridCol w:w="1315"/>
        <w:gridCol w:w="1316"/>
        <w:gridCol w:w="132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0" w:hRule="atLeast"/>
          <w:jc w:val="center"/>
        </w:trPr>
        <w:tc>
          <w:tcPr>
            <w:tcW w:w="622" w:type="dxa"/>
            <w:vAlign w:val="top"/>
          </w:tcPr>
          <w:p>
            <w:pPr>
              <w:keepNext w:val="0"/>
              <w:keepLines w:val="0"/>
              <w:pageBreakBefore w:val="0"/>
              <w:kinsoku/>
              <w:overflowPunct/>
              <w:topLinePunct w:val="0"/>
              <w:autoSpaceDE/>
              <w:autoSpaceDN/>
              <w:bidi w:val="0"/>
              <w:adjustRightInd/>
              <w:snapToGrid/>
              <w:spacing w:line="288" w:lineRule="auto"/>
              <w:jc w:val="center"/>
              <w:textAlignment w:val="auto"/>
              <w:rPr>
                <w:rFonts w:hint="eastAsia" w:ascii="宋体" w:hAnsi="宋体"/>
                <w:color w:val="000000" w:themeColor="text1"/>
                <w:sz w:val="24"/>
                <w:szCs w:val="24"/>
              </w:rPr>
            </w:pPr>
            <w:r>
              <w:rPr>
                <w:rFonts w:hint="eastAsia" w:ascii="宋体" w:hAnsi="宋体"/>
                <w:color w:val="000000" w:themeColor="text1"/>
                <w:sz w:val="24"/>
                <w:szCs w:val="24"/>
              </w:rPr>
              <w:t>序</w:t>
            </w:r>
          </w:p>
          <w:p>
            <w:pPr>
              <w:keepNext w:val="0"/>
              <w:keepLines w:val="0"/>
              <w:pageBreakBefore w:val="0"/>
              <w:kinsoku/>
              <w:overflowPunct/>
              <w:topLinePunct w:val="0"/>
              <w:autoSpaceDE/>
              <w:autoSpaceDN/>
              <w:bidi w:val="0"/>
              <w:adjustRightInd/>
              <w:snapToGrid/>
              <w:spacing w:line="288" w:lineRule="auto"/>
              <w:jc w:val="center"/>
              <w:textAlignment w:val="auto"/>
              <w:rPr>
                <w:rFonts w:hint="eastAsia" w:ascii="宋体" w:hAnsi="宋体"/>
                <w:color w:val="000000" w:themeColor="text1"/>
                <w:sz w:val="24"/>
                <w:szCs w:val="24"/>
              </w:rPr>
            </w:pPr>
            <w:r>
              <w:rPr>
                <w:rFonts w:hint="eastAsia" w:ascii="宋体" w:hAnsi="宋体"/>
                <w:color w:val="000000" w:themeColor="text1"/>
                <w:sz w:val="24"/>
                <w:szCs w:val="24"/>
              </w:rPr>
              <w:t>号</w:t>
            </w:r>
          </w:p>
        </w:tc>
        <w:tc>
          <w:tcPr>
            <w:tcW w:w="1315" w:type="dxa"/>
            <w:vAlign w:val="center"/>
          </w:tcPr>
          <w:p>
            <w:pPr>
              <w:keepNext w:val="0"/>
              <w:keepLines w:val="0"/>
              <w:pageBreakBefore w:val="0"/>
              <w:kinsoku/>
              <w:overflowPunct/>
              <w:topLinePunct w:val="0"/>
              <w:autoSpaceDE/>
              <w:autoSpaceDN/>
              <w:bidi w:val="0"/>
              <w:adjustRightInd/>
              <w:snapToGrid/>
              <w:spacing w:line="288" w:lineRule="auto"/>
              <w:jc w:val="center"/>
              <w:textAlignment w:val="auto"/>
              <w:rPr>
                <w:rFonts w:hint="eastAsia" w:ascii="宋体" w:hAnsi="宋体"/>
                <w:color w:val="000000" w:themeColor="text1"/>
                <w:sz w:val="24"/>
                <w:szCs w:val="24"/>
              </w:rPr>
            </w:pPr>
            <w:r>
              <w:rPr>
                <w:rFonts w:hint="eastAsia" w:ascii="宋体" w:hAnsi="宋体"/>
                <w:color w:val="000000" w:themeColor="text1"/>
                <w:sz w:val="24"/>
                <w:szCs w:val="24"/>
                <w:lang w:val="en-US" w:eastAsia="zh-CN"/>
              </w:rPr>
              <w:t>药剂名称</w:t>
            </w:r>
          </w:p>
        </w:tc>
        <w:tc>
          <w:tcPr>
            <w:tcW w:w="1315" w:type="dxa"/>
            <w:vAlign w:val="center"/>
          </w:tcPr>
          <w:p>
            <w:pPr>
              <w:keepNext w:val="0"/>
              <w:keepLines w:val="0"/>
              <w:pageBreakBefore w:val="0"/>
              <w:kinsoku/>
              <w:overflowPunct/>
              <w:topLinePunct w:val="0"/>
              <w:autoSpaceDE/>
              <w:autoSpaceDN/>
              <w:bidi w:val="0"/>
              <w:adjustRightInd/>
              <w:snapToGrid/>
              <w:spacing w:line="288" w:lineRule="auto"/>
              <w:jc w:val="center"/>
              <w:textAlignment w:val="auto"/>
              <w:rPr>
                <w:rFonts w:hint="eastAsia" w:ascii="宋体" w:hAnsi="宋体"/>
                <w:color w:val="000000" w:themeColor="text1"/>
                <w:sz w:val="24"/>
                <w:szCs w:val="24"/>
              </w:rPr>
            </w:pPr>
            <w:r>
              <w:rPr>
                <w:rFonts w:hint="eastAsia" w:ascii="宋体" w:hAnsi="宋体"/>
                <w:color w:val="000000" w:themeColor="text1"/>
                <w:sz w:val="24"/>
                <w:szCs w:val="24"/>
              </w:rPr>
              <w:t>规格型号</w:t>
            </w:r>
          </w:p>
        </w:tc>
        <w:tc>
          <w:tcPr>
            <w:tcW w:w="1315" w:type="dxa"/>
            <w:tcBorders>
              <w:right w:val="single" w:color="auto" w:sz="4"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Fonts w:hint="eastAsia" w:ascii="宋体" w:hAnsi="宋体"/>
                <w:color w:val="000000" w:themeColor="text1"/>
                <w:sz w:val="24"/>
                <w:szCs w:val="24"/>
              </w:rPr>
            </w:pPr>
            <w:r>
              <w:rPr>
                <w:rFonts w:hint="eastAsia" w:ascii="宋体" w:hAnsi="宋体"/>
                <w:color w:val="000000" w:themeColor="text1"/>
                <w:sz w:val="24"/>
                <w:szCs w:val="24"/>
                <w:lang w:val="en-US" w:eastAsia="zh-CN"/>
              </w:rPr>
              <w:t>封顶</w:t>
            </w:r>
            <w:r>
              <w:rPr>
                <w:rFonts w:hint="eastAsia" w:ascii="宋体" w:hAnsi="宋体"/>
                <w:color w:val="000000" w:themeColor="text1"/>
                <w:sz w:val="24"/>
                <w:szCs w:val="24"/>
              </w:rPr>
              <w:t>数量</w:t>
            </w:r>
          </w:p>
          <w:p>
            <w:pPr>
              <w:keepNext w:val="0"/>
              <w:keepLines w:val="0"/>
              <w:pageBreakBefore w:val="0"/>
              <w:kinsoku/>
              <w:overflowPunct/>
              <w:topLinePunct w:val="0"/>
              <w:autoSpaceDE/>
              <w:autoSpaceDN/>
              <w:bidi w:val="0"/>
              <w:adjustRightInd/>
              <w:snapToGrid/>
              <w:spacing w:line="288" w:lineRule="auto"/>
              <w:jc w:val="center"/>
              <w:textAlignment w:val="auto"/>
              <w:rPr>
                <w:rFonts w:hint="eastAsia" w:ascii="宋体" w:hAnsi="宋体"/>
                <w:color w:val="000000" w:themeColor="text1"/>
                <w:sz w:val="24"/>
                <w:szCs w:val="24"/>
              </w:rPr>
            </w:pPr>
            <w:r>
              <w:rPr>
                <w:rFonts w:hint="eastAsia" w:ascii="宋体" w:hAnsi="宋体"/>
                <w:color w:val="000000" w:themeColor="text1"/>
                <w:sz w:val="24"/>
                <w:szCs w:val="24"/>
              </w:rPr>
              <w:t>（吨）</w:t>
            </w:r>
          </w:p>
        </w:tc>
        <w:tc>
          <w:tcPr>
            <w:tcW w:w="1315"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Fonts w:hint="eastAsia" w:ascii="宋体" w:hAnsi="宋体"/>
                <w:color w:val="000000" w:themeColor="text1"/>
                <w:sz w:val="24"/>
                <w:szCs w:val="24"/>
              </w:rPr>
            </w:pPr>
            <w:r>
              <w:rPr>
                <w:rFonts w:hint="eastAsia" w:ascii="宋体" w:hAnsi="宋体"/>
                <w:color w:val="000000" w:themeColor="text1"/>
                <w:sz w:val="24"/>
                <w:szCs w:val="24"/>
                <w:lang w:val="en-US" w:eastAsia="zh-CN"/>
              </w:rPr>
              <w:t>含税</w:t>
            </w:r>
            <w:r>
              <w:rPr>
                <w:rFonts w:hint="eastAsia" w:ascii="宋体" w:hAnsi="宋体"/>
                <w:color w:val="000000" w:themeColor="text1"/>
                <w:sz w:val="24"/>
                <w:szCs w:val="24"/>
              </w:rPr>
              <w:t>单价</w:t>
            </w:r>
          </w:p>
          <w:p>
            <w:pPr>
              <w:keepNext w:val="0"/>
              <w:keepLines w:val="0"/>
              <w:pageBreakBefore w:val="0"/>
              <w:kinsoku/>
              <w:overflowPunct/>
              <w:topLinePunct w:val="0"/>
              <w:autoSpaceDE/>
              <w:autoSpaceDN/>
              <w:bidi w:val="0"/>
              <w:adjustRightInd/>
              <w:snapToGrid/>
              <w:spacing w:line="288" w:lineRule="auto"/>
              <w:jc w:val="center"/>
              <w:textAlignment w:val="auto"/>
              <w:rPr>
                <w:rFonts w:hint="eastAsia" w:ascii="宋体" w:hAnsi="宋体"/>
                <w:color w:val="000000" w:themeColor="text1"/>
                <w:sz w:val="24"/>
                <w:szCs w:val="24"/>
              </w:rPr>
            </w:pPr>
            <w:r>
              <w:rPr>
                <w:rFonts w:hint="eastAsia" w:ascii="宋体" w:hAnsi="宋体"/>
                <w:color w:val="000000" w:themeColor="text1"/>
                <w:sz w:val="24"/>
                <w:szCs w:val="24"/>
              </w:rPr>
              <w:t>（元/吨）</w:t>
            </w:r>
          </w:p>
        </w:tc>
        <w:tc>
          <w:tcPr>
            <w:tcW w:w="1316" w:type="dxa"/>
            <w:tcBorders>
              <w:left w:val="single" w:color="auto" w:sz="4"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Fonts w:hint="default" w:ascii="宋体" w:hAnsi="宋体"/>
                <w:color w:val="000000" w:themeColor="text1"/>
                <w:sz w:val="24"/>
                <w:szCs w:val="24"/>
                <w:lang w:val="en-US" w:eastAsia="zh-CN"/>
              </w:rPr>
            </w:pPr>
            <w:r>
              <w:rPr>
                <w:rFonts w:hint="eastAsia" w:ascii="宋体" w:hAnsi="宋体"/>
                <w:color w:val="000000" w:themeColor="text1"/>
                <w:sz w:val="24"/>
                <w:szCs w:val="24"/>
                <w:lang w:val="en-US" w:eastAsia="zh-CN"/>
              </w:rPr>
              <w:t>含税金额</w:t>
            </w:r>
          </w:p>
          <w:p>
            <w:pPr>
              <w:keepNext w:val="0"/>
              <w:keepLines w:val="0"/>
              <w:pageBreakBefore w:val="0"/>
              <w:kinsoku/>
              <w:overflowPunct/>
              <w:topLinePunct w:val="0"/>
              <w:autoSpaceDE/>
              <w:autoSpaceDN/>
              <w:bidi w:val="0"/>
              <w:adjustRightInd/>
              <w:snapToGrid/>
              <w:spacing w:line="288" w:lineRule="auto"/>
              <w:jc w:val="center"/>
              <w:textAlignment w:val="auto"/>
              <w:rPr>
                <w:rFonts w:hint="eastAsia" w:ascii="宋体" w:hAnsi="宋体"/>
                <w:color w:val="000000" w:themeColor="text1"/>
                <w:sz w:val="24"/>
                <w:szCs w:val="24"/>
              </w:rPr>
            </w:pPr>
            <w:r>
              <w:rPr>
                <w:rFonts w:hint="eastAsia" w:ascii="宋体" w:hAnsi="宋体"/>
                <w:color w:val="000000" w:themeColor="text1"/>
                <w:sz w:val="24"/>
                <w:szCs w:val="24"/>
              </w:rPr>
              <w:t>（元）</w:t>
            </w:r>
          </w:p>
        </w:tc>
        <w:tc>
          <w:tcPr>
            <w:tcW w:w="1321" w:type="dxa"/>
            <w:tcBorders>
              <w:bottom w:val="single" w:color="auto" w:sz="4"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Fonts w:hint="eastAsia" w:ascii="宋体" w:hAnsi="宋体"/>
                <w:color w:val="000000" w:themeColor="text1"/>
                <w:sz w:val="24"/>
                <w:szCs w:val="24"/>
              </w:rPr>
            </w:pPr>
            <w:r>
              <w:rPr>
                <w:rFonts w:hint="eastAsia" w:ascii="宋体" w:hAnsi="宋体"/>
                <w:color w:val="000000" w:themeColor="text1"/>
                <w:sz w:val="24"/>
                <w:szCs w:val="24"/>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4" w:hRule="atLeast"/>
          <w:jc w:val="center"/>
        </w:trPr>
        <w:tc>
          <w:tcPr>
            <w:tcW w:w="622" w:type="dxa"/>
            <w:vAlign w:val="top"/>
          </w:tcPr>
          <w:p>
            <w:pPr>
              <w:keepNext w:val="0"/>
              <w:keepLines w:val="0"/>
              <w:pageBreakBefore w:val="0"/>
              <w:kinsoku/>
              <w:overflowPunct/>
              <w:topLinePunct w:val="0"/>
              <w:autoSpaceDE/>
              <w:autoSpaceDN/>
              <w:bidi w:val="0"/>
              <w:adjustRightInd/>
              <w:snapToGrid/>
              <w:spacing w:line="288" w:lineRule="auto"/>
              <w:jc w:val="center"/>
              <w:textAlignment w:val="auto"/>
              <w:rPr>
                <w:rFonts w:hint="eastAsia" w:ascii="宋体" w:hAnsi="宋体"/>
                <w:color w:val="000000" w:themeColor="text1"/>
                <w:sz w:val="24"/>
                <w:szCs w:val="24"/>
              </w:rPr>
            </w:pPr>
            <w:r>
              <w:rPr>
                <w:rFonts w:hint="eastAsia" w:ascii="宋体" w:hAnsi="宋体"/>
                <w:color w:val="000000" w:themeColor="text1"/>
                <w:sz w:val="24"/>
                <w:szCs w:val="24"/>
              </w:rPr>
              <w:t>1</w:t>
            </w:r>
          </w:p>
        </w:tc>
        <w:tc>
          <w:tcPr>
            <w:tcW w:w="1315" w:type="dxa"/>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lang w:eastAsia="zh-CN"/>
              </w:rPr>
            </w:pPr>
          </w:p>
        </w:tc>
        <w:tc>
          <w:tcPr>
            <w:tcW w:w="1315" w:type="dxa"/>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c>
          <w:tcPr>
            <w:tcW w:w="1315" w:type="dxa"/>
            <w:tcBorders>
              <w:right w:val="single" w:color="auto" w:sz="4"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c>
          <w:tcPr>
            <w:tcW w:w="1315"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c>
          <w:tcPr>
            <w:tcW w:w="1316" w:type="dxa"/>
            <w:tcBorders>
              <w:left w:val="single" w:color="auto" w:sz="4"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c>
          <w:tcPr>
            <w:tcW w:w="1321" w:type="dxa"/>
            <w:tcBorders>
              <w:top w:val="single" w:color="auto" w:sz="4"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4" w:hRule="atLeast"/>
          <w:jc w:val="center"/>
        </w:trPr>
        <w:tc>
          <w:tcPr>
            <w:tcW w:w="622" w:type="dxa"/>
            <w:vAlign w:val="top"/>
          </w:tcPr>
          <w:p>
            <w:pPr>
              <w:keepNext w:val="0"/>
              <w:keepLines w:val="0"/>
              <w:pageBreakBefore w:val="0"/>
              <w:kinsoku/>
              <w:overflowPunct/>
              <w:topLinePunct w:val="0"/>
              <w:autoSpaceDE/>
              <w:autoSpaceDN/>
              <w:bidi w:val="0"/>
              <w:adjustRightInd/>
              <w:snapToGrid/>
              <w:spacing w:line="288" w:lineRule="auto"/>
              <w:jc w:val="center"/>
              <w:textAlignment w:val="auto"/>
              <w:rPr>
                <w:rFonts w:hint="eastAsia" w:ascii="宋体" w:hAnsi="宋体"/>
                <w:color w:val="000000" w:themeColor="text1"/>
                <w:sz w:val="24"/>
                <w:szCs w:val="24"/>
              </w:rPr>
            </w:pPr>
            <w:r>
              <w:rPr>
                <w:rFonts w:hint="eastAsia" w:ascii="宋体" w:hAnsi="宋体"/>
                <w:color w:val="000000" w:themeColor="text1"/>
                <w:sz w:val="24"/>
                <w:szCs w:val="24"/>
              </w:rPr>
              <w:t>2</w:t>
            </w:r>
          </w:p>
        </w:tc>
        <w:tc>
          <w:tcPr>
            <w:tcW w:w="1315" w:type="dxa"/>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c>
          <w:tcPr>
            <w:tcW w:w="1315" w:type="dxa"/>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c>
          <w:tcPr>
            <w:tcW w:w="1315" w:type="dxa"/>
            <w:tcBorders>
              <w:right w:val="single" w:color="auto" w:sz="4"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c>
          <w:tcPr>
            <w:tcW w:w="1315"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c>
          <w:tcPr>
            <w:tcW w:w="1316" w:type="dxa"/>
            <w:tcBorders>
              <w:left w:val="single" w:color="auto" w:sz="4"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c>
          <w:tcPr>
            <w:tcW w:w="1321" w:type="dxa"/>
            <w:tcBorders>
              <w:top w:val="single" w:color="auto" w:sz="4"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4" w:hRule="atLeast"/>
          <w:jc w:val="center"/>
        </w:trPr>
        <w:tc>
          <w:tcPr>
            <w:tcW w:w="622" w:type="dxa"/>
            <w:vAlign w:val="top"/>
          </w:tcPr>
          <w:p>
            <w:pPr>
              <w:keepNext w:val="0"/>
              <w:keepLines w:val="0"/>
              <w:pageBreakBefore w:val="0"/>
              <w:kinsoku/>
              <w:overflowPunct/>
              <w:topLinePunct w:val="0"/>
              <w:autoSpaceDE/>
              <w:autoSpaceDN/>
              <w:bidi w:val="0"/>
              <w:adjustRightInd/>
              <w:snapToGrid/>
              <w:spacing w:line="288" w:lineRule="auto"/>
              <w:jc w:val="center"/>
              <w:textAlignment w:val="auto"/>
              <w:rPr>
                <w:rFonts w:hint="eastAsia" w:ascii="宋体" w:hAnsi="宋体"/>
                <w:color w:val="000000" w:themeColor="text1"/>
                <w:sz w:val="24"/>
                <w:szCs w:val="24"/>
              </w:rPr>
            </w:pPr>
            <w:r>
              <w:rPr>
                <w:rFonts w:hint="eastAsia" w:ascii="宋体" w:hAnsi="宋体"/>
                <w:color w:val="000000" w:themeColor="text1"/>
                <w:sz w:val="24"/>
                <w:szCs w:val="24"/>
              </w:rPr>
              <w:t>3</w:t>
            </w:r>
          </w:p>
        </w:tc>
        <w:tc>
          <w:tcPr>
            <w:tcW w:w="1315" w:type="dxa"/>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c>
          <w:tcPr>
            <w:tcW w:w="1315" w:type="dxa"/>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c>
          <w:tcPr>
            <w:tcW w:w="1315" w:type="dxa"/>
            <w:tcBorders>
              <w:right w:val="single" w:color="auto" w:sz="4"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c>
          <w:tcPr>
            <w:tcW w:w="1315"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c>
          <w:tcPr>
            <w:tcW w:w="1316" w:type="dxa"/>
            <w:tcBorders>
              <w:left w:val="single" w:color="auto" w:sz="4"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c>
          <w:tcPr>
            <w:tcW w:w="1321" w:type="dxa"/>
            <w:tcBorders>
              <w:top w:val="single" w:color="auto" w:sz="4"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Fonts w:hint="eastAsia" w:ascii="宋体" w:hAnsi="宋体"/>
                <w:color w:val="000000" w:themeColor="text1"/>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4" w:hRule="atLeast"/>
          <w:jc w:val="center"/>
        </w:trPr>
        <w:tc>
          <w:tcPr>
            <w:tcW w:w="8519" w:type="dxa"/>
            <w:gridSpan w:val="7"/>
            <w:vAlign w:val="center"/>
          </w:tcPr>
          <w:p>
            <w:pPr>
              <w:keepNext w:val="0"/>
              <w:keepLines w:val="0"/>
              <w:pageBreakBefore w:val="0"/>
              <w:widowControl/>
              <w:numPr>
                <w:ilvl w:val="0"/>
                <w:numId w:val="0"/>
              </w:numPr>
              <w:kinsoku/>
              <w:overflowPunct/>
              <w:topLinePunct w:val="0"/>
              <w:autoSpaceDE/>
              <w:autoSpaceDN/>
              <w:bidi w:val="0"/>
              <w:adjustRightInd/>
              <w:snapToGrid/>
              <w:spacing w:line="288" w:lineRule="auto"/>
              <w:jc w:val="left"/>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备注：</w:t>
            </w:r>
          </w:p>
          <w:p>
            <w:pPr>
              <w:keepNext w:val="0"/>
              <w:keepLines w:val="0"/>
              <w:pageBreakBefore w:val="0"/>
              <w:widowControl/>
              <w:numPr>
                <w:ilvl w:val="0"/>
                <w:numId w:val="0"/>
              </w:numPr>
              <w:kinsoku/>
              <w:overflowPunct/>
              <w:topLinePunct w:val="0"/>
              <w:autoSpaceDE/>
              <w:autoSpaceDN/>
              <w:bidi w:val="0"/>
              <w:adjustRightInd/>
              <w:snapToGrid/>
              <w:spacing w:line="288" w:lineRule="auto"/>
              <w:jc w:val="left"/>
              <w:textAlignment w:val="auto"/>
              <w:rPr>
                <w:rFonts w:hint="eastAsia" w:ascii="宋体" w:hAnsi="宋体" w:eastAsia="宋体" w:cs="宋体"/>
                <w:color w:val="000000" w:themeColor="text1"/>
                <w:kern w:val="0"/>
                <w:sz w:val="24"/>
                <w:szCs w:val="24"/>
                <w:lang w:eastAsia="zh-CN"/>
              </w:rPr>
            </w:pPr>
            <w:r>
              <w:rPr>
                <w:rFonts w:hint="eastAsia" w:ascii="宋体" w:hAnsi="宋体" w:eastAsia="宋体" w:cs="宋体"/>
                <w:color w:val="000000" w:themeColor="text1"/>
                <w:kern w:val="0"/>
                <w:sz w:val="24"/>
                <w:szCs w:val="24"/>
              </w:rPr>
              <w:t>药剂名称</w:t>
            </w:r>
            <w:r>
              <w:rPr>
                <w:rFonts w:hint="eastAsia" w:ascii="宋体" w:hAnsi="宋体" w:eastAsia="宋体" w:cs="宋体"/>
                <w:color w:val="000000" w:themeColor="text1"/>
                <w:kern w:val="0"/>
                <w:sz w:val="24"/>
                <w:szCs w:val="24"/>
                <w:lang w:eastAsia="zh-CN"/>
              </w:rPr>
              <w:t>、</w:t>
            </w:r>
            <w:r>
              <w:rPr>
                <w:rFonts w:hint="eastAsia" w:ascii="宋体" w:hAnsi="宋体" w:eastAsia="宋体" w:cs="宋体"/>
                <w:color w:val="000000" w:themeColor="text1"/>
                <w:kern w:val="0"/>
                <w:sz w:val="24"/>
                <w:szCs w:val="24"/>
                <w:lang w:val="en-US" w:eastAsia="zh-CN"/>
              </w:rPr>
              <w:t>规格型号、</w:t>
            </w:r>
            <w:r>
              <w:rPr>
                <w:rFonts w:hint="eastAsia" w:ascii="宋体" w:hAnsi="宋体" w:eastAsia="宋体" w:cs="宋体"/>
                <w:color w:val="000000" w:themeColor="text1"/>
                <w:kern w:val="0"/>
                <w:sz w:val="24"/>
                <w:szCs w:val="24"/>
              </w:rPr>
              <w:t>数</w:t>
            </w:r>
            <w:r>
              <w:rPr>
                <w:rFonts w:hint="eastAsia" w:ascii="宋体" w:hAnsi="宋体" w:eastAsia="宋体" w:cs="宋体"/>
                <w:color w:val="000000" w:themeColor="text1"/>
                <w:kern w:val="0"/>
                <w:sz w:val="24"/>
                <w:szCs w:val="24"/>
                <w:lang w:eastAsia="zh-CN"/>
              </w:rPr>
              <w:t>量</w:t>
            </w:r>
            <w:r>
              <w:rPr>
                <w:rFonts w:hint="eastAsia" w:ascii="宋体" w:hAnsi="宋体" w:eastAsia="宋体" w:cs="宋体"/>
                <w:color w:val="000000" w:themeColor="text1"/>
                <w:kern w:val="0"/>
                <w:sz w:val="24"/>
                <w:szCs w:val="24"/>
                <w:lang w:val="en-US" w:eastAsia="zh-CN"/>
              </w:rPr>
              <w:t>请</w:t>
            </w:r>
            <w:r>
              <w:rPr>
                <w:rFonts w:hint="eastAsia" w:ascii="宋体" w:hAnsi="宋体" w:cs="宋体"/>
                <w:color w:val="000000" w:themeColor="text1"/>
                <w:kern w:val="0"/>
                <w:sz w:val="24"/>
                <w:szCs w:val="24"/>
                <w:lang w:val="en-US" w:eastAsia="zh-CN"/>
              </w:rPr>
              <w:t>供方</w:t>
            </w:r>
            <w:r>
              <w:rPr>
                <w:rFonts w:hint="eastAsia" w:ascii="宋体" w:hAnsi="宋体" w:eastAsia="宋体" w:cs="宋体"/>
                <w:color w:val="000000" w:themeColor="text1"/>
                <w:kern w:val="0"/>
                <w:sz w:val="24"/>
                <w:szCs w:val="24"/>
                <w:lang w:val="en-US" w:eastAsia="zh-CN"/>
              </w:rPr>
              <w:t>自行根据技术要求填写。</w:t>
            </w:r>
          </w:p>
          <w:p>
            <w:pPr>
              <w:keepNext w:val="0"/>
              <w:keepLines w:val="0"/>
              <w:pageBreakBefore w:val="0"/>
              <w:kinsoku/>
              <w:overflowPunct/>
              <w:topLinePunct w:val="0"/>
              <w:autoSpaceDE/>
              <w:autoSpaceDN/>
              <w:bidi w:val="0"/>
              <w:adjustRightInd/>
              <w:snapToGrid/>
              <w:spacing w:line="288" w:lineRule="auto"/>
              <w:jc w:val="left"/>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en-US" w:eastAsia="zh-CN"/>
              </w:rPr>
              <w:t>供方</w:t>
            </w:r>
            <w:r>
              <w:rPr>
                <w:rFonts w:hint="eastAsia" w:ascii="宋体" w:hAnsi="宋体" w:eastAsia="宋体" w:cs="宋体"/>
                <w:color w:val="000000" w:themeColor="text1"/>
                <w:kern w:val="0"/>
                <w:sz w:val="24"/>
                <w:szCs w:val="24"/>
              </w:rPr>
              <w:t>提报的数量为</w:t>
            </w:r>
            <w:r>
              <w:rPr>
                <w:rFonts w:hint="eastAsia" w:ascii="宋体" w:hAnsi="宋体" w:eastAsia="宋体" w:cs="宋体"/>
                <w:color w:val="000000" w:themeColor="text1"/>
                <w:sz w:val="24"/>
                <w:szCs w:val="24"/>
                <w:lang w:val="en-US" w:eastAsia="zh-CN"/>
              </w:rPr>
              <w:t>2022年10月1日至2023年12月31日</w:t>
            </w:r>
            <w:r>
              <w:rPr>
                <w:rFonts w:hint="eastAsia" w:ascii="宋体" w:hAnsi="宋体" w:eastAsia="宋体" w:cs="宋体"/>
                <w:color w:val="000000" w:themeColor="text1"/>
                <w:kern w:val="0"/>
                <w:sz w:val="24"/>
                <w:szCs w:val="24"/>
              </w:rPr>
              <w:t>封顶数量</w:t>
            </w:r>
            <w:r>
              <w:rPr>
                <w:rFonts w:hint="eastAsia" w:ascii="宋体" w:hAnsi="宋体" w:cs="宋体"/>
                <w:color w:val="000000" w:themeColor="text1"/>
                <w:kern w:val="0"/>
                <w:sz w:val="24"/>
                <w:szCs w:val="24"/>
                <w:lang w:eastAsia="zh-CN"/>
              </w:rPr>
              <w:t>。结算总量不超过合同签订的正常运行</w:t>
            </w:r>
            <w:r>
              <w:rPr>
                <w:rFonts w:hint="eastAsia" w:ascii="宋体" w:hAnsi="宋体" w:cs="宋体"/>
                <w:color w:val="000000" w:themeColor="text1"/>
                <w:kern w:val="0"/>
                <w:sz w:val="24"/>
                <w:szCs w:val="24"/>
                <w:lang w:val="en-US" w:eastAsia="zh-CN"/>
              </w:rPr>
              <w:t>药剂</w:t>
            </w:r>
            <w:r>
              <w:rPr>
                <w:rFonts w:hint="eastAsia" w:ascii="宋体" w:hAnsi="宋体" w:cs="宋体"/>
                <w:color w:val="000000" w:themeColor="text1"/>
                <w:kern w:val="0"/>
                <w:sz w:val="24"/>
                <w:szCs w:val="24"/>
                <w:lang w:eastAsia="zh-CN"/>
              </w:rPr>
              <w:t>总价，超过部分的药剂量视同赠送，同时要保证系统的水质。</w:t>
            </w:r>
          </w:p>
          <w:p>
            <w:pPr>
              <w:keepNext w:val="0"/>
              <w:keepLines w:val="0"/>
              <w:pageBreakBefore w:val="0"/>
              <w:widowControl/>
              <w:numPr>
                <w:ilvl w:val="0"/>
                <w:numId w:val="0"/>
              </w:numPr>
              <w:kinsoku/>
              <w:overflowPunct/>
              <w:topLinePunct w:val="0"/>
              <w:autoSpaceDE/>
              <w:autoSpaceDN/>
              <w:bidi w:val="0"/>
              <w:adjustRightInd/>
              <w:snapToGrid/>
              <w:spacing w:line="288" w:lineRule="auto"/>
              <w:jc w:val="left"/>
              <w:textAlignment w:val="auto"/>
              <w:rPr>
                <w:rFonts w:hint="eastAsia" w:ascii="宋体" w:hAnsi="宋体"/>
                <w:color w:val="000000" w:themeColor="text1"/>
                <w:sz w:val="24"/>
                <w:szCs w:val="24"/>
                <w:lang w:val="en-US" w:eastAsia="zh-CN"/>
              </w:rPr>
            </w:pPr>
            <w:r>
              <w:rPr>
                <w:rFonts w:hint="eastAsia" w:ascii="宋体" w:hAnsi="宋体" w:eastAsia="宋体" w:cs="宋体"/>
                <w:color w:val="000000" w:themeColor="text1"/>
                <w:kern w:val="0"/>
                <w:sz w:val="24"/>
                <w:szCs w:val="24"/>
                <w:lang w:val="en-US" w:eastAsia="zh-CN"/>
              </w:rPr>
              <w:t>含税单价包含药剂（含配送到工厂指定仓库）、及技术要求</w:t>
            </w:r>
            <w:r>
              <w:rPr>
                <w:rFonts w:hint="eastAsia" w:ascii="宋体" w:hAnsi="宋体" w:eastAsia="宋体" w:cs="宋体"/>
                <w:color w:val="000000" w:themeColor="text1"/>
                <w:kern w:val="0"/>
                <w:sz w:val="24"/>
                <w:szCs w:val="24"/>
              </w:rPr>
              <w:t>中</w:t>
            </w:r>
            <w:r>
              <w:rPr>
                <w:rFonts w:hint="eastAsia" w:ascii="宋体" w:hAnsi="宋体" w:eastAsia="宋体" w:cs="宋体"/>
                <w:color w:val="000000" w:themeColor="text1"/>
                <w:kern w:val="0"/>
                <w:sz w:val="24"/>
                <w:szCs w:val="24"/>
                <w:lang w:val="en-US" w:eastAsia="zh-CN"/>
              </w:rPr>
              <w:t>所约定的费用。</w:t>
            </w:r>
          </w:p>
        </w:tc>
      </w:tr>
    </w:tbl>
    <w:p>
      <w:pPr>
        <w:keepNext w:val="0"/>
        <w:keepLines w:val="0"/>
        <w:pageBreakBefore w:val="0"/>
        <w:kinsoku/>
        <w:overflowPunct/>
        <w:topLinePunct w:val="0"/>
        <w:autoSpaceDE/>
        <w:autoSpaceDN/>
        <w:bidi w:val="0"/>
        <w:spacing w:line="288" w:lineRule="auto"/>
        <w:rPr>
          <w:rFonts w:hint="eastAsia" w:ascii="宋体" w:hAnsi="宋体"/>
          <w:color w:val="000000" w:themeColor="text1"/>
          <w:sz w:val="24"/>
          <w:u w:val="none"/>
          <w:lang w:val="en-US" w:eastAsia="zh-CN"/>
        </w:rPr>
      </w:pPr>
      <w:r>
        <w:rPr>
          <w:rFonts w:hint="eastAsia" w:ascii="宋体" w:hAnsi="宋体"/>
          <w:color w:val="000000" w:themeColor="text1"/>
          <w:sz w:val="24"/>
          <w:lang w:val="en-US" w:eastAsia="zh-CN"/>
        </w:rPr>
        <w:t>1.2</w:t>
      </w:r>
      <w:r>
        <w:rPr>
          <w:rFonts w:hint="eastAsia" w:ascii="宋体" w:hAnsi="宋体"/>
          <w:color w:val="000000" w:themeColor="text1"/>
          <w:sz w:val="24"/>
        </w:rPr>
        <w:t>一次清洗预膜的价格</w:t>
      </w:r>
      <w:r>
        <w:rPr>
          <w:rFonts w:hint="eastAsia" w:ascii="宋体" w:hAnsi="宋体"/>
          <w:color w:val="000000" w:themeColor="text1"/>
          <w:sz w:val="24"/>
          <w:u w:val="single"/>
          <w:lang w:val="en-US" w:eastAsia="zh-CN"/>
        </w:rPr>
        <w:t xml:space="preserve">          </w:t>
      </w:r>
      <w:r>
        <w:rPr>
          <w:rFonts w:hint="eastAsia" w:ascii="宋体" w:hAnsi="宋体"/>
          <w:color w:val="000000" w:themeColor="text1"/>
          <w:sz w:val="24"/>
          <w:u w:val="none"/>
          <w:lang w:val="en-US" w:eastAsia="zh-CN"/>
        </w:rPr>
        <w:t>元。</w:t>
      </w:r>
    </w:p>
    <w:p>
      <w:pPr>
        <w:keepNext w:val="0"/>
        <w:keepLines w:val="0"/>
        <w:pageBreakBefore w:val="0"/>
        <w:kinsoku/>
        <w:overflowPunct/>
        <w:topLinePunct w:val="0"/>
        <w:autoSpaceDE/>
        <w:autoSpaceDN/>
        <w:bidi w:val="0"/>
        <w:spacing w:line="288" w:lineRule="auto"/>
        <w:rPr>
          <w:rFonts w:hint="eastAsia" w:ascii="宋体" w:hAnsi="宋体" w:eastAsia="宋体" w:cs="Times New Roman"/>
          <w:b w:val="0"/>
          <w:bCs w:val="0"/>
          <w:color w:val="000000" w:themeColor="text1"/>
          <w:sz w:val="24"/>
          <w:szCs w:val="24"/>
        </w:rPr>
      </w:pPr>
      <w:r>
        <w:rPr>
          <w:rFonts w:hint="eastAsia" w:ascii="宋体" w:hAnsi="宋体"/>
          <w:color w:val="000000" w:themeColor="text1"/>
          <w:sz w:val="28"/>
          <w:szCs w:val="28"/>
        </w:rPr>
        <w:t>含税一票送到</w:t>
      </w:r>
      <w:r>
        <w:rPr>
          <w:rFonts w:hint="eastAsia" w:ascii="宋体" w:hAnsi="宋体"/>
          <w:color w:val="000000" w:themeColor="text1"/>
          <w:sz w:val="28"/>
          <w:szCs w:val="28"/>
          <w:lang w:val="en-US" w:eastAsia="zh-CN"/>
        </w:rPr>
        <w:t>总金额</w:t>
      </w:r>
      <w:r>
        <w:rPr>
          <w:rFonts w:hint="eastAsia" w:ascii="宋体" w:hAnsi="宋体"/>
          <w:color w:val="000000" w:themeColor="text1"/>
          <w:sz w:val="28"/>
          <w:szCs w:val="28"/>
          <w:lang w:eastAsia="zh-CN"/>
        </w:rPr>
        <w:t>（</w:t>
      </w:r>
      <w:r>
        <w:rPr>
          <w:rFonts w:hint="eastAsia" w:ascii="宋体" w:hAnsi="宋体"/>
          <w:color w:val="000000" w:themeColor="text1"/>
          <w:sz w:val="28"/>
          <w:szCs w:val="28"/>
          <w:lang w:val="en-US" w:eastAsia="zh-CN"/>
        </w:rPr>
        <w:t>含技术要求中约定的项目</w:t>
      </w:r>
      <w:r>
        <w:rPr>
          <w:rFonts w:hint="eastAsia" w:ascii="宋体" w:hAnsi="宋体"/>
          <w:color w:val="000000" w:themeColor="text1"/>
          <w:sz w:val="28"/>
          <w:szCs w:val="28"/>
          <w:lang w:eastAsia="zh-CN"/>
        </w:rPr>
        <w:t>）</w:t>
      </w:r>
      <w:r>
        <w:rPr>
          <w:rFonts w:hint="eastAsia" w:ascii="宋体" w:hAnsi="宋体"/>
          <w:color w:val="000000" w:themeColor="text1"/>
          <w:sz w:val="28"/>
          <w:szCs w:val="28"/>
        </w:rPr>
        <w:t>=</w:t>
      </w:r>
      <w:r>
        <w:rPr>
          <w:rFonts w:hint="eastAsia" w:ascii="宋体" w:hAnsi="宋体"/>
          <w:color w:val="000000" w:themeColor="text1"/>
          <w:sz w:val="28"/>
          <w:szCs w:val="28"/>
          <w:u w:val="single"/>
        </w:rPr>
        <w:t xml:space="preserve">             </w:t>
      </w:r>
      <w:r>
        <w:rPr>
          <w:rFonts w:hint="eastAsia" w:ascii="宋体" w:hAnsi="宋体"/>
          <w:color w:val="000000" w:themeColor="text1"/>
          <w:sz w:val="28"/>
          <w:szCs w:val="28"/>
        </w:rPr>
        <w:t>元</w:t>
      </w:r>
      <w:r>
        <w:rPr>
          <w:rFonts w:hint="eastAsia" w:ascii="宋体" w:hAnsi="宋体"/>
          <w:color w:val="000000" w:themeColor="text1"/>
          <w:sz w:val="24"/>
          <w:lang w:eastAsia="zh-CN"/>
        </w:rPr>
        <w:t>（</w:t>
      </w:r>
      <w:r>
        <w:rPr>
          <w:rFonts w:hint="eastAsia" w:ascii="宋体" w:hAnsi="宋体"/>
          <w:color w:val="000000" w:themeColor="text1"/>
          <w:sz w:val="24"/>
          <w:lang w:val="en-US" w:eastAsia="zh-CN"/>
        </w:rPr>
        <w:t>该值为1.1正常运行投加的药剂封顶总价+1.2</w:t>
      </w:r>
      <w:r>
        <w:rPr>
          <w:rFonts w:hint="eastAsia" w:ascii="宋体" w:hAnsi="宋体"/>
          <w:color w:val="000000" w:themeColor="text1"/>
          <w:sz w:val="24"/>
        </w:rPr>
        <w:t>一次清洗预膜价格</w:t>
      </w:r>
      <w:r>
        <w:rPr>
          <w:rFonts w:hint="eastAsia" w:ascii="宋体" w:hAnsi="宋体"/>
          <w:color w:val="000000" w:themeColor="text1"/>
          <w:sz w:val="24"/>
          <w:lang w:val="en-US" w:eastAsia="zh-CN"/>
        </w:rPr>
        <w:t>之和</w:t>
      </w:r>
      <w:r>
        <w:rPr>
          <w:rFonts w:hint="eastAsia" w:ascii="宋体" w:hAnsi="宋体"/>
          <w:color w:val="000000" w:themeColor="text1"/>
          <w:sz w:val="24"/>
          <w:lang w:eastAsia="zh-CN"/>
        </w:rPr>
        <w:t>）</w:t>
      </w:r>
      <w:r>
        <w:rPr>
          <w:rFonts w:hint="eastAsia" w:ascii="宋体" w:hAnsi="宋体"/>
          <w:color w:val="000000" w:themeColor="text1"/>
          <w:sz w:val="24"/>
        </w:rPr>
        <w:t>。</w:t>
      </w:r>
      <w:r>
        <w:rPr>
          <w:rFonts w:hint="eastAsia" w:ascii="宋体" w:hAnsi="宋体" w:eastAsia="宋体" w:cs="Times New Roman"/>
          <w:b w:val="0"/>
          <w:bCs w:val="0"/>
          <w:color w:val="000000" w:themeColor="text1"/>
          <w:sz w:val="24"/>
          <w:szCs w:val="24"/>
        </w:rPr>
        <w:t>以公路运输方式送到</w:t>
      </w:r>
      <w:r>
        <w:rPr>
          <w:rFonts w:hint="eastAsia" w:ascii="宋体" w:hAnsi="宋体" w:eastAsia="宋体" w:cs="Times New Roman"/>
          <w:b w:val="0"/>
          <w:bCs w:val="0"/>
          <w:color w:val="000000" w:themeColor="text1"/>
          <w:sz w:val="24"/>
          <w:szCs w:val="24"/>
          <w:lang w:val="en-US" w:eastAsia="zh-CN"/>
        </w:rPr>
        <w:t>福海创石油化工有限公司</w:t>
      </w:r>
      <w:r>
        <w:rPr>
          <w:rFonts w:hint="eastAsia" w:ascii="宋体" w:hAnsi="宋体" w:eastAsia="宋体" w:cs="Times New Roman"/>
          <w:b w:val="0"/>
          <w:bCs w:val="0"/>
          <w:color w:val="000000" w:themeColor="text1"/>
          <w:sz w:val="24"/>
          <w:szCs w:val="24"/>
        </w:rPr>
        <w:t>，根据贵公司实际需求进度安排。</w:t>
      </w:r>
    </w:p>
    <w:p>
      <w:pPr>
        <w:keepNext w:val="0"/>
        <w:keepLines w:val="0"/>
        <w:pageBreakBefore w:val="0"/>
        <w:kinsoku/>
        <w:overflowPunct/>
        <w:topLinePunct w:val="0"/>
        <w:autoSpaceDE/>
        <w:autoSpaceDN/>
        <w:bidi w:val="0"/>
        <w:adjustRightInd/>
        <w:snapToGrid/>
        <w:spacing w:line="288" w:lineRule="auto"/>
        <w:textAlignment w:val="auto"/>
        <w:rPr>
          <w:rFonts w:ascii="宋体"/>
          <w:b w:val="0"/>
          <w:bCs w:val="0"/>
          <w:color w:val="000000" w:themeColor="text1"/>
          <w:sz w:val="24"/>
          <w:szCs w:val="24"/>
        </w:rPr>
      </w:pPr>
      <w:r>
        <w:rPr>
          <w:rFonts w:hint="eastAsia" w:ascii="宋体" w:hAnsi="宋体"/>
          <w:b w:val="0"/>
          <w:bCs w:val="0"/>
          <w:color w:val="000000" w:themeColor="text1"/>
          <w:sz w:val="24"/>
          <w:szCs w:val="24"/>
        </w:rPr>
        <w:t>其他约定不变。</w:t>
      </w:r>
    </w:p>
    <w:p>
      <w:pPr>
        <w:keepNext w:val="0"/>
        <w:keepLines w:val="0"/>
        <w:pageBreakBefore w:val="0"/>
        <w:kinsoku/>
        <w:overflowPunct/>
        <w:topLinePunct w:val="0"/>
        <w:autoSpaceDE/>
        <w:autoSpaceDN/>
        <w:bidi w:val="0"/>
        <w:adjustRightInd/>
        <w:snapToGrid/>
        <w:spacing w:line="288" w:lineRule="auto"/>
        <w:ind w:firstLine="570"/>
        <w:textAlignment w:val="auto"/>
        <w:rPr>
          <w:rFonts w:ascii="宋体"/>
          <w:color w:val="000000" w:themeColor="text1"/>
          <w:sz w:val="24"/>
          <w:szCs w:val="24"/>
        </w:rPr>
      </w:pPr>
    </w:p>
    <w:p>
      <w:pPr>
        <w:keepNext w:val="0"/>
        <w:keepLines w:val="0"/>
        <w:pageBreakBefore w:val="0"/>
        <w:kinsoku/>
        <w:overflowPunct/>
        <w:topLinePunct w:val="0"/>
        <w:autoSpaceDE/>
        <w:autoSpaceDN/>
        <w:bidi w:val="0"/>
        <w:adjustRightInd/>
        <w:snapToGrid/>
        <w:spacing w:line="288" w:lineRule="auto"/>
        <w:ind w:firstLine="570"/>
        <w:textAlignment w:val="auto"/>
        <w:rPr>
          <w:rFonts w:ascii="宋体"/>
          <w:color w:val="000000" w:themeColor="text1"/>
          <w:sz w:val="24"/>
          <w:szCs w:val="24"/>
        </w:rPr>
      </w:pPr>
      <w:r>
        <w:rPr>
          <w:rFonts w:hint="eastAsia" w:ascii="宋体" w:hAnsi="宋体"/>
          <w:color w:val="000000" w:themeColor="text1"/>
          <w:sz w:val="24"/>
          <w:szCs w:val="24"/>
        </w:rPr>
        <w:t>顺祝</w:t>
      </w:r>
    </w:p>
    <w:p>
      <w:pPr>
        <w:keepNext w:val="0"/>
        <w:keepLines w:val="0"/>
        <w:pageBreakBefore w:val="0"/>
        <w:kinsoku/>
        <w:overflowPunct/>
        <w:topLinePunct w:val="0"/>
        <w:autoSpaceDE/>
        <w:autoSpaceDN/>
        <w:bidi w:val="0"/>
        <w:adjustRightInd/>
        <w:snapToGrid/>
        <w:spacing w:line="288" w:lineRule="auto"/>
        <w:textAlignment w:val="auto"/>
        <w:rPr>
          <w:rFonts w:ascii="宋体"/>
          <w:color w:val="000000" w:themeColor="text1"/>
          <w:sz w:val="24"/>
          <w:szCs w:val="24"/>
        </w:rPr>
      </w:pPr>
      <w:r>
        <w:rPr>
          <w:rFonts w:hint="eastAsia" w:ascii="宋体" w:hAnsi="宋体"/>
          <w:color w:val="000000" w:themeColor="text1"/>
          <w:sz w:val="24"/>
          <w:szCs w:val="24"/>
        </w:rPr>
        <w:t>商祺！</w:t>
      </w:r>
    </w:p>
    <w:p>
      <w:pPr>
        <w:keepNext w:val="0"/>
        <w:keepLines w:val="0"/>
        <w:pageBreakBefore w:val="0"/>
        <w:kinsoku/>
        <w:wordWrap w:val="0"/>
        <w:overflowPunct/>
        <w:topLinePunct w:val="0"/>
        <w:autoSpaceDE/>
        <w:autoSpaceDN/>
        <w:bidi w:val="0"/>
        <w:adjustRightInd/>
        <w:snapToGrid/>
        <w:spacing w:line="288" w:lineRule="auto"/>
        <w:jc w:val="center"/>
        <w:textAlignment w:val="auto"/>
        <w:rPr>
          <w:rFonts w:hint="eastAsia" w:ascii="宋体" w:hAnsi="宋体"/>
          <w:color w:val="000000" w:themeColor="text1"/>
          <w:sz w:val="24"/>
          <w:szCs w:val="24"/>
        </w:rPr>
      </w:pPr>
      <w:r>
        <w:rPr>
          <w:rFonts w:hint="eastAsia" w:ascii="宋体" w:hAnsi="宋体"/>
          <w:color w:val="000000" w:themeColor="text1"/>
          <w:sz w:val="24"/>
          <w:szCs w:val="24"/>
        </w:rPr>
        <w:t xml:space="preserve">        </w:t>
      </w:r>
    </w:p>
    <w:p>
      <w:pPr>
        <w:keepNext w:val="0"/>
        <w:keepLines w:val="0"/>
        <w:pageBreakBefore w:val="0"/>
        <w:kinsoku/>
        <w:wordWrap w:val="0"/>
        <w:overflowPunct/>
        <w:topLinePunct w:val="0"/>
        <w:autoSpaceDE/>
        <w:autoSpaceDN/>
        <w:bidi w:val="0"/>
        <w:adjustRightInd/>
        <w:snapToGrid/>
        <w:spacing w:line="288" w:lineRule="auto"/>
        <w:jc w:val="center"/>
        <w:textAlignment w:val="auto"/>
        <w:rPr>
          <w:rFonts w:hint="eastAsia" w:ascii="宋体" w:hAnsi="宋体"/>
          <w:color w:val="000000" w:themeColor="text1"/>
          <w:sz w:val="24"/>
          <w:szCs w:val="24"/>
        </w:rPr>
      </w:pPr>
    </w:p>
    <w:p>
      <w:pPr>
        <w:keepNext w:val="0"/>
        <w:keepLines w:val="0"/>
        <w:pageBreakBefore w:val="0"/>
        <w:kinsoku/>
        <w:wordWrap w:val="0"/>
        <w:overflowPunct/>
        <w:topLinePunct w:val="0"/>
        <w:autoSpaceDE/>
        <w:autoSpaceDN/>
        <w:bidi w:val="0"/>
        <w:adjustRightInd/>
        <w:snapToGrid/>
        <w:spacing w:line="288" w:lineRule="auto"/>
        <w:jc w:val="center"/>
        <w:textAlignment w:val="auto"/>
        <w:rPr>
          <w:rFonts w:ascii="宋体"/>
          <w:color w:val="000000" w:themeColor="text1"/>
          <w:sz w:val="24"/>
          <w:szCs w:val="24"/>
        </w:rPr>
      </w:pPr>
      <w:r>
        <w:rPr>
          <w:rFonts w:hint="eastAsia" w:ascii="宋体" w:hAnsi="宋体"/>
          <w:color w:val="000000" w:themeColor="text1"/>
          <w:sz w:val="24"/>
          <w:szCs w:val="24"/>
          <w:lang w:val="en-US" w:eastAsia="zh-CN"/>
        </w:rPr>
        <w:t xml:space="preserve">        </w:t>
      </w:r>
      <w:r>
        <w:rPr>
          <w:rFonts w:hint="eastAsia" w:ascii="宋体" w:hAnsi="宋体"/>
          <w:color w:val="000000" w:themeColor="text1"/>
          <w:sz w:val="24"/>
          <w:szCs w:val="24"/>
        </w:rPr>
        <w:t xml:space="preserve">公司名称（章）： </w:t>
      </w:r>
    </w:p>
    <w:p>
      <w:pPr>
        <w:keepNext w:val="0"/>
        <w:keepLines w:val="0"/>
        <w:pageBreakBefore w:val="0"/>
        <w:kinsoku/>
        <w:wordWrap w:val="0"/>
        <w:overflowPunct/>
        <w:topLinePunct w:val="0"/>
        <w:autoSpaceDE/>
        <w:autoSpaceDN/>
        <w:bidi w:val="0"/>
        <w:adjustRightInd/>
        <w:snapToGrid/>
        <w:spacing w:line="288" w:lineRule="auto"/>
        <w:jc w:val="center"/>
        <w:textAlignment w:val="auto"/>
        <w:rPr>
          <w:rFonts w:ascii="宋体"/>
          <w:color w:val="000000" w:themeColor="text1"/>
          <w:sz w:val="24"/>
          <w:szCs w:val="24"/>
        </w:rPr>
      </w:pPr>
      <w:r>
        <w:rPr>
          <w:rFonts w:hint="eastAsia" w:ascii="宋体" w:hAnsi="宋体"/>
          <w:color w:val="000000" w:themeColor="text1"/>
          <w:sz w:val="24"/>
          <w:szCs w:val="24"/>
        </w:rPr>
        <w:t xml:space="preserve">         被授权代表签字： </w:t>
      </w:r>
    </w:p>
    <w:p>
      <w:pPr>
        <w:keepNext w:val="0"/>
        <w:keepLines w:val="0"/>
        <w:pageBreakBefore w:val="0"/>
        <w:kinsoku/>
        <w:wordWrap w:val="0"/>
        <w:overflowPunct/>
        <w:topLinePunct w:val="0"/>
        <w:autoSpaceDE/>
        <w:autoSpaceDN/>
        <w:bidi w:val="0"/>
        <w:adjustRightInd/>
        <w:snapToGrid/>
        <w:spacing w:line="288" w:lineRule="auto"/>
        <w:jc w:val="center"/>
        <w:textAlignment w:val="auto"/>
        <w:rPr>
          <w:rFonts w:hint="eastAsia" w:ascii="宋体" w:hAnsi="宋体" w:eastAsia="宋体" w:cs="宋体"/>
          <w:b/>
          <w:bCs/>
          <w:color w:val="000000" w:themeColor="text1"/>
          <w:sz w:val="24"/>
          <w:szCs w:val="24"/>
        </w:rPr>
      </w:pPr>
      <w:r>
        <w:rPr>
          <w:rFonts w:hint="eastAsia" w:ascii="宋体" w:hAnsi="宋体"/>
          <w:color w:val="000000" w:themeColor="text1"/>
          <w:sz w:val="24"/>
          <w:szCs w:val="24"/>
        </w:rPr>
        <w:t xml:space="preserve">        日期： </w:t>
      </w:r>
    </w:p>
    <w:p>
      <w:pPr>
        <w:spacing w:line="280" w:lineRule="exact"/>
        <w:jc w:val="center"/>
        <w:rPr>
          <w:rFonts w:hint="eastAsia" w:ascii="宋体" w:hAnsi="宋体"/>
          <w:b/>
          <w:sz w:val="24"/>
        </w:rPr>
      </w:pPr>
      <w:r>
        <w:rPr>
          <w:rFonts w:hint="eastAsia" w:ascii="宋体" w:hAnsi="宋体"/>
          <w:b/>
          <w:sz w:val="24"/>
        </w:rPr>
        <w:t>一般货物（产品）采购合同</w:t>
      </w:r>
    </w:p>
    <w:p>
      <w:pPr>
        <w:spacing w:line="280" w:lineRule="exact"/>
        <w:rPr>
          <w:rFonts w:hint="eastAsia" w:ascii="宋体" w:hAnsi="宋体"/>
          <w:sz w:val="18"/>
          <w:szCs w:val="18"/>
        </w:rPr>
      </w:pP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需方：翔鹭石化（漳州）有限公司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9"/>
        <w:tblW w:w="9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981"/>
        <w:gridCol w:w="616"/>
        <w:gridCol w:w="1374"/>
        <w:gridCol w:w="656"/>
        <w:gridCol w:w="777"/>
        <w:gridCol w:w="1244"/>
        <w:gridCol w:w="1356"/>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0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981"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990"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65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77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24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35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113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504" w:type="dxa"/>
            <w:vAlign w:val="center"/>
          </w:tcPr>
          <w:p>
            <w:pPr>
              <w:spacing w:line="280" w:lineRule="exact"/>
              <w:jc w:val="both"/>
              <w:rPr>
                <w:rFonts w:hint="default" w:ascii="宋体" w:hAnsi="宋体" w:eastAsia="宋体"/>
                <w:color w:val="000000"/>
                <w:sz w:val="21"/>
                <w:szCs w:val="21"/>
                <w:lang w:val="en-US" w:eastAsia="zh-CN"/>
              </w:rPr>
            </w:pPr>
          </w:p>
        </w:tc>
        <w:tc>
          <w:tcPr>
            <w:tcW w:w="981"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990" w:type="dxa"/>
            <w:gridSpan w:val="2"/>
            <w:vAlign w:val="center"/>
          </w:tcPr>
          <w:p>
            <w:pPr>
              <w:spacing w:line="280" w:lineRule="exact"/>
              <w:jc w:val="center"/>
              <w:rPr>
                <w:rFonts w:hint="default" w:ascii="宋体" w:hAnsi="宋体" w:cs="Times New Roman"/>
                <w:color w:val="000000"/>
                <w:sz w:val="21"/>
                <w:szCs w:val="21"/>
                <w:lang w:val="en-US" w:eastAsia="zh-CN"/>
              </w:rPr>
            </w:pPr>
          </w:p>
        </w:tc>
        <w:tc>
          <w:tcPr>
            <w:tcW w:w="656" w:type="dxa"/>
            <w:vAlign w:val="center"/>
          </w:tcPr>
          <w:p>
            <w:pPr>
              <w:spacing w:line="280" w:lineRule="exact"/>
              <w:jc w:val="center"/>
              <w:rPr>
                <w:rFonts w:hint="default" w:ascii="宋体" w:hAnsi="宋体" w:cs="Times New Roman"/>
                <w:color w:val="000000"/>
                <w:sz w:val="21"/>
                <w:szCs w:val="21"/>
                <w:lang w:val="en-US" w:eastAsia="zh-CN"/>
              </w:rPr>
            </w:pPr>
          </w:p>
        </w:tc>
        <w:tc>
          <w:tcPr>
            <w:tcW w:w="777" w:type="dxa"/>
            <w:vAlign w:val="center"/>
          </w:tcPr>
          <w:p>
            <w:pPr>
              <w:spacing w:line="280" w:lineRule="exact"/>
              <w:jc w:val="center"/>
              <w:rPr>
                <w:rFonts w:hint="default" w:ascii="宋体" w:hAnsi="宋体" w:cs="Times New Roman"/>
                <w:color w:val="000000"/>
                <w:sz w:val="21"/>
                <w:szCs w:val="21"/>
                <w:lang w:val="en-US" w:eastAsia="zh-CN"/>
              </w:rPr>
            </w:pPr>
          </w:p>
        </w:tc>
        <w:tc>
          <w:tcPr>
            <w:tcW w:w="1244" w:type="dxa"/>
            <w:vAlign w:val="center"/>
          </w:tcPr>
          <w:p>
            <w:pPr>
              <w:spacing w:line="280" w:lineRule="exact"/>
              <w:jc w:val="center"/>
              <w:rPr>
                <w:rFonts w:hint="default" w:ascii="宋体" w:hAnsi="宋体" w:cs="Times New Roman"/>
                <w:color w:val="000000"/>
                <w:sz w:val="21"/>
                <w:szCs w:val="21"/>
                <w:lang w:val="en-US" w:eastAsia="zh-CN"/>
              </w:rPr>
            </w:pPr>
          </w:p>
        </w:tc>
        <w:tc>
          <w:tcPr>
            <w:tcW w:w="1356" w:type="dxa"/>
            <w:vAlign w:val="center"/>
          </w:tcPr>
          <w:p>
            <w:pPr>
              <w:spacing w:line="280" w:lineRule="exact"/>
              <w:jc w:val="center"/>
              <w:rPr>
                <w:rFonts w:hint="default" w:ascii="宋体" w:hAnsi="宋体" w:cs="Times New Roman"/>
                <w:color w:val="000000"/>
                <w:sz w:val="21"/>
                <w:szCs w:val="21"/>
                <w:lang w:val="en-US" w:eastAsia="zh-CN"/>
              </w:rPr>
            </w:pPr>
          </w:p>
        </w:tc>
        <w:tc>
          <w:tcPr>
            <w:tcW w:w="1132" w:type="dxa"/>
            <w:vAlign w:val="center"/>
          </w:tcPr>
          <w:p>
            <w:pPr>
              <w:spacing w:line="280" w:lineRule="exact"/>
              <w:jc w:val="center"/>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3101"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539" w:type="dxa"/>
            <w:gridSpan w:val="6"/>
            <w:vAlign w:val="center"/>
          </w:tcPr>
          <w:p>
            <w:pPr>
              <w:spacing w:line="280" w:lineRule="exact"/>
              <w:rPr>
                <w:rFonts w:hint="eastAsia" w:ascii="宋体" w:hAnsi="宋体"/>
                <w:color w:val="000000"/>
                <w:szCs w:val="21"/>
              </w:rPr>
            </w:pPr>
          </w:p>
        </w:tc>
      </w:tr>
    </w:tbl>
    <w:p>
      <w:pPr>
        <w:spacing w:line="280" w:lineRule="exact"/>
        <w:ind w:firstLine="420" w:firstLineChars="200"/>
        <w:rPr>
          <w:rFonts w:hint="eastAsia" w:ascii="宋体" w:hAnsi="宋体"/>
          <w:b w:val="0"/>
          <w:bCs/>
          <w:szCs w:val="21"/>
          <w:lang w:val="en-US" w:eastAsia="zh-CN"/>
        </w:rPr>
      </w:pPr>
      <w:r>
        <w:rPr>
          <w:rFonts w:hint="eastAsia" w:ascii="宋体" w:hAnsi="宋体"/>
          <w:b w:val="0"/>
          <w:bCs/>
          <w:szCs w:val="21"/>
        </w:rPr>
        <w:t>上述数量及总金额均为暂定，</w:t>
      </w:r>
      <w:r>
        <w:rPr>
          <w:rFonts w:hint="eastAsia" w:ascii="宋体" w:hAnsi="宋体"/>
          <w:b w:val="0"/>
          <w:bCs/>
          <w:szCs w:val="21"/>
          <w:lang w:val="en-US" w:eastAsia="zh-CN"/>
        </w:rPr>
        <w:t>根据附件技术要求上述数量</w:t>
      </w:r>
      <w:r>
        <w:rPr>
          <w:rFonts w:hint="eastAsia" w:ascii="宋体" w:hAnsi="宋体"/>
          <w:b w:val="0"/>
          <w:bCs/>
          <w:szCs w:val="21"/>
        </w:rPr>
        <w:t>为</w:t>
      </w:r>
      <w:r>
        <w:rPr>
          <w:rFonts w:hint="eastAsia" w:ascii="宋体" w:hAnsi="宋体"/>
          <w:b w:val="0"/>
          <w:bCs/>
          <w:szCs w:val="21"/>
          <w:lang w:val="en-US" w:eastAsia="zh-CN"/>
        </w:rPr>
        <w:t>2022年10月1日</w:t>
      </w:r>
      <w:r>
        <w:rPr>
          <w:rFonts w:hint="eastAsia" w:ascii="宋体" w:hAnsi="宋体"/>
          <w:b w:val="0"/>
          <w:bCs/>
          <w:szCs w:val="21"/>
        </w:rPr>
        <w:t>至20</w:t>
      </w:r>
      <w:r>
        <w:rPr>
          <w:rFonts w:hint="eastAsia" w:ascii="宋体" w:hAnsi="宋体"/>
          <w:b w:val="0"/>
          <w:bCs/>
          <w:szCs w:val="21"/>
          <w:lang w:val="en-US" w:eastAsia="zh-CN"/>
        </w:rPr>
        <w:t>23</w:t>
      </w:r>
      <w:r>
        <w:rPr>
          <w:rFonts w:hint="eastAsia" w:ascii="宋体" w:hAnsi="宋体"/>
          <w:b w:val="0"/>
          <w:bCs/>
          <w:szCs w:val="21"/>
        </w:rPr>
        <w:t>年</w:t>
      </w:r>
      <w:r>
        <w:rPr>
          <w:rFonts w:hint="eastAsia" w:ascii="宋体" w:hAnsi="宋体"/>
          <w:b w:val="0"/>
          <w:bCs/>
          <w:szCs w:val="21"/>
          <w:lang w:val="en-US" w:eastAsia="zh-CN"/>
        </w:rPr>
        <w:t>12</w:t>
      </w:r>
      <w:r>
        <w:rPr>
          <w:rFonts w:hint="eastAsia" w:ascii="宋体" w:hAnsi="宋体"/>
          <w:b w:val="0"/>
          <w:bCs/>
          <w:szCs w:val="21"/>
        </w:rPr>
        <w:t>月</w:t>
      </w:r>
      <w:r>
        <w:rPr>
          <w:rFonts w:hint="eastAsia" w:ascii="宋体" w:hAnsi="宋体"/>
          <w:b w:val="0"/>
          <w:bCs/>
          <w:szCs w:val="21"/>
          <w:lang w:val="en-US" w:eastAsia="zh-CN"/>
        </w:rPr>
        <w:t>31日</w:t>
      </w:r>
      <w:r>
        <w:rPr>
          <w:rFonts w:hint="eastAsia" w:ascii="宋体" w:hAnsi="宋体"/>
          <w:b w:val="0"/>
          <w:bCs/>
          <w:szCs w:val="21"/>
        </w:rPr>
        <w:t>封顶数量：如果合约期内实际用药数量超过</w:t>
      </w:r>
      <w:r>
        <w:rPr>
          <w:rFonts w:hint="eastAsia" w:ascii="宋体" w:hAnsi="宋体"/>
          <w:b w:val="0"/>
          <w:bCs/>
          <w:szCs w:val="21"/>
          <w:lang w:val="en-US" w:eastAsia="zh-CN"/>
        </w:rPr>
        <w:t>上述数量</w:t>
      </w:r>
      <w:r>
        <w:rPr>
          <w:rFonts w:hint="eastAsia" w:ascii="宋体" w:hAnsi="宋体"/>
          <w:b w:val="0"/>
          <w:bCs/>
          <w:szCs w:val="21"/>
        </w:rPr>
        <w:t>，供方无条件补足；如果合约期内实际用药数量少于</w:t>
      </w:r>
      <w:r>
        <w:rPr>
          <w:rFonts w:hint="eastAsia" w:ascii="宋体" w:hAnsi="宋体"/>
          <w:b w:val="0"/>
          <w:bCs/>
          <w:szCs w:val="21"/>
          <w:lang w:val="en-US" w:eastAsia="zh-CN"/>
        </w:rPr>
        <w:t>上述数量</w:t>
      </w:r>
      <w:r>
        <w:rPr>
          <w:rFonts w:hint="eastAsia" w:ascii="宋体" w:hAnsi="宋体"/>
          <w:b w:val="0"/>
          <w:bCs/>
          <w:szCs w:val="21"/>
        </w:rPr>
        <w:t>，则按照实际用药数量进行结算。</w:t>
      </w:r>
    </w:p>
    <w:p>
      <w:pPr>
        <w:spacing w:line="280" w:lineRule="exact"/>
        <w:rPr>
          <w:rFonts w:hint="eastAsia" w:ascii="宋体" w:hAnsi="宋体"/>
          <w:b/>
          <w:szCs w:val="21"/>
          <w:lang w:val="en-US" w:eastAsia="zh-CN"/>
        </w:rPr>
      </w:pPr>
      <w:r>
        <w:rPr>
          <w:rFonts w:hint="eastAsia" w:ascii="宋体" w:hAnsi="宋体"/>
          <w:b/>
          <w:szCs w:val="21"/>
          <w:lang w:val="en-US" w:eastAsia="zh-CN"/>
        </w:rPr>
        <w:t>二、供货有效期：</w:t>
      </w:r>
    </w:p>
    <w:p>
      <w:pPr>
        <w:spacing w:line="280" w:lineRule="exact"/>
        <w:rPr>
          <w:rFonts w:hint="eastAsia" w:ascii="宋体" w:hAnsi="宋体"/>
          <w:b w:val="0"/>
          <w:bCs/>
          <w:szCs w:val="21"/>
        </w:rPr>
      </w:pPr>
      <w:r>
        <w:rPr>
          <w:rFonts w:hint="eastAsia" w:ascii="宋体" w:hAnsi="宋体"/>
          <w:b/>
          <w:szCs w:val="21"/>
          <w:lang w:val="en-US" w:eastAsia="zh-CN"/>
        </w:rPr>
        <w:t xml:space="preserve">    </w:t>
      </w:r>
      <w:r>
        <w:rPr>
          <w:rFonts w:hint="eastAsia" w:ascii="宋体" w:hAnsi="宋体"/>
          <w:b w:val="0"/>
          <w:bCs/>
          <w:szCs w:val="21"/>
          <w:lang w:val="en-US" w:eastAsia="zh-CN"/>
        </w:rPr>
        <w:t>本合同供货有效期：</w:t>
      </w:r>
      <w:r>
        <w:rPr>
          <w:rFonts w:hint="eastAsia" w:ascii="宋体" w:hAnsi="宋体"/>
          <w:b w:val="0"/>
          <w:bCs/>
          <w:szCs w:val="21"/>
          <w:u w:val="single"/>
          <w:lang w:val="en-US" w:eastAsia="zh-CN"/>
        </w:rPr>
        <w:t>从 2022 年 9月15日至 2023 年 12 月 31 日</w:t>
      </w:r>
      <w:r>
        <w:rPr>
          <w:rFonts w:hint="eastAsia" w:ascii="宋体" w:hAnsi="宋体"/>
          <w:b w:val="0"/>
          <w:bCs/>
          <w:szCs w:val="21"/>
          <w:lang w:val="en-US" w:eastAsia="zh-CN"/>
        </w:rPr>
        <w:t>。本合同供货有效期届满与否，不影响本合同其他条款和组成部分的效力。</w:t>
      </w:r>
    </w:p>
    <w:p>
      <w:pPr>
        <w:spacing w:line="280" w:lineRule="exact"/>
        <w:rPr>
          <w:rFonts w:hint="eastAsia" w:ascii="宋体" w:hAnsi="宋体" w:eastAsia="宋体"/>
          <w:color w:val="000000"/>
          <w:szCs w:val="21"/>
          <w:u w:val="single"/>
          <w:lang w:eastAsia="zh-CN"/>
        </w:rPr>
      </w:pPr>
      <w:r>
        <w:rPr>
          <w:rFonts w:hint="eastAsia" w:ascii="宋体" w:hAnsi="宋体"/>
          <w:b/>
          <w:szCs w:val="21"/>
          <w:lang w:val="en-US" w:eastAsia="zh-CN"/>
        </w:rPr>
        <w:t>三</w:t>
      </w:r>
      <w:r>
        <w:rPr>
          <w:rFonts w:hint="eastAsia" w:ascii="宋体" w:hAnsi="宋体"/>
          <w:b/>
          <w:szCs w:val="21"/>
        </w:rPr>
        <w:t>、产品质量要求及技术标准：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single"/>
          <w:lang w:val="en-US" w:eastAsia="zh-CN"/>
        </w:rPr>
        <w:t>见附件</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pPr>
        <w:spacing w:line="280" w:lineRule="exact"/>
        <w:ind w:firstLine="420" w:firstLineChars="200"/>
        <w:rPr>
          <w:rFonts w:hint="default" w:ascii="宋体" w:hAnsi="宋体" w:cs="Arial"/>
          <w:color w:val="000000"/>
          <w:sz w:val="21"/>
          <w:szCs w:val="21"/>
          <w:lang w:val="en-US"/>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u w:val="single"/>
          <w:lang w:val="en-US" w:eastAsia="zh-CN"/>
        </w:rPr>
        <w:t>见附件技术要求</w:t>
      </w:r>
    </w:p>
    <w:p>
      <w:pPr>
        <w:spacing w:line="280" w:lineRule="exact"/>
        <w:rPr>
          <w:rFonts w:hint="eastAsia" w:ascii="宋体" w:hAnsi="宋体"/>
          <w:szCs w:val="21"/>
        </w:rPr>
      </w:pPr>
      <w:r>
        <w:rPr>
          <w:rFonts w:hint="eastAsia" w:ascii="宋体" w:hAnsi="宋体"/>
          <w:b/>
          <w:szCs w:val="21"/>
          <w:lang w:val="en-US" w:eastAsia="zh-CN"/>
        </w:rPr>
        <w:t>四</w:t>
      </w:r>
      <w:r>
        <w:rPr>
          <w:rFonts w:hint="eastAsia" w:ascii="宋体" w:hAnsi="宋体"/>
          <w:b/>
          <w:szCs w:val="21"/>
        </w:rPr>
        <w:t>、包装方式：</w:t>
      </w:r>
    </w:p>
    <w:p>
      <w:pPr>
        <w:spacing w:line="280" w:lineRule="exact"/>
        <w:ind w:firstLine="420" w:firstLineChars="200"/>
        <w:rPr>
          <w:rFonts w:hint="default" w:ascii="宋体" w:hAnsi="宋体" w:eastAsia="宋体"/>
          <w:szCs w:val="21"/>
          <w:u w:val="none"/>
          <w:lang w:val="en-US" w:eastAsia="zh-CN"/>
        </w:rPr>
      </w:pPr>
      <w:r>
        <w:rPr>
          <w:rFonts w:hint="eastAsia" w:ascii="宋体" w:hAnsi="宋体"/>
          <w:szCs w:val="21"/>
          <w:u w:val="none"/>
          <w:lang w:val="en-US" w:eastAsia="zh-CN"/>
        </w:rPr>
        <w:t>供方应当采取便于货物存储、运输等足以保护货物完好的包装方式，包装应标有标志，标志应符合内装货物性质和对运输条件的要求。</w:t>
      </w:r>
    </w:p>
    <w:p>
      <w:pPr>
        <w:spacing w:line="280" w:lineRule="exact"/>
        <w:rPr>
          <w:rFonts w:hint="eastAsia" w:ascii="宋体" w:hAnsi="宋体"/>
          <w:szCs w:val="21"/>
        </w:rPr>
      </w:pPr>
      <w:r>
        <w:rPr>
          <w:rFonts w:hint="eastAsia" w:ascii="宋体" w:hAnsi="宋体"/>
          <w:b/>
          <w:szCs w:val="21"/>
          <w:lang w:val="en-US" w:eastAsia="zh-CN"/>
        </w:rPr>
        <w:t>五</w:t>
      </w:r>
      <w:r>
        <w:rPr>
          <w:rFonts w:hint="eastAsia" w:ascii="宋体" w:hAnsi="宋体"/>
          <w:b/>
          <w:szCs w:val="21"/>
        </w:rPr>
        <w:t>、货款结算与支付方式：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现汇支付，分批到货分批付款。正常运行投加的药剂按月度考核付款，清洗预膜按实际发生付款。货到验收合格后，经需方或需方指定单位根据双方签订的合同及技术要求约定的月度考核周期、质量、数量及考核结果，供方提供相应金额的13%增值税专用发票以及结算所需的各种清单，需方收到并确认无误后向供方支付货款。</w:t>
      </w:r>
    </w:p>
    <w:p>
      <w:pPr>
        <w:spacing w:line="280" w:lineRule="exact"/>
        <w:rPr>
          <w:rFonts w:ascii="宋体" w:hAnsi="宋体"/>
          <w:szCs w:val="21"/>
        </w:rPr>
      </w:pPr>
      <w:r>
        <w:rPr>
          <w:rFonts w:hint="eastAsia" w:ascii="宋体" w:hAnsi="宋体"/>
          <w:b/>
          <w:szCs w:val="21"/>
          <w:lang w:val="en-US" w:eastAsia="zh-CN"/>
        </w:rPr>
        <w:t>六</w:t>
      </w:r>
      <w:r>
        <w:rPr>
          <w:rFonts w:hint="eastAsia" w:ascii="宋体" w:hAnsi="宋体"/>
          <w:b/>
          <w:szCs w:val="21"/>
        </w:rPr>
        <w:t>、交付期限：</w:t>
      </w:r>
    </w:p>
    <w:p>
      <w:pPr>
        <w:spacing w:line="280" w:lineRule="exact"/>
        <w:ind w:firstLine="420" w:firstLineChars="200"/>
        <w:rPr>
          <w:rFonts w:hint="eastAsia" w:ascii="宋体" w:hAnsi="宋体" w:eastAsia="宋体"/>
          <w:b w:val="0"/>
          <w:bCs/>
          <w:szCs w:val="21"/>
          <w:lang w:val="en-US" w:eastAsia="zh-CN"/>
        </w:rPr>
      </w:pPr>
      <w:r>
        <w:rPr>
          <w:rFonts w:hint="eastAsia" w:ascii="宋体" w:hAnsi="宋体"/>
          <w:b w:val="0"/>
          <w:bCs/>
          <w:szCs w:val="21"/>
          <w:lang w:val="en-US" w:eastAsia="zh-CN"/>
        </w:rPr>
        <w:t>分批到货，具体到货时间以需方通知为准。</w:t>
      </w:r>
    </w:p>
    <w:p>
      <w:pPr>
        <w:spacing w:line="280" w:lineRule="exact"/>
        <w:rPr>
          <w:rFonts w:ascii="宋体" w:hAnsi="宋体"/>
          <w:sz w:val="24"/>
        </w:rPr>
      </w:pPr>
      <w:r>
        <w:rPr>
          <w:rFonts w:hint="eastAsia" w:ascii="宋体" w:hAnsi="宋体"/>
          <w:b/>
          <w:szCs w:val="21"/>
          <w:lang w:val="en-US" w:eastAsia="zh-CN"/>
        </w:rPr>
        <w:t>七</w:t>
      </w:r>
      <w:r>
        <w:rPr>
          <w:rFonts w:hint="eastAsia" w:ascii="宋体" w:hAnsi="宋体"/>
          <w:b/>
          <w:szCs w:val="21"/>
        </w:rPr>
        <w:t>、交付方式：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福建省漳州市古雷经济开发区腾龙路福建福海创石油化工有限公司指定仓库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lang w:val="en-US" w:eastAsia="zh-CN"/>
        </w:rPr>
        <w:t>八</w:t>
      </w:r>
      <w:r>
        <w:rPr>
          <w:rFonts w:hint="eastAsia" w:ascii="宋体" w:hAnsi="宋体"/>
          <w:b/>
          <w:szCs w:val="21"/>
        </w:rPr>
        <w:t>、</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9"/>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eastAsia" w:ascii="宋体" w:hAnsi="宋体"/>
                <w:b/>
                <w:szCs w:val="21"/>
              </w:rPr>
              <w:t>翔鹭石化（漳州）有限公司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913506006765392255</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 w:val="21"/>
                <w:szCs w:val="21"/>
              </w:rPr>
              <w:t>福建省漳州市漳州古雷经济开发区腾龙路86号</w:t>
            </w:r>
            <w:r>
              <w:rPr>
                <w:rFonts w:hint="eastAsia"/>
                <w:color w:val="000000"/>
                <w:sz w:val="18"/>
                <w:szCs w:val="18"/>
              </w:rPr>
              <w:t xml:space="preserve">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卢翠云</w:t>
            </w: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13599526303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中国银行漳州分行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416958369985</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913506006765392255</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lang w:eastAsia="zh-CN"/>
        </w:rPr>
      </w:pPr>
      <w:r>
        <w:rPr>
          <w:rFonts w:hint="eastAsia" w:ascii="宋体" w:hAnsi="宋体"/>
          <w:color w:val="000000"/>
          <w:szCs w:val="21"/>
        </w:rPr>
        <w:t>5.其他</w:t>
      </w:r>
      <w:r>
        <w:rPr>
          <w:rFonts w:hint="eastAsia"/>
          <w:szCs w:val="21"/>
        </w:rPr>
        <w:t>约定事项</w:t>
      </w:r>
      <w:r>
        <w:rPr>
          <w:rFonts w:hint="eastAsia"/>
          <w:szCs w:val="21"/>
          <w:lang w:eastAsia="zh-CN"/>
        </w:rPr>
        <w:t>：</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5.1供方根据需方要求缴纳履约保证金，金额为人民币壹拾陆万元整。合同履约期届满，供方按合同约定全面履约的情况下，需方于供方提交返还履约保证金申请后30天内无息返还。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5.2具体验收、技术服务范围及其他约定事项详见附件技术要求。</w:t>
      </w:r>
    </w:p>
    <w:p>
      <w:pPr>
        <w:spacing w:line="300" w:lineRule="exact"/>
        <w:ind w:firstLine="420" w:firstLineChars="200"/>
        <w:rPr>
          <w:rFonts w:hint="eastAsia"/>
          <w:szCs w:val="21"/>
          <w:lang w:eastAsia="zh-CN"/>
        </w:rPr>
      </w:pPr>
    </w:p>
    <w:p>
      <w:pPr>
        <w:spacing w:line="300" w:lineRule="exact"/>
        <w:ind w:firstLine="420" w:firstLineChars="200"/>
        <w:rPr>
          <w:rFonts w:hint="eastAsia"/>
          <w:szCs w:val="21"/>
          <w:lang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default"/>
          <w:szCs w:val="21"/>
          <w:lang w:val="en-US" w:eastAsia="zh-CN"/>
        </w:rPr>
      </w:pPr>
    </w:p>
    <w:p>
      <w:pPr>
        <w:spacing w:line="300" w:lineRule="exact"/>
        <w:ind w:firstLine="420" w:firstLineChars="200"/>
        <w:rPr>
          <w:rFonts w:hint="eastAsia"/>
          <w:lang w:val="en-US" w:eastAsia="zh-CN"/>
        </w:rPr>
      </w:pPr>
    </w:p>
    <w:p>
      <w:pPr>
        <w:keepNext w:val="0"/>
        <w:keepLines w:val="0"/>
        <w:pageBreakBefore w:val="0"/>
        <w:kinsoku/>
        <w:wordWrap w:val="0"/>
        <w:overflowPunct/>
        <w:topLinePunct w:val="0"/>
        <w:autoSpaceDE/>
        <w:autoSpaceDN/>
        <w:bidi w:val="0"/>
        <w:spacing w:line="288" w:lineRule="auto"/>
        <w:jc w:val="both"/>
        <w:rPr>
          <w:rFonts w:hint="eastAsia" w:ascii="宋体" w:hAnsi="宋体"/>
          <w:color w:val="000000" w:themeColor="text1"/>
          <w:sz w:val="28"/>
          <w:szCs w:val="28"/>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宋体">
    <w:panose1 w:val="02010600030101010101"/>
    <w:charset w:val="86"/>
    <w:family w:val="auto"/>
    <w:pitch w:val="default"/>
    <w:sig w:usb0="0000020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954BE07"/>
    <w:multiLevelType w:val="singleLevel"/>
    <w:tmpl w:val="5954BE07"/>
    <w:lvl w:ilvl="0" w:tentative="0">
      <w:start w:val="5"/>
      <w:numFmt w:val="chineseCounting"/>
      <w:suff w:val="nothing"/>
      <w:lvlText w:val="%1、"/>
      <w:lvlJc w:val="left"/>
    </w:lvl>
  </w:abstractNum>
  <w:abstractNum w:abstractNumId="5">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6">
    <w:nsid w:val="62D8B3A4"/>
    <w:multiLevelType w:val="singleLevel"/>
    <w:tmpl w:val="62D8B3A4"/>
    <w:lvl w:ilvl="0" w:tentative="0">
      <w:start w:val="1"/>
      <w:numFmt w:val="decimal"/>
      <w:suff w:val="nothing"/>
      <w:lvlText w:val="%1）"/>
      <w:lvlJc w:val="left"/>
    </w:lvl>
  </w:abstractNum>
  <w:abstractNum w:abstractNumId="7">
    <w:nsid w:val="62E0A5F7"/>
    <w:multiLevelType w:val="singleLevel"/>
    <w:tmpl w:val="62E0A5F7"/>
    <w:lvl w:ilvl="0" w:tentative="0">
      <w:start w:val="1"/>
      <w:numFmt w:val="decimal"/>
      <w:suff w:val="nothing"/>
      <w:lvlText w:val="%1."/>
      <w:lvlJc w:val="left"/>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5"/>
  </w:num>
  <w:num w:numId="2">
    <w:abstractNumId w:val="1"/>
  </w:num>
  <w:num w:numId="3">
    <w:abstractNumId w:val="8"/>
  </w:num>
  <w:num w:numId="4">
    <w:abstractNumId w:val="3"/>
  </w:num>
  <w:num w:numId="5">
    <w:abstractNumId w:val="2"/>
  </w:num>
  <w:num w:numId="6">
    <w:abstractNumId w:val="7"/>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UzNzJjMmVhZGZkNWMwMjZlNWQ5MGIxMWNhYjlhNTcifQ=="/>
  </w:docVars>
  <w:rsids>
    <w:rsidRoot w:val="00A52ED3"/>
    <w:rsid w:val="000005D0"/>
    <w:rsid w:val="00036AD9"/>
    <w:rsid w:val="000656EF"/>
    <w:rsid w:val="000754C9"/>
    <w:rsid w:val="000F736E"/>
    <w:rsid w:val="00101CDF"/>
    <w:rsid w:val="00120905"/>
    <w:rsid w:val="00135D9F"/>
    <w:rsid w:val="00192C72"/>
    <w:rsid w:val="001C0D58"/>
    <w:rsid w:val="00211FD4"/>
    <w:rsid w:val="00222F26"/>
    <w:rsid w:val="002243D8"/>
    <w:rsid w:val="002509CE"/>
    <w:rsid w:val="00255FEE"/>
    <w:rsid w:val="00262C45"/>
    <w:rsid w:val="002D350C"/>
    <w:rsid w:val="002D4525"/>
    <w:rsid w:val="00305CE7"/>
    <w:rsid w:val="00313BE4"/>
    <w:rsid w:val="00346315"/>
    <w:rsid w:val="003F15BE"/>
    <w:rsid w:val="004354DD"/>
    <w:rsid w:val="00467E34"/>
    <w:rsid w:val="004D5876"/>
    <w:rsid w:val="004E674A"/>
    <w:rsid w:val="004F11C6"/>
    <w:rsid w:val="005F34E4"/>
    <w:rsid w:val="00631BC7"/>
    <w:rsid w:val="00696213"/>
    <w:rsid w:val="006B0586"/>
    <w:rsid w:val="00734235"/>
    <w:rsid w:val="007534C8"/>
    <w:rsid w:val="0075355B"/>
    <w:rsid w:val="007730F9"/>
    <w:rsid w:val="007765BF"/>
    <w:rsid w:val="007C2890"/>
    <w:rsid w:val="007C38E6"/>
    <w:rsid w:val="007D2656"/>
    <w:rsid w:val="0087235C"/>
    <w:rsid w:val="008A20B6"/>
    <w:rsid w:val="00976A7D"/>
    <w:rsid w:val="009A1584"/>
    <w:rsid w:val="009B1FFF"/>
    <w:rsid w:val="009D0428"/>
    <w:rsid w:val="00A13872"/>
    <w:rsid w:val="00A52ED3"/>
    <w:rsid w:val="00A7220C"/>
    <w:rsid w:val="00AD799E"/>
    <w:rsid w:val="00AF520D"/>
    <w:rsid w:val="00B46103"/>
    <w:rsid w:val="00B5040B"/>
    <w:rsid w:val="00B7777F"/>
    <w:rsid w:val="00C055C7"/>
    <w:rsid w:val="00C16757"/>
    <w:rsid w:val="00C62ADD"/>
    <w:rsid w:val="00C87717"/>
    <w:rsid w:val="00D679C0"/>
    <w:rsid w:val="00D7685B"/>
    <w:rsid w:val="00DC6865"/>
    <w:rsid w:val="00DD0E9C"/>
    <w:rsid w:val="00E25B0E"/>
    <w:rsid w:val="00EB32DE"/>
    <w:rsid w:val="00EC5BC5"/>
    <w:rsid w:val="00EF050E"/>
    <w:rsid w:val="00EF5988"/>
    <w:rsid w:val="00F564F6"/>
    <w:rsid w:val="00F7626A"/>
    <w:rsid w:val="01176788"/>
    <w:rsid w:val="019E4ED3"/>
    <w:rsid w:val="01FD01D6"/>
    <w:rsid w:val="022C497D"/>
    <w:rsid w:val="023A2E4D"/>
    <w:rsid w:val="024B2609"/>
    <w:rsid w:val="02801328"/>
    <w:rsid w:val="02892727"/>
    <w:rsid w:val="02B81FC4"/>
    <w:rsid w:val="02C260F7"/>
    <w:rsid w:val="02D1709B"/>
    <w:rsid w:val="03A33B5B"/>
    <w:rsid w:val="03F7264F"/>
    <w:rsid w:val="046D5BBF"/>
    <w:rsid w:val="046E24C0"/>
    <w:rsid w:val="04FC44A3"/>
    <w:rsid w:val="055F3224"/>
    <w:rsid w:val="0587780E"/>
    <w:rsid w:val="058F45E8"/>
    <w:rsid w:val="05EA07C5"/>
    <w:rsid w:val="061215D2"/>
    <w:rsid w:val="062C48EC"/>
    <w:rsid w:val="067E60B7"/>
    <w:rsid w:val="068C79F0"/>
    <w:rsid w:val="06BC3D08"/>
    <w:rsid w:val="07405B06"/>
    <w:rsid w:val="07500389"/>
    <w:rsid w:val="0784476D"/>
    <w:rsid w:val="07AE4E3F"/>
    <w:rsid w:val="083210FA"/>
    <w:rsid w:val="086C1BAB"/>
    <w:rsid w:val="088124AD"/>
    <w:rsid w:val="08E43B13"/>
    <w:rsid w:val="08EA4662"/>
    <w:rsid w:val="0923216F"/>
    <w:rsid w:val="0960679B"/>
    <w:rsid w:val="096D4DF1"/>
    <w:rsid w:val="09E3521B"/>
    <w:rsid w:val="0A4710C8"/>
    <w:rsid w:val="0AAB4A45"/>
    <w:rsid w:val="0BB25645"/>
    <w:rsid w:val="0BCC62FA"/>
    <w:rsid w:val="0C2B7DA7"/>
    <w:rsid w:val="0C424338"/>
    <w:rsid w:val="0C861BE9"/>
    <w:rsid w:val="0CCC1351"/>
    <w:rsid w:val="0D351048"/>
    <w:rsid w:val="0D612CD5"/>
    <w:rsid w:val="0DAC4BAD"/>
    <w:rsid w:val="0E0401FF"/>
    <w:rsid w:val="0E0B13A3"/>
    <w:rsid w:val="0E29205D"/>
    <w:rsid w:val="0E490262"/>
    <w:rsid w:val="0E4C6ADA"/>
    <w:rsid w:val="0EB30E74"/>
    <w:rsid w:val="0F6D1F9B"/>
    <w:rsid w:val="0FC569D1"/>
    <w:rsid w:val="10207675"/>
    <w:rsid w:val="109D40E1"/>
    <w:rsid w:val="10EC52CB"/>
    <w:rsid w:val="110F36F7"/>
    <w:rsid w:val="112D1D65"/>
    <w:rsid w:val="113E6C1A"/>
    <w:rsid w:val="11DB182B"/>
    <w:rsid w:val="11E46932"/>
    <w:rsid w:val="137E5D88"/>
    <w:rsid w:val="139327D8"/>
    <w:rsid w:val="14674322"/>
    <w:rsid w:val="14A30806"/>
    <w:rsid w:val="15144996"/>
    <w:rsid w:val="15D95EF3"/>
    <w:rsid w:val="15EB255B"/>
    <w:rsid w:val="15FC7FD0"/>
    <w:rsid w:val="161251E0"/>
    <w:rsid w:val="162639BD"/>
    <w:rsid w:val="163029FF"/>
    <w:rsid w:val="16460148"/>
    <w:rsid w:val="16585B40"/>
    <w:rsid w:val="16CC3C4B"/>
    <w:rsid w:val="17355807"/>
    <w:rsid w:val="175C01E1"/>
    <w:rsid w:val="178B4C6F"/>
    <w:rsid w:val="17DA505A"/>
    <w:rsid w:val="195C7CD4"/>
    <w:rsid w:val="19830998"/>
    <w:rsid w:val="19973B95"/>
    <w:rsid w:val="1A90480E"/>
    <w:rsid w:val="1A9B72AC"/>
    <w:rsid w:val="1CB92AA7"/>
    <w:rsid w:val="1D4D3C25"/>
    <w:rsid w:val="1D691375"/>
    <w:rsid w:val="1D7204DB"/>
    <w:rsid w:val="1D752B34"/>
    <w:rsid w:val="1DB80B45"/>
    <w:rsid w:val="1EEF70CC"/>
    <w:rsid w:val="1F214B8E"/>
    <w:rsid w:val="1F2755AE"/>
    <w:rsid w:val="1FAF6528"/>
    <w:rsid w:val="205A649A"/>
    <w:rsid w:val="20CD04C4"/>
    <w:rsid w:val="211277A6"/>
    <w:rsid w:val="213845A4"/>
    <w:rsid w:val="2152416D"/>
    <w:rsid w:val="215724A3"/>
    <w:rsid w:val="21615AF6"/>
    <w:rsid w:val="21C11732"/>
    <w:rsid w:val="221A3D42"/>
    <w:rsid w:val="231352C9"/>
    <w:rsid w:val="2374256D"/>
    <w:rsid w:val="24470D26"/>
    <w:rsid w:val="2496308D"/>
    <w:rsid w:val="25343984"/>
    <w:rsid w:val="25461C87"/>
    <w:rsid w:val="2685748B"/>
    <w:rsid w:val="26DB60FD"/>
    <w:rsid w:val="27031993"/>
    <w:rsid w:val="274737FA"/>
    <w:rsid w:val="27CE75E1"/>
    <w:rsid w:val="281D5F13"/>
    <w:rsid w:val="28213457"/>
    <w:rsid w:val="28D95DD3"/>
    <w:rsid w:val="293805F2"/>
    <w:rsid w:val="294215D1"/>
    <w:rsid w:val="297216A5"/>
    <w:rsid w:val="29E56A85"/>
    <w:rsid w:val="2A121FE5"/>
    <w:rsid w:val="2A611E31"/>
    <w:rsid w:val="2B000FEC"/>
    <w:rsid w:val="2BB531C7"/>
    <w:rsid w:val="2C9E3ADE"/>
    <w:rsid w:val="2DA23685"/>
    <w:rsid w:val="2E3303C9"/>
    <w:rsid w:val="2EDB1610"/>
    <w:rsid w:val="2EFB2454"/>
    <w:rsid w:val="2F613946"/>
    <w:rsid w:val="2F84170C"/>
    <w:rsid w:val="2FCC431A"/>
    <w:rsid w:val="30071591"/>
    <w:rsid w:val="302A11B1"/>
    <w:rsid w:val="30DE275A"/>
    <w:rsid w:val="311209F0"/>
    <w:rsid w:val="318A49E7"/>
    <w:rsid w:val="31C137C8"/>
    <w:rsid w:val="31F34AFF"/>
    <w:rsid w:val="32111360"/>
    <w:rsid w:val="33270394"/>
    <w:rsid w:val="33363F25"/>
    <w:rsid w:val="33EE2A7C"/>
    <w:rsid w:val="34D06FBC"/>
    <w:rsid w:val="353C3FB3"/>
    <w:rsid w:val="35690D03"/>
    <w:rsid w:val="362211B3"/>
    <w:rsid w:val="364F130A"/>
    <w:rsid w:val="366A3FED"/>
    <w:rsid w:val="374B6C62"/>
    <w:rsid w:val="381027C6"/>
    <w:rsid w:val="383B53FB"/>
    <w:rsid w:val="390F42B9"/>
    <w:rsid w:val="39381001"/>
    <w:rsid w:val="3938417A"/>
    <w:rsid w:val="39437561"/>
    <w:rsid w:val="39617184"/>
    <w:rsid w:val="39B051CB"/>
    <w:rsid w:val="39F0092F"/>
    <w:rsid w:val="39FD6155"/>
    <w:rsid w:val="3A197276"/>
    <w:rsid w:val="3A2B2BB8"/>
    <w:rsid w:val="3BFF1665"/>
    <w:rsid w:val="3DF23081"/>
    <w:rsid w:val="3F84697E"/>
    <w:rsid w:val="3F9407CA"/>
    <w:rsid w:val="415215C9"/>
    <w:rsid w:val="427A661E"/>
    <w:rsid w:val="428D5B61"/>
    <w:rsid w:val="429D5569"/>
    <w:rsid w:val="42B570F5"/>
    <w:rsid w:val="433650B9"/>
    <w:rsid w:val="434275D6"/>
    <w:rsid w:val="43770D77"/>
    <w:rsid w:val="43B603B8"/>
    <w:rsid w:val="43E14692"/>
    <w:rsid w:val="443129C6"/>
    <w:rsid w:val="444A613E"/>
    <w:rsid w:val="44A40B8C"/>
    <w:rsid w:val="45F145F1"/>
    <w:rsid w:val="462F7833"/>
    <w:rsid w:val="465A6F43"/>
    <w:rsid w:val="47C66795"/>
    <w:rsid w:val="48914416"/>
    <w:rsid w:val="496401A6"/>
    <w:rsid w:val="497038CD"/>
    <w:rsid w:val="499A66C3"/>
    <w:rsid w:val="49D42A0C"/>
    <w:rsid w:val="4A677B24"/>
    <w:rsid w:val="4AB3161E"/>
    <w:rsid w:val="4AE703AA"/>
    <w:rsid w:val="4AF66252"/>
    <w:rsid w:val="4B1F0217"/>
    <w:rsid w:val="4B7138E0"/>
    <w:rsid w:val="4C266237"/>
    <w:rsid w:val="4C720843"/>
    <w:rsid w:val="4CF03E01"/>
    <w:rsid w:val="4D17674A"/>
    <w:rsid w:val="4D2565CD"/>
    <w:rsid w:val="4E3961F6"/>
    <w:rsid w:val="4EB726FD"/>
    <w:rsid w:val="4F2F0835"/>
    <w:rsid w:val="4F900B6C"/>
    <w:rsid w:val="4FA4793B"/>
    <w:rsid w:val="4FE74DD2"/>
    <w:rsid w:val="50152D26"/>
    <w:rsid w:val="50690F68"/>
    <w:rsid w:val="50B41817"/>
    <w:rsid w:val="516E1798"/>
    <w:rsid w:val="52891C90"/>
    <w:rsid w:val="52F64A91"/>
    <w:rsid w:val="53E9321B"/>
    <w:rsid w:val="542A50A2"/>
    <w:rsid w:val="544234A9"/>
    <w:rsid w:val="546601A3"/>
    <w:rsid w:val="546A11ED"/>
    <w:rsid w:val="546A517C"/>
    <w:rsid w:val="5535350E"/>
    <w:rsid w:val="555262C2"/>
    <w:rsid w:val="55C367FD"/>
    <w:rsid w:val="55DB2E5E"/>
    <w:rsid w:val="55EB1097"/>
    <w:rsid w:val="56573739"/>
    <w:rsid w:val="56732B47"/>
    <w:rsid w:val="56EF4FC6"/>
    <w:rsid w:val="57195516"/>
    <w:rsid w:val="573838FA"/>
    <w:rsid w:val="574C432A"/>
    <w:rsid w:val="58050DA4"/>
    <w:rsid w:val="58624D86"/>
    <w:rsid w:val="58AB0BF5"/>
    <w:rsid w:val="58DA20C8"/>
    <w:rsid w:val="593E565E"/>
    <w:rsid w:val="59A10799"/>
    <w:rsid w:val="59C41AA5"/>
    <w:rsid w:val="5A6B0796"/>
    <w:rsid w:val="5AA36669"/>
    <w:rsid w:val="5AA75D1B"/>
    <w:rsid w:val="5B4026A7"/>
    <w:rsid w:val="5B733DF5"/>
    <w:rsid w:val="5BC9220A"/>
    <w:rsid w:val="5C1C3B91"/>
    <w:rsid w:val="5C8B0489"/>
    <w:rsid w:val="5C8F7364"/>
    <w:rsid w:val="5D451D1A"/>
    <w:rsid w:val="5D7A713B"/>
    <w:rsid w:val="5DDE7148"/>
    <w:rsid w:val="5E006478"/>
    <w:rsid w:val="5E4541F8"/>
    <w:rsid w:val="5F0F6094"/>
    <w:rsid w:val="5FEC11EA"/>
    <w:rsid w:val="607946F3"/>
    <w:rsid w:val="60866FE9"/>
    <w:rsid w:val="60D842AC"/>
    <w:rsid w:val="615239D8"/>
    <w:rsid w:val="624A629A"/>
    <w:rsid w:val="62864259"/>
    <w:rsid w:val="629A3F1F"/>
    <w:rsid w:val="632B4B62"/>
    <w:rsid w:val="639D203B"/>
    <w:rsid w:val="63A0423C"/>
    <w:rsid w:val="648F0807"/>
    <w:rsid w:val="64BE4434"/>
    <w:rsid w:val="64EE1BF6"/>
    <w:rsid w:val="651A5C4B"/>
    <w:rsid w:val="659953ED"/>
    <w:rsid w:val="65997653"/>
    <w:rsid w:val="65B31BCC"/>
    <w:rsid w:val="65E84085"/>
    <w:rsid w:val="66550638"/>
    <w:rsid w:val="67184483"/>
    <w:rsid w:val="6773485F"/>
    <w:rsid w:val="67D04E02"/>
    <w:rsid w:val="689B349A"/>
    <w:rsid w:val="69244E3C"/>
    <w:rsid w:val="69A44E65"/>
    <w:rsid w:val="69C5511D"/>
    <w:rsid w:val="6A666D12"/>
    <w:rsid w:val="6BC32BED"/>
    <w:rsid w:val="6C6D0B4A"/>
    <w:rsid w:val="6DDC0050"/>
    <w:rsid w:val="6E105E52"/>
    <w:rsid w:val="6E940F29"/>
    <w:rsid w:val="6F457884"/>
    <w:rsid w:val="6FF276ED"/>
    <w:rsid w:val="705F3F46"/>
    <w:rsid w:val="70DF5DB7"/>
    <w:rsid w:val="72A8130B"/>
    <w:rsid w:val="72E24278"/>
    <w:rsid w:val="734B109B"/>
    <w:rsid w:val="73626B4D"/>
    <w:rsid w:val="738D2254"/>
    <w:rsid w:val="741C6AC9"/>
    <w:rsid w:val="74364CDD"/>
    <w:rsid w:val="74A25915"/>
    <w:rsid w:val="7590605C"/>
    <w:rsid w:val="75940C8C"/>
    <w:rsid w:val="75AC6532"/>
    <w:rsid w:val="762C1EDD"/>
    <w:rsid w:val="763F0572"/>
    <w:rsid w:val="76BD49F2"/>
    <w:rsid w:val="76F37A06"/>
    <w:rsid w:val="771D0ED8"/>
    <w:rsid w:val="790A1D26"/>
    <w:rsid w:val="791E7781"/>
    <w:rsid w:val="7A950EBF"/>
    <w:rsid w:val="7B82557F"/>
    <w:rsid w:val="7BCE0E05"/>
    <w:rsid w:val="7BE14819"/>
    <w:rsid w:val="7C8929B4"/>
    <w:rsid w:val="7D5A5061"/>
    <w:rsid w:val="7D614BD9"/>
    <w:rsid w:val="7DB4675A"/>
    <w:rsid w:val="7DE153DA"/>
    <w:rsid w:val="7F630FFD"/>
    <w:rsid w:val="7FB923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page number"/>
    <w:basedOn w:val="7"/>
    <w:unhideWhenUsed/>
    <w:qFormat/>
    <w:uiPriority w:val="0"/>
  </w:style>
  <w:style w:type="paragraph" w:customStyle="1" w:styleId="10">
    <w:name w:val="列表段落1"/>
    <w:basedOn w:val="1"/>
    <w:qFormat/>
    <w:uiPriority w:val="34"/>
    <w:pPr>
      <w:spacing w:before="206"/>
      <w:ind w:left="959" w:hanging="361"/>
    </w:pPr>
  </w:style>
  <w:style w:type="character" w:customStyle="1" w:styleId="11">
    <w:name w:val="cd_message"/>
    <w:basedOn w:val="7"/>
    <w:qFormat/>
    <w:uiPriority w:val="0"/>
  </w:style>
  <w:style w:type="paragraph" w:customStyle="1" w:styleId="1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3">
    <w:name w:val="列出段落1"/>
    <w:basedOn w:val="1"/>
    <w:qFormat/>
    <w:uiPriority w:val="99"/>
    <w:pPr>
      <w:ind w:firstLine="420" w:firstLineChars="200"/>
    </w:pPr>
  </w:style>
  <w:style w:type="character" w:customStyle="1" w:styleId="14">
    <w:name w:val="页眉 字符"/>
    <w:basedOn w:val="7"/>
    <w:link w:val="5"/>
    <w:qFormat/>
    <w:uiPriority w:val="0"/>
    <w:rPr>
      <w:kern w:val="2"/>
      <w:sz w:val="18"/>
      <w:szCs w:val="18"/>
    </w:rPr>
  </w:style>
  <w:style w:type="paragraph" w:customStyle="1" w:styleId="15">
    <w:name w:val="Table Paragraph"/>
    <w:basedOn w:val="1"/>
    <w:unhideWhenUsed/>
    <w:qFormat/>
    <w:uiPriority w:val="1"/>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5226</Words>
  <Characters>5606</Characters>
  <Lines>37</Lines>
  <Paragraphs>10</Paragraphs>
  <TotalTime>0</TotalTime>
  <ScaleCrop>false</ScaleCrop>
  <LinksUpToDate>false</LinksUpToDate>
  <CharactersWithSpaces>5880</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2022-07-27T02:52:59Z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