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2022年PX联锁优化技改项仪表设备（</w:t>
      </w:r>
      <w:r>
        <w:rPr>
          <w:rFonts w:hint="eastAsia" w:ascii="微软雅黑" w:eastAsia="微软雅黑"/>
          <w:b/>
          <w:color w:val="000000" w:themeColor="text1"/>
          <w:sz w:val="52"/>
          <w:szCs w:val="22"/>
          <w:u w:val="single"/>
          <w:lang w:val="en-US" w:eastAsia="zh-CN"/>
        </w:rPr>
        <w:t>包3</w:t>
      </w:r>
      <w:r>
        <w:rPr>
          <w:rFonts w:hint="eastAsia" w:ascii="微软雅黑" w:eastAsia="微软雅黑"/>
          <w:b/>
          <w:color w:val="000000" w:themeColor="text1"/>
          <w:sz w:val="52"/>
          <w:szCs w:val="22"/>
          <w:u w:val="single"/>
          <w:lang w:eastAsia="zh-CN"/>
        </w:rPr>
        <w:t>分体式温度变送器等）发包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FHC-PTCG20220617001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福建福海创石油化工有限公司2022年PX联锁优化技改项仪表设备（包3分体式温度变送器等）发包比选公告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福建福海创石油化工有限公司2022年PX联锁优化技改项仪表设备（包3分体式温度变送器等）</w:t>
      </w:r>
      <w:r>
        <w:rPr>
          <w:rFonts w:hint="eastAsia"/>
          <w:color w:val="000000" w:themeColor="text1"/>
          <w:u w:val="single"/>
          <w:lang w:val="en-US" w:eastAsia="zh-CN"/>
        </w:rPr>
        <w:t>采购项目</w:t>
      </w:r>
      <w:r>
        <w:rPr>
          <w:rFonts w:hint="eastAsia"/>
          <w:color w:val="000000" w:themeColor="text1"/>
          <w:u w:val="single"/>
          <w:lang w:eastAsia="zh-CN"/>
        </w:rPr>
        <w:t>（项目编号：FHC-PTCG20220617001）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color w:val="000000" w:themeColor="text1"/>
          <w:u w:val="none"/>
          <w:lang w:val="en-US" w:eastAsia="zh-CN"/>
        </w:rPr>
        <w:t>包3：威卡、ROSEMOUNT分体温度变送器等采购项目。</w:t>
      </w:r>
      <w:r>
        <w:rPr>
          <w:rFonts w:hint="eastAsia"/>
          <w:sz w:val="24"/>
          <w:szCs w:val="24"/>
          <w:lang w:eastAsia="zh-CN"/>
        </w:rPr>
        <w:t>参选人必须对合同包中的全部物资进行参选，不得仅对合同包中的部分物资进行参选，否则其比选文件将被拒绝。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日至</w:t>
      </w:r>
      <w:r>
        <w:rPr>
          <w:rFonts w:hint="eastAsia"/>
          <w:color w:val="000000" w:themeColor="text1"/>
          <w:sz w:val="24"/>
          <w:szCs w:val="24"/>
          <w:lang w:val="en-US" w:eastAsia="zh-CN"/>
        </w:rPr>
        <w:t>8月1日</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唐凤玉 电话：15059611803 邮箱：fytang@fhcpec.com.cn。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pStyle w:val="20"/>
        <w:spacing w:line="360" w:lineRule="auto"/>
        <w:ind w:right="121" w:firstLine="1960" w:firstLineChars="817"/>
        <w:jc w:val="both"/>
        <w:rPr>
          <w:rFonts w:hint="default"/>
          <w:lang w:val="en-US" w:eastAsia="zh-CN"/>
        </w:rPr>
      </w:pPr>
      <w:r>
        <w:rPr>
          <w:rFonts w:hint="eastAsia"/>
          <w:lang w:val="en-US" w:eastAsia="zh-CN"/>
        </w:rPr>
        <w:t>唐凤玉 电话：15059611803 邮箱：fytang@fhcpec.com.cn。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bookmarkStart w:id="1" w:name="_GoBack"/>
      <w:bookmarkEnd w:id="1"/>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包3</w:t>
      </w:r>
      <w:r>
        <w:rPr>
          <w:rFonts w:hint="eastAsia"/>
          <w:b/>
          <w:color w:val="FF0000"/>
          <w:lang w:eastAsia="zh-CN"/>
        </w:rPr>
        <w:t>设置最高控制价</w:t>
      </w:r>
      <w:r>
        <w:rPr>
          <w:rFonts w:hint="eastAsia"/>
          <w:b/>
          <w:color w:val="FF0000"/>
          <w:lang w:val="en-US" w:eastAsia="zh-CN"/>
        </w:rPr>
        <w:t>4.8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408" w:tblpY="29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127"/>
        <w:gridCol w:w="1701"/>
        <w:gridCol w:w="141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795"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795"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sz w:val="24"/>
              </w:rPr>
            </w:pPr>
            <w:r>
              <w:rPr>
                <w:rFonts w:hint="eastAsia"/>
                <w:sz w:val="24"/>
              </w:rPr>
              <w:t>合同金额合计</w:t>
            </w:r>
          </w:p>
        </w:tc>
        <w:tc>
          <w:tcPr>
            <w:tcW w:w="7040"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w:t>
      </w:r>
      <w:r>
        <w:rPr>
          <w:rFonts w:hint="eastAsia" w:ascii="Times New Roman" w:hAnsi="ˎ̥"/>
          <w:color w:val="000000" w:themeColor="text1"/>
          <w:sz w:val="28"/>
          <w:szCs w:val="28"/>
          <w:u w:val="single"/>
          <w:lang w:val="en-US" w:eastAsia="zh-CN"/>
        </w:rPr>
        <w:t>设备</w:t>
      </w:r>
      <w:r>
        <w:rPr>
          <w:rFonts w:hint="eastAsia" w:ascii="Times New Roman" w:hAnsi="ˎ̥"/>
          <w:color w:val="000000" w:themeColor="text1"/>
          <w:sz w:val="28"/>
          <w:szCs w:val="28"/>
          <w:u w:val="single"/>
          <w:lang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367315B"/>
    <w:rsid w:val="04F6467F"/>
    <w:rsid w:val="052E194E"/>
    <w:rsid w:val="061139E5"/>
    <w:rsid w:val="06F50B00"/>
    <w:rsid w:val="076E1278"/>
    <w:rsid w:val="08D1141D"/>
    <w:rsid w:val="094A7BA5"/>
    <w:rsid w:val="09610811"/>
    <w:rsid w:val="0B296DE2"/>
    <w:rsid w:val="0B4F0FFE"/>
    <w:rsid w:val="0C5F26F4"/>
    <w:rsid w:val="10294AA3"/>
    <w:rsid w:val="10791B1A"/>
    <w:rsid w:val="109B279F"/>
    <w:rsid w:val="10E40CA0"/>
    <w:rsid w:val="136130D9"/>
    <w:rsid w:val="13CE320B"/>
    <w:rsid w:val="158161EB"/>
    <w:rsid w:val="158E1ADE"/>
    <w:rsid w:val="18DD4F7E"/>
    <w:rsid w:val="195B58A2"/>
    <w:rsid w:val="19F253E3"/>
    <w:rsid w:val="1A3A6DF2"/>
    <w:rsid w:val="1C217EAF"/>
    <w:rsid w:val="1DC9336B"/>
    <w:rsid w:val="1E085A14"/>
    <w:rsid w:val="1FF43DDB"/>
    <w:rsid w:val="21933AA2"/>
    <w:rsid w:val="228B0245"/>
    <w:rsid w:val="24DC0EEC"/>
    <w:rsid w:val="25BF356F"/>
    <w:rsid w:val="25DB0C2D"/>
    <w:rsid w:val="269469E7"/>
    <w:rsid w:val="269C5229"/>
    <w:rsid w:val="270310AF"/>
    <w:rsid w:val="29FC3B14"/>
    <w:rsid w:val="2B11792E"/>
    <w:rsid w:val="2C9B48A1"/>
    <w:rsid w:val="2DE57862"/>
    <w:rsid w:val="2EF411A5"/>
    <w:rsid w:val="31C54755"/>
    <w:rsid w:val="320B25D2"/>
    <w:rsid w:val="3216608C"/>
    <w:rsid w:val="32E0343B"/>
    <w:rsid w:val="34CE14C6"/>
    <w:rsid w:val="34D84CEC"/>
    <w:rsid w:val="379B53C1"/>
    <w:rsid w:val="37AF5AB7"/>
    <w:rsid w:val="37F824E3"/>
    <w:rsid w:val="395A672D"/>
    <w:rsid w:val="3B1C3371"/>
    <w:rsid w:val="3B8C26AA"/>
    <w:rsid w:val="3CC23198"/>
    <w:rsid w:val="3DDF4815"/>
    <w:rsid w:val="3ED80D7C"/>
    <w:rsid w:val="3FB11C04"/>
    <w:rsid w:val="3FE669E5"/>
    <w:rsid w:val="40FD77F3"/>
    <w:rsid w:val="423D79BD"/>
    <w:rsid w:val="46595107"/>
    <w:rsid w:val="4C3D436D"/>
    <w:rsid w:val="4D230D7C"/>
    <w:rsid w:val="4D7472E9"/>
    <w:rsid w:val="4F34472E"/>
    <w:rsid w:val="4F7033BA"/>
    <w:rsid w:val="4FB40925"/>
    <w:rsid w:val="50F63E28"/>
    <w:rsid w:val="5221007F"/>
    <w:rsid w:val="52926B5A"/>
    <w:rsid w:val="545C5E51"/>
    <w:rsid w:val="5486175B"/>
    <w:rsid w:val="5604432E"/>
    <w:rsid w:val="57667D24"/>
    <w:rsid w:val="57CE5BC3"/>
    <w:rsid w:val="586D6C9A"/>
    <w:rsid w:val="5AE1516A"/>
    <w:rsid w:val="5B6A3A79"/>
    <w:rsid w:val="5C1A5F7B"/>
    <w:rsid w:val="5C57586D"/>
    <w:rsid w:val="5EF92A9F"/>
    <w:rsid w:val="5F3F564B"/>
    <w:rsid w:val="645771F8"/>
    <w:rsid w:val="65304BCB"/>
    <w:rsid w:val="66FD5367"/>
    <w:rsid w:val="69CE6A8F"/>
    <w:rsid w:val="6A54112D"/>
    <w:rsid w:val="6AA035AE"/>
    <w:rsid w:val="6C64133F"/>
    <w:rsid w:val="6D7959E2"/>
    <w:rsid w:val="6E0F2E14"/>
    <w:rsid w:val="6EBB75BF"/>
    <w:rsid w:val="6F1E141D"/>
    <w:rsid w:val="6F5354F8"/>
    <w:rsid w:val="72DE4E13"/>
    <w:rsid w:val="73F3359E"/>
    <w:rsid w:val="740A2BDE"/>
    <w:rsid w:val="74793297"/>
    <w:rsid w:val="74B45F33"/>
    <w:rsid w:val="74EF2DE7"/>
    <w:rsid w:val="751839E0"/>
    <w:rsid w:val="75D56EB3"/>
    <w:rsid w:val="76274F93"/>
    <w:rsid w:val="79EB3F2F"/>
    <w:rsid w:val="7A442103"/>
    <w:rsid w:val="7B11789E"/>
    <w:rsid w:val="7CBF3194"/>
    <w:rsid w:val="7D001ABF"/>
    <w:rsid w:val="7D1F33A6"/>
    <w:rsid w:val="7DA460CF"/>
    <w:rsid w:val="7DC94A0A"/>
    <w:rsid w:val="7E7E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8933</Words>
  <Characters>9527</Characters>
  <Lines>81</Lines>
  <Paragraphs>23</Paragraphs>
  <TotalTime>2</TotalTime>
  <ScaleCrop>false</ScaleCrop>
  <LinksUpToDate>false</LinksUpToDate>
  <CharactersWithSpaces>10471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2022-07-25T08:47:06Z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