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活性炭</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活性炭</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0726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numPr>
          <w:ilvl w:val="0"/>
          <w:numId w:val="1"/>
        </w:numPr>
        <w:spacing w:line="300" w:lineRule="auto"/>
        <w:jc w:val="center"/>
        <w:rPr>
          <w:rFonts w:hint="eastAsia"/>
          <w:b/>
          <w:bCs/>
          <w:sz w:val="36"/>
          <w:szCs w:val="36"/>
          <w:lang w:val="en-US" w:eastAsia="zh-CN"/>
        </w:rPr>
      </w:pPr>
      <w:r>
        <w:rPr>
          <w:rFonts w:hint="eastAsia"/>
          <w:b/>
          <w:bCs/>
          <w:sz w:val="36"/>
          <w:szCs w:val="36"/>
          <w:lang w:val="en-US" w:eastAsia="zh-CN"/>
        </w:rPr>
        <w:t>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活性炭</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硫磺回收联合装置活性炭</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活性炭</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活性炭</w:t>
      </w:r>
      <w:r>
        <w:rPr>
          <w:rFonts w:hint="eastAsia" w:ascii="宋体" w:hAnsi="宋体" w:cs="宋体" w:eastAsiaTheme="minorEastAsia"/>
          <w:sz w:val="24"/>
        </w:rPr>
        <w:t>，详见附件技术要求。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活性炭</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3"/>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asciiTheme="minorEastAsia" w:hAnsiTheme="minorEastAsia" w:eastAsiaTheme="minorEastAsia"/>
          <w:bCs/>
          <w:sz w:val="24"/>
        </w:rPr>
        <w:t>属于</w:t>
      </w:r>
      <w:r>
        <w:rPr>
          <w:rFonts w:hint="eastAsia" w:asciiTheme="minorEastAsia" w:hAnsiTheme="minorEastAsia" w:eastAsiaTheme="minorEastAsia"/>
          <w:bCs/>
          <w:sz w:val="24"/>
        </w:rPr>
        <w:t>福建福海创石油化工</w:t>
      </w:r>
      <w:r>
        <w:rPr>
          <w:rFonts w:asciiTheme="minorEastAsia" w:hAnsiTheme="minorEastAsia" w:eastAsiaTheme="minorEastAsia"/>
          <w:bCs/>
          <w:sz w:val="24"/>
        </w:rPr>
        <w:t>有限公司或中国石油化工集团有限公司或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asciiTheme="minorEastAsia" w:hAnsiTheme="minorEastAsia" w:eastAsiaTheme="minorEastAsia"/>
          <w:bCs/>
          <w:sz w:val="24"/>
        </w:rPr>
        <w:t>中国石油天然气集团有限公司</w:t>
      </w:r>
      <w:r>
        <w:rPr>
          <w:rFonts w:asciiTheme="minorEastAsia" w:hAnsiTheme="minorEastAsia" w:eastAsiaTheme="minorEastAsia"/>
          <w:bCs/>
          <w:sz w:val="24"/>
        </w:rPr>
        <w:fldChar w:fldCharType="end"/>
      </w:r>
      <w:r>
        <w:rPr>
          <w:rFonts w:asciiTheme="minorEastAsia" w:hAnsiTheme="minorEastAsia" w:eastAsiaTheme="minorEastAsia"/>
          <w:bCs/>
          <w:sz w:val="24"/>
        </w:rPr>
        <w:t>或中国海洋石油集团有限公司合格供应商。</w:t>
      </w:r>
    </w:p>
    <w:p>
      <w:pPr>
        <w:pStyle w:val="12"/>
        <w:numPr>
          <w:ilvl w:val="0"/>
          <w:numId w:val="3"/>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壹万</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需提供投标产品</w:t>
      </w:r>
      <w:r>
        <w:rPr>
          <w:rFonts w:hint="eastAsia"/>
          <w:sz w:val="24"/>
        </w:rPr>
        <w:t>同类装置的销售业绩</w:t>
      </w:r>
      <w:r>
        <w:rPr>
          <w:rFonts w:hint="eastAsia" w:asciiTheme="minorEastAsia" w:hAnsiTheme="minorEastAsia" w:eastAsiaTheme="minorEastAsia"/>
          <w:sz w:val="24"/>
        </w:rPr>
        <w:t>，至少提供两家业绩证</w:t>
      </w:r>
    </w:p>
    <w:p>
      <w:pPr>
        <w:pStyle w:val="12"/>
        <w:numPr>
          <w:ilvl w:val="255"/>
          <w:numId w:val="0"/>
        </w:numPr>
        <w:spacing w:before="0" w:line="300" w:lineRule="auto"/>
        <w:ind w:firstLine="960" w:firstLineChars="400"/>
        <w:rPr>
          <w:rFonts w:hint="eastAsia" w:asciiTheme="minorEastAsia" w:hAnsiTheme="minorEastAsia" w:eastAsiaTheme="minorEastAsia"/>
          <w:sz w:val="24"/>
        </w:rPr>
      </w:pPr>
      <w:r>
        <w:rPr>
          <w:rFonts w:hint="eastAsia" w:asciiTheme="minorEastAsia" w:hAnsiTheme="minorEastAsia" w:eastAsiaTheme="minorEastAsia"/>
          <w:sz w:val="24"/>
        </w:rPr>
        <w:t>明（合同或发票）。</w:t>
      </w:r>
    </w:p>
    <w:p>
      <w:pPr>
        <w:pStyle w:val="12"/>
        <w:numPr>
          <w:ilvl w:val="0"/>
          <w:numId w:val="0"/>
        </w:numPr>
        <w:spacing w:before="0" w:line="300" w:lineRule="auto"/>
        <w:ind w:firstLine="960" w:firstLineChars="4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属于福建福海创石油化工有限公司合格供应商或中国石油化工集</w:t>
      </w:r>
    </w:p>
    <w:p>
      <w:pPr>
        <w:pStyle w:val="12"/>
        <w:numPr>
          <w:ilvl w:val="0"/>
          <w:numId w:val="0"/>
        </w:numPr>
        <w:spacing w:before="0" w:line="300" w:lineRule="auto"/>
        <w:ind w:firstLine="960" w:firstLineChars="4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团有限公司或</w:t>
      </w:r>
      <w:r>
        <w:rPr>
          <w:rFonts w:hint="eastAsia" w:asciiTheme="minorEastAsia" w:hAnsiTheme="minorEastAsia" w:eastAsiaTheme="minorEastAsia"/>
          <w:sz w:val="24"/>
          <w:lang w:eastAsia="zh-CN"/>
        </w:rPr>
        <w:fldChar w:fldCharType="begin"/>
      </w:r>
      <w:r>
        <w:rPr>
          <w:rFonts w:hint="eastAsia" w:asciiTheme="minorEastAsia" w:hAnsiTheme="minorEastAsia" w:eastAsiaTheme="minorEastAsia"/>
          <w:sz w:val="24"/>
          <w:lang w:eastAsia="zh-CN"/>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lang w:eastAsia="zh-CN"/>
        </w:rPr>
        <w:fldChar w:fldCharType="separate"/>
      </w:r>
      <w:r>
        <w:rPr>
          <w:rFonts w:hint="eastAsia" w:asciiTheme="minorEastAsia" w:hAnsiTheme="minorEastAsia" w:eastAsiaTheme="minorEastAsia"/>
          <w:sz w:val="24"/>
          <w:lang w:eastAsia="zh-CN"/>
        </w:rPr>
        <w:t>中国石油天然气集团有限公司</w:t>
      </w:r>
      <w:r>
        <w:rPr>
          <w:rFonts w:hint="eastAsia" w:asciiTheme="minorEastAsia" w:hAnsiTheme="minorEastAsia" w:eastAsiaTheme="minorEastAsia"/>
          <w:sz w:val="24"/>
          <w:lang w:eastAsia="zh-CN"/>
        </w:rPr>
        <w:fldChar w:fldCharType="end"/>
      </w:r>
      <w:r>
        <w:rPr>
          <w:rFonts w:hint="eastAsia" w:asciiTheme="minorEastAsia" w:hAnsiTheme="minorEastAsia" w:eastAsiaTheme="minorEastAsia"/>
          <w:sz w:val="24"/>
          <w:lang w:eastAsia="zh-CN"/>
        </w:rPr>
        <w:t>中国海洋石油集团有限公</w:t>
      </w:r>
    </w:p>
    <w:p>
      <w:pPr>
        <w:pStyle w:val="12"/>
        <w:numPr>
          <w:ilvl w:val="0"/>
          <w:numId w:val="0"/>
        </w:numPr>
        <w:spacing w:before="0" w:line="300" w:lineRule="auto"/>
        <w:ind w:firstLine="960" w:firstLineChars="400"/>
        <w:rPr>
          <w:rFonts w:hint="eastAsia" w:asciiTheme="minorEastAsia" w:hAnsiTheme="minorEastAsia" w:eastAsiaTheme="minorEastAsia"/>
          <w:sz w:val="24"/>
        </w:rPr>
      </w:pPr>
      <w:r>
        <w:rPr>
          <w:rFonts w:hint="eastAsia" w:asciiTheme="minorEastAsia" w:hAnsiTheme="minorEastAsia" w:eastAsiaTheme="minorEastAsia"/>
          <w:sz w:val="24"/>
          <w:lang w:eastAsia="zh-CN"/>
        </w:rPr>
        <w:t>司合格供应商</w:t>
      </w:r>
      <w:r>
        <w:rPr>
          <w:rFonts w:hint="eastAsia" w:asciiTheme="minorEastAsia" w:hAnsiTheme="minorEastAsia" w:eastAsiaTheme="minorEastAsia"/>
          <w:sz w:val="24"/>
          <w:lang w:val="en-US" w:eastAsia="zh-CN"/>
        </w:rPr>
        <w:t>的证明资料。</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壹万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并作为质保金（质保期：36个月）</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2"/>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李华彬</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3625904353</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hbli</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26</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活性炭</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（5）需提供投标产品同类装置的销售业绩，至少提供两家业绩证明（合同或发票）。</w:t>
      </w:r>
    </w:p>
    <w:p>
      <w:pPr>
        <w:spacing w:line="320" w:lineRule="exact"/>
        <w:rPr>
          <w:rFonts w:ascii="宋体"/>
          <w:sz w:val="18"/>
          <w:szCs w:val="18"/>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属于福建福海创石油化工有限公司合格供应商或中国石油化工集团有限公司或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中国海洋石油集团有限公司合格供应商</w:t>
      </w:r>
      <w:r>
        <w:rPr>
          <w:rFonts w:hint="eastAsia" w:ascii="宋体"/>
          <w:sz w:val="18"/>
          <w:szCs w:val="18"/>
          <w:lang w:val="en-US" w:eastAsia="zh-CN"/>
        </w:rPr>
        <w:t>的证明资料。</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壹万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活性炭</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活性炭</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活性炭</w:t>
      </w:r>
      <w:r>
        <w:rPr>
          <w:rFonts w:hint="eastAsia" w:ascii="宋体" w:hAnsi="宋体"/>
          <w:sz w:val="28"/>
          <w:szCs w:val="28"/>
        </w:rPr>
        <w:t>，具体要求如下：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活性炭</w:t>
      </w:r>
      <w:r>
        <w:rPr>
          <w:rFonts w:hint="eastAsia" w:ascii="宋体" w:cs="宋体"/>
          <w:sz w:val="24"/>
        </w:rPr>
        <w:t>数量：</w:t>
      </w:r>
      <w:r>
        <w:rPr>
          <w:rFonts w:hint="eastAsia" w:ascii="宋体" w:cs="宋体"/>
          <w:sz w:val="24"/>
          <w:lang w:val="en-US" w:eastAsia="zh-CN"/>
        </w:rPr>
        <w:t>17.5吨。</w:t>
      </w:r>
    </w:p>
    <w:p>
      <w:pPr>
        <w:numPr>
          <w:ilvl w:val="0"/>
          <w:numId w:val="6"/>
        </w:numPr>
        <w:spacing w:line="360" w:lineRule="exact"/>
        <w:jc w:val="left"/>
        <w:rPr>
          <w:rFonts w:ascii="宋体" w:hAnsi="宋体" w:cs="宋体"/>
          <w:sz w:val="24"/>
        </w:rPr>
      </w:pPr>
      <w:r>
        <w:rPr>
          <w:rFonts w:hint="eastAsia" w:ascii="宋体" w:hAnsi="宋体" w:cs="宋体"/>
          <w:sz w:val="24"/>
          <w:lang w:val="en-US" w:eastAsia="zh-CN"/>
        </w:rPr>
        <w:t>产品质量指标及技术保证值：</w:t>
      </w:r>
    </w:p>
    <w:p>
      <w:pPr>
        <w:numPr>
          <w:ilvl w:val="0"/>
          <w:numId w:val="0"/>
        </w:numPr>
        <w:spacing w:line="360" w:lineRule="exact"/>
        <w:jc w:val="left"/>
        <w:rPr>
          <w:rFonts w:hint="eastAsia" w:ascii="宋体" w:hAnsi="宋体" w:cs="宋体"/>
          <w:sz w:val="24"/>
          <w:lang w:val="en-US" w:eastAsia="zh-CN"/>
        </w:rPr>
      </w:pPr>
      <w:r>
        <w:rPr>
          <w:rFonts w:hint="eastAsia" w:ascii="宋体" w:hAnsi="宋体" w:cs="宋体"/>
          <w:sz w:val="24"/>
          <w:lang w:val="en-US" w:eastAsia="zh-CN"/>
        </w:rPr>
        <w:t>2.1硫磺回收联合装置活性炭的质量指标（Q/FHC M125-2020）：</w:t>
      </w:r>
    </w:p>
    <w:tbl>
      <w:tblPr>
        <w:tblStyle w:val="11"/>
        <w:tblW w:w="8296" w:type="dxa"/>
        <w:tblInd w:w="0" w:type="dxa"/>
        <w:tblLayout w:type="fixed"/>
        <w:tblCellMar>
          <w:top w:w="57" w:type="dxa"/>
          <w:left w:w="57" w:type="dxa"/>
          <w:bottom w:w="57" w:type="dxa"/>
          <w:right w:w="57" w:type="dxa"/>
        </w:tblCellMar>
      </w:tblPr>
      <w:tblGrid>
        <w:gridCol w:w="2766"/>
        <w:gridCol w:w="2766"/>
        <w:gridCol w:w="2764"/>
      </w:tblGrid>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hint="eastAsia" w:ascii="Times New Roman" w:hAnsi="Times New Roman" w:cs="Times New Roman"/>
                <w:szCs w:val="21"/>
              </w:rPr>
              <w:t>分析</w:t>
            </w:r>
            <w:r>
              <w:rPr>
                <w:rFonts w:ascii="Times New Roman" w:hAnsi="Times New Roman" w:cs="Times New Roman"/>
                <w:szCs w:val="21"/>
              </w:rPr>
              <w:t>项目</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质量指标</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试验方法</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外观</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hint="eastAsia" w:ascii="Times New Roman" w:hAnsi="Times New Roman" w:cs="Times New Roman"/>
                <w:szCs w:val="21"/>
              </w:rPr>
              <w:t>黑色柱状</w:t>
            </w:r>
            <w:r>
              <w:rPr>
                <w:rFonts w:ascii="Times New Roman" w:hAnsi="Times New Roman" w:cs="Times New Roman"/>
                <w:szCs w:val="21"/>
              </w:rPr>
              <w:t>颗粒</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hint="eastAsia" w:ascii="Times New Roman" w:hAnsi="Times New Roman" w:cs="Times New Roman"/>
                <w:szCs w:val="21"/>
              </w:rPr>
              <w:t>目测</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粒度</w:t>
            </w:r>
          </w:p>
          <w:p>
            <w:pPr>
              <w:adjustRightInd w:val="0"/>
              <w:snapToGrid w:val="0"/>
              <w:ind w:right="-17" w:rightChars="-8"/>
              <w:rPr>
                <w:rFonts w:ascii="Times New Roman" w:hAnsi="Times New Roman" w:cs="Times New Roman"/>
                <w:szCs w:val="21"/>
              </w:rPr>
            </w:pPr>
            <w:r>
              <w:rPr>
                <w:rFonts w:ascii="Times New Roman" w:hAnsi="Times New Roman" w:cs="Times New Roman"/>
                <w:szCs w:val="21"/>
              </w:rPr>
              <w:t>Φ3～4mm，长度5～20mm</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≥90%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12496.2-1999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堆密度，g /cm</w:t>
            </w:r>
            <w:r>
              <w:rPr>
                <w:rFonts w:ascii="Times New Roman" w:hAnsi="Times New Roman" w:cs="Times New Roman"/>
                <w:szCs w:val="21"/>
                <w:vertAlign w:val="superscript"/>
              </w:rPr>
              <w:t>3</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0.45～0.55</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12496.1-1999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耐磨强度，%（wt）</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98</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12496.6-1999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碘吸附值，mg/g</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1000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12496.8-1999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亚兰吸附值，mg/g</w:t>
            </w:r>
          </w:p>
          <w:p>
            <w:pPr>
              <w:adjustRightInd w:val="0"/>
              <w:snapToGrid w:val="0"/>
              <w:ind w:right="-17" w:rightChars="-8"/>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kern w:val="0"/>
                <w:szCs w:val="21"/>
              </w:rPr>
              <w:t>四氯化碳吸附率，%</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150</w:t>
            </w:r>
          </w:p>
          <w:p>
            <w:pPr>
              <w:adjustRightInd w:val="0"/>
              <w:snapToGrid w:val="0"/>
              <w:ind w:right="-17" w:rightChars="-8"/>
              <w:jc w:val="left"/>
              <w:rPr>
                <w:rFonts w:ascii="Times New Roman" w:hAnsi="Times New Roman" w:cs="Times New Roman"/>
                <w:szCs w:val="21"/>
              </w:rPr>
            </w:pPr>
            <w:r>
              <w:rPr>
                <w:rFonts w:ascii="Times New Roman" w:hAnsi="Times New Roman" w:cs="Times New Roman"/>
                <w:kern w:val="0"/>
                <w:szCs w:val="21"/>
              </w:rPr>
              <w:t>60～65</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12496.10-1999</w:t>
            </w:r>
          </w:p>
          <w:p>
            <w:pPr>
              <w:adjustRightInd w:val="0"/>
              <w:snapToGrid w:val="0"/>
              <w:ind w:right="-17" w:rightChars="-8"/>
              <w:jc w:val="left"/>
              <w:rPr>
                <w:rFonts w:ascii="Times New Roman" w:hAnsi="Times New Roman" w:cs="Times New Roman"/>
                <w:szCs w:val="21"/>
              </w:rPr>
            </w:pPr>
            <w:r>
              <w:rPr>
                <w:rFonts w:ascii="Times New Roman" w:hAnsi="Times New Roman" w:cs="Times New Roman"/>
                <w:kern w:val="0"/>
                <w:szCs w:val="21"/>
              </w:rPr>
              <w:t>GB/T7702.13-1997</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水份，%（wt）</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1</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12496.4-1999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pH值</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8～10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12496.7-1999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自燃点，</w:t>
            </w:r>
            <w:r>
              <w:rPr>
                <w:rFonts w:hint="eastAsia" w:ascii="宋体" w:hAnsi="宋体" w:eastAsia="宋体" w:cs="宋体"/>
                <w:szCs w:val="21"/>
              </w:rPr>
              <w:t>℃</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350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7702.9-1997</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比表面积，m</w:t>
            </w:r>
            <w:r>
              <w:rPr>
                <w:rFonts w:ascii="Times New Roman" w:hAnsi="Times New Roman" w:cs="Times New Roman"/>
                <w:szCs w:val="21"/>
                <w:vertAlign w:val="superscript"/>
              </w:rPr>
              <w:t>2</w:t>
            </w:r>
            <w:r>
              <w:rPr>
                <w:rFonts w:ascii="Times New Roman" w:hAnsi="Times New Roman" w:cs="Times New Roman"/>
                <w:szCs w:val="21"/>
              </w:rPr>
              <w:t>/g</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≥1000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GB/T7702.21-1997</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孔容积，cm</w:t>
            </w:r>
            <w:r>
              <w:rPr>
                <w:rFonts w:ascii="Times New Roman" w:hAnsi="Times New Roman" w:cs="Times New Roman"/>
                <w:szCs w:val="21"/>
                <w:vertAlign w:val="superscript"/>
              </w:rPr>
              <w:t>2</w:t>
            </w:r>
            <w:r>
              <w:rPr>
                <w:rFonts w:ascii="Times New Roman" w:hAnsi="Times New Roman" w:cs="Times New Roman"/>
                <w:szCs w:val="21"/>
              </w:rPr>
              <w:t>/g</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≥0.65</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GB/T7702.20-1997</w:t>
            </w:r>
          </w:p>
        </w:tc>
      </w:tr>
    </w:tbl>
    <w:p>
      <w:pPr>
        <w:numPr>
          <w:ilvl w:val="0"/>
          <w:numId w:val="0"/>
        </w:numPr>
        <w:spacing w:line="312" w:lineRule="auto"/>
        <w:rPr>
          <w:rFonts w:hint="eastAsia" w:ascii="宋体" w:hAnsi="宋体"/>
          <w:sz w:val="24"/>
          <w:lang w:eastAsia="zh-CN"/>
        </w:rPr>
      </w:pPr>
      <w:r>
        <w:rPr>
          <w:rFonts w:hint="eastAsia" w:ascii="宋体" w:hAnsi="宋体"/>
          <w:sz w:val="24"/>
          <w:lang w:val="en-US" w:eastAsia="zh-CN"/>
        </w:rPr>
        <w:t>2.2</w:t>
      </w:r>
      <w:r>
        <w:rPr>
          <w:rFonts w:hint="eastAsia" w:ascii="宋体" w:hAnsi="宋体"/>
          <w:sz w:val="24"/>
        </w:rPr>
        <w:t>技术保证值</w:t>
      </w:r>
      <w:r>
        <w:rPr>
          <w:rFonts w:hint="eastAsia" w:ascii="宋体" w:hAnsi="宋体"/>
          <w:sz w:val="24"/>
          <w:lang w:eastAsia="zh-CN"/>
        </w:rPr>
        <w:t>：</w:t>
      </w:r>
    </w:p>
    <w:p>
      <w:pPr>
        <w:spacing w:line="360" w:lineRule="auto"/>
        <w:rPr>
          <w:rFonts w:ascii="宋体" w:hAnsi="宋体" w:cs="宋体"/>
          <w:sz w:val="24"/>
        </w:rPr>
      </w:pPr>
      <w:r>
        <w:rPr>
          <w:rFonts w:ascii="宋体" w:hAnsi="宋体" w:cs="宋体"/>
          <w:sz w:val="24"/>
        </w:rPr>
        <w:t>保证运行周期：</w:t>
      </w:r>
      <w:r>
        <w:rPr>
          <w:rFonts w:hint="eastAsia" w:ascii="宋体" w:hAnsi="宋体" w:cs="宋体"/>
          <w:sz w:val="24"/>
          <w:lang w:val="en-US" w:eastAsia="zh-CN"/>
        </w:rPr>
        <w:t>根据附件技术要求的</w:t>
      </w:r>
      <w:r>
        <w:rPr>
          <w:rFonts w:ascii="宋体" w:hAnsi="宋体" w:cs="宋体"/>
          <w:sz w:val="24"/>
        </w:rPr>
        <w:t>工艺条件，</w:t>
      </w:r>
      <w:r>
        <w:rPr>
          <w:rFonts w:hint="eastAsia" w:ascii="宋体" w:hAnsi="宋体" w:cs="宋体"/>
          <w:sz w:val="24"/>
        </w:rPr>
        <w:t>活性炭</w:t>
      </w:r>
      <w:r>
        <w:rPr>
          <w:rFonts w:ascii="宋体" w:hAnsi="宋体" w:cs="宋体"/>
          <w:sz w:val="24"/>
        </w:rPr>
        <w:t>满足生产要求且</w:t>
      </w:r>
      <w:r>
        <w:rPr>
          <w:rFonts w:hint="eastAsia" w:ascii="宋体" w:hAnsi="宋体" w:cs="宋体"/>
          <w:sz w:val="24"/>
        </w:rPr>
        <w:t>保证过滤器</w:t>
      </w:r>
      <w:r>
        <w:rPr>
          <w:rFonts w:ascii="宋体" w:hAnsi="宋体" w:cs="宋体"/>
          <w:sz w:val="24"/>
        </w:rPr>
        <w:t>压差≤0.0</w:t>
      </w:r>
      <w:r>
        <w:rPr>
          <w:rFonts w:hint="eastAsia" w:ascii="宋体" w:hAnsi="宋体" w:cs="宋体"/>
          <w:sz w:val="24"/>
        </w:rPr>
        <w:t>3</w:t>
      </w:r>
      <w:r>
        <w:rPr>
          <w:rFonts w:ascii="宋体" w:hAnsi="宋体" w:cs="宋体"/>
          <w:sz w:val="24"/>
        </w:rPr>
        <w:t>MPa的情况下连续运行36</w:t>
      </w:r>
      <w:r>
        <w:rPr>
          <w:rFonts w:hint="eastAsia" w:ascii="宋体" w:hAnsi="宋体" w:cs="宋体"/>
          <w:sz w:val="24"/>
        </w:rPr>
        <w:t>个月</w:t>
      </w:r>
      <w:r>
        <w:rPr>
          <w:rFonts w:ascii="宋体" w:hAnsi="宋体" w:cs="宋体"/>
          <w:sz w:val="24"/>
        </w:rPr>
        <w:t>。</w:t>
      </w:r>
    </w:p>
    <w:p>
      <w:pPr>
        <w:numPr>
          <w:ilvl w:val="0"/>
          <w:numId w:val="6"/>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袋装</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到货时间：货物于2022年</w:t>
      </w:r>
      <w:r>
        <w:rPr>
          <w:rFonts w:hint="eastAsia" w:ascii="宋体" w:hAnsi="宋体"/>
          <w:sz w:val="24"/>
          <w:lang w:val="en-US" w:eastAsia="zh-CN"/>
        </w:rPr>
        <w:t>9月份具备到货条件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活性炭</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w:t>
      </w:r>
      <w:r>
        <w:rPr>
          <w:rFonts w:hint="eastAsia" w:ascii="宋体" w:hAnsi="宋体" w:cs="宋体"/>
          <w:sz w:val="24"/>
          <w:highlight w:val="none"/>
          <w:lang w:val="en-US" w:eastAsia="zh-CN"/>
        </w:rPr>
        <w:t>经</w:t>
      </w:r>
      <w:r>
        <w:rPr>
          <w:rFonts w:hint="eastAsia" w:ascii="宋体" w:hAnsi="宋体" w:cs="宋体"/>
          <w:sz w:val="24"/>
          <w:szCs w:val="24"/>
          <w:lang w:val="en-US" w:eastAsia="zh-CN"/>
        </w:rPr>
        <w:t>需方收到并确认无误后，</w:t>
      </w:r>
      <w:r>
        <w:rPr>
          <w:rFonts w:hint="eastAsia" w:ascii="宋体" w:hAnsi="宋体" w:cs="宋体"/>
          <w:sz w:val="24"/>
          <w:szCs w:val="24"/>
        </w:rPr>
        <w:t>向供方支付</w:t>
      </w:r>
      <w:r>
        <w:rPr>
          <w:rFonts w:hint="eastAsia" w:ascii="宋体" w:hAnsi="宋体" w:cs="宋体"/>
          <w:sz w:val="24"/>
          <w:szCs w:val="24"/>
          <w:lang w:val="en-US" w:eastAsia="zh-CN"/>
        </w:rPr>
        <w:t>90%到</w:t>
      </w:r>
      <w:r>
        <w:rPr>
          <w:rFonts w:hint="eastAsia" w:ascii="宋体" w:hAnsi="宋体" w:cs="宋体"/>
          <w:sz w:val="24"/>
          <w:szCs w:val="24"/>
        </w:rPr>
        <w:t>货款</w:t>
      </w:r>
      <w:r>
        <w:rPr>
          <w:rFonts w:hint="eastAsia" w:ascii="宋体" w:hAnsi="宋体" w:cs="宋体"/>
          <w:sz w:val="24"/>
          <w:szCs w:val="24"/>
          <w:lang w:val="en-US" w:eastAsia="zh-CN"/>
        </w:rPr>
        <w:t>，余款10%为质保金，产品满足保证运行36个月后且无质量问题后付清。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widowControl/>
        <w:jc w:val="left"/>
        <w:rPr>
          <w:rFonts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活性炭</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活性炭</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活性炭</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0726</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活性炭</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17.5吨；规格型号：______________。</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w:t>
      </w:r>
      <w:r>
        <w:rPr>
          <w:rFonts w:hint="eastAsia"/>
          <w:sz w:val="24"/>
        </w:rPr>
        <w:t>硫磺回收联合装置活性炭的</w:t>
      </w:r>
      <w:r>
        <w:rPr>
          <w:sz w:val="24"/>
        </w:rPr>
        <w:t>质量指标（</w:t>
      </w:r>
      <w:r>
        <w:rPr>
          <w:rFonts w:hint="eastAsia"/>
          <w:sz w:val="24"/>
        </w:rPr>
        <w:t>Q/FHC M125-2020</w:t>
      </w:r>
      <w:r>
        <w:rPr>
          <w:sz w:val="24"/>
        </w:rPr>
        <w:t>）</w:t>
      </w:r>
      <w:r>
        <w:rPr>
          <w:rFonts w:hint="eastAsia"/>
          <w:sz w:val="24"/>
          <w:lang w:eastAsia="zh-CN"/>
        </w:rPr>
        <w:t>：</w:t>
      </w:r>
    </w:p>
    <w:tbl>
      <w:tblPr>
        <w:tblStyle w:val="11"/>
        <w:tblW w:w="8296" w:type="dxa"/>
        <w:tblInd w:w="0" w:type="dxa"/>
        <w:tblLayout w:type="fixed"/>
        <w:tblCellMar>
          <w:top w:w="57" w:type="dxa"/>
          <w:left w:w="57" w:type="dxa"/>
          <w:bottom w:w="57" w:type="dxa"/>
          <w:right w:w="57" w:type="dxa"/>
        </w:tblCellMar>
      </w:tblPr>
      <w:tblGrid>
        <w:gridCol w:w="2766"/>
        <w:gridCol w:w="2766"/>
        <w:gridCol w:w="2764"/>
      </w:tblGrid>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b/>
                <w:bCs/>
                <w:szCs w:val="21"/>
              </w:rPr>
            </w:pPr>
            <w:r>
              <w:rPr>
                <w:rFonts w:hint="eastAsia" w:ascii="Times New Roman" w:hAnsi="Times New Roman" w:cs="Times New Roman"/>
                <w:b/>
                <w:bCs/>
                <w:szCs w:val="21"/>
              </w:rPr>
              <w:t>分析</w:t>
            </w:r>
            <w:r>
              <w:rPr>
                <w:rFonts w:ascii="Times New Roman" w:hAnsi="Times New Roman" w:cs="Times New Roman"/>
                <w:b/>
                <w:bCs/>
                <w:szCs w:val="21"/>
              </w:rPr>
              <w:t>项目</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b/>
                <w:bCs/>
                <w:szCs w:val="21"/>
              </w:rPr>
            </w:pPr>
            <w:r>
              <w:rPr>
                <w:rFonts w:ascii="Times New Roman" w:hAnsi="Times New Roman" w:cs="Times New Roman"/>
                <w:b/>
                <w:bCs/>
                <w:szCs w:val="21"/>
              </w:rPr>
              <w:t>质量指标</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b/>
                <w:bCs/>
                <w:szCs w:val="21"/>
              </w:rPr>
            </w:pPr>
            <w:r>
              <w:rPr>
                <w:rFonts w:ascii="Times New Roman" w:hAnsi="Times New Roman" w:cs="Times New Roman"/>
                <w:b/>
                <w:bCs/>
                <w:szCs w:val="21"/>
              </w:rPr>
              <w:t>试验方法</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外观</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hint="eastAsia" w:ascii="Times New Roman" w:hAnsi="Times New Roman" w:cs="Times New Roman"/>
                <w:szCs w:val="21"/>
              </w:rPr>
              <w:t>黑色柱状</w:t>
            </w:r>
            <w:r>
              <w:rPr>
                <w:rFonts w:ascii="Times New Roman" w:hAnsi="Times New Roman" w:cs="Times New Roman"/>
                <w:szCs w:val="21"/>
              </w:rPr>
              <w:t>颗粒</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hint="eastAsia" w:ascii="Times New Roman" w:hAnsi="Times New Roman" w:cs="Times New Roman"/>
                <w:szCs w:val="21"/>
              </w:rPr>
              <w:t>目测</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粒度</w:t>
            </w:r>
          </w:p>
          <w:p>
            <w:pPr>
              <w:adjustRightInd w:val="0"/>
              <w:snapToGrid w:val="0"/>
              <w:ind w:right="-17" w:rightChars="-8"/>
              <w:rPr>
                <w:rFonts w:ascii="Times New Roman" w:hAnsi="Times New Roman" w:cs="Times New Roman"/>
                <w:szCs w:val="21"/>
              </w:rPr>
            </w:pPr>
            <w:r>
              <w:rPr>
                <w:rFonts w:ascii="Times New Roman" w:hAnsi="Times New Roman" w:cs="Times New Roman"/>
                <w:szCs w:val="21"/>
              </w:rPr>
              <w:t>Φ3～4mm，长度5～20mm</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≥90%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12496.2-1999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堆密度，g /cm</w:t>
            </w:r>
            <w:r>
              <w:rPr>
                <w:rFonts w:ascii="Times New Roman" w:hAnsi="Times New Roman" w:cs="Times New Roman"/>
                <w:szCs w:val="21"/>
                <w:vertAlign w:val="superscript"/>
              </w:rPr>
              <w:t>3</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0.45～0.55</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12496.1-1999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耐磨强度，%（wt）</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98</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12496.6-1999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碘吸附值，mg/g</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1000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12496.8-1999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亚兰吸附值，mg/g</w:t>
            </w:r>
          </w:p>
          <w:p>
            <w:pPr>
              <w:adjustRightInd w:val="0"/>
              <w:snapToGrid w:val="0"/>
              <w:ind w:right="-17" w:rightChars="-8"/>
              <w:rPr>
                <w:rFonts w:ascii="Times New Roman" w:hAnsi="Times New Roman" w:cs="Times New Roman"/>
                <w:szCs w:val="21"/>
              </w:rPr>
            </w:pPr>
            <w:r>
              <w:rPr>
                <w:rFonts w:ascii="Times New Roman" w:hAnsi="Times New Roman" w:cs="Times New Roman"/>
                <w:szCs w:val="21"/>
              </w:rPr>
              <w:t>或</w:t>
            </w:r>
            <w:r>
              <w:rPr>
                <w:rFonts w:ascii="Times New Roman" w:hAnsi="Times New Roman" w:cs="Times New Roman"/>
                <w:kern w:val="0"/>
                <w:szCs w:val="21"/>
              </w:rPr>
              <w:t>四氯化碳吸附率，%</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150</w:t>
            </w:r>
          </w:p>
          <w:p>
            <w:pPr>
              <w:adjustRightInd w:val="0"/>
              <w:snapToGrid w:val="0"/>
              <w:ind w:right="-17" w:rightChars="-8"/>
              <w:jc w:val="left"/>
              <w:rPr>
                <w:rFonts w:ascii="Times New Roman" w:hAnsi="Times New Roman" w:cs="Times New Roman"/>
                <w:szCs w:val="21"/>
              </w:rPr>
            </w:pPr>
            <w:r>
              <w:rPr>
                <w:rFonts w:ascii="Times New Roman" w:hAnsi="Times New Roman" w:cs="Times New Roman"/>
                <w:kern w:val="0"/>
                <w:szCs w:val="21"/>
              </w:rPr>
              <w:t>60～65</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12496.10-1999</w:t>
            </w:r>
          </w:p>
          <w:p>
            <w:pPr>
              <w:adjustRightInd w:val="0"/>
              <w:snapToGrid w:val="0"/>
              <w:ind w:right="-17" w:rightChars="-8"/>
              <w:jc w:val="left"/>
              <w:rPr>
                <w:rFonts w:ascii="Times New Roman" w:hAnsi="Times New Roman" w:cs="Times New Roman"/>
                <w:szCs w:val="21"/>
              </w:rPr>
            </w:pPr>
            <w:r>
              <w:rPr>
                <w:rFonts w:ascii="Times New Roman" w:hAnsi="Times New Roman" w:cs="Times New Roman"/>
                <w:kern w:val="0"/>
                <w:szCs w:val="21"/>
              </w:rPr>
              <w:t>GB/T7702.13-1997</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水份，%（wt）</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1</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12496.4-1999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pH值</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8～10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12496.7-1999</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rFonts w:ascii="Times New Roman" w:hAnsi="Times New Roman" w:cs="Times New Roman"/>
                <w:szCs w:val="21"/>
              </w:rPr>
            </w:pPr>
            <w:r>
              <w:rPr>
                <w:rFonts w:ascii="Times New Roman" w:hAnsi="Times New Roman" w:cs="Times New Roman"/>
                <w:szCs w:val="21"/>
              </w:rPr>
              <w:t>自燃点，</w:t>
            </w:r>
            <w:r>
              <w:rPr>
                <w:rFonts w:hint="eastAsia" w:ascii="宋体" w:hAnsi="宋体" w:eastAsia="宋体" w:cs="宋体"/>
                <w:szCs w:val="21"/>
              </w:rPr>
              <w:t>℃</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eastAsia="仿宋_GB2312" w:cs="Times New Roman"/>
                <w:szCs w:val="21"/>
              </w:rPr>
              <w:t>≥</w:t>
            </w:r>
            <w:r>
              <w:rPr>
                <w:rFonts w:ascii="Times New Roman" w:hAnsi="Times New Roman" w:cs="Times New Roman"/>
                <w:szCs w:val="21"/>
              </w:rPr>
              <w:t>350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left"/>
              <w:rPr>
                <w:rFonts w:ascii="Times New Roman" w:hAnsi="Times New Roman" w:cs="Times New Roman"/>
                <w:szCs w:val="21"/>
              </w:rPr>
            </w:pPr>
            <w:r>
              <w:rPr>
                <w:rFonts w:ascii="Times New Roman" w:hAnsi="Times New Roman" w:cs="Times New Roman"/>
                <w:szCs w:val="21"/>
              </w:rPr>
              <w:t>GB/T 7702.9-1997</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比表面积，m</w:t>
            </w:r>
            <w:r>
              <w:rPr>
                <w:rFonts w:ascii="Times New Roman" w:hAnsi="Times New Roman" w:cs="Times New Roman"/>
                <w:szCs w:val="21"/>
                <w:vertAlign w:val="superscript"/>
              </w:rPr>
              <w:t>2</w:t>
            </w:r>
            <w:r>
              <w:rPr>
                <w:rFonts w:ascii="Times New Roman" w:hAnsi="Times New Roman" w:cs="Times New Roman"/>
                <w:szCs w:val="21"/>
              </w:rPr>
              <w:t>/g</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≥1000</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GB/T7702.21-1997</w:t>
            </w:r>
          </w:p>
        </w:tc>
      </w:tr>
      <w:tr>
        <w:tblPrEx>
          <w:tblLayout w:type="fixed"/>
          <w:tblCellMar>
            <w:top w:w="57" w:type="dxa"/>
            <w:left w:w="57" w:type="dxa"/>
            <w:bottom w:w="57" w:type="dxa"/>
            <w:right w:w="57" w:type="dxa"/>
          </w:tblCellMar>
        </w:tblPrEx>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孔容积，cm</w:t>
            </w:r>
            <w:r>
              <w:rPr>
                <w:rFonts w:ascii="Times New Roman" w:hAnsi="Times New Roman" w:cs="Times New Roman"/>
                <w:szCs w:val="21"/>
                <w:vertAlign w:val="superscript"/>
              </w:rPr>
              <w:t>2</w:t>
            </w:r>
            <w:r>
              <w:rPr>
                <w:rFonts w:ascii="Times New Roman" w:hAnsi="Times New Roman" w:cs="Times New Roman"/>
                <w:szCs w:val="21"/>
              </w:rPr>
              <w:t>/g</w:t>
            </w:r>
          </w:p>
        </w:tc>
        <w:tc>
          <w:tcPr>
            <w:tcW w:w="27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≥0.65</w:t>
            </w:r>
          </w:p>
        </w:tc>
        <w:tc>
          <w:tcPr>
            <w:tcW w:w="2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cs="Times New Roman"/>
                <w:szCs w:val="21"/>
              </w:rPr>
            </w:pPr>
            <w:r>
              <w:rPr>
                <w:rFonts w:ascii="Times New Roman" w:hAnsi="Times New Roman" w:cs="Times New Roman"/>
                <w:szCs w:val="21"/>
              </w:rPr>
              <w:t>GB/T7702.20-1997</w:t>
            </w:r>
          </w:p>
        </w:tc>
      </w:tr>
    </w:tbl>
    <w:p>
      <w:pPr>
        <w:numPr>
          <w:ilvl w:val="0"/>
          <w:numId w:val="9"/>
        </w:numPr>
        <w:spacing w:line="312" w:lineRule="auto"/>
        <w:rPr>
          <w:rFonts w:hint="eastAsia" w:ascii="宋体" w:hAnsi="宋体"/>
          <w:sz w:val="24"/>
          <w:lang w:eastAsia="zh-CN"/>
        </w:rPr>
      </w:pPr>
      <w:r>
        <w:rPr>
          <w:rFonts w:hint="eastAsia" w:ascii="宋体" w:hAnsi="宋体"/>
          <w:sz w:val="24"/>
        </w:rPr>
        <w:t>技术保证值</w:t>
      </w:r>
      <w:r>
        <w:rPr>
          <w:rFonts w:hint="eastAsia" w:ascii="宋体" w:hAnsi="宋体"/>
          <w:sz w:val="24"/>
          <w:lang w:eastAsia="zh-CN"/>
        </w:rPr>
        <w:t>：</w:t>
      </w:r>
    </w:p>
    <w:p>
      <w:pPr>
        <w:spacing w:line="360" w:lineRule="auto"/>
        <w:rPr>
          <w:rFonts w:hint="eastAsia" w:ascii="宋体" w:hAnsi="宋体"/>
          <w:sz w:val="24"/>
          <w:lang w:eastAsia="zh-CN"/>
        </w:rPr>
      </w:pPr>
      <w:r>
        <w:rPr>
          <w:rFonts w:hint="eastAsia" w:ascii="宋体" w:hAnsi="宋体"/>
          <w:sz w:val="24"/>
          <w:lang w:eastAsia="zh-CN"/>
        </w:rPr>
        <w:t>保证运行周期：</w:t>
      </w:r>
      <w:r>
        <w:rPr>
          <w:rFonts w:hint="eastAsia" w:ascii="宋体" w:hAnsi="宋体"/>
          <w:sz w:val="24"/>
          <w:lang w:val="en-US" w:eastAsia="zh-CN"/>
        </w:rPr>
        <w:t>根据附件技术要求的</w:t>
      </w:r>
      <w:r>
        <w:rPr>
          <w:rFonts w:hint="eastAsia" w:ascii="宋体" w:hAnsi="宋体"/>
          <w:sz w:val="24"/>
          <w:lang w:eastAsia="zh-CN"/>
        </w:rPr>
        <w:t>工艺条件，活性炭满足生产要求且保证过滤器压差≤0.03MPa的情况下连续运行36个月。</w:t>
      </w:r>
    </w:p>
    <w:p>
      <w:pPr>
        <w:numPr>
          <w:ilvl w:val="0"/>
          <w:numId w:val="9"/>
        </w:numPr>
        <w:spacing w:line="312" w:lineRule="auto"/>
        <w:rPr>
          <w:rFonts w:hint="eastAsia" w:ascii="宋体" w:hAnsi="宋体"/>
          <w:sz w:val="24"/>
          <w:lang w:val="en-US" w:eastAsia="zh-CN"/>
        </w:rPr>
      </w:pPr>
      <w:r>
        <w:rPr>
          <w:rFonts w:hint="eastAsia" w:ascii="宋体" w:hAnsi="宋体"/>
          <w:sz w:val="24"/>
        </w:rPr>
        <w:t>质量验收标准</w:t>
      </w:r>
      <w:r>
        <w:rPr>
          <w:rFonts w:hint="eastAsia" w:ascii="宋体" w:hAnsi="宋体"/>
          <w:sz w:val="24"/>
          <w:lang w:eastAsia="zh-CN"/>
        </w:rPr>
        <w:t>：</w:t>
      </w:r>
      <w:r>
        <w:rPr>
          <w:rFonts w:hint="eastAsia" w:ascii="宋体" w:hAnsi="宋体"/>
          <w:sz w:val="24"/>
          <w:lang w:val="en-US" w:eastAsia="zh-CN"/>
        </w:rPr>
        <w:t>见附件技术要求。</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产品的包装：</w:t>
      </w:r>
      <w:r>
        <w:rPr>
          <w:rFonts w:hint="eastAsia" w:ascii="宋体" w:hAnsi="宋体"/>
          <w:sz w:val="24"/>
          <w:lang w:val="en-US" w:eastAsia="zh-CN"/>
        </w:rPr>
        <w:t>袋装。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我司同意在投标前缴纳保证金</w:t>
      </w:r>
      <w:r>
        <w:rPr>
          <w:rFonts w:hint="eastAsia" w:ascii="宋体" w:hAnsi="宋体"/>
          <w:sz w:val="24"/>
          <w:lang w:val="en-US" w:eastAsia="zh-CN"/>
        </w:rPr>
        <w:t>壹万</w:t>
      </w:r>
      <w:r>
        <w:rPr>
          <w:rFonts w:hint="eastAsia" w:ascii="宋体" w:hAnsi="宋体"/>
          <w:sz w:val="24"/>
        </w:rPr>
        <w:t>元整，若我司中选，我司同意按照要求</w:t>
      </w:r>
      <w:r>
        <w:rPr>
          <w:rFonts w:hint="eastAsia" w:ascii="宋体" w:hAnsi="宋体"/>
          <w:sz w:val="24"/>
          <w:lang w:val="en-US" w:eastAsia="zh-CN"/>
        </w:rPr>
        <w:t>转为履约保证金并作为合同质保金（质保期：36个月）待履约期满后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到货，于2022</w:t>
      </w:r>
      <w:r>
        <w:rPr>
          <w:rFonts w:hint="eastAsia" w:ascii="宋体" w:hAnsi="宋体"/>
          <w:sz w:val="24"/>
          <w:lang w:val="en-US" w:eastAsia="zh-CN"/>
        </w:rPr>
        <w:t>年9月份具备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w:t>
      </w:r>
      <w:r>
        <w:rPr>
          <w:rFonts w:hint="eastAsia" w:ascii="宋体" w:hAnsi="宋体" w:cs="宋体"/>
          <w:sz w:val="24"/>
        </w:rPr>
        <w:t>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none"/>
        </w:rPr>
        <w:t>产品到货</w:t>
      </w:r>
      <w:r>
        <w:rPr>
          <w:rFonts w:hint="eastAsia" w:ascii="宋体" w:hAnsi="宋体" w:cs="宋体"/>
          <w:sz w:val="24"/>
          <w:highlight w:val="none"/>
          <w:lang w:val="en-US" w:eastAsia="zh-CN"/>
        </w:rPr>
        <w:t>经</w:t>
      </w:r>
      <w:r>
        <w:rPr>
          <w:rFonts w:hint="eastAsia" w:ascii="宋体" w:hAnsi="宋体" w:cs="宋体"/>
          <w:sz w:val="24"/>
          <w:szCs w:val="24"/>
          <w:lang w:val="en-US" w:eastAsia="zh-CN"/>
        </w:rPr>
        <w:t>需方收到并确认无误后，</w:t>
      </w:r>
      <w:r>
        <w:rPr>
          <w:rFonts w:hint="eastAsia" w:ascii="宋体" w:hAnsi="宋体" w:cs="宋体"/>
          <w:sz w:val="24"/>
          <w:szCs w:val="24"/>
        </w:rPr>
        <w:t>向供方支付</w:t>
      </w:r>
      <w:r>
        <w:rPr>
          <w:rFonts w:hint="eastAsia" w:ascii="宋体" w:hAnsi="宋体" w:cs="宋体"/>
          <w:sz w:val="24"/>
          <w:szCs w:val="24"/>
          <w:lang w:val="en-US" w:eastAsia="zh-CN"/>
        </w:rPr>
        <w:t>90%到</w:t>
      </w:r>
      <w:r>
        <w:rPr>
          <w:rFonts w:hint="eastAsia" w:ascii="宋体" w:hAnsi="宋体" w:cs="宋体"/>
          <w:sz w:val="24"/>
          <w:szCs w:val="24"/>
        </w:rPr>
        <w:t>货款</w:t>
      </w:r>
      <w:r>
        <w:rPr>
          <w:rFonts w:hint="eastAsia" w:ascii="宋体" w:hAnsi="宋体" w:cs="宋体"/>
          <w:sz w:val="24"/>
          <w:szCs w:val="24"/>
          <w:lang w:val="en-US" w:eastAsia="zh-CN"/>
        </w:rPr>
        <w:t>，余款10%为质保金，产品满足保证运行36个月后且无质量问题后付清。</w:t>
      </w:r>
    </w:p>
    <w:p>
      <w:pPr>
        <w:rPr>
          <w:rFonts w:ascii="宋体" w:hAnsi="宋体"/>
          <w:sz w:val="24"/>
        </w:rPr>
      </w:pPr>
      <w:r>
        <w:rPr>
          <w:rFonts w:hint="eastAsia" w:ascii="宋体" w:hAnsi="宋体"/>
          <w:sz w:val="24"/>
        </w:rPr>
        <w:t>四、相关技术要求，以福建福海创石油化工有限公司要求为准！</w:t>
      </w:r>
    </w:p>
    <w:p>
      <w:pPr>
        <w:numPr>
          <w:ilvl w:val="0"/>
          <w:numId w:val="10"/>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至</w:t>
      </w: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活性炭</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0726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_见附件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w:t>
      </w:r>
      <w:r>
        <w:rPr>
          <w:rFonts w:hint="eastAsia" w:ascii="宋体" w:hAnsi="宋体"/>
          <w:b w:val="0"/>
          <w:bCs/>
          <w:szCs w:val="21"/>
          <w:lang w:val="en-US" w:eastAsia="zh-CN"/>
        </w:rPr>
        <w:t>及技术要求</w:t>
      </w:r>
      <w:r>
        <w:rPr>
          <w:rFonts w:hint="eastAsia" w:ascii="宋体" w:hAnsi="宋体"/>
          <w:b w:val="0"/>
          <w:bCs/>
          <w:szCs w:val="21"/>
        </w:rPr>
        <w:t>约定的质量、数量标准验收合格后，供方提供相应金额的增值税专用发票以及结算所需的各类清单，需方收到并确认无误后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一次性到货，要求于</w:t>
      </w:r>
      <w:r>
        <w:rPr>
          <w:rFonts w:hint="eastAsia" w:ascii="宋体" w:hAnsi="宋体"/>
          <w:b w:val="0"/>
          <w:bCs/>
          <w:szCs w:val="21"/>
        </w:rPr>
        <w:t>2022</w:t>
      </w:r>
      <w:r>
        <w:rPr>
          <w:rFonts w:hint="eastAsia" w:ascii="宋体" w:hAnsi="宋体"/>
          <w:b w:val="0"/>
          <w:bCs/>
          <w:szCs w:val="21"/>
          <w:lang w:val="en-US" w:eastAsia="zh-CN"/>
        </w:rPr>
        <w:t>年9月份具备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bookmarkStart w:id="2" w:name="_GoBack"/>
      <w:bookmarkEnd w:id="2"/>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质保期：36个月），金额为人民币壹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硫磺回收联合装置活性炭的质量指标（Q/FHC M125-2020）：</w:t>
      </w:r>
    </w:p>
    <w:tbl>
      <w:tblPr>
        <w:tblStyle w:val="11"/>
        <w:tblW w:w="8296" w:type="dxa"/>
        <w:tblInd w:w="0" w:type="dxa"/>
        <w:tblLayout w:type="fixed"/>
        <w:tblCellMar>
          <w:top w:w="57" w:type="dxa"/>
          <w:left w:w="57" w:type="dxa"/>
          <w:bottom w:w="57" w:type="dxa"/>
          <w:right w:w="57" w:type="dxa"/>
        </w:tblCellMar>
      </w:tblPr>
      <w:tblGrid>
        <w:gridCol w:w="3025"/>
        <w:gridCol w:w="2507"/>
        <w:gridCol w:w="2764"/>
      </w:tblGrid>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b/>
                <w:bCs/>
                <w:szCs w:val="21"/>
                <w:lang w:val="en-US" w:eastAsia="zh-CN"/>
              </w:rPr>
            </w:pPr>
            <w:r>
              <w:rPr>
                <w:rFonts w:hint="eastAsia"/>
                <w:b/>
                <w:bCs/>
                <w:szCs w:val="21"/>
                <w:lang w:val="en-US" w:eastAsia="zh-CN"/>
              </w:rPr>
              <w:t>分析项目</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2" w:firstLineChars="200"/>
              <w:rPr>
                <w:rFonts w:hint="eastAsia"/>
                <w:b/>
                <w:bCs/>
                <w:szCs w:val="21"/>
                <w:lang w:val="en-US" w:eastAsia="zh-CN"/>
              </w:rPr>
            </w:pPr>
            <w:r>
              <w:rPr>
                <w:rFonts w:hint="eastAsia"/>
                <w:b/>
                <w:bCs/>
                <w:szCs w:val="21"/>
                <w:lang w:val="en-US" w:eastAsia="zh-CN"/>
              </w:rPr>
              <w:t>质量指标</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2" w:firstLineChars="200"/>
              <w:rPr>
                <w:rFonts w:hint="eastAsia"/>
                <w:b/>
                <w:bCs/>
                <w:szCs w:val="21"/>
                <w:lang w:val="en-US" w:eastAsia="zh-CN"/>
              </w:rPr>
            </w:pPr>
            <w:r>
              <w:rPr>
                <w:rFonts w:hint="eastAsia"/>
                <w:b/>
                <w:bCs/>
                <w:szCs w:val="21"/>
                <w:lang w:val="en-US" w:eastAsia="zh-CN"/>
              </w:rPr>
              <w:t>试验方法</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外观</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黑色柱状颗粒</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目测</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粒度</w:t>
            </w:r>
          </w:p>
          <w:p>
            <w:pPr>
              <w:spacing w:line="300" w:lineRule="exact"/>
              <w:rPr>
                <w:rFonts w:hint="eastAsia"/>
                <w:szCs w:val="21"/>
                <w:lang w:val="en-US" w:eastAsia="zh-CN"/>
              </w:rPr>
            </w:pPr>
            <w:r>
              <w:rPr>
                <w:rFonts w:hint="eastAsia"/>
                <w:szCs w:val="21"/>
                <w:lang w:val="en-US" w:eastAsia="zh-CN"/>
              </w:rPr>
              <w:t>Φ3～4mm，长度5～20mm</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≥90%</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12496.2-1999</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堆密度，g /cm3</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0.45～0.55</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12496.1-1999</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耐磨强度，%（wt）</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≥98</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12496.6-1999</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碘吸附值，mg/g</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≥1000</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12496.8-1999</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亚兰吸附值，mg/g</w:t>
            </w:r>
          </w:p>
          <w:p>
            <w:pPr>
              <w:spacing w:line="300" w:lineRule="exact"/>
              <w:rPr>
                <w:rFonts w:hint="eastAsia"/>
                <w:szCs w:val="21"/>
                <w:lang w:val="en-US" w:eastAsia="zh-CN"/>
              </w:rPr>
            </w:pPr>
            <w:r>
              <w:rPr>
                <w:rFonts w:hint="eastAsia"/>
                <w:szCs w:val="21"/>
                <w:lang w:val="en-US" w:eastAsia="zh-CN"/>
              </w:rPr>
              <w:t>或四氯化碳吸附率，%</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≥150</w:t>
            </w:r>
          </w:p>
          <w:p>
            <w:pPr>
              <w:spacing w:line="300" w:lineRule="exact"/>
              <w:ind w:firstLine="420" w:firstLineChars="200"/>
              <w:rPr>
                <w:rFonts w:hint="eastAsia"/>
                <w:szCs w:val="21"/>
                <w:lang w:val="en-US" w:eastAsia="zh-CN"/>
              </w:rPr>
            </w:pPr>
            <w:r>
              <w:rPr>
                <w:rFonts w:hint="eastAsia"/>
                <w:szCs w:val="21"/>
                <w:lang w:val="en-US" w:eastAsia="zh-CN"/>
              </w:rPr>
              <w:t>60～65</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12496.10-1999</w:t>
            </w:r>
          </w:p>
          <w:p>
            <w:pPr>
              <w:spacing w:line="300" w:lineRule="exact"/>
              <w:ind w:firstLine="420" w:firstLineChars="200"/>
              <w:rPr>
                <w:rFonts w:hint="eastAsia"/>
                <w:szCs w:val="21"/>
                <w:lang w:val="en-US" w:eastAsia="zh-CN"/>
              </w:rPr>
            </w:pPr>
            <w:r>
              <w:rPr>
                <w:rFonts w:hint="eastAsia"/>
                <w:szCs w:val="21"/>
                <w:lang w:val="en-US" w:eastAsia="zh-CN"/>
              </w:rPr>
              <w:t>GB/T7702.13-1997</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水份，%（wt）</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≤1</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12496.4-1999</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pH值</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8～10</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12496.7-1999</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自燃点，℃</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≥350</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 7702.9-1997</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比表面积，m2/g</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≥1000</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GB/T7702.21-1997</w:t>
            </w:r>
          </w:p>
        </w:tc>
      </w:tr>
      <w:tr>
        <w:tblPrEx>
          <w:tblLayout w:type="fixed"/>
          <w:tblCellMar>
            <w:top w:w="57" w:type="dxa"/>
            <w:left w:w="57" w:type="dxa"/>
            <w:bottom w:w="57" w:type="dxa"/>
            <w:right w:w="57" w:type="dxa"/>
          </w:tblCellMar>
        </w:tblPrEx>
        <w:tc>
          <w:tcPr>
            <w:tcW w:w="3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szCs w:val="21"/>
                <w:lang w:val="en-US" w:eastAsia="zh-CN"/>
              </w:rPr>
            </w:pPr>
            <w:r>
              <w:rPr>
                <w:rFonts w:hint="eastAsia"/>
                <w:szCs w:val="21"/>
                <w:lang w:val="en-US" w:eastAsia="zh-CN"/>
              </w:rPr>
              <w:t>孔容积，cm2/g</w:t>
            </w:r>
          </w:p>
        </w:tc>
        <w:tc>
          <w:tcPr>
            <w:tcW w:w="250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≥0.65</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szCs w:val="21"/>
                <w:lang w:val="en-US" w:eastAsia="zh-CN"/>
              </w:rPr>
            </w:pPr>
            <w:r>
              <w:rPr>
                <w:rFonts w:hint="eastAsia"/>
                <w:szCs w:val="21"/>
                <w:lang w:val="en-US" w:eastAsia="zh-CN"/>
              </w:rPr>
              <w:t>GB/T7702.20-1997</w:t>
            </w:r>
          </w:p>
        </w:tc>
      </w:tr>
    </w:tbl>
    <w:p>
      <w:pPr>
        <w:spacing w:line="300" w:lineRule="exact"/>
        <w:ind w:firstLine="420" w:firstLineChars="200"/>
        <w:rPr>
          <w:rFonts w:hint="eastAsia"/>
          <w:szCs w:val="21"/>
          <w:lang w:val="en-US" w:eastAsia="zh-CN"/>
        </w:rPr>
      </w:pPr>
      <w:r>
        <w:rPr>
          <w:rFonts w:hint="eastAsia"/>
          <w:szCs w:val="21"/>
          <w:lang w:val="en-US" w:eastAsia="zh-CN"/>
        </w:rPr>
        <w:t>5.3 技术保证值：</w:t>
      </w:r>
    </w:p>
    <w:p>
      <w:pPr>
        <w:spacing w:line="300" w:lineRule="exact"/>
        <w:ind w:firstLine="420" w:firstLineChars="200"/>
        <w:rPr>
          <w:rFonts w:hint="eastAsia"/>
          <w:szCs w:val="21"/>
          <w:lang w:val="en-US" w:eastAsia="zh-CN"/>
        </w:rPr>
      </w:pPr>
      <w:r>
        <w:rPr>
          <w:rFonts w:hint="eastAsia"/>
          <w:szCs w:val="21"/>
          <w:lang w:val="en-US" w:eastAsia="zh-CN"/>
        </w:rPr>
        <w:t>保证运行周期：根据附件技术要求的工艺条件，活性炭满足生产要求且保证过滤器压差≤0.03MPa的情况下连续运行36个月。</w:t>
      </w:r>
    </w:p>
    <w:p>
      <w:pPr>
        <w:spacing w:line="300" w:lineRule="exact"/>
        <w:ind w:firstLine="420" w:firstLineChars="200"/>
        <w:rPr>
          <w:rFonts w:hint="eastAsia"/>
          <w:szCs w:val="21"/>
          <w:lang w:val="en-US" w:eastAsia="zh-CN"/>
        </w:rPr>
      </w:pPr>
      <w:r>
        <w:rPr>
          <w:rFonts w:hint="eastAsia"/>
          <w:szCs w:val="21"/>
          <w:lang w:val="en-US" w:eastAsia="zh-CN"/>
        </w:rPr>
        <w:t>5.4 具体验收、技术服务范围详见附件技术要求。</w:t>
      </w:r>
    </w:p>
    <w:p>
      <w:pPr>
        <w:spacing w:line="300" w:lineRule="exact"/>
        <w:ind w:firstLine="420" w:firstLineChars="200"/>
        <w:rPr>
          <w:rFonts w:hint="eastAsia"/>
          <w:szCs w:val="21"/>
          <w:lang w:val="en-US" w:eastAsia="zh-CN"/>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85A285"/>
    <w:multiLevelType w:val="singleLevel"/>
    <w:tmpl w:val="6285A285"/>
    <w:lvl w:ilvl="0" w:tentative="0">
      <w:start w:val="5"/>
      <w:numFmt w:val="decimal"/>
      <w:suff w:val="nothing"/>
      <w:lvlText w:val="%1、"/>
      <w:lvlJc w:val="left"/>
    </w:lvl>
  </w:abstractNum>
  <w:abstractNum w:abstractNumId="8">
    <w:nsid w:val="62E0B096"/>
    <w:multiLevelType w:val="singleLevel"/>
    <w:tmpl w:val="62E0B096"/>
    <w:lvl w:ilvl="0" w:tentative="0">
      <w:start w:val="1"/>
      <w:numFmt w:val="chineseCounting"/>
      <w:suff w:val="nothing"/>
      <w:lvlText w:val="%1、"/>
      <w:lvlJc w:val="left"/>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1"/>
  </w:num>
  <w:num w:numId="3">
    <w:abstractNumId w:val="9"/>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1013A0"/>
    <w:rsid w:val="06371599"/>
    <w:rsid w:val="064416AA"/>
    <w:rsid w:val="06A3708D"/>
    <w:rsid w:val="06AB00B1"/>
    <w:rsid w:val="06DA70D7"/>
    <w:rsid w:val="070356B5"/>
    <w:rsid w:val="07262892"/>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10167D42"/>
    <w:rsid w:val="105A2ADD"/>
    <w:rsid w:val="1085542D"/>
    <w:rsid w:val="108973F3"/>
    <w:rsid w:val="108E2EA4"/>
    <w:rsid w:val="10C613A6"/>
    <w:rsid w:val="10F1561E"/>
    <w:rsid w:val="111E4EA7"/>
    <w:rsid w:val="11715093"/>
    <w:rsid w:val="118A38B5"/>
    <w:rsid w:val="122E4A94"/>
    <w:rsid w:val="125F61EF"/>
    <w:rsid w:val="12737A03"/>
    <w:rsid w:val="12837C22"/>
    <w:rsid w:val="12CF31F9"/>
    <w:rsid w:val="12EA195B"/>
    <w:rsid w:val="12F479DF"/>
    <w:rsid w:val="1363320F"/>
    <w:rsid w:val="1387789C"/>
    <w:rsid w:val="13B74194"/>
    <w:rsid w:val="13F91261"/>
    <w:rsid w:val="147E1569"/>
    <w:rsid w:val="14937361"/>
    <w:rsid w:val="149868E6"/>
    <w:rsid w:val="15033088"/>
    <w:rsid w:val="150647E6"/>
    <w:rsid w:val="15101A52"/>
    <w:rsid w:val="15125849"/>
    <w:rsid w:val="15BF2E22"/>
    <w:rsid w:val="15C31A47"/>
    <w:rsid w:val="15FE1EB4"/>
    <w:rsid w:val="16172661"/>
    <w:rsid w:val="16270A04"/>
    <w:rsid w:val="165069FC"/>
    <w:rsid w:val="173501B1"/>
    <w:rsid w:val="173B43BC"/>
    <w:rsid w:val="178C691A"/>
    <w:rsid w:val="179453BC"/>
    <w:rsid w:val="183B0D71"/>
    <w:rsid w:val="184968FC"/>
    <w:rsid w:val="185D1C5F"/>
    <w:rsid w:val="188C5585"/>
    <w:rsid w:val="18C27F65"/>
    <w:rsid w:val="18FA6BBD"/>
    <w:rsid w:val="191A3D61"/>
    <w:rsid w:val="192A2CC6"/>
    <w:rsid w:val="19E5432A"/>
    <w:rsid w:val="19F04AD4"/>
    <w:rsid w:val="1A2F6DF9"/>
    <w:rsid w:val="1A4C05AB"/>
    <w:rsid w:val="1A4F0A64"/>
    <w:rsid w:val="1AF22A1C"/>
    <w:rsid w:val="1AFD66F4"/>
    <w:rsid w:val="1B233A0E"/>
    <w:rsid w:val="1B8F7883"/>
    <w:rsid w:val="1B927AE6"/>
    <w:rsid w:val="1BC93515"/>
    <w:rsid w:val="1C1B3FE4"/>
    <w:rsid w:val="1C513BF0"/>
    <w:rsid w:val="1C8261A0"/>
    <w:rsid w:val="1CF31038"/>
    <w:rsid w:val="1D0113C9"/>
    <w:rsid w:val="1D05782C"/>
    <w:rsid w:val="1DB72E7F"/>
    <w:rsid w:val="1DDB74E0"/>
    <w:rsid w:val="1E2F61EF"/>
    <w:rsid w:val="1E3264F3"/>
    <w:rsid w:val="1E4C41B9"/>
    <w:rsid w:val="1E600A9D"/>
    <w:rsid w:val="1EB505E6"/>
    <w:rsid w:val="1EBD3B62"/>
    <w:rsid w:val="1F02429F"/>
    <w:rsid w:val="1F133081"/>
    <w:rsid w:val="1F590291"/>
    <w:rsid w:val="205B53A6"/>
    <w:rsid w:val="207E3421"/>
    <w:rsid w:val="208A175C"/>
    <w:rsid w:val="2090579A"/>
    <w:rsid w:val="20AF45AF"/>
    <w:rsid w:val="215846DF"/>
    <w:rsid w:val="21BD6DBB"/>
    <w:rsid w:val="220D48A0"/>
    <w:rsid w:val="22345BE0"/>
    <w:rsid w:val="22521DD3"/>
    <w:rsid w:val="227B0690"/>
    <w:rsid w:val="228E5A58"/>
    <w:rsid w:val="22A35795"/>
    <w:rsid w:val="22A62B30"/>
    <w:rsid w:val="22BC3466"/>
    <w:rsid w:val="22ED3ED6"/>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E0040C"/>
    <w:rsid w:val="25F3676D"/>
    <w:rsid w:val="26035576"/>
    <w:rsid w:val="26AC6EB8"/>
    <w:rsid w:val="274761A1"/>
    <w:rsid w:val="27937EDA"/>
    <w:rsid w:val="27CF60B0"/>
    <w:rsid w:val="27E234BC"/>
    <w:rsid w:val="28012C6B"/>
    <w:rsid w:val="280475E2"/>
    <w:rsid w:val="285B7C69"/>
    <w:rsid w:val="28B0150E"/>
    <w:rsid w:val="299A1AD2"/>
    <w:rsid w:val="29AC4DAC"/>
    <w:rsid w:val="29B80978"/>
    <w:rsid w:val="29C91ED4"/>
    <w:rsid w:val="29CE07E6"/>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C791F7B"/>
    <w:rsid w:val="2D2B1461"/>
    <w:rsid w:val="2DA319DC"/>
    <w:rsid w:val="2DF06759"/>
    <w:rsid w:val="2E12514F"/>
    <w:rsid w:val="2E351771"/>
    <w:rsid w:val="2E3E4E8D"/>
    <w:rsid w:val="2EAD2321"/>
    <w:rsid w:val="2EE479B6"/>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34494"/>
    <w:rsid w:val="319D55BA"/>
    <w:rsid w:val="31CE1FAB"/>
    <w:rsid w:val="31F46862"/>
    <w:rsid w:val="322E5C7B"/>
    <w:rsid w:val="323947FC"/>
    <w:rsid w:val="323D28AC"/>
    <w:rsid w:val="323F6C8A"/>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4D527B"/>
    <w:rsid w:val="35B058C7"/>
    <w:rsid w:val="35C34418"/>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4D6190"/>
    <w:rsid w:val="3A5116BA"/>
    <w:rsid w:val="3A87079F"/>
    <w:rsid w:val="3A8C3BAF"/>
    <w:rsid w:val="3AD63889"/>
    <w:rsid w:val="3ADE5E05"/>
    <w:rsid w:val="3B293E28"/>
    <w:rsid w:val="3B2F7891"/>
    <w:rsid w:val="3B573FA4"/>
    <w:rsid w:val="3B5B044B"/>
    <w:rsid w:val="3BD4036B"/>
    <w:rsid w:val="3C1D4BEF"/>
    <w:rsid w:val="3C1E5B01"/>
    <w:rsid w:val="3C333506"/>
    <w:rsid w:val="3C656913"/>
    <w:rsid w:val="3C94066E"/>
    <w:rsid w:val="3CFE624A"/>
    <w:rsid w:val="3D1251D3"/>
    <w:rsid w:val="3D173430"/>
    <w:rsid w:val="3D470E27"/>
    <w:rsid w:val="3D475A63"/>
    <w:rsid w:val="3E447FF5"/>
    <w:rsid w:val="3F1539A0"/>
    <w:rsid w:val="3F1E4982"/>
    <w:rsid w:val="3F516B77"/>
    <w:rsid w:val="3FEE6A4A"/>
    <w:rsid w:val="40103052"/>
    <w:rsid w:val="401F30A7"/>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A60A9"/>
    <w:rsid w:val="42DC0DDB"/>
    <w:rsid w:val="43396FCF"/>
    <w:rsid w:val="43434628"/>
    <w:rsid w:val="43482915"/>
    <w:rsid w:val="4351032C"/>
    <w:rsid w:val="4355293C"/>
    <w:rsid w:val="439439C5"/>
    <w:rsid w:val="43D46D19"/>
    <w:rsid w:val="44236751"/>
    <w:rsid w:val="448C78B8"/>
    <w:rsid w:val="44CB1108"/>
    <w:rsid w:val="44E4129A"/>
    <w:rsid w:val="453F611C"/>
    <w:rsid w:val="454D6E39"/>
    <w:rsid w:val="45557752"/>
    <w:rsid w:val="45C94E39"/>
    <w:rsid w:val="45CD5D18"/>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4B104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4A24A6"/>
    <w:rsid w:val="4B945212"/>
    <w:rsid w:val="4BC2454D"/>
    <w:rsid w:val="4BF27690"/>
    <w:rsid w:val="4C204881"/>
    <w:rsid w:val="4C775DE6"/>
    <w:rsid w:val="4C82133E"/>
    <w:rsid w:val="4CA3109F"/>
    <w:rsid w:val="4D13604C"/>
    <w:rsid w:val="4DA80E22"/>
    <w:rsid w:val="4DB81F25"/>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4F0589D"/>
    <w:rsid w:val="553E317D"/>
    <w:rsid w:val="554D2C1E"/>
    <w:rsid w:val="556D7264"/>
    <w:rsid w:val="559230BD"/>
    <w:rsid w:val="55E907A3"/>
    <w:rsid w:val="55E92CB5"/>
    <w:rsid w:val="56325307"/>
    <w:rsid w:val="5659474A"/>
    <w:rsid w:val="56732B47"/>
    <w:rsid w:val="5733660F"/>
    <w:rsid w:val="573834F1"/>
    <w:rsid w:val="57463334"/>
    <w:rsid w:val="574B6739"/>
    <w:rsid w:val="574D21DE"/>
    <w:rsid w:val="578B6597"/>
    <w:rsid w:val="57942C39"/>
    <w:rsid w:val="57EB2081"/>
    <w:rsid w:val="583F04BE"/>
    <w:rsid w:val="5845276D"/>
    <w:rsid w:val="587159F2"/>
    <w:rsid w:val="58BD4EAA"/>
    <w:rsid w:val="58C534B8"/>
    <w:rsid w:val="58D83A19"/>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4F430C"/>
    <w:rsid w:val="5C514191"/>
    <w:rsid w:val="5C8B0489"/>
    <w:rsid w:val="5CE9783D"/>
    <w:rsid w:val="5D3038FF"/>
    <w:rsid w:val="5DCB432F"/>
    <w:rsid w:val="5DD6127D"/>
    <w:rsid w:val="5DD956B5"/>
    <w:rsid w:val="5DE04163"/>
    <w:rsid w:val="5E086E60"/>
    <w:rsid w:val="5E5B4B1E"/>
    <w:rsid w:val="5E806603"/>
    <w:rsid w:val="5EDC2437"/>
    <w:rsid w:val="5F0D17C2"/>
    <w:rsid w:val="5F3C0936"/>
    <w:rsid w:val="5F402AFE"/>
    <w:rsid w:val="5F683B20"/>
    <w:rsid w:val="5F6A1B70"/>
    <w:rsid w:val="5F715923"/>
    <w:rsid w:val="5F74528F"/>
    <w:rsid w:val="5F905960"/>
    <w:rsid w:val="5FAD0C82"/>
    <w:rsid w:val="600E16AB"/>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631670"/>
    <w:rsid w:val="64834708"/>
    <w:rsid w:val="64AC0A38"/>
    <w:rsid w:val="64D45316"/>
    <w:rsid w:val="651A5C4B"/>
    <w:rsid w:val="653116C9"/>
    <w:rsid w:val="653A164C"/>
    <w:rsid w:val="65B31BCC"/>
    <w:rsid w:val="65B87A10"/>
    <w:rsid w:val="65D35C16"/>
    <w:rsid w:val="666879C6"/>
    <w:rsid w:val="66EA1E3B"/>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26EA2"/>
    <w:rsid w:val="6AC44695"/>
    <w:rsid w:val="6B477EF6"/>
    <w:rsid w:val="6B513865"/>
    <w:rsid w:val="6B9A256C"/>
    <w:rsid w:val="6BA373FF"/>
    <w:rsid w:val="6BEB1E5F"/>
    <w:rsid w:val="6C4957FC"/>
    <w:rsid w:val="6C53730E"/>
    <w:rsid w:val="6C5534FB"/>
    <w:rsid w:val="6C61176F"/>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684B0F"/>
    <w:rsid w:val="768F104B"/>
    <w:rsid w:val="76AC7129"/>
    <w:rsid w:val="76D15FF3"/>
    <w:rsid w:val="773C2D8E"/>
    <w:rsid w:val="77550A67"/>
    <w:rsid w:val="777469FE"/>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57648B"/>
    <w:rsid w:val="7B7027FC"/>
    <w:rsid w:val="7B740622"/>
    <w:rsid w:val="7B8D786E"/>
    <w:rsid w:val="7B994BC5"/>
    <w:rsid w:val="7BDC7402"/>
    <w:rsid w:val="7BE145C1"/>
    <w:rsid w:val="7C152DD9"/>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5</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2022-07-27T03:24:29Z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