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PTA团队M301滤桥采购项目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（文件编号：QG2206130029）</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七</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福建福海创石油化工有限公司PTA团队M301滤桥采购项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福建福海创石油化工有限公司PTA团队M301滤桥采购项目（项目编号：QG2206130029）</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项目名称：福建福海创石油化工有限公司PTA团队M301滤桥采购项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w:t>
      </w:r>
    </w:p>
    <w:p>
      <w:pPr>
        <w:tabs>
          <w:tab w:val="left" w:pos="709"/>
        </w:tabs>
        <w:spacing w:line="360" w:lineRule="auto"/>
        <w:ind w:firstLine="480" w:firstLineChars="200"/>
        <w:rPr>
          <w:lang w:eastAsia="zh-CN"/>
        </w:rPr>
      </w:pPr>
      <w:r>
        <w:rPr>
          <w:rFonts w:hint="eastAsia"/>
          <w:sz w:val="24"/>
          <w:szCs w:val="24"/>
          <w:lang w:eastAsia="zh-CN"/>
        </w:rPr>
        <w:t>M301滤桥采购采购清单如下，</w:t>
      </w:r>
      <w:r>
        <w:rPr>
          <w:rFonts w:hint="eastAsia"/>
          <w:sz w:val="24"/>
          <w:szCs w:val="24"/>
          <w:lang w:val="en-US" w:eastAsia="zh-CN"/>
        </w:rPr>
        <w:t>具体详见附件《福建福海创石油化工有限公司M301滤桥采购要求》</w:t>
      </w:r>
      <w:r>
        <w:rPr>
          <w:rFonts w:hint="eastAsia"/>
          <w:sz w:val="24"/>
          <w:szCs w:val="24"/>
          <w:lang w:eastAsia="zh-CN"/>
        </w:rPr>
        <w:t>：</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135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val="en-US" w:eastAsia="zh-CN"/>
              </w:rPr>
              <w:t>1599999822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val="en-US" w:eastAsia="zh-CN"/>
              </w:rPr>
              <w:t>滤桥</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val="en-US" w:eastAsia="zh-CN"/>
              </w:rPr>
              <w:t>113×1660L×12，板厚2mm，孔径3mm，M-301A/B/C/D-1/2/3\MATERIAL:SUS316L\DWG NO:184166\P/N:5B\MANUFACTURER:MKK</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val="en-US" w:eastAsia="zh-CN"/>
              </w:rPr>
              <w:t>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rPr>
            </w:pPr>
            <w:r>
              <w:rPr>
                <w:rFonts w:hint="eastAsia"/>
                <w:color w:val="000000"/>
                <w:sz w:val="18"/>
                <w:szCs w:val="18"/>
                <w:lang w:val="en-US" w:eastAsia="zh-CN"/>
              </w:rPr>
              <w:t>300</w:t>
            </w:r>
          </w:p>
        </w:tc>
      </w:tr>
      <w:tr>
        <w:tblPrEx>
          <w:tblCellMar>
            <w:top w:w="15" w:type="dxa"/>
            <w:left w:w="15" w:type="dxa"/>
            <w:bottom w:w="15" w:type="dxa"/>
            <w:right w:w="15" w:type="dxa"/>
          </w:tblCellMar>
        </w:tblPrEx>
        <w:trPr>
          <w:trHeight w:val="1353"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rPr>
            </w:pPr>
            <w:r>
              <w:rPr>
                <w:rFonts w:hint="eastAsia"/>
                <w:color w:val="000000"/>
                <w:sz w:val="18"/>
                <w:szCs w:val="18"/>
                <w:lang w:val="en-US" w:eastAsia="zh-CN"/>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val="en-US" w:eastAsia="zh-CN"/>
              </w:rPr>
            </w:pPr>
            <w:r>
              <w:rPr>
                <w:rFonts w:hint="eastAsia"/>
                <w:color w:val="000000"/>
                <w:sz w:val="18"/>
                <w:szCs w:val="18"/>
                <w:lang w:val="en-US" w:eastAsia="zh-CN"/>
              </w:rPr>
              <w:t>1599999823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val="en-US" w:eastAsia="zh-CN"/>
              </w:rPr>
            </w:pPr>
            <w:r>
              <w:rPr>
                <w:rFonts w:hint="eastAsia"/>
                <w:color w:val="000000"/>
                <w:sz w:val="18"/>
                <w:szCs w:val="18"/>
                <w:lang w:val="en-US" w:eastAsia="zh-CN"/>
              </w:rPr>
              <w:t>滤桥</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eastAsia"/>
                <w:color w:val="000000"/>
                <w:sz w:val="18"/>
                <w:szCs w:val="18"/>
                <w:lang w:val="en-US" w:eastAsia="zh-CN"/>
              </w:rPr>
            </w:pPr>
            <w:r>
              <w:rPr>
                <w:rFonts w:hint="eastAsia"/>
                <w:color w:val="000000"/>
                <w:sz w:val="18"/>
                <w:szCs w:val="18"/>
                <w:lang w:val="en-US" w:eastAsia="zh-CN"/>
              </w:rPr>
              <w:t>113×1240L×12，板厚2mm，孔径3mm，M-301A/B/C/D-1/2/3\MATERIAL:SUS316L\DWG NO:184166\P/N:5A\MANUFACTURER:MKK</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18"/>
                <w:szCs w:val="18"/>
                <w:lang w:eastAsia="zh-CN"/>
              </w:rPr>
            </w:pPr>
            <w:r>
              <w:rPr>
                <w:rFonts w:hint="eastAsia"/>
                <w:color w:val="000000"/>
                <w:sz w:val="18"/>
                <w:szCs w:val="18"/>
                <w:lang w:val="en-US" w:eastAsia="zh-CN"/>
              </w:rPr>
              <w:t>片</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color w:val="000000"/>
                <w:sz w:val="18"/>
                <w:szCs w:val="18"/>
                <w:lang w:val="en-US" w:eastAsia="zh-CN"/>
              </w:rPr>
            </w:pPr>
            <w:r>
              <w:rPr>
                <w:rFonts w:hint="eastAsia"/>
                <w:color w:val="000000"/>
                <w:sz w:val="18"/>
                <w:szCs w:val="18"/>
                <w:lang w:val="en-US" w:eastAsia="zh-CN"/>
              </w:rPr>
              <w:t>570</w:t>
            </w:r>
          </w:p>
        </w:tc>
      </w:tr>
    </w:tbl>
    <w:p>
      <w:pPr>
        <w:tabs>
          <w:tab w:val="left" w:pos="709"/>
        </w:tabs>
        <w:spacing w:line="360" w:lineRule="auto"/>
        <w:rPr>
          <w:sz w:val="24"/>
          <w:szCs w:val="24"/>
          <w:lang w:eastAsia="zh-CN"/>
        </w:rPr>
      </w:pPr>
    </w:p>
    <w:p>
      <w:pPr>
        <w:tabs>
          <w:tab w:val="left" w:pos="709"/>
        </w:tabs>
        <w:spacing w:line="360" w:lineRule="auto"/>
        <w:ind w:firstLine="480" w:firstLineChars="200"/>
        <w:rPr>
          <w:lang w:eastAsia="zh-CN"/>
        </w:rPr>
      </w:pPr>
      <w:r>
        <w:rPr>
          <w:rFonts w:hint="eastAsia"/>
          <w:sz w:val="24"/>
          <w:szCs w:val="24"/>
          <w:lang w:eastAsia="zh-CN"/>
        </w:rPr>
        <w:t>3.</w:t>
      </w:r>
      <w:r>
        <w:rPr>
          <w:rFonts w:hint="eastAsia"/>
          <w:sz w:val="24"/>
          <w:lang w:eastAsia="zh-CN"/>
        </w:rPr>
        <w:t>付款方式要求：无预付款。全部货款以现汇支付，</w:t>
      </w:r>
      <w:r>
        <w:rPr>
          <w:rFonts w:hint="eastAsia"/>
          <w:sz w:val="24"/>
          <w:u w:val="single"/>
          <w:lang w:eastAsia="zh-CN"/>
        </w:rPr>
        <w:t>货到验收合格付90%，质保金10%</w:t>
      </w:r>
      <w:r>
        <w:rPr>
          <w:rFonts w:hint="eastAsia"/>
          <w:sz w:val="24"/>
          <w:lang w:eastAsia="zh-CN"/>
        </w:rPr>
        <w:t>（质保期以最终双方签定的技术协议为准）。</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pPr>
      <w:r>
        <w:rPr>
          <w:rFonts w:hint="eastAsia"/>
          <w:color w:val="000000" w:themeColor="text1"/>
          <w:sz w:val="24"/>
          <w:szCs w:val="24"/>
          <w:lang w:eastAsia="zh-CN"/>
        </w:rPr>
        <w:t>3</w:t>
      </w:r>
      <w:r>
        <w:rPr>
          <w:rFonts w:hint="eastAsia"/>
          <w:color w:val="000000" w:themeColor="text1"/>
          <w:sz w:val="24"/>
          <w:szCs w:val="24"/>
          <w:lang w:val="en-US" w:eastAsia="zh-CN"/>
        </w:rPr>
        <w:t>.</w:t>
      </w:r>
      <w:r>
        <w:rPr>
          <w:rFonts w:hint="eastAsia" w:ascii="宋体" w:hAnsi="宋体"/>
          <w:sz w:val="24"/>
        </w:rPr>
        <w:t>具有PTA行业类似过滤机滤桥备件加工、制造业绩。（我司滤桥长度1.66米，宽度0.12米，厚度2mm）提供</w:t>
      </w:r>
      <w:r>
        <w:rPr>
          <w:rFonts w:hint="eastAsia"/>
          <w:sz w:val="24"/>
        </w:rPr>
        <w:t>三年承制</w:t>
      </w:r>
      <w:bookmarkStart w:id="16" w:name="_GoBack"/>
      <w:bookmarkEnd w:id="16"/>
      <w:r>
        <w:rPr>
          <w:rFonts w:hint="eastAsia"/>
          <w:sz w:val="24"/>
        </w:rPr>
        <w:t>过的相近规格设备滤桥制造业绩及合同扫描件（务必真实有效，福海创有权要求投标商提供相应佐证材料或现场确认）</w:t>
      </w:r>
      <w:r>
        <w:rPr>
          <w:rFonts w:hint="eastAsia"/>
          <w:color w:val="000000" w:themeColor="text1"/>
          <w:sz w:val="24"/>
          <w:szCs w:val="24"/>
          <w:lang w:eastAsia="zh-CN"/>
        </w:rPr>
        <w:t>。</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lang w:eastAsia="zh-CN"/>
        </w:rPr>
      </w:pPr>
      <w:r>
        <w:rPr>
          <w:rFonts w:hint="eastAsia"/>
          <w:lang w:eastAsia="zh-CN"/>
        </w:rPr>
        <w:t xml:space="preserve">    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12</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lang w:eastAsia="zh-CN"/>
        </w:rPr>
        <w:t>福建福海创石油化工有限公司PTA团队M301滤桥采购。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lang w:eastAsia="zh-CN"/>
        </w:rPr>
      </w:pPr>
      <w:r>
        <w:rPr>
          <w:rFonts w:hint="eastAsia"/>
          <w:lang w:eastAsia="zh-CN"/>
        </w:rPr>
        <w:t>技术联系人：白秦瑜 0596-6311797, qybai@fhcpec.com.cn   </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lang w:eastAsia="zh-CN"/>
        </w:rPr>
        <w:t>徐明兴</w:t>
      </w:r>
      <w:r>
        <w:rPr>
          <w:rFonts w:hint="eastAsia"/>
          <w:lang w:eastAsia="zh-CN"/>
        </w:rPr>
        <w:t xml:space="preserve"> 13779967252，xumx@fhcpec.com.cn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参选单位应是具备独立法人资格且有能力按我司需求提供货物及服务的制造商。</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w:t>
      </w:r>
      <w:r>
        <w:rPr>
          <w:rFonts w:hint="eastAsia" w:ascii="宋体" w:hAnsi="宋体"/>
          <w:sz w:val="24"/>
        </w:rPr>
        <w:t>具有PTA行业类似过滤机滤桥备件加工、制造业绩。（我司滤桥长度1.66米，宽度0.12米，厚度2mm）提供</w:t>
      </w:r>
      <w:r>
        <w:rPr>
          <w:rFonts w:hint="eastAsia"/>
          <w:sz w:val="24"/>
        </w:rPr>
        <w:t>三年承制过的相近规格设备滤桥制造业绩及合同扫描件（务必真实有效，福海创有权要求投标商提供相应佐证材料或现场确认）</w:t>
      </w:r>
      <w:r>
        <w:rPr>
          <w:rFonts w:hint="eastAsia"/>
          <w:color w:val="000000" w:themeColor="text1"/>
          <w:sz w:val="24"/>
          <w:szCs w:val="24"/>
          <w:lang w:eastAsia="zh-CN"/>
        </w:rPr>
        <w:t>。</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rFonts w:hint="eastAsia"/>
          <w:lang w:eastAsia="zh-CN"/>
        </w:rPr>
        <w:t xml:space="preserve">    1. 本项目不适用参选保证金，但参选单位未能按接到中标通知书后规定的时间内签定合同或中选不执行等未履约事宜，比选人将把参选单位纳入比选人的黑名单，以后不得参与比选人的公开招投标和公开比选等一切采购项目。</w:t>
      </w:r>
      <w:r>
        <w:rPr>
          <w:lang w:eastAsia="zh-CN"/>
        </w:rPr>
        <w:t xml:space="preserve"> </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徐明兴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13779967252。</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25.50297</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eastAsia="zh-CN"/>
        </w:rPr>
        <w:t>翔鹭石化（漳州）有限公司”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ascii="Times New Roman"/>
          <w:b/>
          <w:bCs/>
          <w:lang w:eastAsia="zh-CN"/>
        </w:rPr>
      </w:pPr>
      <w:r>
        <w:rPr>
          <w:rFonts w:hint="eastAsia" w:ascii="Times New Roman"/>
          <w:b/>
          <w:bCs/>
          <w:lang w:eastAsia="zh-CN"/>
        </w:rPr>
        <w:t>附件一、合同</w:t>
      </w:r>
      <w:bookmarkStart w:id="0" w:name="_Toc251742852"/>
      <w:r>
        <w:rPr>
          <w:rFonts w:hint="eastAsia" w:ascii="Times New Roman"/>
          <w:b/>
          <w:bCs/>
          <w:lang w:eastAsia="zh-CN"/>
        </w:rPr>
        <w:t>条款</w:t>
      </w: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pStyle w:val="20"/>
        <w:rPr>
          <w:rFonts w:ascii="Times New Roman"/>
          <w:b/>
          <w:bCs/>
          <w:lang w:eastAsia="zh-CN"/>
        </w:rPr>
      </w:pPr>
    </w:p>
    <w:p>
      <w:pPr>
        <w:jc w:val="center"/>
        <w:rPr>
          <w:b/>
          <w:sz w:val="44"/>
          <w:szCs w:val="44"/>
          <w:lang w:eastAsia="zh-CN"/>
        </w:rPr>
      </w:pPr>
      <w:bookmarkStart w:id="1" w:name="_Toc31173"/>
      <w:bookmarkStart w:id="2" w:name="_Toc20180"/>
      <w:bookmarkStart w:id="3" w:name="_Toc4114"/>
      <w:bookmarkStart w:id="4" w:name="_Toc31402"/>
      <w:bookmarkStart w:id="5" w:name="_Toc385779252"/>
      <w:bookmarkStart w:id="6" w:name="_Toc17959"/>
      <w:bookmarkStart w:id="7" w:name="_Toc20273"/>
      <w:bookmarkStart w:id="8" w:name="_Toc14171"/>
      <w:bookmarkStart w:id="9" w:name="_Toc8520"/>
      <w:bookmarkStart w:id="10" w:name="_Toc10991"/>
      <w:bookmarkStart w:id="11" w:name="_Toc27787"/>
      <w:bookmarkStart w:id="12" w:name="_Toc18049"/>
      <w:bookmarkStart w:id="13" w:name="_Toc2239"/>
      <w:bookmarkStart w:id="14" w:name="_Toc352146655"/>
      <w:bookmarkStart w:id="15" w:name="_Toc23434"/>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rFonts w:hint="eastAsia"/>
          <w:b/>
          <w:color w:val="000000"/>
          <w:sz w:val="44"/>
          <w:szCs w:val="44"/>
          <w:u w:val="single"/>
          <w:lang w:eastAsia="zh-CN"/>
        </w:rPr>
        <w:t xml:space="preserve">                           </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        )</w:t>
      </w: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u w:val="single"/>
          <w:lang w:eastAsia="zh-CN"/>
        </w:rPr>
        <w:t xml:space="preserve">             </w:t>
      </w:r>
      <w:r>
        <w:rPr>
          <w:rFonts w:hint="eastAsia"/>
          <w:b/>
          <w:bCs/>
          <w:sz w:val="24"/>
          <w:szCs w:val="24"/>
          <w:lang w:eastAsia="zh-CN"/>
        </w:rPr>
        <w:t>采购价格清单</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374"/>
        <w:gridCol w:w="2426"/>
        <w:gridCol w:w="851"/>
        <w:gridCol w:w="943"/>
        <w:gridCol w:w="1311"/>
        <w:gridCol w:w="1537"/>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 w:type="dxa"/>
            <w:vAlign w:val="center"/>
          </w:tcPr>
          <w:p>
            <w:pPr>
              <w:widowControl/>
              <w:autoSpaceDE/>
              <w:autoSpaceDN/>
              <w:jc w:val="center"/>
              <w:rPr>
                <w:lang w:eastAsia="zh-CN"/>
              </w:rPr>
            </w:pPr>
            <w:r>
              <w:rPr>
                <w:lang w:eastAsia="zh-CN"/>
              </w:rPr>
              <w:t>序号</w:t>
            </w:r>
          </w:p>
        </w:tc>
        <w:tc>
          <w:tcPr>
            <w:tcW w:w="1374" w:type="dxa"/>
            <w:vAlign w:val="center"/>
          </w:tcPr>
          <w:p>
            <w:pPr>
              <w:widowControl/>
              <w:autoSpaceDE/>
              <w:autoSpaceDN/>
              <w:jc w:val="center"/>
              <w:rPr>
                <w:lang w:eastAsia="zh-CN"/>
              </w:rPr>
            </w:pPr>
            <w:r>
              <w:rPr>
                <w:lang w:eastAsia="zh-CN"/>
              </w:rPr>
              <w:t>物品名称</w:t>
            </w:r>
          </w:p>
        </w:tc>
        <w:tc>
          <w:tcPr>
            <w:tcW w:w="2426" w:type="dxa"/>
            <w:vAlign w:val="center"/>
          </w:tcPr>
          <w:p>
            <w:pPr>
              <w:widowControl/>
              <w:autoSpaceDE/>
              <w:autoSpaceDN/>
              <w:jc w:val="center"/>
              <w:rPr>
                <w:lang w:eastAsia="zh-CN"/>
              </w:rPr>
            </w:pPr>
            <w:r>
              <w:rPr>
                <w:lang w:eastAsia="zh-CN"/>
              </w:rPr>
              <w:t>规格</w:t>
            </w:r>
            <w:r>
              <w:rPr>
                <w:rFonts w:hint="eastAsia"/>
                <w:lang w:eastAsia="zh-CN"/>
              </w:rPr>
              <w:t>/型号</w:t>
            </w:r>
          </w:p>
        </w:tc>
        <w:tc>
          <w:tcPr>
            <w:tcW w:w="851" w:type="dxa"/>
            <w:vAlign w:val="center"/>
          </w:tcPr>
          <w:p>
            <w:pPr>
              <w:widowControl/>
              <w:autoSpaceDE/>
              <w:autoSpaceDN/>
              <w:jc w:val="center"/>
              <w:rPr>
                <w:lang w:eastAsia="zh-CN"/>
              </w:rPr>
            </w:pPr>
            <w:r>
              <w:rPr>
                <w:lang w:eastAsia="zh-CN"/>
              </w:rPr>
              <w:t>数量</w:t>
            </w:r>
          </w:p>
        </w:tc>
        <w:tc>
          <w:tcPr>
            <w:tcW w:w="943" w:type="dxa"/>
            <w:vAlign w:val="center"/>
          </w:tcPr>
          <w:p>
            <w:pPr>
              <w:widowControl/>
              <w:autoSpaceDE/>
              <w:autoSpaceDN/>
              <w:jc w:val="center"/>
              <w:rPr>
                <w:lang w:eastAsia="zh-CN"/>
              </w:rPr>
            </w:pPr>
            <w:r>
              <w:rPr>
                <w:rFonts w:hint="eastAsia"/>
                <w:lang w:eastAsia="zh-CN"/>
              </w:rPr>
              <w:t>单位</w:t>
            </w:r>
          </w:p>
        </w:tc>
        <w:tc>
          <w:tcPr>
            <w:tcW w:w="1311" w:type="dxa"/>
            <w:vAlign w:val="center"/>
          </w:tcPr>
          <w:p>
            <w:pPr>
              <w:widowControl/>
              <w:autoSpaceDE/>
              <w:autoSpaceDN/>
              <w:jc w:val="center"/>
              <w:rPr>
                <w:lang w:eastAsia="zh-CN"/>
              </w:rPr>
            </w:pPr>
            <w:r>
              <w:rPr>
                <w:lang w:eastAsia="zh-CN"/>
              </w:rPr>
              <w:t>单价</w:t>
            </w:r>
            <w:r>
              <w:rPr>
                <w:rFonts w:hint="eastAsia"/>
                <w:lang w:eastAsia="zh-CN"/>
              </w:rPr>
              <w:t>(元）</w:t>
            </w:r>
          </w:p>
        </w:tc>
        <w:tc>
          <w:tcPr>
            <w:tcW w:w="1537" w:type="dxa"/>
            <w:vAlign w:val="center"/>
          </w:tcPr>
          <w:p>
            <w:pPr>
              <w:widowControl/>
              <w:autoSpaceDE/>
              <w:autoSpaceDN/>
              <w:jc w:val="center"/>
              <w:rPr>
                <w:lang w:eastAsia="zh-CN"/>
              </w:rPr>
            </w:pPr>
            <w:r>
              <w:rPr>
                <w:lang w:eastAsia="zh-CN"/>
              </w:rPr>
              <w:t>总价</w:t>
            </w:r>
            <w:r>
              <w:rPr>
                <w:rFonts w:hint="eastAsia"/>
                <w:lang w:eastAsia="zh-CN"/>
              </w:rPr>
              <w:t>（元）</w:t>
            </w:r>
          </w:p>
        </w:tc>
        <w:tc>
          <w:tcPr>
            <w:tcW w:w="677" w:type="dxa"/>
            <w:vAlign w:val="center"/>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85" w:type="dxa"/>
            <w:vAlign w:val="center"/>
          </w:tcPr>
          <w:p>
            <w:pPr>
              <w:widowControl/>
              <w:autoSpaceDE/>
              <w:autoSpaceDN/>
              <w:jc w:val="center"/>
              <w:rPr>
                <w:lang w:eastAsia="zh-CN"/>
              </w:rPr>
            </w:pPr>
            <w:r>
              <w:rPr>
                <w:rFonts w:hint="eastAsia"/>
                <w:lang w:eastAsia="zh-CN"/>
              </w:rPr>
              <w:t>1</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2</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85" w:type="dxa"/>
            <w:vAlign w:val="center"/>
          </w:tcPr>
          <w:p>
            <w:pPr>
              <w:widowControl/>
              <w:autoSpaceDE/>
              <w:autoSpaceDN/>
              <w:jc w:val="center"/>
              <w:rPr>
                <w:lang w:eastAsia="zh-CN"/>
              </w:rPr>
            </w:pPr>
            <w:r>
              <w:rPr>
                <w:rFonts w:hint="eastAsia"/>
                <w:lang w:eastAsia="zh-CN"/>
              </w:rPr>
              <w:t>3</w:t>
            </w:r>
          </w:p>
        </w:tc>
        <w:tc>
          <w:tcPr>
            <w:tcW w:w="1374" w:type="dxa"/>
            <w:vAlign w:val="center"/>
          </w:tcPr>
          <w:p>
            <w:pPr>
              <w:widowControl/>
              <w:jc w:val="center"/>
              <w:textAlignment w:val="top"/>
              <w:rPr>
                <w:lang w:eastAsia="zh-CN"/>
              </w:rPr>
            </w:pPr>
          </w:p>
        </w:tc>
        <w:tc>
          <w:tcPr>
            <w:tcW w:w="2426" w:type="dxa"/>
            <w:vAlign w:val="center"/>
          </w:tcPr>
          <w:p>
            <w:pPr>
              <w:widowControl/>
              <w:autoSpaceDE/>
              <w:autoSpaceDN/>
              <w:jc w:val="center"/>
              <w:rPr>
                <w:color w:val="000000"/>
                <w:sz w:val="20"/>
                <w:szCs w:val="20"/>
                <w:lang w:eastAsia="zh-CN"/>
              </w:rPr>
            </w:pPr>
          </w:p>
        </w:tc>
        <w:tc>
          <w:tcPr>
            <w:tcW w:w="851" w:type="dxa"/>
            <w:vAlign w:val="center"/>
          </w:tcPr>
          <w:p>
            <w:pPr>
              <w:widowControl/>
              <w:jc w:val="center"/>
              <w:textAlignment w:val="top"/>
              <w:rPr>
                <w:lang w:eastAsia="zh-CN"/>
              </w:rPr>
            </w:pPr>
          </w:p>
        </w:tc>
        <w:tc>
          <w:tcPr>
            <w:tcW w:w="943" w:type="dxa"/>
            <w:vAlign w:val="center"/>
          </w:tcPr>
          <w:p>
            <w:pPr>
              <w:widowControl/>
              <w:jc w:val="center"/>
              <w:textAlignment w:val="top"/>
              <w:rPr>
                <w:lang w:eastAsia="zh-CN"/>
              </w:rPr>
            </w:pPr>
          </w:p>
        </w:tc>
        <w:tc>
          <w:tcPr>
            <w:tcW w:w="1311" w:type="dxa"/>
            <w:vAlign w:val="center"/>
          </w:tcPr>
          <w:p>
            <w:pPr>
              <w:widowControl/>
              <w:autoSpaceDE/>
              <w:autoSpaceDN/>
              <w:jc w:val="center"/>
              <w:rPr>
                <w:lang w:eastAsia="zh-CN"/>
              </w:rPr>
            </w:pPr>
          </w:p>
        </w:tc>
        <w:tc>
          <w:tcPr>
            <w:tcW w:w="1537" w:type="dxa"/>
            <w:vAlign w:val="center"/>
          </w:tcPr>
          <w:p>
            <w:pPr>
              <w:widowControl/>
              <w:autoSpaceDE/>
              <w:autoSpaceDN/>
              <w:jc w:val="center"/>
              <w:rPr>
                <w:lang w:eastAsia="zh-CN"/>
              </w:rPr>
            </w:pPr>
          </w:p>
        </w:tc>
        <w:tc>
          <w:tcPr>
            <w:tcW w:w="677"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90" w:type="dxa"/>
            <w:gridSpan w:val="6"/>
            <w:vAlign w:val="center"/>
          </w:tcPr>
          <w:p>
            <w:pPr>
              <w:widowControl/>
              <w:autoSpaceDE/>
              <w:autoSpaceDN/>
              <w:jc w:val="center"/>
              <w:rPr>
                <w:lang w:eastAsia="zh-CN"/>
              </w:rPr>
            </w:pPr>
            <w:r>
              <w:rPr>
                <w:lang w:eastAsia="zh-CN"/>
              </w:rPr>
              <w:t>合计</w:t>
            </w:r>
            <w:r>
              <w:rPr>
                <w:rFonts w:hint="eastAsia"/>
                <w:lang w:eastAsia="zh-CN"/>
              </w:rPr>
              <w:t>：</w:t>
            </w:r>
          </w:p>
        </w:tc>
        <w:tc>
          <w:tcPr>
            <w:tcW w:w="2214" w:type="dxa"/>
            <w:gridSpan w:val="2"/>
            <w:vAlign w:val="center"/>
          </w:tcPr>
          <w:p>
            <w:pPr>
              <w:widowControl/>
              <w:autoSpaceDE/>
              <w:autoSpaceDN/>
              <w:jc w:val="center"/>
              <w:rPr>
                <w:lang w:eastAsia="zh-CN"/>
              </w:rPr>
            </w:pPr>
            <w:r>
              <w:rPr>
                <w:lang w:eastAsia="zh-CN"/>
              </w:rPr>
              <w:t>(含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r>
        <w:rPr>
          <w:rFonts w:hint="eastAsia"/>
          <w:sz w:val="24"/>
          <w:u w:val="single"/>
          <w:lang w:eastAsia="zh-CN"/>
        </w:rPr>
        <w:t>。</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u w:val="single"/>
          <w:lang w:eastAsia="zh-CN"/>
        </w:rPr>
        <w:t>。</w:t>
      </w:r>
      <w:r>
        <w:rPr>
          <w:rFonts w:hint="eastAsia"/>
          <w:sz w:val="24"/>
          <w:lang w:eastAsia="zh-CN"/>
        </w:rPr>
        <w:t>（以甲方提供的送货清单和地址明细为准）</w:t>
      </w:r>
    </w:p>
    <w:p>
      <w:pPr>
        <w:pStyle w:val="202"/>
        <w:spacing w:line="360" w:lineRule="auto"/>
        <w:ind w:firstLine="480"/>
        <w:rPr>
          <w:rFonts w:ascii="宋体" w:hAnsi="宋体" w:cs="宋体"/>
          <w:kern w:val="0"/>
          <w:sz w:val="24"/>
        </w:rPr>
      </w:pPr>
      <w:r>
        <w:rPr>
          <w:rFonts w:hint="eastAsia" w:ascii="宋体" w:hAnsi="宋体" w:cs="宋体"/>
          <w:kern w:val="0"/>
          <w:sz w:val="24"/>
        </w:rPr>
        <w:t xml:space="preserve">2.3交货时间：乙方应在合同签订生效后 </w:t>
      </w:r>
      <w:r>
        <w:rPr>
          <w:rFonts w:hint="eastAsia" w:ascii="宋体" w:hAnsi="宋体" w:cs="宋体"/>
          <w:kern w:val="0"/>
          <w:sz w:val="24"/>
          <w:u w:val="single"/>
        </w:rPr>
        <w:t xml:space="preserve">  日</w:t>
      </w:r>
      <w:r>
        <w:rPr>
          <w:rFonts w:hint="eastAsia" w:ascii="宋体" w:hAnsi="宋体" w:cs="宋体"/>
          <w:kern w:val="0"/>
          <w:sz w:val="24"/>
        </w:rPr>
        <w:t>内将合同全部货物交付至甲方。现场收货、验收及发票接收联系人：                                    。</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3.1验收款：到货后，甲方依据本合同约定的质量、数量标准验收合格后，乙方提供合同总额的税率为 13% 的增值税专用发票以及结算所需的各类清单，甲方收到并确认无误后支付90%的货款（即人民币</w:t>
      </w:r>
      <w:r>
        <w:rPr>
          <w:rFonts w:hint="eastAsia"/>
          <w:sz w:val="24"/>
          <w:u w:val="single"/>
          <w:lang w:eastAsia="zh-CN"/>
        </w:rPr>
        <w:t xml:space="preserve">    </w:t>
      </w:r>
      <w:r>
        <w:rPr>
          <w:rFonts w:hint="eastAsia"/>
          <w:sz w:val="24"/>
          <w:lang w:eastAsia="zh-CN"/>
        </w:rPr>
        <w:t>元）；余款10%为质保金，货物验收合格且无质量问题从验收合格之日起</w:t>
      </w:r>
      <w:r>
        <w:rPr>
          <w:rFonts w:hint="eastAsia"/>
          <w:sz w:val="24"/>
          <w:u w:val="single"/>
          <w:lang w:eastAsia="zh-CN"/>
        </w:rPr>
        <w:t xml:space="preserve">         </w:t>
      </w:r>
      <w:r>
        <w:rPr>
          <w:rFonts w:hint="eastAsia"/>
          <w:sz w:val="24"/>
          <w:lang w:eastAsia="zh-CN"/>
        </w:rPr>
        <w:t>月。</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符合甲方要求，如产品不符合本合同及技术协议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具体要求以《技术协议为准》。</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 xml:space="preserve"> 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见《双方签定的技术协议》</w:t>
      </w:r>
      <w:r>
        <w:rPr>
          <w:sz w:val="24"/>
          <w:u w:val="single"/>
          <w:lang w:eastAsia="zh-CN"/>
        </w:rPr>
        <w:t xml:space="preserve"> </w:t>
      </w:r>
      <w:r>
        <w:rPr>
          <w:rFonts w:hint="eastAsia"/>
          <w:sz w:val="24"/>
          <w:u w:val="single"/>
          <w:lang w:eastAsia="zh-CN"/>
        </w:rPr>
        <w:t>。</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6.4对于安装质量，乙方保证标准时、正确安装好设备，保证设备良好运行。产品调试验收的标准：按照附件技术协议的验收标准执行。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6.6其他验收条件详见技术协议。</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除本合同另有约定外，本合同产品售后服务按厂家标准提供有关质量保证和售后服务的承诺执行，国家有规定的按国家规定执行。其余质量保证详见技术协议。</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元，并应根据甲方要求进行修理、更换或采取其他补救措施，如因此造成甲方其他损失的，乙方应承担赔偿责任。累计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次验收不合格的，甲方还有权解除合同、拒绝支付任何费用，并要求乙方支付合同总价20%的违约金，违约金不足以弥补甲方损失的，甲方有权追偿。</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color w:val="auto"/>
          <w:szCs w:val="22"/>
        </w:rPr>
      </w:pPr>
      <w:r>
        <w:t>附件</w:t>
      </w:r>
      <w:r>
        <w:rPr>
          <w:rFonts w:hint="eastAsia"/>
        </w:rPr>
        <w:t>1</w:t>
      </w:r>
      <w:r>
        <w:t>、</w:t>
      </w:r>
    </w:p>
    <w:p>
      <w:pPr>
        <w:pStyle w:val="74"/>
        <w:snapToGrid w:val="0"/>
        <w:spacing w:line="360" w:lineRule="auto"/>
        <w:jc w:val="both"/>
        <w:rPr>
          <w:rFonts w:hAnsi="宋体"/>
          <w:color w:val="auto"/>
          <w:szCs w:val="22"/>
        </w:rPr>
      </w:pPr>
      <w:r>
        <w:rPr>
          <w:rFonts w:hint="eastAsia" w:hAnsi="宋体"/>
          <w:color w:val="auto"/>
          <w:szCs w:val="22"/>
        </w:rPr>
        <w:t>附件2、</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afterLines="5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联系地址：漳州市古雷港经济开发区腾龙路84</w:t>
                  </w:r>
                  <w:r>
                    <w:rPr>
                      <w:rFonts w:asciiTheme="majorEastAsia" w:hAnsiTheme="majorEastAsia" w:eastAsiaTheme="majorEastAsia"/>
                      <w:sz w:val="21"/>
                      <w:szCs w:val="21"/>
                      <w:lang w:eastAsia="zh-CN"/>
                    </w:rPr>
                    <w:t>号</w:t>
                  </w:r>
                </w:p>
              </w:tc>
              <w:tc>
                <w:tcPr>
                  <w:tcW w:w="4951" w:type="dxa"/>
                  <w:vAlign w:val="center"/>
                </w:tcPr>
                <w:p>
                  <w:pPr>
                    <w:jc w:val="both"/>
                    <w:rPr>
                      <w:b/>
                      <w:bCs/>
                      <w:sz w:val="28"/>
                      <w:szCs w:val="28"/>
                      <w:lang w:eastAsia="zh-CN"/>
                    </w:rPr>
                  </w:pPr>
                  <w:r>
                    <w:rPr>
                      <w:rFonts w:hint="eastAsia" w:asciiTheme="majorEastAsia" w:hAnsiTheme="majorEastAsia" w:eastAsiaTheme="majorEastAsia"/>
                      <w:sz w:val="21"/>
                      <w:szCs w:val="21"/>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电子邮箱:xumx@fhcpec.com.cn</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徐明兴</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法人代表</w:t>
                  </w:r>
                  <w:r>
                    <w:rPr>
                      <w:rFonts w:hint="eastAsia" w:asciiTheme="majorEastAsia" w:hAnsiTheme="majorEastAsia" w:eastAsiaTheme="majorEastAsia"/>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jc w:val="both"/>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jc w:val="both"/>
                    <w:rPr>
                      <w:rFonts w:asciiTheme="majorEastAsia" w:hAnsiTheme="majorEastAsia"/>
                      <w:sz w:val="21"/>
                      <w:szCs w:val="21"/>
                      <w:lang w:eastAsia="zh-CN"/>
                    </w:rPr>
                  </w:pPr>
                  <w:r>
                    <w:rPr>
                      <w:rFonts w:hint="eastAsia" w:asciiTheme="majorEastAsia" w:hAnsiTheme="majorEastAsia" w:eastAsiaTheme="majorEastAsia"/>
                      <w:sz w:val="21"/>
                      <w:szCs w:val="21"/>
                    </w:rPr>
                    <w:t>账号：</w:t>
                  </w:r>
                  <w:r>
                    <w:rPr>
                      <w:rFonts w:hint="eastAsia"/>
                    </w:rPr>
                    <w:t>162070100100021</w:t>
                  </w:r>
                  <w:r>
                    <w:rPr>
                      <w:rFonts w:hint="eastAsia"/>
                      <w:lang w:eastAsia="zh-CN"/>
                    </w:rPr>
                    <w:t>071</w:t>
                  </w:r>
                </w:p>
              </w:tc>
              <w:tc>
                <w:tcPr>
                  <w:tcW w:w="4951" w:type="dxa"/>
                  <w:vAlign w:val="center"/>
                </w:tcPr>
                <w:p>
                  <w:pPr>
                    <w:spacing w:line="360" w:lineRule="auto"/>
                    <w:jc w:val="both"/>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PTA团队M301滤桥采购</w:t>
      </w:r>
      <w:r>
        <w:rPr>
          <w:rFonts w:ascii="方正小标宋简体" w:hAnsi="方正小标宋简体" w:eastAsia="方正小标宋简体" w:cs="方正小标宋简体"/>
          <w:b/>
          <w:color w:val="000000" w:themeColor="text1"/>
          <w:sz w:val="44"/>
          <w:szCs w:val="44"/>
          <w:lang w:eastAsia="zh-CN"/>
        </w:rPr>
        <w:t>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研究福建福海创石油化工有限公司PTA团队M301滤桥采购项目比选文件的全部内容后，我方愿以以下报价，严格按照自主比选文件的要求，交付本项目并维修其中的任何缺陷。</w:t>
      </w:r>
    </w:p>
    <w:p>
      <w:pPr>
        <w:widowControl/>
        <w:autoSpaceDE/>
        <w:autoSpaceDN/>
        <w:jc w:val="center"/>
        <w:rPr>
          <w:b/>
          <w:bCs/>
          <w:sz w:val="24"/>
          <w:szCs w:val="24"/>
          <w:lang w:eastAsia="zh-CN"/>
        </w:rPr>
      </w:pPr>
      <w:r>
        <w:rPr>
          <w:rFonts w:hint="eastAsia"/>
          <w:b/>
          <w:bCs/>
          <w:sz w:val="24"/>
          <w:szCs w:val="24"/>
          <w:lang w:eastAsia="zh-CN"/>
        </w:rPr>
        <w:t>PTA团队M301滤桥采购项目价格清单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rPr>
            </w:pPr>
            <w:r>
              <w:rPr>
                <w:rFonts w:hint="eastAsia"/>
                <w:color w:val="000000"/>
                <w:sz w:val="18"/>
                <w:szCs w:val="18"/>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8"/>
                <w:szCs w:val="18"/>
                <w:lang w:eastAsia="zh-CN"/>
              </w:rPr>
            </w:pPr>
            <w:r>
              <w:rPr>
                <w:rFonts w:hint="eastAsia"/>
                <w:color w:val="000000"/>
                <w:sz w:val="18"/>
                <w:szCs w:val="18"/>
              </w:rPr>
              <w:t>含税</w:t>
            </w:r>
            <w:r>
              <w:rPr>
                <w:rFonts w:hint="eastAsia"/>
                <w:color w:val="000000"/>
                <w:sz w:val="18"/>
                <w:szCs w:val="18"/>
                <w:lang w:eastAsia="zh-CN"/>
              </w:rPr>
              <w:t>小计</w:t>
            </w:r>
          </w:p>
        </w:tc>
      </w:tr>
      <w:tr>
        <w:tblPrEx>
          <w:tblCellMar>
            <w:top w:w="15" w:type="dxa"/>
            <w:left w:w="15" w:type="dxa"/>
            <w:bottom w:w="15" w:type="dxa"/>
            <w:right w:w="15" w:type="dxa"/>
          </w:tblCellMar>
        </w:tblPrEx>
        <w:trPr>
          <w:trHeight w:val="1989"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QG2206130029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18"/>
                <w:szCs w:val="18"/>
                <w:lang w:val="en-US" w:eastAsia="zh-CN"/>
              </w:rPr>
              <w:t>1599999822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18"/>
                <w:szCs w:val="18"/>
                <w:lang w:val="en-US" w:eastAsia="zh-CN"/>
              </w:rPr>
              <w:t>滤桥</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default"/>
                <w:color w:val="000000"/>
                <w:sz w:val="20"/>
                <w:szCs w:val="20"/>
                <w:lang w:val="en-US" w:eastAsia="zh-CN"/>
              </w:rPr>
            </w:pPr>
            <w:r>
              <w:rPr>
                <w:rFonts w:hint="eastAsia"/>
                <w:color w:val="000000"/>
                <w:sz w:val="18"/>
                <w:szCs w:val="18"/>
                <w:lang w:val="en-US" w:eastAsia="zh-CN"/>
              </w:rPr>
              <w:t>113×1660L×12，板厚2mm，孔径3mm，M-301A/B/C/D-1/2/3\MATERIAL:SUS316L\DWG NO:184166\P/N:5B\MANUFACTURER:MKK，最终以双方签定的技术协议为准。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18"/>
                <w:szCs w:val="18"/>
                <w:lang w:val="en-US" w:eastAsia="zh-CN"/>
              </w:rPr>
              <w:t>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18"/>
                <w:szCs w:val="18"/>
                <w:lang w:val="en-US" w:eastAsia="zh-CN"/>
              </w:rPr>
              <w:t>300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r>
      <w:tr>
        <w:tblPrEx>
          <w:tblCellMar>
            <w:top w:w="15" w:type="dxa"/>
            <w:left w:w="15" w:type="dxa"/>
            <w:bottom w:w="15" w:type="dxa"/>
            <w:right w:w="15" w:type="dxa"/>
          </w:tblCellMar>
        </w:tblPrEx>
        <w:trPr>
          <w:trHeight w:val="1638"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QG2206130030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val="en-US" w:eastAsia="zh-CN"/>
              </w:rPr>
            </w:pPr>
            <w:r>
              <w:rPr>
                <w:rFonts w:hint="eastAsia"/>
                <w:color w:val="000000"/>
                <w:sz w:val="18"/>
                <w:szCs w:val="18"/>
                <w:lang w:val="en-US" w:eastAsia="zh-CN"/>
              </w:rPr>
              <w:t>1599999823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val="en-US" w:eastAsia="zh-CN"/>
              </w:rPr>
            </w:pPr>
            <w:r>
              <w:rPr>
                <w:rFonts w:hint="eastAsia"/>
                <w:color w:val="000000"/>
                <w:sz w:val="18"/>
                <w:szCs w:val="18"/>
                <w:lang w:val="en-US" w:eastAsia="zh-CN"/>
              </w:rPr>
              <w:t>滤桥</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top"/>
              <w:rPr>
                <w:rFonts w:hint="eastAsia"/>
                <w:color w:val="000000"/>
                <w:sz w:val="20"/>
                <w:szCs w:val="20"/>
                <w:lang w:val="en-US" w:eastAsia="zh-CN"/>
              </w:rPr>
            </w:pPr>
            <w:r>
              <w:rPr>
                <w:rFonts w:hint="eastAsia"/>
                <w:color w:val="000000"/>
                <w:sz w:val="18"/>
                <w:szCs w:val="18"/>
                <w:lang w:val="en-US" w:eastAsia="zh-CN"/>
              </w:rPr>
              <w:t>113×1240L×12，板厚2mm，孔径3mm，M-301A/B/C/D-1/2/3\MATERIAL:SUS316L\DWG NO:184166\P/N:5A\MANUFACTURER:MKK，最终以双方签定的技术协议为准。</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18"/>
                <w:szCs w:val="18"/>
                <w:lang w:val="en-US" w:eastAsia="zh-CN"/>
              </w:rPr>
              <w:t>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color w:val="000000"/>
                <w:sz w:val="20"/>
                <w:szCs w:val="20"/>
                <w:lang w:eastAsia="zh-CN"/>
              </w:rPr>
            </w:pPr>
            <w:r>
              <w:rPr>
                <w:rFonts w:hint="eastAsia"/>
                <w:color w:val="000000"/>
                <w:sz w:val="18"/>
                <w:szCs w:val="18"/>
                <w:lang w:val="en-US" w:eastAsia="zh-CN"/>
              </w:rPr>
              <w:t>570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000000"/>
                <w:sz w:val="20"/>
                <w:szCs w:val="20"/>
                <w:lang w:eastAsia="zh-CN"/>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Cs w:val="21"/>
                <w:lang w:eastAsia="zh-CN"/>
              </w:rPr>
            </w:pPr>
            <w:r>
              <w:rPr>
                <w:rFonts w:hint="eastAsia"/>
                <w:b/>
                <w:color w:val="000000"/>
                <w:szCs w:val="21"/>
                <w:lang w:eastAsia="zh-CN"/>
              </w:rPr>
              <w:t>含税总计 小写（大写）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8"/>
                <w:szCs w:val="18"/>
                <w:lang w:eastAsia="zh-CN"/>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rPr>
          <w:trHeight w:val="604" w:hRule="atLeast"/>
        </w:trPr>
        <w:tc>
          <w:tcPr>
            <w:tcW w:w="9499" w:type="dxa"/>
            <w:shd w:val="clear" w:color="auto" w:fill="auto"/>
            <w:noWrap/>
            <w:vAlign w:val="center"/>
          </w:tcPr>
          <w:p>
            <w:pPr>
              <w:numPr>
                <w:ilvl w:val="255"/>
                <w:numId w:val="0"/>
              </w:numPr>
              <w:spacing w:line="500" w:lineRule="exact"/>
              <w:rPr>
                <w:b/>
                <w:bCs/>
                <w:sz w:val="24"/>
                <w:lang w:eastAsia="zh-CN"/>
              </w:rPr>
            </w:pPr>
            <w:r>
              <w:rPr>
                <w:rFonts w:hint="eastAsia"/>
                <w:b/>
                <w:bCs/>
                <w:sz w:val="24"/>
                <w:lang w:eastAsia="zh-CN"/>
              </w:rPr>
              <w:t>说明：</w:t>
            </w:r>
          </w:p>
          <w:p>
            <w:pPr>
              <w:pStyle w:val="2"/>
            </w:pPr>
            <w:r>
              <w:rPr>
                <w:rFonts w:hint="eastAsia"/>
                <w:sz w:val="24"/>
              </w:rPr>
              <w:t>1、</w:t>
            </w:r>
            <w:r>
              <w:rPr>
                <w:rFonts w:hint="eastAsia" w:cs="Arial" w:asciiTheme="minorEastAsia" w:hAnsiTheme="minorEastAsia" w:eastAsiaTheme="minorEastAsia"/>
                <w:sz w:val="24"/>
                <w:szCs w:val="24"/>
              </w:rPr>
              <w:t>交货地点：漳州市古雷经济开发区福海创腾龙芳烃、翔鹭石化、翔鹭码头 。</w:t>
            </w:r>
          </w:p>
          <w:p>
            <w:pPr>
              <w:numPr>
                <w:ilvl w:val="255"/>
                <w:numId w:val="0"/>
              </w:numPr>
              <w:spacing w:line="500" w:lineRule="exact"/>
              <w:rPr>
                <w:sz w:val="24"/>
                <w:lang w:eastAsia="zh-CN"/>
              </w:rPr>
            </w:pPr>
            <w:r>
              <w:rPr>
                <w:rFonts w:hint="eastAsia"/>
                <w:sz w:val="24"/>
                <w:lang w:eastAsia="zh-CN"/>
              </w:rPr>
              <w:t>2、</w:t>
            </w:r>
            <w:r>
              <w:rPr>
                <w:rFonts w:hint="eastAsia"/>
                <w:sz w:val="24"/>
                <w:shd w:val="clear" w:color="FFFFFF" w:fill="D9D9D9"/>
                <w:lang w:eastAsia="zh-CN"/>
              </w:rPr>
              <w:t>含</w:t>
            </w:r>
            <w:r>
              <w:rPr>
                <w:rFonts w:hint="eastAsia"/>
                <w:sz w:val="24"/>
                <w:u w:val="single"/>
                <w:shd w:val="clear" w:color="FFFFFF" w:fill="D9D9D9"/>
                <w:lang w:eastAsia="zh-CN"/>
              </w:rPr>
              <w:t xml:space="preserve"> 13% </w:t>
            </w:r>
            <w:r>
              <w:rPr>
                <w:rFonts w:hint="eastAsia"/>
                <w:sz w:val="24"/>
                <w:lang w:eastAsia="zh-CN"/>
              </w:rPr>
              <w:t>增值税送到厂价。</w:t>
            </w:r>
          </w:p>
          <w:p>
            <w:pPr>
              <w:spacing w:line="320" w:lineRule="exact"/>
              <w:rPr>
                <w:sz w:val="24"/>
                <w:lang w:eastAsia="zh-CN"/>
              </w:rPr>
            </w:pPr>
            <w:r>
              <w:rPr>
                <w:rFonts w:hint="eastAsia"/>
                <w:sz w:val="24"/>
                <w:lang w:eastAsia="zh-CN"/>
              </w:rPr>
              <w:t>3、付款方式：全部货款以现汇支付。</w:t>
            </w:r>
            <w:r>
              <w:rPr>
                <w:rFonts w:hint="eastAsia"/>
                <w:sz w:val="24"/>
                <w:u w:val="single"/>
                <w:lang w:eastAsia="zh-CN"/>
              </w:rPr>
              <w:t>货到验收合格付90%，质保金10%</w:t>
            </w:r>
            <w:r>
              <w:rPr>
                <w:rFonts w:hint="eastAsia"/>
                <w:sz w:val="24"/>
                <w:lang w:eastAsia="zh-CN"/>
              </w:rPr>
              <w:t>（质保期以双方签定的技术协议为准）。</w:t>
            </w:r>
          </w:p>
          <w:p>
            <w:pPr>
              <w:spacing w:line="500" w:lineRule="exact"/>
              <w:rPr>
                <w:color w:val="000000"/>
                <w:sz w:val="24"/>
                <w:lang w:eastAsia="zh-CN"/>
              </w:rPr>
            </w:pPr>
            <w:r>
              <w:rPr>
                <w:rFonts w:hint="eastAsia"/>
                <w:sz w:val="24"/>
                <w:lang w:eastAsia="zh-CN"/>
              </w:rPr>
              <w:t>4、交货期限：</w:t>
            </w:r>
            <w:r>
              <w:rPr>
                <w:rFonts w:hint="eastAsia"/>
                <w:sz w:val="24"/>
                <w:u w:val="single"/>
                <w:lang w:eastAsia="zh-CN"/>
              </w:rPr>
              <w:t xml:space="preserve"> 以双方签订的技术协议为准 </w:t>
            </w:r>
            <w:r>
              <w:rPr>
                <w:rFonts w:hint="eastAsia"/>
                <w:sz w:val="24"/>
                <w:lang w:eastAsia="zh-CN"/>
              </w:rPr>
              <w:t>，其它约定以双方签订合同为准。</w:t>
            </w:r>
          </w:p>
          <w:p>
            <w:pPr>
              <w:spacing w:line="360" w:lineRule="exact"/>
              <w:rPr>
                <w:sz w:val="24"/>
                <w:lang w:eastAsia="zh-CN"/>
              </w:rPr>
            </w:pPr>
            <w:r>
              <w:rPr>
                <w:rFonts w:hint="eastAsia"/>
                <w:sz w:val="24"/>
                <w:lang w:eastAsia="zh-CN"/>
              </w:rPr>
              <w:t>5、其它约定以双方签订合同为准。</w:t>
            </w:r>
          </w:p>
        </w:tc>
      </w:tr>
    </w:tbl>
    <w:p>
      <w:pPr>
        <w:spacing w:line="460" w:lineRule="exact"/>
        <w:rPr>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21</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165"/>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6BC7"/>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2DBB"/>
    <w:rsid w:val="00D64110"/>
    <w:rsid w:val="00D64BE9"/>
    <w:rsid w:val="00D6765C"/>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41C"/>
    <w:rsid w:val="00DE1B99"/>
    <w:rsid w:val="00DE63EC"/>
    <w:rsid w:val="00DF35F4"/>
    <w:rsid w:val="00DF41E5"/>
    <w:rsid w:val="00DF463A"/>
    <w:rsid w:val="00DF71FF"/>
    <w:rsid w:val="00E00780"/>
    <w:rsid w:val="00E068F1"/>
    <w:rsid w:val="00E100D6"/>
    <w:rsid w:val="00E12E5B"/>
    <w:rsid w:val="00E13875"/>
    <w:rsid w:val="00E155F5"/>
    <w:rsid w:val="00E21054"/>
    <w:rsid w:val="00E3205C"/>
    <w:rsid w:val="00E32325"/>
    <w:rsid w:val="00E35382"/>
    <w:rsid w:val="00E37D62"/>
    <w:rsid w:val="00E410EA"/>
    <w:rsid w:val="00E457C1"/>
    <w:rsid w:val="00E50F7B"/>
    <w:rsid w:val="00E53B7B"/>
    <w:rsid w:val="00E56799"/>
    <w:rsid w:val="00E648C0"/>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367315B"/>
    <w:rsid w:val="039452D6"/>
    <w:rsid w:val="061139E5"/>
    <w:rsid w:val="06F50B00"/>
    <w:rsid w:val="076E1278"/>
    <w:rsid w:val="081A08AE"/>
    <w:rsid w:val="081D6F74"/>
    <w:rsid w:val="087D5A4F"/>
    <w:rsid w:val="08D1141D"/>
    <w:rsid w:val="09130765"/>
    <w:rsid w:val="0B296DE2"/>
    <w:rsid w:val="0B721453"/>
    <w:rsid w:val="0D0126E0"/>
    <w:rsid w:val="0EFD592E"/>
    <w:rsid w:val="0F341D41"/>
    <w:rsid w:val="0FB5725B"/>
    <w:rsid w:val="0FB7670E"/>
    <w:rsid w:val="10294AA3"/>
    <w:rsid w:val="10E40CA0"/>
    <w:rsid w:val="121754C4"/>
    <w:rsid w:val="12584C20"/>
    <w:rsid w:val="136130D9"/>
    <w:rsid w:val="13805E8A"/>
    <w:rsid w:val="14762538"/>
    <w:rsid w:val="15800409"/>
    <w:rsid w:val="15AD01BA"/>
    <w:rsid w:val="16AE1C29"/>
    <w:rsid w:val="16B72867"/>
    <w:rsid w:val="173600E6"/>
    <w:rsid w:val="18DD4F7E"/>
    <w:rsid w:val="19544509"/>
    <w:rsid w:val="195B58A2"/>
    <w:rsid w:val="1989465C"/>
    <w:rsid w:val="1A2360C8"/>
    <w:rsid w:val="1B6947A7"/>
    <w:rsid w:val="1BF70513"/>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1C54755"/>
    <w:rsid w:val="31D23053"/>
    <w:rsid w:val="3216608C"/>
    <w:rsid w:val="328F13DA"/>
    <w:rsid w:val="34CE14C6"/>
    <w:rsid w:val="34D84CEC"/>
    <w:rsid w:val="35DC515B"/>
    <w:rsid w:val="37AF5AB7"/>
    <w:rsid w:val="39E568DF"/>
    <w:rsid w:val="3A387F18"/>
    <w:rsid w:val="3B1C3371"/>
    <w:rsid w:val="3CAE3A33"/>
    <w:rsid w:val="3CC23198"/>
    <w:rsid w:val="3DDF4815"/>
    <w:rsid w:val="3FE669E5"/>
    <w:rsid w:val="41E35072"/>
    <w:rsid w:val="44B33DBE"/>
    <w:rsid w:val="44B70186"/>
    <w:rsid w:val="459C39D0"/>
    <w:rsid w:val="462A54F2"/>
    <w:rsid w:val="486C4718"/>
    <w:rsid w:val="487E08A6"/>
    <w:rsid w:val="4A286FFC"/>
    <w:rsid w:val="4A6A5207"/>
    <w:rsid w:val="4B3B68BB"/>
    <w:rsid w:val="4B410375"/>
    <w:rsid w:val="4B876203"/>
    <w:rsid w:val="50F63E28"/>
    <w:rsid w:val="52013D0C"/>
    <w:rsid w:val="5221007F"/>
    <w:rsid w:val="52926B5A"/>
    <w:rsid w:val="5293118B"/>
    <w:rsid w:val="52B7258B"/>
    <w:rsid w:val="52F74B88"/>
    <w:rsid w:val="545C5E51"/>
    <w:rsid w:val="5486175B"/>
    <w:rsid w:val="55F60568"/>
    <w:rsid w:val="56A70955"/>
    <w:rsid w:val="57667D24"/>
    <w:rsid w:val="57C67347"/>
    <w:rsid w:val="57CE5BC3"/>
    <w:rsid w:val="582529C0"/>
    <w:rsid w:val="5998493F"/>
    <w:rsid w:val="59B9557B"/>
    <w:rsid w:val="59C5385A"/>
    <w:rsid w:val="5A2D3E44"/>
    <w:rsid w:val="5A3260D4"/>
    <w:rsid w:val="5AD75FB8"/>
    <w:rsid w:val="5AE1516A"/>
    <w:rsid w:val="5B3226FA"/>
    <w:rsid w:val="5B6A3A79"/>
    <w:rsid w:val="5C1A5F7B"/>
    <w:rsid w:val="5D7A3273"/>
    <w:rsid w:val="5E2B4120"/>
    <w:rsid w:val="601675AC"/>
    <w:rsid w:val="60342B61"/>
    <w:rsid w:val="628D3982"/>
    <w:rsid w:val="62E96122"/>
    <w:rsid w:val="645771F8"/>
    <w:rsid w:val="64F26CAB"/>
    <w:rsid w:val="65AC0B8F"/>
    <w:rsid w:val="65D57404"/>
    <w:rsid w:val="66CC0AF0"/>
    <w:rsid w:val="67CE38BB"/>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27810B8"/>
    <w:rsid w:val="7293546A"/>
    <w:rsid w:val="72E05B2C"/>
    <w:rsid w:val="73E95F8E"/>
    <w:rsid w:val="740A2BDE"/>
    <w:rsid w:val="751839E0"/>
    <w:rsid w:val="756178E9"/>
    <w:rsid w:val="75A1093B"/>
    <w:rsid w:val="75BE7C69"/>
    <w:rsid w:val="76274F93"/>
    <w:rsid w:val="79670CA0"/>
    <w:rsid w:val="79EB3F2F"/>
    <w:rsid w:val="79FD3C4B"/>
    <w:rsid w:val="7A1D7427"/>
    <w:rsid w:val="7B11789E"/>
    <w:rsid w:val="7D250FF6"/>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8116B-C222-4FC3-B940-F4417A25DC8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22</Pages>
  <Words>8675</Words>
  <Characters>9539</Characters>
  <Lines>76</Lines>
  <Paragraphs>21</Paragraphs>
  <TotalTime>11</TotalTime>
  <ScaleCrop>false</ScaleCrop>
  <LinksUpToDate>false</LinksUpToDate>
  <CharactersWithSpaces>10297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2022-07-12T07:11:54Z</dcterms:modified>
  <dc:title>公开招标文件（货物服务类）</dc:title>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2052-11.1.0.11830</vt:lpwstr>
  </property>
  <property fmtid="{D5CDD505-2E9C-101B-9397-08002B2CF9AE}" pid="6" name="ICV">
    <vt:lpwstr>7EFD1898B78A4345BC21372367C648C1</vt:lpwstr>
  </property>
</Properties>
</file>