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CO催化剂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TLFT</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CO催化剂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0525</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腾龙芳烃（漳州）有限公司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w:t>
      </w:r>
      <w:r>
        <w:rPr>
          <w:rFonts w:hint="eastAsia" w:asciiTheme="minorEastAsia" w:hAnsiTheme="minorEastAsia" w:eastAsiaTheme="minorEastAsia" w:cstheme="minorEastAsia"/>
          <w:color w:val="auto"/>
          <w:kern w:val="0"/>
          <w:sz w:val="28"/>
          <w:szCs w:val="28"/>
          <w:shd w:val="clear" w:color="auto" w:fill="FFFFFF"/>
          <w:lang w:val="en-US" w:eastAsia="zh-CN"/>
        </w:rPr>
        <w:t>5</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25</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腾龙芳烃（漳州）有限公司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CO催化剂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腾龙芳烃（漳州）有限公司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CO催化剂</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w:t>
      </w:r>
      <w:r>
        <w:rPr>
          <w:rFonts w:hint="eastAsia" w:asciiTheme="minorEastAsia" w:hAnsiTheme="minorEastAsia" w:eastAsiaTheme="minorEastAsia"/>
          <w:bCs/>
          <w:color w:val="auto"/>
          <w:sz w:val="24"/>
          <w:u w:val="single"/>
          <w:lang w:val="en-US" w:eastAsia="zh-CN"/>
        </w:rPr>
        <w:t>2022-TLFT-CO催化剂-0525</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CO催化剂。</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CO催化剂（</w:t>
      </w:r>
      <w:r>
        <w:rPr>
          <w:rFonts w:hint="eastAsia" w:ascii="宋体" w:hAnsi="宋体" w:cs="宋体"/>
          <w:color w:val="auto"/>
          <w:sz w:val="24"/>
          <w:u w:val="single"/>
          <w:lang w:val="en-US" w:eastAsia="zh-CN"/>
        </w:rPr>
        <w:t>用于处理污水处理站VOCs废气</w:t>
      </w:r>
      <w:r>
        <w:rPr>
          <w:rFonts w:hint="eastAsia" w:ascii="宋体" w:hAnsi="宋体" w:cs="宋体" w:eastAsiaTheme="minorEastAsia"/>
          <w:color w:val="auto"/>
          <w:sz w:val="24"/>
          <w:lang w:val="en-US" w:eastAsia="zh-CN"/>
        </w:rPr>
        <w:t>）</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sz w:val="24"/>
        </w:rPr>
        <w:t>及技术要求</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color w:val="000000" w:themeColor="text1"/>
          <w:sz w:val="24"/>
        </w:rPr>
        <w:t>提交近三年同类装置的销售业绩</w:t>
      </w:r>
      <w:r>
        <w:rPr>
          <w:rFonts w:hint="eastAsia"/>
          <w:color w:val="000000" w:themeColor="text1"/>
          <w:sz w:val="24"/>
          <w:lang w:eastAsia="zh-CN"/>
        </w:rPr>
        <w:t>（</w:t>
      </w:r>
      <w:r>
        <w:rPr>
          <w:rFonts w:hint="eastAsia"/>
          <w:color w:val="000000" w:themeColor="text1"/>
          <w:sz w:val="24"/>
          <w:lang w:val="en-US" w:eastAsia="zh-CN"/>
        </w:rPr>
        <w:t>合同或发票</w:t>
      </w:r>
      <w:r>
        <w:rPr>
          <w:rFonts w:hint="eastAsia"/>
          <w:color w:val="000000" w:themeColor="text1"/>
          <w:sz w:val="24"/>
          <w:lang w:eastAsia="zh-CN"/>
        </w:rPr>
        <w:t>）</w:t>
      </w:r>
      <w:r>
        <w:rPr>
          <w:rFonts w:hint="eastAsia"/>
          <w:color w:val="000000" w:themeColor="text1"/>
          <w:sz w:val="24"/>
        </w:rPr>
        <w:t>及相关运行参数。</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color w:val="000000" w:themeColor="text1"/>
          <w:sz w:val="24"/>
        </w:rPr>
        <w:t>属于</w:t>
      </w:r>
      <w:r>
        <w:rPr>
          <w:rFonts w:hint="eastAsia"/>
          <w:color w:val="000000" w:themeColor="text1"/>
          <w:sz w:val="24"/>
          <w:lang w:val="en-US" w:eastAsia="zh-CN"/>
        </w:rPr>
        <w:t>我集团</w:t>
      </w:r>
      <w:r>
        <w:rPr>
          <w:rFonts w:hint="eastAsia"/>
          <w:color w:val="000000" w:themeColor="text1"/>
          <w:sz w:val="24"/>
        </w:rPr>
        <w:t>合格供应商或</w:t>
      </w:r>
      <w:r>
        <w:rPr>
          <w:color w:val="000000" w:themeColor="text1"/>
          <w:sz w:val="24"/>
        </w:rPr>
        <w:t>中国石油化工集团有限公司</w:t>
      </w:r>
      <w:r>
        <w:rPr>
          <w:rFonts w:hint="eastAsia"/>
          <w:color w:val="000000" w:themeColor="text1"/>
          <w:sz w:val="24"/>
        </w:rPr>
        <w:t>或</w:t>
      </w:r>
      <w:r>
        <w:fldChar w:fldCharType="begin"/>
      </w:r>
      <w:r>
        <w:instrText xml:space="preserve"> HYPERLINK "http://www.baidu.com/link?url=ZYA2ANSxRzGwTSAnMQmFtVicINMq9OUNpKTJ21r1pCxY1Pg-bo-kGdl88GpXkxvjkQiNS5EBki5bPS0gC-oOIK" \t "_blank" </w:instrText>
      </w:r>
      <w:r>
        <w:fldChar w:fldCharType="separate"/>
      </w:r>
      <w:r>
        <w:rPr>
          <w:color w:val="000000" w:themeColor="text1"/>
          <w:sz w:val="24"/>
        </w:rPr>
        <w:t>中国石油天然气集团有限公司</w:t>
      </w:r>
      <w:r>
        <w:rPr>
          <w:color w:val="000000" w:themeColor="text1"/>
          <w:sz w:val="24"/>
        </w:rPr>
        <w:fldChar w:fldCharType="end"/>
      </w:r>
      <w:r>
        <w:rPr>
          <w:rFonts w:hint="eastAsia"/>
          <w:color w:val="000000" w:themeColor="text1"/>
          <w:sz w:val="24"/>
        </w:rPr>
        <w:t>或中国海洋石油集团有限公司</w:t>
      </w:r>
      <w:r>
        <w:rPr>
          <w:rFonts w:hint="eastAsia"/>
          <w:color w:val="000000" w:themeColor="text1"/>
          <w:sz w:val="24"/>
          <w:lang w:val="en-US" w:eastAsia="zh-CN"/>
        </w:rPr>
        <w:t>等集团下</w:t>
      </w:r>
      <w:r>
        <w:rPr>
          <w:rFonts w:hint="eastAsia"/>
          <w:color w:val="000000" w:themeColor="text1"/>
          <w:sz w:val="24"/>
        </w:rPr>
        <w:t>合格供应商。</w:t>
      </w:r>
    </w:p>
    <w:p>
      <w:pPr>
        <w:pStyle w:val="16"/>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人民币：20</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贰万</w:t>
      </w:r>
      <w:r>
        <w:rPr>
          <w:rFonts w:hint="eastAsia" w:asciiTheme="minorEastAsia" w:hAnsiTheme="minorEastAsia" w:eastAsiaTheme="minorEastAsia"/>
          <w:bCs/>
          <w:sz w:val="24"/>
        </w:rPr>
        <w:t>圆整）。</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7</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14</w:t>
      </w:r>
      <w:r>
        <w:rPr>
          <w:rFonts w:hint="eastAsia" w:asciiTheme="majorEastAsia" w:hAnsiTheme="majorEastAsia" w:eastAsiaTheme="majorEastAsia"/>
          <w:color w:val="auto"/>
          <w:sz w:val="24"/>
        </w:rPr>
        <w:t>日（含当日）</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已在第一轮公告期报名成功的无需再次报名</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bookmarkStart w:id="1" w:name="_GoBack"/>
      <w:bookmarkEnd w:id="1"/>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color w:val="000000" w:themeColor="text1"/>
          <w:sz w:val="24"/>
        </w:rPr>
        <w:t>近三年同类装置的销售业绩</w:t>
      </w:r>
      <w:r>
        <w:rPr>
          <w:rFonts w:hint="eastAsia"/>
          <w:color w:val="000000" w:themeColor="text1"/>
          <w:sz w:val="24"/>
          <w:lang w:eastAsia="zh-CN"/>
        </w:rPr>
        <w:t>（</w:t>
      </w:r>
      <w:r>
        <w:rPr>
          <w:rFonts w:hint="eastAsia"/>
          <w:color w:val="000000" w:themeColor="text1"/>
          <w:sz w:val="24"/>
          <w:lang w:val="en-US" w:eastAsia="zh-CN"/>
        </w:rPr>
        <w:t>合同或发票</w:t>
      </w:r>
      <w:r>
        <w:rPr>
          <w:rFonts w:hint="eastAsia"/>
          <w:color w:val="000000" w:themeColor="text1"/>
          <w:sz w:val="24"/>
          <w:lang w:eastAsia="zh-CN"/>
        </w:rPr>
        <w:t>）</w:t>
      </w:r>
      <w:r>
        <w:rPr>
          <w:rFonts w:hint="eastAsia"/>
          <w:color w:val="000000" w:themeColor="text1"/>
          <w:sz w:val="24"/>
        </w:rPr>
        <w:t>及相关运行参数</w:t>
      </w:r>
      <w:r>
        <w:rPr>
          <w:rFonts w:hint="eastAsia" w:asciiTheme="minorEastAsia" w:hAnsiTheme="minorEastAsia" w:eastAsiaTheme="minorEastAsia"/>
          <w:bCs/>
          <w:sz w:val="24"/>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20</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贰万</w:t>
      </w:r>
      <w:r>
        <w:rPr>
          <w:rFonts w:hint="eastAsia" w:asciiTheme="minorEastAsia" w:hAnsiTheme="minorEastAsia" w:eastAsiaTheme="minorEastAsia"/>
          <w:bCs/>
          <w:sz w:val="24"/>
        </w:rPr>
        <w:t>圆整），如中选、该保证金转为履约保证金，如不中选，在比选结束后请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6"/>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报名成功后联系业务员获取</w:t>
      </w:r>
      <w:r>
        <w:rPr>
          <w:rFonts w:hint="eastAsia" w:ascii="宋体" w:hAnsi="宋体"/>
          <w:bCs/>
          <w:sz w:val="24"/>
        </w:rPr>
        <w:t>“技术要求”文件</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收件人：蓝志达  电话：13559491161         </w:t>
      </w:r>
      <w:r>
        <w:rPr>
          <w:rFonts w:hint="eastAsia" w:asciiTheme="minorEastAsia" w:hAnsiTheme="minorEastAsia" w:eastAsiaTheme="minorEastAsia"/>
          <w:bCs/>
          <w:sz w:val="24"/>
        </w:rPr>
        <w:t>地址：厦门市思明区莲前街道领事馆路16号银领中心B栋4楼</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asciiTheme="minorEastAsia" w:hAnsiTheme="minorEastAsia" w:eastAsiaTheme="minorEastAsia"/>
          <w:bCs/>
          <w:sz w:val="24"/>
        </w:rPr>
        <w:t>！</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递交截止时间前邮件加密发送参选文件至：wzcgb@fjpec.com.cn（邮件标题备注参选项目名称）。开选当日将由业务员联系获取加密密码。</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蓝志达</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13559491161</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周建华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0596-6311614  </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lang w:val="en-US" w:eastAsia="zh-CN"/>
        </w:rPr>
        <w:t>jhzhou</w:t>
      </w:r>
      <w:r>
        <w:rPr>
          <w:rFonts w:hint="eastAsia" w:asciiTheme="minorEastAsia" w:hAnsiTheme="minorEastAsia" w:eastAsiaTheme="minorEastAsia"/>
          <w:bCs/>
          <w:color w:val="auto"/>
          <w:sz w:val="24"/>
        </w:rPr>
        <w:t>@fhcpec.com.cn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腾龙芳烃（漳州）有限公司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25</w:t>
      </w:r>
      <w:r>
        <w:rPr>
          <w:rFonts w:hint="eastAsia" w:asciiTheme="minorEastAsia" w:hAnsiTheme="minorEastAsia" w:eastAsiaTheme="minorEastAsia"/>
          <w:bCs/>
          <w:color w:val="auto"/>
          <w:sz w:val="24"/>
        </w:rPr>
        <w:t>日</w:t>
      </w: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CO催化剂</w:t>
      </w:r>
      <w:r>
        <w:rPr>
          <w:rFonts w:hint="eastAsia" w:ascii="宋体" w:hAnsi="宋体"/>
          <w:color w:val="auto"/>
          <w:sz w:val="18"/>
          <w:szCs w:val="18"/>
          <w:u w:val="single"/>
          <w:lang w:eastAsia="zh-CN"/>
        </w:rPr>
        <w:t>。</w:t>
      </w:r>
    </w:p>
    <w:p>
      <w:pPr>
        <w:pStyle w:val="19"/>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color w:val="auto"/>
          <w:sz w:val="18"/>
          <w:szCs w:val="18"/>
        </w:rPr>
        <w:t>提交近三年同类装置的销售业绩</w:t>
      </w:r>
      <w:r>
        <w:rPr>
          <w:rFonts w:hint="eastAsia" w:ascii="宋体"/>
          <w:color w:val="auto"/>
          <w:sz w:val="18"/>
          <w:szCs w:val="18"/>
          <w:lang w:eastAsia="zh-CN"/>
        </w:rPr>
        <w:t>（</w:t>
      </w:r>
      <w:r>
        <w:rPr>
          <w:rFonts w:hint="eastAsia" w:ascii="宋体"/>
          <w:color w:val="auto"/>
          <w:sz w:val="18"/>
          <w:szCs w:val="18"/>
          <w:lang w:val="en-US" w:eastAsia="zh-CN"/>
        </w:rPr>
        <w:t>合同或发票</w:t>
      </w:r>
      <w:r>
        <w:rPr>
          <w:rFonts w:hint="eastAsia" w:ascii="宋体"/>
          <w:color w:val="auto"/>
          <w:sz w:val="18"/>
          <w:szCs w:val="18"/>
          <w:lang w:eastAsia="zh-CN"/>
        </w:rPr>
        <w:t>）</w:t>
      </w:r>
      <w:r>
        <w:rPr>
          <w:rFonts w:hint="eastAsia" w:ascii="宋体"/>
          <w:color w:val="auto"/>
          <w:sz w:val="18"/>
          <w:szCs w:val="18"/>
        </w:rPr>
        <w:t>及相关运行参数。</w:t>
      </w:r>
    </w:p>
    <w:p>
      <w:pPr>
        <w:spacing w:line="320" w:lineRule="exact"/>
        <w:rPr>
          <w:rFonts w:hint="eastAsia" w:ascii="宋体"/>
          <w:color w:val="auto"/>
          <w:sz w:val="18"/>
          <w:szCs w:val="18"/>
          <w:lang w:eastAsia="zh-CN"/>
        </w:rPr>
      </w:pPr>
      <w:r>
        <w:rPr>
          <w:rFonts w:hint="eastAsia" w:ascii="宋体"/>
          <w:color w:val="auto"/>
          <w:sz w:val="18"/>
          <w:szCs w:val="18"/>
          <w:lang w:eastAsia="zh-CN"/>
        </w:rPr>
        <w:t>（</w:t>
      </w:r>
      <w:r>
        <w:rPr>
          <w:rFonts w:hint="eastAsia" w:ascii="宋体"/>
          <w:color w:val="auto"/>
          <w:sz w:val="18"/>
          <w:szCs w:val="18"/>
          <w:lang w:val="en-US" w:eastAsia="zh-CN"/>
        </w:rPr>
        <w:t>6</w:t>
      </w:r>
      <w:r>
        <w:rPr>
          <w:rFonts w:hint="eastAsia" w:ascii="宋体"/>
          <w:color w:val="auto"/>
          <w:sz w:val="18"/>
          <w:szCs w:val="18"/>
          <w:lang w:eastAsia="zh-CN"/>
        </w:rPr>
        <w:t>）</w:t>
      </w:r>
      <w:r>
        <w:rPr>
          <w:rFonts w:hint="eastAsia" w:ascii="宋体"/>
          <w:color w:val="auto"/>
          <w:sz w:val="18"/>
          <w:szCs w:val="18"/>
        </w:rPr>
        <w:t>属于</w:t>
      </w:r>
      <w:r>
        <w:rPr>
          <w:rFonts w:hint="eastAsia" w:ascii="宋体"/>
          <w:color w:val="auto"/>
          <w:sz w:val="18"/>
          <w:szCs w:val="18"/>
          <w:lang w:val="en-US" w:eastAsia="zh-CN"/>
        </w:rPr>
        <w:t>我集团</w:t>
      </w:r>
      <w:r>
        <w:rPr>
          <w:rFonts w:hint="eastAsia" w:ascii="宋体"/>
          <w:color w:val="auto"/>
          <w:sz w:val="18"/>
          <w:szCs w:val="18"/>
        </w:rPr>
        <w:t>合格供应商或中国石油化工集团有限公司或</w:t>
      </w:r>
      <w:r>
        <w:rPr>
          <w:rFonts w:hint="eastAsia" w:ascii="宋体"/>
          <w:color w:val="auto"/>
          <w:sz w:val="18"/>
          <w:szCs w:val="18"/>
        </w:rPr>
        <w:fldChar w:fldCharType="begin"/>
      </w:r>
      <w:r>
        <w:rPr>
          <w:rFonts w:hint="eastAsia" w:ascii="宋体"/>
          <w:color w:val="auto"/>
          <w:sz w:val="18"/>
          <w:szCs w:val="18"/>
        </w:rPr>
        <w:instrText xml:space="preserve"> HYPERLINK "http://www.baidu.com/link?url=ZYA2ANSxRzGwTSAnMQmFtVicINMq9OUNpKTJ21r1pCxY1Pg-bo-kGdl88GpXkxvjkQiNS5EBki5bPS0gC-oOIK" \t "_blank" </w:instrText>
      </w:r>
      <w:r>
        <w:rPr>
          <w:rFonts w:hint="eastAsia" w:ascii="宋体"/>
          <w:color w:val="auto"/>
          <w:sz w:val="18"/>
          <w:szCs w:val="18"/>
        </w:rPr>
        <w:fldChar w:fldCharType="separate"/>
      </w:r>
      <w:r>
        <w:rPr>
          <w:rFonts w:hint="eastAsia" w:ascii="宋体"/>
          <w:color w:val="auto"/>
          <w:sz w:val="18"/>
          <w:szCs w:val="18"/>
        </w:rPr>
        <w:t>中国石油天然气集团有限公司</w:t>
      </w:r>
      <w:r>
        <w:rPr>
          <w:rFonts w:hint="eastAsia" w:ascii="宋体"/>
          <w:color w:val="auto"/>
          <w:sz w:val="18"/>
          <w:szCs w:val="18"/>
        </w:rPr>
        <w:fldChar w:fldCharType="end"/>
      </w:r>
      <w:r>
        <w:rPr>
          <w:rFonts w:hint="eastAsia" w:ascii="宋体"/>
          <w:color w:val="auto"/>
          <w:sz w:val="18"/>
          <w:szCs w:val="18"/>
        </w:rPr>
        <w:t>或中国海洋石油集团有限公司</w:t>
      </w:r>
      <w:r>
        <w:rPr>
          <w:rFonts w:hint="eastAsia" w:ascii="宋体"/>
          <w:color w:val="auto"/>
          <w:sz w:val="18"/>
          <w:szCs w:val="18"/>
          <w:lang w:val="en-US" w:eastAsia="zh-CN"/>
        </w:rPr>
        <w:t>等集团下</w:t>
      </w:r>
      <w:r>
        <w:rPr>
          <w:rFonts w:hint="eastAsia" w:ascii="宋体"/>
          <w:color w:val="auto"/>
          <w:sz w:val="18"/>
          <w:szCs w:val="18"/>
        </w:rPr>
        <w:t>合格供应商。</w:t>
      </w:r>
    </w:p>
    <w:p>
      <w:pPr>
        <w:spacing w:line="320" w:lineRule="exact"/>
        <w:rPr>
          <w:rFonts w:hint="eastAsia" w:ascii="宋体"/>
          <w:color w:val="auto"/>
          <w:sz w:val="18"/>
          <w:szCs w:val="18"/>
        </w:rPr>
      </w:pPr>
      <w:r>
        <w:rPr>
          <w:rFonts w:hint="eastAsia" w:ascii="宋体"/>
          <w:color w:val="auto"/>
          <w:sz w:val="18"/>
          <w:szCs w:val="18"/>
        </w:rPr>
        <w:t>（</w:t>
      </w:r>
      <w:r>
        <w:rPr>
          <w:rFonts w:hint="eastAsia" w:ascii="宋体"/>
          <w:color w:val="auto"/>
          <w:sz w:val="18"/>
          <w:szCs w:val="18"/>
          <w:lang w:val="en-US" w:eastAsia="zh-CN"/>
        </w:rPr>
        <w:t>7</w:t>
      </w:r>
      <w:r>
        <w:rPr>
          <w:rFonts w:hint="eastAsia" w:ascii="宋体"/>
          <w:color w:val="auto"/>
          <w:sz w:val="18"/>
          <w:szCs w:val="18"/>
        </w:rPr>
        <w:t>）参选保证金：</w:t>
      </w:r>
      <w:r>
        <w:rPr>
          <w:rFonts w:hint="eastAsia" w:ascii="宋体"/>
          <w:color w:val="auto"/>
          <w:sz w:val="18"/>
          <w:szCs w:val="18"/>
          <w:lang w:val="en-US" w:eastAsia="zh-CN"/>
        </w:rPr>
        <w:t>人民币：20</w:t>
      </w:r>
      <w:r>
        <w:rPr>
          <w:rFonts w:hint="eastAsia" w:ascii="宋体"/>
          <w:color w:val="auto"/>
          <w:sz w:val="18"/>
          <w:szCs w:val="18"/>
        </w:rPr>
        <w:t>000元（</w:t>
      </w:r>
      <w:r>
        <w:rPr>
          <w:rFonts w:hint="eastAsia" w:ascii="宋体"/>
          <w:color w:val="auto"/>
          <w:sz w:val="18"/>
          <w:szCs w:val="18"/>
          <w:lang w:val="en-US" w:eastAsia="zh-CN"/>
        </w:rPr>
        <w:t>贰万</w:t>
      </w:r>
      <w:r>
        <w:rPr>
          <w:rFonts w:hint="eastAsia" w:ascii="宋体"/>
          <w:color w:val="auto"/>
          <w:sz w:val="18"/>
          <w:szCs w:val="18"/>
        </w:rPr>
        <w:t>圆整）。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hint="eastAsia" w:ascii="宋体" w:hAnsi="宋体"/>
          <w:color w:val="auto"/>
          <w:sz w:val="18"/>
          <w:szCs w:val="18"/>
        </w:rPr>
      </w:pPr>
      <w:r>
        <w:rPr>
          <w:rFonts w:hint="eastAsia" w:ascii="宋体" w:hAnsi="宋体"/>
          <w:sz w:val="18"/>
          <w:szCs w:val="18"/>
        </w:rPr>
        <w:t>（7）技术要求</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CO催化剂</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w:t>
      </w:r>
      <w:r>
        <w:rPr>
          <w:rFonts w:hint="eastAsia" w:ascii="Arial" w:hAnsi="Arial" w:cs="Arial"/>
          <w:color w:val="auto"/>
          <w:sz w:val="18"/>
          <w:szCs w:val="18"/>
          <w:lang w:val="en-US" w:eastAsia="zh-CN"/>
        </w:rPr>
        <w:t>大幅</w:t>
      </w:r>
      <w:r>
        <w:rPr>
          <w:rFonts w:hint="eastAsia" w:ascii="Arial" w:hAnsi="Arial" w:cs="Arial"/>
          <w:color w:val="auto"/>
          <w:sz w:val="18"/>
          <w:szCs w:val="18"/>
        </w:rPr>
        <w:t>波动，在双方均同意的情况下，重新发起新一轮公开比选。如果参选人未能按承诺的价格供货，则公开比选小组有权暂停其下一次参选资格。</w:t>
      </w:r>
    </w:p>
    <w:p>
      <w:pPr>
        <w:spacing w:line="320" w:lineRule="exact"/>
        <w:rPr>
          <w:rFonts w:hint="eastAsia" w:ascii="宋体" w:eastAsia="宋体"/>
          <w:color w:val="auto"/>
          <w:sz w:val="18"/>
          <w:szCs w:val="18"/>
          <w:lang w:val="en-US" w:eastAsia="zh-CN"/>
        </w:rPr>
      </w:pPr>
      <w:r>
        <w:rPr>
          <w:rFonts w:ascii="Arial" w:hAnsi="Arial" w:cs="Arial"/>
          <w:color w:val="auto"/>
          <w:sz w:val="18"/>
          <w:szCs w:val="18"/>
        </w:rPr>
        <w:t>8.2</w:t>
      </w:r>
      <w:r>
        <w:rPr>
          <w:rFonts w:hint="eastAsia" w:ascii="Arial" w:hAnsi="Arial" w:cs="Arial"/>
          <w:color w:val="auto"/>
          <w:sz w:val="18"/>
          <w:szCs w:val="18"/>
        </w:rPr>
        <w:t>在供货期内，</w:t>
      </w:r>
      <w:r>
        <w:rPr>
          <w:rFonts w:hint="eastAsia" w:ascii="Arial" w:hAnsi="Arial" w:cs="Arial"/>
          <w:sz w:val="18"/>
          <w:szCs w:val="18"/>
        </w:rPr>
        <w:t>数量按技术附件要求</w:t>
      </w:r>
      <w:r>
        <w:rPr>
          <w:rFonts w:hint="eastAsia" w:ascii="Arial" w:hAnsi="Arial" w:cs="Arial"/>
          <w:sz w:val="18"/>
          <w:szCs w:val="18"/>
          <w:lang w:val="en-US" w:eastAsia="zh-CN"/>
        </w:rPr>
        <w:t>执行。</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hint="eastAsia"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w:t>
      </w:r>
      <w:r>
        <w:rPr>
          <w:rFonts w:hint="eastAsia" w:ascii="宋体" w:hAnsi="宋体"/>
          <w:color w:val="auto"/>
          <w:sz w:val="18"/>
          <w:szCs w:val="18"/>
          <w:lang w:val="en-US" w:eastAsia="zh-CN"/>
        </w:rPr>
        <w:t>详见技术要求附件</w:t>
      </w:r>
      <w:r>
        <w:rPr>
          <w:rFonts w:hint="eastAsia" w:ascii="宋体" w:hAnsi="宋体"/>
          <w:color w:val="auto"/>
          <w:sz w:val="18"/>
          <w:szCs w:val="18"/>
        </w:rPr>
        <w:t>。</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腾龙芳烃（漳州）有限公司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TLFT-CO催化剂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0525</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CO催化剂</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0.2</w:t>
      </w:r>
      <w:r>
        <w:rPr>
          <w:rFonts w:hint="eastAsia"/>
          <w:color w:val="000000" w:themeColor="text1"/>
          <w:sz w:val="24"/>
          <w:u w:val="single"/>
        </w:rPr>
        <w:t>m</w:t>
      </w:r>
      <w:r>
        <w:rPr>
          <w:rFonts w:hint="eastAsia"/>
          <w:color w:val="000000" w:themeColor="text1"/>
          <w:sz w:val="24"/>
          <w:u w:val="single"/>
          <w:vertAlign w:val="superscript"/>
        </w:rPr>
        <w:t>3</w:t>
      </w:r>
      <w:r>
        <w:rPr>
          <w:rFonts w:hint="eastAsia"/>
          <w:color w:val="000000" w:themeColor="text1"/>
          <w:sz w:val="24"/>
          <w:u w:val="single"/>
        </w:rPr>
        <w:t>（单罐）</w:t>
      </w:r>
      <w:r>
        <w:rPr>
          <w:rFonts w:hint="eastAsia" w:ascii="宋体" w:cs="宋体"/>
          <w:color w:val="auto"/>
          <w:sz w:val="24"/>
          <w:lang w:val="en-US" w:eastAsia="zh-CN"/>
        </w:rPr>
        <w:t>。</w:t>
      </w:r>
    </w:p>
    <w:p>
      <w:pPr>
        <w:numPr>
          <w:ilvl w:val="0"/>
          <w:numId w:val="7"/>
        </w:numPr>
        <w:spacing w:line="360" w:lineRule="exact"/>
        <w:ind w:left="0" w:leftChars="0" w:firstLine="0" w:firstLineChars="0"/>
        <w:jc w:val="left"/>
        <w:rPr>
          <w:rFonts w:hint="eastAsia" w:ascii="宋体" w:hAnsi="宋体" w:cs="宋体"/>
          <w:color w:val="auto"/>
          <w:sz w:val="24"/>
          <w:u w:val="single"/>
          <w:lang w:val="en-US" w:eastAsia="zh-CN"/>
        </w:rPr>
      </w:pPr>
      <w:r>
        <w:rPr>
          <w:rFonts w:hint="eastAsia" w:ascii="宋体" w:hAnsi="宋体" w:cs="宋体"/>
          <w:color w:val="auto"/>
          <w:sz w:val="24"/>
          <w:lang w:val="en-US" w:eastAsia="zh-CN"/>
        </w:rPr>
        <w:t>采购指标：（1）</w:t>
      </w:r>
      <w:r>
        <w:rPr>
          <w:rFonts w:hint="eastAsia" w:ascii="宋体" w:hAnsi="宋体" w:cs="宋体"/>
          <w:color w:val="auto"/>
          <w:sz w:val="24"/>
          <w:u w:val="single"/>
          <w:lang w:val="en-US" w:eastAsia="zh-CN"/>
        </w:rPr>
        <w:t>CO催化剂用于处理污水处理站VOCs废气，进料含量：</w:t>
      </w:r>
      <w:r>
        <w:rPr>
          <w:rFonts w:hint="eastAsia" w:ascii="宋体" w:hAnsi="宋体"/>
          <w:sz w:val="24"/>
          <w:u w:val="single"/>
        </w:rPr>
        <w:t>非甲烷总烃≤20000mg/m³，苯≤2000mg/m³，甲苯≤3000mg/m³，二甲苯≤4000mg/m³</w:t>
      </w:r>
      <w:r>
        <w:rPr>
          <w:rFonts w:hint="eastAsia" w:ascii="宋体" w:hAnsi="宋体" w:cs="宋体"/>
          <w:color w:val="auto"/>
          <w:sz w:val="24"/>
          <w:u w:val="single"/>
          <w:lang w:val="en-US" w:eastAsia="zh-CN"/>
        </w:rPr>
        <w:t>，详见技术要求附件。（2）排放口在非甲烷总烃≤120mg/m³，苯≤4mg/m³，甲苯≤15mg/m³，二甲苯≤20mg/m³且罐压差＜1000Pa的情况下，保证连续或累计运行≥3年（年操作时间不小于8000h）情况下，可以</w:t>
      </w:r>
      <w:r>
        <w:rPr>
          <w:rFonts w:hint="eastAsia"/>
          <w:color w:val="000000" w:themeColor="text1"/>
          <w:sz w:val="24"/>
          <w:u w:val="single"/>
        </w:rPr>
        <w:t>厂家提供的CO催化剂</w:t>
      </w:r>
      <w:r>
        <w:rPr>
          <w:rFonts w:hint="eastAsia"/>
          <w:color w:val="000000" w:themeColor="text1"/>
          <w:sz w:val="24"/>
          <w:u w:val="single"/>
          <w:lang w:val="en-US" w:eastAsia="zh-CN"/>
        </w:rPr>
        <w:t>质量指标</w:t>
      </w:r>
      <w:r>
        <w:rPr>
          <w:rFonts w:hint="eastAsia"/>
          <w:color w:val="000000" w:themeColor="text1"/>
          <w:sz w:val="24"/>
          <w:u w:val="single"/>
        </w:rPr>
        <w:t>作为参考</w:t>
      </w:r>
      <w:r>
        <w:rPr>
          <w:rFonts w:hint="eastAsia"/>
          <w:color w:val="000000" w:themeColor="text1"/>
          <w:sz w:val="24"/>
          <w:u w:val="single"/>
          <w:lang w:eastAsia="zh-CN"/>
        </w:rPr>
        <w:t>，</w:t>
      </w:r>
      <w:r>
        <w:rPr>
          <w:rFonts w:hint="eastAsia" w:ascii="宋体" w:hAnsi="宋体" w:cs="宋体"/>
          <w:color w:val="auto"/>
          <w:sz w:val="24"/>
          <w:u w:val="single"/>
          <w:lang w:val="en-US" w:eastAsia="zh-CN"/>
        </w:rPr>
        <w:t>详见技术要求附件</w:t>
      </w:r>
      <w:r>
        <w:rPr>
          <w:rFonts w:hint="eastAsia"/>
          <w:color w:val="000000" w:themeColor="text1"/>
          <w:sz w:val="24"/>
          <w:u w:val="single"/>
          <w:lang w:eastAsia="zh-CN"/>
        </w:rPr>
        <w:t>。</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包装方式：（1）</w:t>
      </w:r>
      <w:r>
        <w:rPr>
          <w:rFonts w:hint="eastAsia"/>
          <w:bCs/>
          <w:color w:val="000000" w:themeColor="text1"/>
          <w:sz w:val="24"/>
          <w:szCs w:val="28"/>
        </w:rPr>
        <w:t>包装及运输方式便于</w:t>
      </w:r>
      <w:r>
        <w:rPr>
          <w:rFonts w:hint="eastAsia"/>
          <w:bCs/>
          <w:color w:val="000000" w:themeColor="text1"/>
          <w:sz w:val="24"/>
          <w:szCs w:val="28"/>
          <w:lang w:val="en-US" w:eastAsia="zh-CN"/>
        </w:rPr>
        <w:t>我公司</w:t>
      </w:r>
      <w:r>
        <w:rPr>
          <w:rFonts w:hint="eastAsia"/>
          <w:bCs/>
          <w:color w:val="000000" w:themeColor="text1"/>
          <w:sz w:val="24"/>
          <w:szCs w:val="28"/>
        </w:rPr>
        <w:t>卸货，若因不便卸货而产生的费用由</w:t>
      </w:r>
      <w:r>
        <w:rPr>
          <w:rFonts w:hint="eastAsia"/>
          <w:bCs/>
          <w:color w:val="000000" w:themeColor="text1"/>
          <w:sz w:val="24"/>
          <w:szCs w:val="28"/>
          <w:lang w:val="en-US" w:eastAsia="zh-CN"/>
        </w:rPr>
        <w:t>贵公司</w:t>
      </w:r>
      <w:r>
        <w:rPr>
          <w:rFonts w:hint="eastAsia"/>
          <w:bCs/>
          <w:color w:val="000000" w:themeColor="text1"/>
          <w:sz w:val="24"/>
          <w:szCs w:val="28"/>
        </w:rPr>
        <w:t>承担</w:t>
      </w:r>
      <w:r>
        <w:rPr>
          <w:rFonts w:hint="eastAsia" w:ascii="宋体" w:hAnsi="宋体" w:cs="宋体"/>
          <w:color w:val="auto"/>
          <w:sz w:val="24"/>
          <w:u w:val="none"/>
          <w:lang w:val="en-US" w:eastAsia="zh-CN"/>
        </w:rPr>
        <w:t>。（2）</w:t>
      </w:r>
      <w:r>
        <w:rPr>
          <w:bCs/>
          <w:color w:val="000000" w:themeColor="text1"/>
          <w:sz w:val="24"/>
          <w:szCs w:val="28"/>
        </w:rPr>
        <w:t>产品的包装和运输应满足交通运输部门及行业协会所规定要求</w:t>
      </w:r>
      <w:r>
        <w:rPr>
          <w:rFonts w:hint="eastAsia"/>
          <w:bCs/>
          <w:color w:val="000000" w:themeColor="text1"/>
          <w:sz w:val="24"/>
          <w:szCs w:val="28"/>
          <w:lang w:eastAsia="zh-CN"/>
        </w:rPr>
        <w:t>。</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s="宋体"/>
          <w:color w:val="auto"/>
          <w:sz w:val="24"/>
        </w:rPr>
        <w:t>2022年8月底具备供货条件，待接到</w:t>
      </w:r>
      <w:r>
        <w:rPr>
          <w:rFonts w:hint="eastAsia" w:ascii="宋体" w:hAnsi="宋体" w:cs="宋体"/>
          <w:color w:val="auto"/>
          <w:sz w:val="24"/>
          <w:lang w:val="en-US" w:eastAsia="zh-CN"/>
        </w:rPr>
        <w:t>我公司</w:t>
      </w:r>
      <w:r>
        <w:rPr>
          <w:rFonts w:hint="eastAsia" w:ascii="宋体" w:hAnsi="宋体" w:cs="宋体"/>
          <w:color w:val="auto"/>
          <w:sz w:val="24"/>
        </w:rPr>
        <w:t>书面通知后，</w:t>
      </w:r>
      <w:r>
        <w:rPr>
          <w:rFonts w:hint="eastAsia" w:ascii="宋体" w:hAnsi="宋体" w:cs="宋体"/>
          <w:color w:val="auto"/>
          <w:sz w:val="24"/>
          <w:lang w:val="en-US" w:eastAsia="zh-CN"/>
        </w:rPr>
        <w:t>贵公司</w:t>
      </w:r>
      <w:r>
        <w:rPr>
          <w:rFonts w:hint="eastAsia" w:ascii="宋体" w:hAnsi="宋体" w:cs="宋体"/>
          <w:color w:val="auto"/>
          <w:sz w:val="24"/>
        </w:rPr>
        <w:t>应一周内将货物运输至甲方厂区指定地点。</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CO催化剂</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eastAsia="宋体" w:cs="宋体"/>
          <w:color w:val="auto"/>
          <w:sz w:val="24"/>
          <w:lang w:eastAsia="zh-CN"/>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w:t>
      </w:r>
      <w:r>
        <w:rPr>
          <w:rFonts w:hint="eastAsia" w:ascii="宋体" w:hAnsi="宋体" w:cs="宋体"/>
          <w:sz w:val="24"/>
        </w:rPr>
        <w:t>货物全部到齐并</w:t>
      </w:r>
      <w:r>
        <w:rPr>
          <w:rFonts w:hint="eastAsia" w:ascii="宋体" w:hAnsi="宋体" w:cs="宋体"/>
          <w:sz w:val="24"/>
          <w:lang w:val="en-US" w:eastAsia="zh-CN"/>
        </w:rPr>
        <w:t>依照技术要求附件里所要求条件</w:t>
      </w:r>
      <w:r>
        <w:rPr>
          <w:rFonts w:hint="eastAsia" w:ascii="宋体" w:hAnsi="宋体" w:cs="宋体"/>
          <w:sz w:val="24"/>
        </w:rPr>
        <w:t>安装验收合格运行后付款</w:t>
      </w:r>
      <w:r>
        <w:rPr>
          <w:rFonts w:hint="eastAsia" w:ascii="宋体" w:hAnsi="宋体" w:cs="宋体"/>
          <w:sz w:val="24"/>
          <w:lang w:eastAsia="zh-CN"/>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hint="eastAsia" w:ascii="宋体" w:hAnsi="宋体" w:cs="宋体"/>
          <w:color w:val="000000" w:themeColor="text1"/>
          <w:sz w:val="24"/>
          <w:lang w:val="en-US" w:eastAsia="zh-CN"/>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参选文件递交截止时间：见比选公告。</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公司名称：腾龙芳烃（漳州）有限公司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widowControl/>
        <w:jc w:val="left"/>
        <w:rPr>
          <w:rFonts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w:t>
      </w:r>
      <w:r>
        <w:rPr>
          <w:rFonts w:hint="eastAsia" w:ascii="宋体" w:hAnsi="宋体"/>
          <w:color w:val="auto"/>
          <w:sz w:val="24"/>
          <w:lang w:val="en-US" w:eastAsia="zh-CN"/>
        </w:rPr>
        <w:t>公司</w:t>
      </w:r>
      <w:r>
        <w:rPr>
          <w:rFonts w:hint="eastAsia" w:ascii="宋体" w:hAnsi="宋体"/>
          <w:color w:val="auto"/>
          <w:sz w:val="24"/>
        </w:rPr>
        <w:t>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TLFT-CO催化剂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0525</w:t>
      </w:r>
      <w:r>
        <w:rPr>
          <w:rFonts w:hint="eastAsia" w:ascii="宋体" w:hAnsi="宋体"/>
          <w:color w:val="auto"/>
          <w:sz w:val="24"/>
        </w:rPr>
        <w:t>），被我</w:t>
      </w:r>
      <w:r>
        <w:rPr>
          <w:rFonts w:hint="eastAsia" w:ascii="宋体" w:hAnsi="宋体"/>
          <w:color w:val="auto"/>
          <w:sz w:val="24"/>
          <w:lang w:val="en-US" w:eastAsia="zh-CN"/>
        </w:rPr>
        <w:t>公司</w:t>
      </w:r>
      <w:r>
        <w:rPr>
          <w:rFonts w:hint="eastAsia" w:ascii="宋体" w:hAnsi="宋体"/>
          <w:color w:val="auto"/>
          <w:sz w:val="24"/>
        </w:rPr>
        <w:t>正式授权并代表我公司递交下述文件，并对此负责。</w:t>
      </w:r>
    </w:p>
    <w:p>
      <w:pPr>
        <w:spacing w:line="500" w:lineRule="exact"/>
        <w:ind w:firstLine="480" w:firstLineChars="200"/>
        <w:rPr>
          <w:rFonts w:hint="eastAsia" w:ascii="宋体" w:hAnsi="宋体"/>
          <w:color w:val="auto"/>
          <w:sz w:val="24"/>
        </w:rPr>
      </w:pPr>
      <w:r>
        <w:rPr>
          <w:rFonts w:hint="eastAsia" w:ascii="宋体" w:hAnsi="宋体"/>
          <w:color w:val="auto"/>
          <w:sz w:val="24"/>
        </w:rPr>
        <w:t>（1）比选公告</w:t>
      </w:r>
    </w:p>
    <w:p>
      <w:pPr>
        <w:spacing w:line="500" w:lineRule="exact"/>
        <w:ind w:firstLine="480" w:firstLineChars="200"/>
        <w:rPr>
          <w:rFonts w:hint="eastAsia" w:ascii="宋体" w:hAnsi="宋体"/>
          <w:color w:val="auto"/>
          <w:sz w:val="24"/>
        </w:rPr>
      </w:pPr>
      <w:r>
        <w:rPr>
          <w:rFonts w:hint="eastAsia" w:ascii="宋体" w:hAnsi="宋体"/>
          <w:color w:val="auto"/>
          <w:sz w:val="24"/>
        </w:rPr>
        <w:t>（2）参选规定及说明</w:t>
      </w:r>
    </w:p>
    <w:p>
      <w:pPr>
        <w:spacing w:line="500" w:lineRule="exact"/>
        <w:ind w:firstLine="480" w:firstLineChars="200"/>
        <w:rPr>
          <w:rFonts w:hint="eastAsia" w:ascii="宋体" w:hAnsi="宋体"/>
          <w:color w:val="auto"/>
          <w:sz w:val="24"/>
        </w:rPr>
      </w:pPr>
      <w:r>
        <w:rPr>
          <w:rFonts w:hint="eastAsia" w:ascii="宋体" w:hAnsi="宋体"/>
          <w:color w:val="auto"/>
          <w:sz w:val="24"/>
        </w:rPr>
        <w:t>（3）公开比选文件</w:t>
      </w:r>
    </w:p>
    <w:p>
      <w:pPr>
        <w:spacing w:line="500" w:lineRule="exact"/>
        <w:ind w:firstLine="480" w:firstLineChars="200"/>
        <w:rPr>
          <w:rFonts w:hint="eastAsia" w:ascii="宋体" w:hAnsi="宋体"/>
          <w:color w:val="auto"/>
          <w:sz w:val="24"/>
        </w:rPr>
      </w:pPr>
      <w:r>
        <w:rPr>
          <w:rFonts w:hint="eastAsia" w:ascii="宋体" w:hAnsi="宋体"/>
          <w:color w:val="auto"/>
          <w:sz w:val="24"/>
        </w:rPr>
        <w:t>（4）参选书</w:t>
      </w:r>
    </w:p>
    <w:p>
      <w:pPr>
        <w:spacing w:line="500" w:lineRule="exact"/>
        <w:ind w:firstLine="480" w:firstLineChars="200"/>
        <w:rPr>
          <w:rFonts w:hint="eastAsia" w:ascii="宋体" w:hAnsi="宋体"/>
          <w:color w:val="auto"/>
          <w:sz w:val="24"/>
        </w:rPr>
      </w:pPr>
      <w:r>
        <w:rPr>
          <w:rFonts w:hint="eastAsia" w:ascii="宋体" w:hAnsi="宋体"/>
          <w:color w:val="auto"/>
          <w:sz w:val="24"/>
        </w:rPr>
        <w:t>（5）法定代表人授权书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（6）报价单</w:t>
      </w:r>
    </w:p>
    <w:p>
      <w:pPr>
        <w:spacing w:line="500" w:lineRule="exact"/>
        <w:ind w:firstLine="480" w:firstLineChars="200"/>
        <w:rPr>
          <w:rFonts w:hint="eastAsia" w:ascii="宋体" w:hAnsi="宋体"/>
          <w:color w:val="auto"/>
          <w:sz w:val="24"/>
        </w:rPr>
      </w:pPr>
      <w:r>
        <w:rPr>
          <w:rFonts w:hint="eastAsia" w:ascii="宋体" w:hAnsi="宋体"/>
          <w:color w:val="auto"/>
          <w:sz w:val="24"/>
        </w:rPr>
        <w:t>（7）技术要求</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hint="eastAsia" w:ascii="宋体" w:eastAsia="宋体"/>
          <w:color w:val="auto"/>
          <w:sz w:val="24"/>
          <w:lang w:eastAsia="zh-CN"/>
        </w:rPr>
      </w:pPr>
      <w:r>
        <w:rPr>
          <w:rFonts w:hint="eastAsia" w:ascii="宋体" w:hAnsi="宋体"/>
          <w:color w:val="auto"/>
          <w:sz w:val="24"/>
        </w:rPr>
        <w:t>被授权代表签字</w:t>
      </w:r>
      <w:r>
        <w:rPr>
          <w:rFonts w:hint="eastAsia" w:ascii="宋体" w:hAnsi="宋体"/>
          <w:color w:val="auto"/>
          <w:sz w:val="24"/>
          <w:lang w:eastAsia="zh-CN"/>
        </w:rPr>
        <w:t>：</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TLFT-CO催化剂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0525</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TLFT-CO催化剂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0525</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CO催化剂</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cs="宋体"/>
          <w:color w:val="auto"/>
          <w:sz w:val="24"/>
          <w:u w:val="single"/>
          <w:lang w:val="en-US" w:eastAsia="zh-CN"/>
        </w:rPr>
        <w:t>0.2</w:t>
      </w:r>
      <w:r>
        <w:rPr>
          <w:rFonts w:hint="eastAsia"/>
          <w:color w:val="000000" w:themeColor="text1"/>
          <w:sz w:val="24"/>
          <w:u w:val="single"/>
        </w:rPr>
        <w:t>m</w:t>
      </w:r>
      <w:r>
        <w:rPr>
          <w:rFonts w:hint="eastAsia"/>
          <w:color w:val="000000" w:themeColor="text1"/>
          <w:sz w:val="24"/>
          <w:u w:val="single"/>
          <w:vertAlign w:val="superscript"/>
        </w:rPr>
        <w:t>3</w:t>
      </w:r>
      <w:r>
        <w:rPr>
          <w:rFonts w:hint="eastAsia"/>
          <w:color w:val="000000" w:themeColor="text1"/>
          <w:sz w:val="24"/>
          <w:u w:val="single"/>
        </w:rPr>
        <w:t>（单罐）</w:t>
      </w:r>
      <w:r>
        <w:rPr>
          <w:rFonts w:hint="eastAsia" w:ascii="宋体" w:hAnsi="宋体"/>
          <w:color w:val="auto"/>
          <w:sz w:val="24"/>
          <w:lang w:eastAsia="zh-CN"/>
        </w:rPr>
        <w:t>。</w:t>
      </w:r>
    </w:p>
    <w:p>
      <w:pPr>
        <w:numPr>
          <w:ilvl w:val="0"/>
          <w:numId w:val="0"/>
        </w:numPr>
        <w:spacing w:line="360" w:lineRule="exact"/>
        <w:ind w:leftChars="0"/>
        <w:jc w:val="left"/>
        <w:rPr>
          <w:rFonts w:hint="default" w:ascii="宋体" w:hAnsi="宋体"/>
          <w:color w:val="auto"/>
          <w:sz w:val="24"/>
          <w:lang w:val="en-US" w:eastAsia="zh-CN"/>
        </w:rPr>
      </w:pPr>
      <w:r>
        <w:rPr>
          <w:rFonts w:hint="eastAsia" w:ascii="宋体" w:hAnsi="宋体"/>
          <w:color w:val="auto"/>
          <w:sz w:val="24"/>
          <w:lang w:val="en-US" w:eastAsia="zh-CN"/>
        </w:rPr>
        <w:t>（2）采购指标：</w:t>
      </w:r>
      <w:r>
        <w:rPr>
          <w:rFonts w:hint="default" w:ascii="Calibri" w:hAnsi="Calibri" w:cs="Calibri"/>
          <w:color w:val="auto"/>
          <w:sz w:val="21"/>
          <w:szCs w:val="21"/>
          <w:lang w:val="en-US" w:eastAsia="zh-CN"/>
        </w:rPr>
        <w:t>①</w:t>
      </w:r>
      <w:r>
        <w:rPr>
          <w:rFonts w:hint="eastAsia" w:ascii="宋体" w:hAnsi="宋体" w:cs="宋体"/>
          <w:color w:val="auto"/>
          <w:sz w:val="24"/>
          <w:u w:val="single"/>
          <w:lang w:val="en-US" w:eastAsia="zh-CN"/>
        </w:rPr>
        <w:t>CO催化剂用于处理污水处理站VOCs废气，进料含量：</w:t>
      </w:r>
      <w:r>
        <w:rPr>
          <w:rFonts w:hint="eastAsia" w:ascii="宋体" w:hAnsi="宋体"/>
          <w:sz w:val="24"/>
          <w:u w:val="single"/>
        </w:rPr>
        <w:t>非甲烷总烃≤20000mg/m³，苯≤2000mg/m³，甲苯≤3000mg/m³，二甲苯≤4000mg/m³</w:t>
      </w:r>
      <w:r>
        <w:rPr>
          <w:rFonts w:hint="eastAsia" w:ascii="宋体" w:hAnsi="宋体" w:cs="宋体"/>
          <w:color w:val="auto"/>
          <w:sz w:val="24"/>
          <w:u w:val="single"/>
          <w:lang w:val="en-US" w:eastAsia="zh-CN"/>
        </w:rPr>
        <w:t>，详见技术要求附件。</w:t>
      </w:r>
      <w:r>
        <w:rPr>
          <w:rFonts w:hint="default" w:ascii="Calibri" w:hAnsi="Calibri" w:cs="Calibri"/>
          <w:color w:val="auto"/>
          <w:sz w:val="21"/>
          <w:szCs w:val="21"/>
          <w:u w:val="none"/>
          <w:lang w:val="en-US" w:eastAsia="zh-CN"/>
        </w:rPr>
        <w:t>②</w:t>
      </w:r>
      <w:r>
        <w:rPr>
          <w:rFonts w:hint="eastAsia" w:ascii="宋体" w:hAnsi="宋体" w:cs="宋体"/>
          <w:color w:val="auto"/>
          <w:sz w:val="24"/>
          <w:u w:val="single"/>
          <w:lang w:val="en-US" w:eastAsia="zh-CN"/>
        </w:rPr>
        <w:t>排放口在非甲烷总烃≤120mg/m³，苯≤4mg/m³，甲苯≤15mg/m³，二甲苯≤20mg/m³且罐压差＜1000Pa的情况下，保证连续或累计运行≥3年（年操作时间不小于8000h）情况下，可以</w:t>
      </w:r>
      <w:r>
        <w:rPr>
          <w:rFonts w:hint="eastAsia"/>
          <w:color w:val="000000" w:themeColor="text1"/>
          <w:sz w:val="24"/>
          <w:u w:val="single"/>
        </w:rPr>
        <w:t>厂家提供的CO催化剂</w:t>
      </w:r>
      <w:r>
        <w:rPr>
          <w:rFonts w:hint="eastAsia"/>
          <w:color w:val="000000" w:themeColor="text1"/>
          <w:sz w:val="24"/>
          <w:u w:val="single"/>
          <w:lang w:val="en-US" w:eastAsia="zh-CN"/>
        </w:rPr>
        <w:t>质量指标</w:t>
      </w:r>
      <w:r>
        <w:rPr>
          <w:rFonts w:hint="eastAsia"/>
          <w:color w:val="000000" w:themeColor="text1"/>
          <w:sz w:val="24"/>
          <w:u w:val="single"/>
        </w:rPr>
        <w:t>作为参考</w:t>
      </w:r>
      <w:r>
        <w:rPr>
          <w:rFonts w:hint="eastAsia"/>
          <w:color w:val="000000" w:themeColor="text1"/>
          <w:sz w:val="24"/>
          <w:u w:val="single"/>
          <w:lang w:eastAsia="zh-CN"/>
        </w:rPr>
        <w:t>，</w:t>
      </w:r>
      <w:r>
        <w:rPr>
          <w:rFonts w:hint="eastAsia" w:ascii="宋体" w:hAnsi="宋体" w:cs="宋体"/>
          <w:color w:val="auto"/>
          <w:sz w:val="24"/>
          <w:u w:val="single"/>
          <w:lang w:val="en-US" w:eastAsia="zh-CN"/>
        </w:rPr>
        <w:t>详见技术要求附件</w:t>
      </w:r>
      <w:r>
        <w:rPr>
          <w:rFonts w:hint="eastAsia"/>
          <w:color w:val="000000" w:themeColor="text1"/>
          <w:sz w:val="24"/>
          <w:u w:val="single"/>
          <w:lang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default" w:ascii="Calibri" w:hAnsi="Calibri" w:cs="Calibri"/>
          <w:color w:val="auto"/>
          <w:sz w:val="21"/>
          <w:szCs w:val="21"/>
          <w:lang w:val="en-US" w:eastAsia="zh-CN"/>
        </w:rPr>
        <w:t>①</w:t>
      </w:r>
      <w:r>
        <w:rPr>
          <w:rFonts w:hint="eastAsia"/>
          <w:bCs/>
          <w:color w:val="000000" w:themeColor="text1"/>
          <w:sz w:val="24"/>
          <w:szCs w:val="28"/>
        </w:rPr>
        <w:t>包装及运输方式便于</w:t>
      </w:r>
      <w:r>
        <w:rPr>
          <w:rFonts w:hint="eastAsia"/>
          <w:bCs/>
          <w:color w:val="000000" w:themeColor="text1"/>
          <w:sz w:val="24"/>
          <w:szCs w:val="28"/>
          <w:lang w:val="en-US" w:eastAsia="zh-CN"/>
        </w:rPr>
        <w:t>贵公司</w:t>
      </w:r>
      <w:r>
        <w:rPr>
          <w:rFonts w:hint="eastAsia"/>
          <w:bCs/>
          <w:color w:val="000000" w:themeColor="text1"/>
          <w:sz w:val="24"/>
          <w:szCs w:val="28"/>
        </w:rPr>
        <w:t>卸货，若因不便卸货而产生的费用由</w:t>
      </w:r>
      <w:r>
        <w:rPr>
          <w:rFonts w:hint="eastAsia"/>
          <w:bCs/>
          <w:color w:val="000000" w:themeColor="text1"/>
          <w:sz w:val="24"/>
          <w:szCs w:val="28"/>
          <w:lang w:val="en-US" w:eastAsia="zh-CN"/>
        </w:rPr>
        <w:t>我公司</w:t>
      </w:r>
      <w:r>
        <w:rPr>
          <w:rFonts w:hint="eastAsia"/>
          <w:bCs/>
          <w:color w:val="000000" w:themeColor="text1"/>
          <w:sz w:val="24"/>
          <w:szCs w:val="28"/>
        </w:rPr>
        <w:t>承担</w:t>
      </w:r>
      <w:r>
        <w:rPr>
          <w:rFonts w:hint="eastAsia" w:ascii="宋体" w:hAnsi="宋体" w:cs="宋体"/>
          <w:color w:val="auto"/>
          <w:sz w:val="24"/>
          <w:u w:val="none"/>
          <w:lang w:val="en-US" w:eastAsia="zh-CN"/>
        </w:rPr>
        <w:t>。</w:t>
      </w:r>
      <w:r>
        <w:rPr>
          <w:rFonts w:hint="default" w:ascii="Calibri" w:hAnsi="Calibri" w:cs="Calibri"/>
          <w:color w:val="auto"/>
          <w:sz w:val="21"/>
          <w:szCs w:val="21"/>
          <w:u w:val="none"/>
          <w:lang w:val="en-US" w:eastAsia="zh-CN"/>
        </w:rPr>
        <w:t>②</w:t>
      </w:r>
      <w:r>
        <w:rPr>
          <w:bCs/>
          <w:color w:val="000000" w:themeColor="text1"/>
          <w:sz w:val="24"/>
          <w:szCs w:val="28"/>
        </w:rPr>
        <w:t>产品的包装和运输应满足交通运输部门及行业协会所规定要求</w:t>
      </w:r>
      <w:r>
        <w:rPr>
          <w:rFonts w:hint="eastAsia"/>
          <w:bCs/>
          <w:color w:val="000000" w:themeColor="text1"/>
          <w:sz w:val="24"/>
          <w:szCs w:val="28"/>
          <w:lang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color w:val="000000" w:themeColor="text1"/>
          <w:sz w:val="24"/>
          <w:u w:val="none"/>
        </w:rPr>
        <w:t>m</w:t>
      </w:r>
      <w:r>
        <w:rPr>
          <w:rFonts w:hint="eastAsia"/>
          <w:color w:val="000000" w:themeColor="text1"/>
          <w:sz w:val="24"/>
          <w:u w:val="none"/>
          <w:vertAlign w:val="superscript"/>
        </w:rPr>
        <w:t>3</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w:t>
      </w:r>
      <w:r>
        <w:rPr>
          <w:rFonts w:hint="eastAsia" w:ascii="宋体" w:hAnsi="宋体"/>
          <w:color w:val="auto"/>
          <w:sz w:val="24"/>
          <w:lang w:val="en-US" w:eastAsia="zh-CN"/>
        </w:rPr>
        <w:t>公</w:t>
      </w:r>
      <w:r>
        <w:rPr>
          <w:rFonts w:hint="eastAsia" w:ascii="宋体" w:hAnsi="宋体"/>
          <w:color w:val="auto"/>
          <w:sz w:val="24"/>
        </w:rPr>
        <w:t>司（供方）承担。</w:t>
      </w:r>
    </w:p>
    <w:p>
      <w:pPr>
        <w:numPr>
          <w:ilvl w:val="0"/>
          <w:numId w:val="9"/>
        </w:numPr>
        <w:spacing w:line="312" w:lineRule="auto"/>
        <w:rPr>
          <w:rFonts w:ascii="宋体" w:hAnsi="宋体"/>
          <w:color w:val="auto"/>
          <w:sz w:val="24"/>
        </w:rPr>
      </w:pPr>
      <w:r>
        <w:rPr>
          <w:rFonts w:hint="eastAsia" w:ascii="宋体" w:hAnsi="宋体"/>
          <w:sz w:val="24"/>
        </w:rPr>
        <w:t>我</w:t>
      </w:r>
      <w:r>
        <w:rPr>
          <w:rFonts w:hint="eastAsia" w:ascii="宋体" w:hAnsi="宋体"/>
          <w:sz w:val="24"/>
          <w:lang w:val="en-US" w:eastAsia="zh-CN"/>
        </w:rPr>
        <w:t>公</w:t>
      </w:r>
      <w:r>
        <w:rPr>
          <w:rFonts w:hint="eastAsia" w:ascii="宋体" w:hAnsi="宋体"/>
          <w:sz w:val="24"/>
        </w:rPr>
        <w:t>司同意在比选前缴纳保证金</w:t>
      </w:r>
      <w:r>
        <w:rPr>
          <w:rFonts w:hint="eastAsia" w:ascii="宋体" w:hAnsi="宋体"/>
          <w:sz w:val="24"/>
          <w:lang w:val="en-US" w:eastAsia="zh-CN"/>
        </w:rPr>
        <w:t>人民币20000元（贰万圆）</w:t>
      </w:r>
      <w:r>
        <w:rPr>
          <w:rFonts w:hint="eastAsia" w:ascii="宋体" w:hAnsi="宋体"/>
          <w:sz w:val="24"/>
        </w:rPr>
        <w:t>元整，若我司中选，我司同意按照要求转为履约保证金且作为合同的质保金待</w:t>
      </w:r>
      <w:r>
        <w:rPr>
          <w:rFonts w:hint="eastAsia" w:ascii="宋体" w:hAnsi="宋体"/>
          <w:sz w:val="24"/>
          <w:lang w:val="en-US" w:eastAsia="zh-CN"/>
        </w:rPr>
        <w:t>相关催化剂</w:t>
      </w:r>
      <w:r>
        <w:rPr>
          <w:rFonts w:hint="eastAsia" w:ascii="宋体" w:hAnsi="宋体"/>
          <w:sz w:val="24"/>
        </w:rPr>
        <w:t>正常运行</w:t>
      </w:r>
      <w:r>
        <w:rPr>
          <w:rFonts w:hint="eastAsia" w:ascii="宋体" w:hAnsi="宋体"/>
          <w:sz w:val="24"/>
          <w:lang w:val="en-US" w:eastAsia="zh-CN"/>
        </w:rPr>
        <w:t>三</w:t>
      </w:r>
      <w:r>
        <w:rPr>
          <w:rFonts w:hint="eastAsia" w:ascii="宋体" w:hAnsi="宋体"/>
          <w:sz w:val="24"/>
        </w:rPr>
        <w:t>年后无息返还。</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2022年8月底具备供货条件，待接到</w:t>
      </w:r>
      <w:r>
        <w:rPr>
          <w:rFonts w:hint="eastAsia" w:ascii="宋体" w:hAnsi="宋体" w:cs="宋体"/>
          <w:color w:val="auto"/>
          <w:sz w:val="24"/>
          <w:lang w:val="en-US" w:eastAsia="zh-CN"/>
        </w:rPr>
        <w:t>贵公司</w:t>
      </w:r>
      <w:r>
        <w:rPr>
          <w:rFonts w:hint="eastAsia" w:ascii="宋体" w:hAnsi="宋体" w:cs="宋体"/>
          <w:color w:val="auto"/>
          <w:sz w:val="24"/>
        </w:rPr>
        <w:t>书面通知后，</w:t>
      </w:r>
      <w:r>
        <w:rPr>
          <w:rFonts w:hint="eastAsia" w:ascii="宋体" w:hAnsi="宋体" w:cs="宋体"/>
          <w:color w:val="auto"/>
          <w:sz w:val="24"/>
          <w:lang w:val="en-US" w:eastAsia="zh-CN"/>
        </w:rPr>
        <w:t>我公司将</w:t>
      </w:r>
      <w:r>
        <w:rPr>
          <w:rFonts w:hint="eastAsia" w:ascii="宋体" w:hAnsi="宋体" w:cs="宋体"/>
          <w:color w:val="auto"/>
          <w:sz w:val="24"/>
        </w:rPr>
        <w:t>一周内将货物运输至</w:t>
      </w:r>
      <w:r>
        <w:rPr>
          <w:rFonts w:hint="eastAsia" w:ascii="宋体" w:hAnsi="宋体" w:cs="宋体"/>
          <w:color w:val="auto"/>
          <w:sz w:val="24"/>
          <w:lang w:val="en-US" w:eastAsia="zh-CN"/>
        </w:rPr>
        <w:t>贵公司</w:t>
      </w:r>
      <w:r>
        <w:rPr>
          <w:rFonts w:hint="eastAsia" w:ascii="宋体" w:hAnsi="宋体" w:cs="宋体"/>
          <w:color w:val="auto"/>
          <w:sz w:val="24"/>
        </w:rPr>
        <w:t>厂区指定地点。</w:t>
      </w:r>
      <w:r>
        <w:rPr>
          <w:rFonts w:hint="eastAsia" w:ascii="宋体" w:hAnsi="宋体"/>
          <w:sz w:val="24"/>
        </w:rPr>
        <w:t>如因天气、</w:t>
      </w:r>
      <w:r>
        <w:rPr>
          <w:rFonts w:hint="eastAsia" w:ascii="宋体" w:hAnsi="宋体"/>
          <w:sz w:val="24"/>
          <w:lang w:val="en-US" w:eastAsia="zh-CN"/>
        </w:rPr>
        <w:t>疫情、</w:t>
      </w:r>
      <w:r>
        <w:rPr>
          <w:rFonts w:hint="eastAsia" w:ascii="宋体" w:hAnsi="宋体"/>
          <w:sz w:val="24"/>
        </w:rPr>
        <w:t>管制、贵公司需求波动等</w:t>
      </w:r>
      <w:r>
        <w:rPr>
          <w:rFonts w:hint="eastAsia" w:ascii="宋体" w:hAnsi="宋体"/>
          <w:sz w:val="24"/>
          <w:lang w:val="en-US" w:eastAsia="zh-CN"/>
        </w:rPr>
        <w:t>因素</w:t>
      </w:r>
      <w:r>
        <w:rPr>
          <w:rFonts w:hint="eastAsia" w:ascii="宋体" w:hAnsi="宋体"/>
          <w:sz w:val="24"/>
        </w:rPr>
        <w:t>影响，双方提前协商到货安排。</w:t>
      </w:r>
    </w:p>
    <w:p>
      <w:pPr>
        <w:spacing w:line="360" w:lineRule="exact"/>
        <w:rPr>
          <w:rFonts w:hint="eastAsia" w:ascii="宋体" w:hAnsi="宋体" w:cs="宋体"/>
          <w:sz w:val="24"/>
          <w:lang w:eastAsia="zh-CN"/>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w:t>
      </w:r>
      <w:r>
        <w:rPr>
          <w:rFonts w:hint="eastAsia" w:ascii="宋体" w:hAnsi="宋体" w:cs="宋体"/>
          <w:sz w:val="24"/>
        </w:rPr>
        <w:t>货物全部到齐并</w:t>
      </w:r>
      <w:r>
        <w:rPr>
          <w:rFonts w:hint="eastAsia" w:ascii="宋体" w:hAnsi="宋体" w:cs="宋体"/>
          <w:sz w:val="24"/>
          <w:lang w:val="en-US" w:eastAsia="zh-CN"/>
        </w:rPr>
        <w:t>依照技术要求附件里所要求条件</w:t>
      </w:r>
      <w:r>
        <w:rPr>
          <w:rFonts w:hint="eastAsia" w:ascii="宋体" w:hAnsi="宋体" w:cs="宋体"/>
          <w:sz w:val="24"/>
        </w:rPr>
        <w:t>安装验收合格运行后付款</w:t>
      </w:r>
      <w:r>
        <w:rPr>
          <w:rFonts w:hint="eastAsia" w:ascii="宋体" w:hAnsi="宋体" w:cs="宋体"/>
          <w:sz w:val="24"/>
          <w:lang w:eastAsia="zh-CN"/>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腾龙芳烃（漳州）有限公司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对于贵公司的公开比选文件（编号：02</w:t>
      </w:r>
      <w:r>
        <w:rPr>
          <w:rFonts w:hint="eastAsia" w:ascii="宋体" w:hAnsi="宋体"/>
          <w:color w:val="auto"/>
          <w:sz w:val="28"/>
          <w:szCs w:val="28"/>
          <w:lang w:val="en-US" w:eastAsia="zh-CN"/>
        </w:rPr>
        <w:t>2</w:t>
      </w:r>
      <w:r>
        <w:rPr>
          <w:rFonts w:hint="eastAsia" w:ascii="宋体" w:hAnsi="宋体"/>
          <w:color w:val="auto"/>
          <w:sz w:val="28"/>
          <w:szCs w:val="28"/>
        </w:rPr>
        <w:t>-</w:t>
      </w:r>
      <w:r>
        <w:rPr>
          <w:rFonts w:hint="eastAsia" w:ascii="宋体" w:hAnsi="宋体"/>
          <w:color w:val="auto"/>
          <w:sz w:val="28"/>
          <w:szCs w:val="28"/>
          <w:lang w:val="en-US" w:eastAsia="zh-CN"/>
        </w:rPr>
        <w:t>TLFT-CO催化剂</w:t>
      </w:r>
      <w:r>
        <w:rPr>
          <w:rFonts w:hint="eastAsia" w:ascii="宋体" w:hAnsi="宋体"/>
          <w:color w:val="auto"/>
          <w:sz w:val="28"/>
          <w:szCs w:val="28"/>
          <w:lang w:eastAsia="zh-CN"/>
        </w:rPr>
        <w:t>-</w:t>
      </w:r>
      <w:r>
        <w:rPr>
          <w:rFonts w:hint="eastAsia" w:ascii="宋体" w:hAnsi="宋体"/>
          <w:color w:val="auto"/>
          <w:sz w:val="28"/>
          <w:szCs w:val="28"/>
          <w:lang w:val="en-US" w:eastAsia="zh-CN"/>
        </w:rPr>
        <w:t>0525</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color w:val="000000" w:themeColor="text1"/>
          <w:sz w:val="24"/>
          <w:u w:val="none"/>
        </w:rPr>
        <w:t>m</w:t>
      </w:r>
      <w:r>
        <w:rPr>
          <w:rFonts w:hint="eastAsia"/>
          <w:color w:val="000000" w:themeColor="text1"/>
          <w:sz w:val="24"/>
          <w:u w:val="none"/>
          <w:vertAlign w:val="superscript"/>
        </w:rPr>
        <w:t>3</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color w:val="000000" w:themeColor="text1"/>
          <w:sz w:val="24"/>
          <w:u w:val="none"/>
        </w:rPr>
        <w:t>m</w:t>
      </w:r>
      <w:r>
        <w:rPr>
          <w:rFonts w:hint="eastAsia"/>
          <w:color w:val="000000" w:themeColor="text1"/>
          <w:sz w:val="24"/>
          <w:u w:val="none"/>
          <w:vertAlign w:val="superscript"/>
        </w:rPr>
        <w:t>3</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74765DC0"/>
    <w:multiLevelType w:val="singleLevel"/>
    <w:tmpl w:val="74765DC0"/>
    <w:lvl w:ilvl="0" w:tentative="0">
      <w:start w:val="3"/>
      <w:numFmt w:val="decimal"/>
      <w:suff w:val="nothing"/>
      <w:lvlText w:val="（%1）"/>
      <w:lvlJc w:val="left"/>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81225D"/>
    <w:rsid w:val="019C0822"/>
    <w:rsid w:val="01AB4154"/>
    <w:rsid w:val="01F42E5E"/>
    <w:rsid w:val="021D391B"/>
    <w:rsid w:val="0230582E"/>
    <w:rsid w:val="024C0384"/>
    <w:rsid w:val="032D15FD"/>
    <w:rsid w:val="032F04D8"/>
    <w:rsid w:val="03CE22E9"/>
    <w:rsid w:val="03E5328D"/>
    <w:rsid w:val="04212008"/>
    <w:rsid w:val="042207A6"/>
    <w:rsid w:val="045F46DE"/>
    <w:rsid w:val="04675C1C"/>
    <w:rsid w:val="046E24C0"/>
    <w:rsid w:val="04747128"/>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D84AF5"/>
    <w:rsid w:val="07E878CC"/>
    <w:rsid w:val="07E87C6B"/>
    <w:rsid w:val="07FB0E0D"/>
    <w:rsid w:val="080F7CCD"/>
    <w:rsid w:val="08AB1080"/>
    <w:rsid w:val="090A2F1F"/>
    <w:rsid w:val="096D274B"/>
    <w:rsid w:val="0A58515B"/>
    <w:rsid w:val="0A8B6BF2"/>
    <w:rsid w:val="0AB96449"/>
    <w:rsid w:val="0B1E7010"/>
    <w:rsid w:val="0B35169E"/>
    <w:rsid w:val="0B4A13AC"/>
    <w:rsid w:val="0B8D5623"/>
    <w:rsid w:val="0B8E420A"/>
    <w:rsid w:val="0BF4189E"/>
    <w:rsid w:val="0BF955D9"/>
    <w:rsid w:val="0C3D7481"/>
    <w:rsid w:val="0C5259A7"/>
    <w:rsid w:val="0C565350"/>
    <w:rsid w:val="0CDE2054"/>
    <w:rsid w:val="0CF127D7"/>
    <w:rsid w:val="0D200600"/>
    <w:rsid w:val="0D886316"/>
    <w:rsid w:val="0DF62012"/>
    <w:rsid w:val="0E02486F"/>
    <w:rsid w:val="0E2002F3"/>
    <w:rsid w:val="0E3D2F5D"/>
    <w:rsid w:val="0E3F22A2"/>
    <w:rsid w:val="0E9503CA"/>
    <w:rsid w:val="0EB53D9B"/>
    <w:rsid w:val="0EE30943"/>
    <w:rsid w:val="0EF740B7"/>
    <w:rsid w:val="0F8C0A60"/>
    <w:rsid w:val="0FA364D6"/>
    <w:rsid w:val="0FAC6C25"/>
    <w:rsid w:val="0FCE6C96"/>
    <w:rsid w:val="0FE34343"/>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CF31F9"/>
    <w:rsid w:val="12CF7342"/>
    <w:rsid w:val="12D53593"/>
    <w:rsid w:val="12DB5F87"/>
    <w:rsid w:val="1387789C"/>
    <w:rsid w:val="13B74194"/>
    <w:rsid w:val="142239CB"/>
    <w:rsid w:val="14683DC0"/>
    <w:rsid w:val="14937361"/>
    <w:rsid w:val="149868E6"/>
    <w:rsid w:val="14C77424"/>
    <w:rsid w:val="15033088"/>
    <w:rsid w:val="15101A52"/>
    <w:rsid w:val="15125849"/>
    <w:rsid w:val="1530254C"/>
    <w:rsid w:val="15B653C8"/>
    <w:rsid w:val="15BF2E22"/>
    <w:rsid w:val="15C31A47"/>
    <w:rsid w:val="16172661"/>
    <w:rsid w:val="16270A04"/>
    <w:rsid w:val="165069FC"/>
    <w:rsid w:val="173B43BC"/>
    <w:rsid w:val="178C691A"/>
    <w:rsid w:val="17926B21"/>
    <w:rsid w:val="17BB4DFD"/>
    <w:rsid w:val="17C9558D"/>
    <w:rsid w:val="17D666E6"/>
    <w:rsid w:val="183B0D71"/>
    <w:rsid w:val="184968FC"/>
    <w:rsid w:val="185D1C5F"/>
    <w:rsid w:val="188C5585"/>
    <w:rsid w:val="18951354"/>
    <w:rsid w:val="18C27F65"/>
    <w:rsid w:val="18FA6BBD"/>
    <w:rsid w:val="192A2CC6"/>
    <w:rsid w:val="1967610A"/>
    <w:rsid w:val="1A2F6DF9"/>
    <w:rsid w:val="1A4C05AB"/>
    <w:rsid w:val="1A9450F9"/>
    <w:rsid w:val="1AF22A1C"/>
    <w:rsid w:val="1AFD66F4"/>
    <w:rsid w:val="1B233A0E"/>
    <w:rsid w:val="1B7A2426"/>
    <w:rsid w:val="1B8F7883"/>
    <w:rsid w:val="1B927AE6"/>
    <w:rsid w:val="1BDB364C"/>
    <w:rsid w:val="1C1B3FE4"/>
    <w:rsid w:val="1C8261A0"/>
    <w:rsid w:val="1D0113C9"/>
    <w:rsid w:val="1D043FC6"/>
    <w:rsid w:val="1D05782C"/>
    <w:rsid w:val="1DB72E7F"/>
    <w:rsid w:val="1DDB74E0"/>
    <w:rsid w:val="1DF747BA"/>
    <w:rsid w:val="1E3264F3"/>
    <w:rsid w:val="1E600A9D"/>
    <w:rsid w:val="1EBD3B62"/>
    <w:rsid w:val="1F02429F"/>
    <w:rsid w:val="1F133081"/>
    <w:rsid w:val="1F590291"/>
    <w:rsid w:val="1FB02A8C"/>
    <w:rsid w:val="207E3421"/>
    <w:rsid w:val="2090579A"/>
    <w:rsid w:val="20A20316"/>
    <w:rsid w:val="20AF45AF"/>
    <w:rsid w:val="212D3E49"/>
    <w:rsid w:val="215846DF"/>
    <w:rsid w:val="21BD6DBB"/>
    <w:rsid w:val="22521DD3"/>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E34C37"/>
    <w:rsid w:val="25F3676D"/>
    <w:rsid w:val="26305B3A"/>
    <w:rsid w:val="26633241"/>
    <w:rsid w:val="267F12E4"/>
    <w:rsid w:val="27025876"/>
    <w:rsid w:val="274761A1"/>
    <w:rsid w:val="27503F67"/>
    <w:rsid w:val="27937EDA"/>
    <w:rsid w:val="27CF60B0"/>
    <w:rsid w:val="27E234BC"/>
    <w:rsid w:val="27E4754A"/>
    <w:rsid w:val="28012C6B"/>
    <w:rsid w:val="280475E2"/>
    <w:rsid w:val="285B7C69"/>
    <w:rsid w:val="28B0150E"/>
    <w:rsid w:val="299A1AD2"/>
    <w:rsid w:val="299D57E7"/>
    <w:rsid w:val="29A017A3"/>
    <w:rsid w:val="29B80978"/>
    <w:rsid w:val="29D17C38"/>
    <w:rsid w:val="29DA1C97"/>
    <w:rsid w:val="29F11E79"/>
    <w:rsid w:val="2A0F5B9B"/>
    <w:rsid w:val="2A1F1303"/>
    <w:rsid w:val="2A6F2952"/>
    <w:rsid w:val="2A723CE9"/>
    <w:rsid w:val="2A7B7273"/>
    <w:rsid w:val="2AAB2012"/>
    <w:rsid w:val="2AAF7145"/>
    <w:rsid w:val="2AC0562D"/>
    <w:rsid w:val="2AC11AAE"/>
    <w:rsid w:val="2AE84D10"/>
    <w:rsid w:val="2B1B227D"/>
    <w:rsid w:val="2B4658AA"/>
    <w:rsid w:val="2B8E1B57"/>
    <w:rsid w:val="2B8E71EA"/>
    <w:rsid w:val="2BA705F6"/>
    <w:rsid w:val="2BE04E2E"/>
    <w:rsid w:val="2C31119D"/>
    <w:rsid w:val="2C3328C4"/>
    <w:rsid w:val="2C5548F9"/>
    <w:rsid w:val="2C7F704E"/>
    <w:rsid w:val="2CA22535"/>
    <w:rsid w:val="2CC67AE5"/>
    <w:rsid w:val="2D2B1461"/>
    <w:rsid w:val="2E12514F"/>
    <w:rsid w:val="2E351771"/>
    <w:rsid w:val="2EF7551C"/>
    <w:rsid w:val="2F210D6D"/>
    <w:rsid w:val="2F631548"/>
    <w:rsid w:val="2F8E0962"/>
    <w:rsid w:val="2FA30B14"/>
    <w:rsid w:val="2FBD5AB0"/>
    <w:rsid w:val="30071591"/>
    <w:rsid w:val="30243F4A"/>
    <w:rsid w:val="305C52E4"/>
    <w:rsid w:val="30924D48"/>
    <w:rsid w:val="30985912"/>
    <w:rsid w:val="30DE1920"/>
    <w:rsid w:val="30E60CDF"/>
    <w:rsid w:val="312B136C"/>
    <w:rsid w:val="316D3EFB"/>
    <w:rsid w:val="31771119"/>
    <w:rsid w:val="31CE1FAB"/>
    <w:rsid w:val="31F46862"/>
    <w:rsid w:val="322E5C7B"/>
    <w:rsid w:val="32306ABA"/>
    <w:rsid w:val="32492609"/>
    <w:rsid w:val="32515C7D"/>
    <w:rsid w:val="328F6057"/>
    <w:rsid w:val="32A75EF3"/>
    <w:rsid w:val="32AE7831"/>
    <w:rsid w:val="33413E8A"/>
    <w:rsid w:val="335E264F"/>
    <w:rsid w:val="338059AD"/>
    <w:rsid w:val="339C79EB"/>
    <w:rsid w:val="33EB5DB0"/>
    <w:rsid w:val="33F1490B"/>
    <w:rsid w:val="345B10E7"/>
    <w:rsid w:val="347C5E46"/>
    <w:rsid w:val="34CB17AE"/>
    <w:rsid w:val="34E06E39"/>
    <w:rsid w:val="35226452"/>
    <w:rsid w:val="352C0C5B"/>
    <w:rsid w:val="35B058C7"/>
    <w:rsid w:val="35B1518D"/>
    <w:rsid w:val="35F871FB"/>
    <w:rsid w:val="35FC498E"/>
    <w:rsid w:val="360C351F"/>
    <w:rsid w:val="36151115"/>
    <w:rsid w:val="36417C8D"/>
    <w:rsid w:val="366436B8"/>
    <w:rsid w:val="36886515"/>
    <w:rsid w:val="368B1D4A"/>
    <w:rsid w:val="369C73A4"/>
    <w:rsid w:val="369F3C73"/>
    <w:rsid w:val="36BA7A63"/>
    <w:rsid w:val="36F2393C"/>
    <w:rsid w:val="37630E0B"/>
    <w:rsid w:val="3768338E"/>
    <w:rsid w:val="37945B49"/>
    <w:rsid w:val="379D3B99"/>
    <w:rsid w:val="37ED7F2D"/>
    <w:rsid w:val="37F03A1A"/>
    <w:rsid w:val="38227768"/>
    <w:rsid w:val="38431BC1"/>
    <w:rsid w:val="38A94FE7"/>
    <w:rsid w:val="39137A71"/>
    <w:rsid w:val="39300BC2"/>
    <w:rsid w:val="39390772"/>
    <w:rsid w:val="3955569C"/>
    <w:rsid w:val="39657C8F"/>
    <w:rsid w:val="3969383E"/>
    <w:rsid w:val="39831308"/>
    <w:rsid w:val="3A4967DD"/>
    <w:rsid w:val="3A5116BA"/>
    <w:rsid w:val="3A87079F"/>
    <w:rsid w:val="3A8C3BAF"/>
    <w:rsid w:val="3A90269F"/>
    <w:rsid w:val="3AA93D32"/>
    <w:rsid w:val="3AD63889"/>
    <w:rsid w:val="3B293E28"/>
    <w:rsid w:val="3B2F7891"/>
    <w:rsid w:val="3B603F9A"/>
    <w:rsid w:val="3C1E5B01"/>
    <w:rsid w:val="3C333506"/>
    <w:rsid w:val="3C656913"/>
    <w:rsid w:val="3C94066E"/>
    <w:rsid w:val="3CFE624A"/>
    <w:rsid w:val="3D1251D3"/>
    <w:rsid w:val="3D254755"/>
    <w:rsid w:val="3D470E27"/>
    <w:rsid w:val="3D475A63"/>
    <w:rsid w:val="3D5440BC"/>
    <w:rsid w:val="3E447FF5"/>
    <w:rsid w:val="3E884EAA"/>
    <w:rsid w:val="3F1539A0"/>
    <w:rsid w:val="3F1E4982"/>
    <w:rsid w:val="3F6B06C4"/>
    <w:rsid w:val="3FEE6A4A"/>
    <w:rsid w:val="401F30A7"/>
    <w:rsid w:val="40831E81"/>
    <w:rsid w:val="408C76E2"/>
    <w:rsid w:val="409057BD"/>
    <w:rsid w:val="40F77512"/>
    <w:rsid w:val="410D2280"/>
    <w:rsid w:val="41186225"/>
    <w:rsid w:val="412F3D3A"/>
    <w:rsid w:val="41615731"/>
    <w:rsid w:val="416F5968"/>
    <w:rsid w:val="41803BF5"/>
    <w:rsid w:val="418324AC"/>
    <w:rsid w:val="41A04200"/>
    <w:rsid w:val="41A32F85"/>
    <w:rsid w:val="41D2372A"/>
    <w:rsid w:val="42203971"/>
    <w:rsid w:val="42257F84"/>
    <w:rsid w:val="422D3D55"/>
    <w:rsid w:val="42680DF6"/>
    <w:rsid w:val="42BF0693"/>
    <w:rsid w:val="42DC0DDB"/>
    <w:rsid w:val="4328285A"/>
    <w:rsid w:val="43434628"/>
    <w:rsid w:val="43482915"/>
    <w:rsid w:val="4351032C"/>
    <w:rsid w:val="4355293C"/>
    <w:rsid w:val="437E56C2"/>
    <w:rsid w:val="439439C5"/>
    <w:rsid w:val="44236751"/>
    <w:rsid w:val="448C78B8"/>
    <w:rsid w:val="44CB1108"/>
    <w:rsid w:val="4524616E"/>
    <w:rsid w:val="453F611C"/>
    <w:rsid w:val="45C94E39"/>
    <w:rsid w:val="45D568DB"/>
    <w:rsid w:val="45E64357"/>
    <w:rsid w:val="45F71A03"/>
    <w:rsid w:val="46196E13"/>
    <w:rsid w:val="46495A0E"/>
    <w:rsid w:val="464B079B"/>
    <w:rsid w:val="467270CF"/>
    <w:rsid w:val="468077A8"/>
    <w:rsid w:val="468E6ECD"/>
    <w:rsid w:val="468F75C6"/>
    <w:rsid w:val="46BD0C7C"/>
    <w:rsid w:val="46EA56DB"/>
    <w:rsid w:val="476C6251"/>
    <w:rsid w:val="47897891"/>
    <w:rsid w:val="479C322F"/>
    <w:rsid w:val="47A978DA"/>
    <w:rsid w:val="48037F6C"/>
    <w:rsid w:val="480C6C1B"/>
    <w:rsid w:val="4815707A"/>
    <w:rsid w:val="48295411"/>
    <w:rsid w:val="48A1429D"/>
    <w:rsid w:val="48B268BC"/>
    <w:rsid w:val="48D21A79"/>
    <w:rsid w:val="48DF13FB"/>
    <w:rsid w:val="493B7D23"/>
    <w:rsid w:val="49545F4C"/>
    <w:rsid w:val="4969259E"/>
    <w:rsid w:val="497038CD"/>
    <w:rsid w:val="49730A66"/>
    <w:rsid w:val="499A66C3"/>
    <w:rsid w:val="49AC538B"/>
    <w:rsid w:val="4AC46FB1"/>
    <w:rsid w:val="4B2451E8"/>
    <w:rsid w:val="4B4A24A6"/>
    <w:rsid w:val="4B79173F"/>
    <w:rsid w:val="4BF27690"/>
    <w:rsid w:val="4C204881"/>
    <w:rsid w:val="4C311121"/>
    <w:rsid w:val="4C775DE6"/>
    <w:rsid w:val="4C82133E"/>
    <w:rsid w:val="4C892BEB"/>
    <w:rsid w:val="4D13604C"/>
    <w:rsid w:val="4DA80E22"/>
    <w:rsid w:val="4DE92DD7"/>
    <w:rsid w:val="4DF94FFF"/>
    <w:rsid w:val="4DFE7BC4"/>
    <w:rsid w:val="4E0062C6"/>
    <w:rsid w:val="4E6B6CEB"/>
    <w:rsid w:val="4E9D58AB"/>
    <w:rsid w:val="4EAD5D22"/>
    <w:rsid w:val="4ED3716A"/>
    <w:rsid w:val="4F7714C8"/>
    <w:rsid w:val="4F7F519B"/>
    <w:rsid w:val="4F8D5360"/>
    <w:rsid w:val="4FA265C1"/>
    <w:rsid w:val="4FAF2ACB"/>
    <w:rsid w:val="501F6F52"/>
    <w:rsid w:val="503B5A8A"/>
    <w:rsid w:val="505852F6"/>
    <w:rsid w:val="507E72C1"/>
    <w:rsid w:val="508235A6"/>
    <w:rsid w:val="5097639A"/>
    <w:rsid w:val="50DE33C7"/>
    <w:rsid w:val="512F6EC2"/>
    <w:rsid w:val="513242BC"/>
    <w:rsid w:val="513403C7"/>
    <w:rsid w:val="518B38CB"/>
    <w:rsid w:val="51E51CC3"/>
    <w:rsid w:val="51E82D2A"/>
    <w:rsid w:val="529A77A5"/>
    <w:rsid w:val="53396CC8"/>
    <w:rsid w:val="536C4A8A"/>
    <w:rsid w:val="537F746B"/>
    <w:rsid w:val="53C90F08"/>
    <w:rsid w:val="53D92081"/>
    <w:rsid w:val="53ED6794"/>
    <w:rsid w:val="53F7445D"/>
    <w:rsid w:val="542657F3"/>
    <w:rsid w:val="542A50A2"/>
    <w:rsid w:val="542D5399"/>
    <w:rsid w:val="543069E8"/>
    <w:rsid w:val="543D2941"/>
    <w:rsid w:val="54606FA2"/>
    <w:rsid w:val="55275D47"/>
    <w:rsid w:val="557E6ADC"/>
    <w:rsid w:val="559230BD"/>
    <w:rsid w:val="55E305E8"/>
    <w:rsid w:val="55E6015C"/>
    <w:rsid w:val="55E907A3"/>
    <w:rsid w:val="55F46ED8"/>
    <w:rsid w:val="56325307"/>
    <w:rsid w:val="5659474A"/>
    <w:rsid w:val="56732B47"/>
    <w:rsid w:val="571D61C2"/>
    <w:rsid w:val="5733660F"/>
    <w:rsid w:val="57463334"/>
    <w:rsid w:val="578B6597"/>
    <w:rsid w:val="57942C39"/>
    <w:rsid w:val="57A8196A"/>
    <w:rsid w:val="5845276D"/>
    <w:rsid w:val="584F612D"/>
    <w:rsid w:val="586947A8"/>
    <w:rsid w:val="58A87A20"/>
    <w:rsid w:val="58BD4EAA"/>
    <w:rsid w:val="58DA20C8"/>
    <w:rsid w:val="58FE6BB9"/>
    <w:rsid w:val="59224CF9"/>
    <w:rsid w:val="592E0C31"/>
    <w:rsid w:val="593259F3"/>
    <w:rsid w:val="598C18A4"/>
    <w:rsid w:val="59B047F6"/>
    <w:rsid w:val="59B64E5B"/>
    <w:rsid w:val="59C41AA5"/>
    <w:rsid w:val="5A487012"/>
    <w:rsid w:val="5A5A695B"/>
    <w:rsid w:val="5A9713F5"/>
    <w:rsid w:val="5B050A0A"/>
    <w:rsid w:val="5B416702"/>
    <w:rsid w:val="5B510FBA"/>
    <w:rsid w:val="5B5E370D"/>
    <w:rsid w:val="5B713427"/>
    <w:rsid w:val="5B8152A6"/>
    <w:rsid w:val="5B964C3B"/>
    <w:rsid w:val="5C514191"/>
    <w:rsid w:val="5C8B0489"/>
    <w:rsid w:val="5D132212"/>
    <w:rsid w:val="5D3038FF"/>
    <w:rsid w:val="5D655189"/>
    <w:rsid w:val="5DA74751"/>
    <w:rsid w:val="5DCB432F"/>
    <w:rsid w:val="5DD956B5"/>
    <w:rsid w:val="5DE04163"/>
    <w:rsid w:val="5E086E60"/>
    <w:rsid w:val="5E5B4B1E"/>
    <w:rsid w:val="5E806603"/>
    <w:rsid w:val="5EDC2437"/>
    <w:rsid w:val="5F3C0936"/>
    <w:rsid w:val="5F683B20"/>
    <w:rsid w:val="5F6A1B70"/>
    <w:rsid w:val="5F715923"/>
    <w:rsid w:val="5F74528F"/>
    <w:rsid w:val="5F905960"/>
    <w:rsid w:val="603C6B90"/>
    <w:rsid w:val="605268CF"/>
    <w:rsid w:val="60825666"/>
    <w:rsid w:val="608B4D11"/>
    <w:rsid w:val="60E930B4"/>
    <w:rsid w:val="61034DA8"/>
    <w:rsid w:val="61231417"/>
    <w:rsid w:val="613121DF"/>
    <w:rsid w:val="61391E0A"/>
    <w:rsid w:val="61716ECA"/>
    <w:rsid w:val="61775743"/>
    <w:rsid w:val="61E151CE"/>
    <w:rsid w:val="61EC3C39"/>
    <w:rsid w:val="62093EA3"/>
    <w:rsid w:val="62175621"/>
    <w:rsid w:val="6229181C"/>
    <w:rsid w:val="62772330"/>
    <w:rsid w:val="62F96812"/>
    <w:rsid w:val="634B6B7B"/>
    <w:rsid w:val="63AD1923"/>
    <w:rsid w:val="64383FFB"/>
    <w:rsid w:val="64657ABA"/>
    <w:rsid w:val="64DD3A5E"/>
    <w:rsid w:val="65170E14"/>
    <w:rsid w:val="651A5C4B"/>
    <w:rsid w:val="652C53ED"/>
    <w:rsid w:val="65311437"/>
    <w:rsid w:val="653116C9"/>
    <w:rsid w:val="653A164C"/>
    <w:rsid w:val="65B31BCC"/>
    <w:rsid w:val="65B87A10"/>
    <w:rsid w:val="65D35C16"/>
    <w:rsid w:val="65ED7176"/>
    <w:rsid w:val="66241202"/>
    <w:rsid w:val="666879C6"/>
    <w:rsid w:val="66F977AF"/>
    <w:rsid w:val="67B71CB2"/>
    <w:rsid w:val="67FB1FF0"/>
    <w:rsid w:val="68031777"/>
    <w:rsid w:val="682233F5"/>
    <w:rsid w:val="68353249"/>
    <w:rsid w:val="684319C5"/>
    <w:rsid w:val="68767A40"/>
    <w:rsid w:val="68897795"/>
    <w:rsid w:val="68C11D22"/>
    <w:rsid w:val="68D575AA"/>
    <w:rsid w:val="68E66A3D"/>
    <w:rsid w:val="68F0116E"/>
    <w:rsid w:val="68F73295"/>
    <w:rsid w:val="69085BD7"/>
    <w:rsid w:val="69B331CF"/>
    <w:rsid w:val="69F266CB"/>
    <w:rsid w:val="69F50851"/>
    <w:rsid w:val="6A2D0B5E"/>
    <w:rsid w:val="6A9407E1"/>
    <w:rsid w:val="6B477EF6"/>
    <w:rsid w:val="6B513865"/>
    <w:rsid w:val="6B9A256C"/>
    <w:rsid w:val="6BA2719D"/>
    <w:rsid w:val="6BA373FF"/>
    <w:rsid w:val="6BE46B7B"/>
    <w:rsid w:val="6BEB1E5F"/>
    <w:rsid w:val="6C4957FC"/>
    <w:rsid w:val="6C5534FB"/>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790092"/>
    <w:rsid w:val="70A15996"/>
    <w:rsid w:val="712A24BD"/>
    <w:rsid w:val="713779A1"/>
    <w:rsid w:val="715168D7"/>
    <w:rsid w:val="7161690A"/>
    <w:rsid w:val="71FE5EAA"/>
    <w:rsid w:val="724E26A6"/>
    <w:rsid w:val="727035A7"/>
    <w:rsid w:val="729D6808"/>
    <w:rsid w:val="72BA2638"/>
    <w:rsid w:val="72E24278"/>
    <w:rsid w:val="72F247EE"/>
    <w:rsid w:val="73046E24"/>
    <w:rsid w:val="73117CBC"/>
    <w:rsid w:val="731D3DC6"/>
    <w:rsid w:val="73785811"/>
    <w:rsid w:val="73843B37"/>
    <w:rsid w:val="73AA2AB8"/>
    <w:rsid w:val="7448595E"/>
    <w:rsid w:val="74936C9D"/>
    <w:rsid w:val="74A25915"/>
    <w:rsid w:val="750000AA"/>
    <w:rsid w:val="750A7ABF"/>
    <w:rsid w:val="753235FD"/>
    <w:rsid w:val="75706FDE"/>
    <w:rsid w:val="759077E6"/>
    <w:rsid w:val="75940C8C"/>
    <w:rsid w:val="75BB2BFD"/>
    <w:rsid w:val="75BC7EFC"/>
    <w:rsid w:val="75C940ED"/>
    <w:rsid w:val="764F5EAF"/>
    <w:rsid w:val="76AC7129"/>
    <w:rsid w:val="76D15FF3"/>
    <w:rsid w:val="77281E9E"/>
    <w:rsid w:val="773C2D8E"/>
    <w:rsid w:val="77550A67"/>
    <w:rsid w:val="77B83BB6"/>
    <w:rsid w:val="77BA2D12"/>
    <w:rsid w:val="77D16BCC"/>
    <w:rsid w:val="7856695F"/>
    <w:rsid w:val="7866427B"/>
    <w:rsid w:val="78812401"/>
    <w:rsid w:val="78F732D8"/>
    <w:rsid w:val="790F1791"/>
    <w:rsid w:val="791F3849"/>
    <w:rsid w:val="7961798B"/>
    <w:rsid w:val="797350BA"/>
    <w:rsid w:val="79751FE8"/>
    <w:rsid w:val="79775EC9"/>
    <w:rsid w:val="79EE2754"/>
    <w:rsid w:val="7A18436D"/>
    <w:rsid w:val="7A284F3D"/>
    <w:rsid w:val="7A37206F"/>
    <w:rsid w:val="7A610D12"/>
    <w:rsid w:val="7A741385"/>
    <w:rsid w:val="7A7E5483"/>
    <w:rsid w:val="7AAF231C"/>
    <w:rsid w:val="7AC84743"/>
    <w:rsid w:val="7B2F1AD6"/>
    <w:rsid w:val="7B3A1AA6"/>
    <w:rsid w:val="7B7027FC"/>
    <w:rsid w:val="7B740622"/>
    <w:rsid w:val="7B994BC5"/>
    <w:rsid w:val="7BC50A20"/>
    <w:rsid w:val="7BE145C1"/>
    <w:rsid w:val="7C152DD9"/>
    <w:rsid w:val="7C520931"/>
    <w:rsid w:val="7C6766D3"/>
    <w:rsid w:val="7C831CEC"/>
    <w:rsid w:val="7CF26FE4"/>
    <w:rsid w:val="7D0D4810"/>
    <w:rsid w:val="7D34076E"/>
    <w:rsid w:val="7D53381A"/>
    <w:rsid w:val="7D5B501E"/>
    <w:rsid w:val="7D624404"/>
    <w:rsid w:val="7D8F520B"/>
    <w:rsid w:val="7DA37C9C"/>
    <w:rsid w:val="7DCB2CF7"/>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0"/>
    <w:rPr>
      <w:color w:val="0091F2"/>
      <w:sz w:val="18"/>
      <w:szCs w:val="18"/>
      <w:u w:val="none"/>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91F2"/>
      <w:sz w:val="18"/>
      <w:szCs w:val="18"/>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字符"/>
    <w:basedOn w:val="8"/>
    <w:link w:val="5"/>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6">
    <w:name w:val="ico1654"/>
    <w:basedOn w:val="8"/>
    <w:qFormat/>
    <w:uiPriority w:val="0"/>
  </w:style>
  <w:style w:type="character" w:customStyle="1" w:styleId="27">
    <w:name w:val="icontext2"/>
    <w:basedOn w:val="8"/>
    <w:qFormat/>
    <w:uiPriority w:val="0"/>
  </w:style>
  <w:style w:type="character" w:customStyle="1" w:styleId="28">
    <w:name w:val="edit_class"/>
    <w:basedOn w:val="8"/>
    <w:qFormat/>
    <w:uiPriority w:val="0"/>
  </w:style>
  <w:style w:type="character" w:customStyle="1" w:styleId="29">
    <w:name w:val="hover41"/>
    <w:basedOn w:val="8"/>
    <w:qFormat/>
    <w:uiPriority w:val="0"/>
    <w:rPr>
      <w:color w:val="FFFFFF"/>
    </w:rPr>
  </w:style>
  <w:style w:type="character" w:customStyle="1" w:styleId="30">
    <w:name w:val="w32"/>
    <w:basedOn w:val="8"/>
    <w:qFormat/>
    <w:uiPriority w:val="0"/>
  </w:style>
  <w:style w:type="character" w:customStyle="1" w:styleId="31">
    <w:name w:val="hilite"/>
    <w:basedOn w:val="8"/>
    <w:qFormat/>
    <w:uiPriority w:val="0"/>
    <w:rPr>
      <w:color w:val="FFFFFF"/>
      <w:shd w:val="clear" w:fill="666666"/>
    </w:rPr>
  </w:style>
  <w:style w:type="character" w:customStyle="1" w:styleId="32">
    <w:name w:val="layui-layer-tabnow"/>
    <w:basedOn w:val="8"/>
    <w:qFormat/>
    <w:uiPriority w:val="0"/>
    <w:rPr>
      <w:bdr w:val="single" w:color="CCCCCC" w:sz="6" w:space="0"/>
      <w:shd w:val="clear" w:fill="FFFFFF"/>
    </w:rPr>
  </w:style>
  <w:style w:type="character" w:customStyle="1" w:styleId="33">
    <w:name w:val="icontext1"/>
    <w:basedOn w:val="8"/>
    <w:qFormat/>
    <w:uiPriority w:val="0"/>
  </w:style>
  <w:style w:type="character" w:customStyle="1" w:styleId="34">
    <w:name w:val="icontext11"/>
    <w:basedOn w:val="8"/>
    <w:qFormat/>
    <w:uiPriority w:val="0"/>
  </w:style>
  <w:style w:type="character" w:customStyle="1" w:styleId="35">
    <w:name w:val="icontext12"/>
    <w:basedOn w:val="8"/>
    <w:qFormat/>
    <w:uiPriority w:val="0"/>
  </w:style>
  <w:style w:type="character" w:customStyle="1" w:styleId="36">
    <w:name w:val="pagechatarealistclose_box"/>
    <w:basedOn w:val="8"/>
    <w:qFormat/>
    <w:uiPriority w:val="0"/>
  </w:style>
  <w:style w:type="character" w:customStyle="1" w:styleId="37">
    <w:name w:val="pagechatarealistclose_box1"/>
    <w:basedOn w:val="8"/>
    <w:qFormat/>
    <w:uiPriority w:val="0"/>
  </w:style>
  <w:style w:type="character" w:customStyle="1" w:styleId="38">
    <w:name w:val="cy"/>
    <w:basedOn w:val="8"/>
    <w:qFormat/>
    <w:uiPriority w:val="0"/>
  </w:style>
  <w:style w:type="character" w:customStyle="1" w:styleId="39">
    <w:name w:val="cdropleft"/>
    <w:basedOn w:val="8"/>
    <w:qFormat/>
    <w:uiPriority w:val="0"/>
  </w:style>
  <w:style w:type="character" w:customStyle="1" w:styleId="40">
    <w:name w:val="design_class"/>
    <w:basedOn w:val="8"/>
    <w:qFormat/>
    <w:uiPriority w:val="0"/>
  </w:style>
  <w:style w:type="character" w:customStyle="1" w:styleId="41">
    <w:name w:val="active7"/>
    <w:basedOn w:val="8"/>
    <w:qFormat/>
    <w:uiPriority w:val="0"/>
    <w:rPr>
      <w:color w:val="00FF00"/>
      <w:shd w:val="clear" w:fill="111111"/>
    </w:rPr>
  </w:style>
  <w:style w:type="character" w:customStyle="1" w:styleId="42">
    <w:name w:val="active8"/>
    <w:basedOn w:val="8"/>
    <w:qFormat/>
    <w:uiPriority w:val="0"/>
    <w:rPr>
      <w:shd w:val="clear" w:fill="EC3535"/>
    </w:rPr>
  </w:style>
  <w:style w:type="character" w:customStyle="1" w:styleId="43">
    <w:name w:val="biggerthanmax"/>
    <w:basedOn w:val="8"/>
    <w:qFormat/>
    <w:uiPriority w:val="0"/>
    <w:rPr>
      <w:shd w:val="clear" w:fill="FFFF00"/>
    </w:rPr>
  </w:style>
  <w:style w:type="character" w:customStyle="1" w:styleId="44">
    <w:name w:val="cdropright"/>
    <w:basedOn w:val="8"/>
    <w:qFormat/>
    <w:uiPriority w:val="0"/>
  </w:style>
  <w:style w:type="character" w:customStyle="1" w:styleId="45">
    <w:name w:val="button4"/>
    <w:basedOn w:val="8"/>
    <w:qFormat/>
    <w:uiPriority w:val="0"/>
  </w:style>
  <w:style w:type="character" w:customStyle="1" w:styleId="46">
    <w:name w:val="tmpztreemove_arrow"/>
    <w:basedOn w:val="8"/>
    <w:qFormat/>
    <w:uiPriority w:val="0"/>
  </w:style>
  <w:style w:type="character" w:customStyle="1" w:styleId="47">
    <w:name w:val="associateddata"/>
    <w:basedOn w:val="8"/>
    <w:qFormat/>
    <w:uiPriority w:val="0"/>
    <w:rPr>
      <w:shd w:val="clear" w:fill="50A6F9"/>
    </w:rPr>
  </w:style>
  <w:style w:type="character" w:customStyle="1" w:styleId="48">
    <w:name w:val="icontext3"/>
    <w:basedOn w:val="8"/>
    <w:qFormat/>
    <w:uiPriority w:val="0"/>
  </w:style>
  <w:style w:type="character" w:customStyle="1" w:styleId="49">
    <w:name w:val="after"/>
    <w:basedOn w:val="8"/>
    <w:qFormat/>
    <w:uiPriority w:val="0"/>
    <w:rPr>
      <w:sz w:val="0"/>
      <w:szCs w:val="0"/>
    </w:rPr>
  </w:style>
  <w:style w:type="character" w:customStyle="1" w:styleId="50">
    <w:name w:val="drapbtn"/>
    <w:basedOn w:val="8"/>
    <w:qFormat/>
    <w:uiPriority w:val="0"/>
  </w:style>
  <w:style w:type="character" w:customStyle="1" w:styleId="51">
    <w:name w:val="iconline2"/>
    <w:basedOn w:val="8"/>
    <w:qFormat/>
    <w:uiPriority w:val="0"/>
  </w:style>
  <w:style w:type="character" w:customStyle="1" w:styleId="52">
    <w:name w:val="iconline21"/>
    <w:basedOn w:val="8"/>
    <w:qFormat/>
    <w:uiPriority w:val="0"/>
  </w:style>
  <w:style w:type="character" w:customStyle="1" w:styleId="53">
    <w:name w:val="first-child"/>
    <w:basedOn w:val="8"/>
    <w:qFormat/>
    <w:uiPriority w:val="0"/>
  </w:style>
  <w:style w:type="character" w:customStyle="1" w:styleId="54">
    <w:name w:val="choosename"/>
    <w:basedOn w:val="8"/>
    <w:qFormat/>
    <w:uiPriority w:val="0"/>
  </w:style>
  <w:style w:type="character" w:customStyle="1" w:styleId="55">
    <w:name w:val="xdrichtextbox4"/>
    <w:basedOn w:val="8"/>
    <w:qFormat/>
    <w:uiPriority w:val="0"/>
  </w:style>
  <w:style w:type="character" w:customStyle="1" w:styleId="56">
    <w:name w:val="active5"/>
    <w:basedOn w:val="8"/>
    <w:qFormat/>
    <w:uiPriority w:val="0"/>
    <w:rPr>
      <w:color w:val="00FF00"/>
      <w:shd w:val="clear" w:fill="111111"/>
    </w:rPr>
  </w:style>
  <w:style w:type="character" w:customStyle="1" w:styleId="57">
    <w:name w:val="active6"/>
    <w:basedOn w:val="8"/>
    <w:qFormat/>
    <w:uiPriority w:val="0"/>
    <w:rPr>
      <w:shd w:val="clear" w:fill="EC3535"/>
    </w:rPr>
  </w:style>
  <w:style w:type="character" w:customStyle="1" w:styleId="58">
    <w:name w:val="hilite5"/>
    <w:basedOn w:val="8"/>
    <w:qFormat/>
    <w:uiPriority w:val="0"/>
    <w:rPr>
      <w:color w:val="FFFFFF"/>
      <w:shd w:val="clear" w:fill="666666"/>
    </w:rPr>
  </w:style>
  <w:style w:type="character" w:customStyle="1" w:styleId="59">
    <w:name w:val="ico1653"/>
    <w:basedOn w:val="8"/>
    <w:qFormat/>
    <w:uiPriority w:val="0"/>
  </w:style>
  <w:style w:type="character" w:customStyle="1" w:styleId="60">
    <w:name w:val="xdrichtextbox"/>
    <w:basedOn w:val="8"/>
    <w:qFormat/>
    <w:uiPriority w:val="0"/>
    <w:rPr>
      <w:color w:val="auto"/>
      <w:u w:val="none"/>
      <w:bdr w:val="single" w:color="DCDCDC" w:sz="8" w:space="0"/>
      <w:shd w:val="clear" w:fill="auto"/>
    </w:rPr>
  </w:style>
  <w:style w:type="character" w:customStyle="1" w:styleId="61">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27</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2022-07-04T01:21:29Z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