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FHC-PTCG20220525002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福建福海创石油化工有限公司2022年PX联锁优化技改项仪表材料发包（项目编号：FHC-PTCG20220525002）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本项目</w:t>
      </w:r>
      <w:r>
        <w:rPr>
          <w:rFonts w:hint="eastAsia"/>
          <w:sz w:val="24"/>
          <w:szCs w:val="24"/>
          <w:lang w:eastAsia="zh-CN"/>
        </w:rPr>
        <w:t>分为</w:t>
      </w:r>
      <w:r>
        <w:rPr>
          <w:rFonts w:hint="eastAsia"/>
          <w:sz w:val="24"/>
          <w:szCs w:val="24"/>
          <w:lang w:val="en-US" w:eastAsia="zh-CN"/>
        </w:rPr>
        <w:t>五</w:t>
      </w:r>
      <w:r>
        <w:rPr>
          <w:rFonts w:hint="eastAsia"/>
          <w:sz w:val="24"/>
          <w:szCs w:val="24"/>
          <w:lang w:eastAsia="zh-CN"/>
        </w:rPr>
        <w:t>个合同包。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rFonts w:hint="eastAsia"/>
          <w:sz w:val="24"/>
          <w:szCs w:val="24"/>
          <w:lang w:eastAsia="zh-CN"/>
        </w:rPr>
        <w:t>包1：仪表电缆采购</w:t>
      </w:r>
      <w:r>
        <w:rPr>
          <w:rFonts w:hint="eastAsia"/>
          <w:sz w:val="24"/>
          <w:szCs w:val="24"/>
          <w:lang w:val="en-US" w:eastAsia="zh-CN"/>
        </w:rPr>
        <w:t>项目</w:t>
      </w:r>
      <w:r>
        <w:rPr>
          <w:rFonts w:hint="eastAsia"/>
          <w:sz w:val="24"/>
          <w:szCs w:val="24"/>
          <w:lang w:eastAsia="zh-CN"/>
        </w:rPr>
        <w:t>；</w:t>
      </w:r>
      <w:r>
        <w:rPr>
          <w:sz w:val="24"/>
          <w:szCs w:val="24"/>
          <w:lang w:eastAsia="zh-CN"/>
        </w:rPr>
        <w:t>包</w:t>
      </w:r>
      <w:r>
        <w:rPr>
          <w:rFonts w:hint="eastAsia"/>
          <w:sz w:val="24"/>
          <w:szCs w:val="24"/>
          <w:lang w:eastAsia="zh-CN"/>
        </w:rPr>
        <w:t>2：一体式温度变送器、热电阻</w:t>
      </w:r>
      <w:r>
        <w:rPr>
          <w:rFonts w:hint="eastAsia"/>
          <w:sz w:val="24"/>
          <w:szCs w:val="24"/>
          <w:lang w:val="en-US" w:eastAsia="zh-CN"/>
        </w:rPr>
        <w:t>采购项目</w:t>
      </w:r>
      <w:r>
        <w:rPr>
          <w:rFonts w:hint="eastAsia"/>
          <w:sz w:val="24"/>
          <w:szCs w:val="24"/>
          <w:lang w:eastAsia="zh-CN"/>
        </w:rPr>
        <w:t>；包3：</w:t>
      </w:r>
      <w:r>
        <w:rPr>
          <w:rFonts w:hint="eastAsia"/>
          <w:color w:val="000000" w:themeColor="text1"/>
          <w:u w:val="none"/>
          <w:lang w:eastAsia="zh-CN"/>
        </w:rPr>
        <w:t>防爆操作柱、急停按钮采购</w:t>
      </w:r>
      <w:r>
        <w:rPr>
          <w:rFonts w:hint="eastAsia"/>
          <w:color w:val="000000" w:themeColor="text1"/>
          <w:u w:val="none"/>
          <w:lang w:val="en-US" w:eastAsia="zh-CN"/>
        </w:rPr>
        <w:t>项目；包4：热电偶采购项目；包5：孔板采购项目</w:t>
      </w:r>
      <w:r>
        <w:rPr>
          <w:rFonts w:hint="eastAsia"/>
          <w:sz w:val="24"/>
          <w:szCs w:val="24"/>
          <w:lang w:eastAsia="zh-CN"/>
        </w:rPr>
        <w:t>。参选人可参选多个合同包，但必须对同一个合同包中的全部物资进行参选，不得仅对合同包中的部分物资进行参选，否则其比选文件将被拒绝。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日至</w:t>
      </w:r>
      <w:r>
        <w:rPr>
          <w:rFonts w:hint="eastAsia"/>
          <w:color w:val="000000" w:themeColor="text1"/>
          <w:sz w:val="24"/>
          <w:szCs w:val="24"/>
          <w:lang w:val="en-US" w:eastAsia="zh-CN"/>
        </w:rPr>
        <w:t>26</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包1：仪表电缆采购</w:t>
      </w:r>
      <w:r>
        <w:rPr>
          <w:rFonts w:hint="eastAsia"/>
          <w:sz w:val="24"/>
          <w:szCs w:val="24"/>
          <w:lang w:val="en-US" w:eastAsia="zh-CN"/>
        </w:rPr>
        <w:t>项目50000元</w:t>
      </w:r>
      <w:r>
        <w:rPr>
          <w:rFonts w:hint="eastAsia"/>
          <w:sz w:val="24"/>
          <w:szCs w:val="24"/>
          <w:lang w:eastAsia="zh-CN"/>
        </w:rPr>
        <w:t>；</w:t>
      </w:r>
      <w:r>
        <w:rPr>
          <w:sz w:val="24"/>
          <w:szCs w:val="24"/>
          <w:lang w:eastAsia="zh-CN"/>
        </w:rPr>
        <w:t>包</w:t>
      </w:r>
      <w:r>
        <w:rPr>
          <w:rFonts w:hint="eastAsia"/>
          <w:sz w:val="24"/>
          <w:szCs w:val="24"/>
          <w:lang w:eastAsia="zh-CN"/>
        </w:rPr>
        <w:t>2：一体式温度变送器、热电阻</w:t>
      </w:r>
      <w:r>
        <w:rPr>
          <w:rFonts w:hint="eastAsia"/>
          <w:sz w:val="24"/>
          <w:szCs w:val="24"/>
          <w:lang w:val="en-US" w:eastAsia="zh-CN"/>
        </w:rPr>
        <w:t>采购项目10000元</w:t>
      </w:r>
      <w:r>
        <w:rPr>
          <w:rFonts w:hint="eastAsia"/>
          <w:sz w:val="24"/>
          <w:szCs w:val="24"/>
          <w:lang w:eastAsia="zh-CN"/>
        </w:rPr>
        <w:t>；包3：</w:t>
      </w:r>
      <w:r>
        <w:rPr>
          <w:rFonts w:hint="eastAsia"/>
          <w:color w:val="000000" w:themeColor="text1"/>
          <w:u w:val="none"/>
          <w:lang w:eastAsia="zh-CN"/>
        </w:rPr>
        <w:t>防爆操作柱、急停按钮采购</w:t>
      </w:r>
      <w:r>
        <w:rPr>
          <w:rFonts w:hint="eastAsia"/>
          <w:color w:val="000000" w:themeColor="text1"/>
          <w:u w:val="none"/>
          <w:lang w:val="en-US" w:eastAsia="zh-CN"/>
        </w:rPr>
        <w:t>项目3000元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邹春寿 电话：13695015669 邮箱：cszou@fhcpec.com.cn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default"/>
          <w:lang w:val="en-US" w:eastAsia="zh-CN"/>
        </w:rPr>
      </w:pPr>
      <w:r>
        <w:rPr>
          <w:rFonts w:hint="eastAsia"/>
          <w:lang w:val="en-US" w:eastAsia="zh-CN"/>
        </w:rPr>
        <w:t xml:space="preserve">            邹春寿 电话：13695015669 邮箱：cszou@fhcpec.com.cn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包1：仪表电缆采购</w:t>
      </w:r>
      <w:r>
        <w:rPr>
          <w:rFonts w:hint="eastAsia"/>
          <w:sz w:val="24"/>
          <w:szCs w:val="24"/>
          <w:lang w:val="en-US" w:eastAsia="zh-CN"/>
        </w:rPr>
        <w:t>项目50000元</w:t>
      </w:r>
      <w:r>
        <w:rPr>
          <w:rFonts w:hint="eastAsia"/>
          <w:sz w:val="24"/>
          <w:szCs w:val="24"/>
          <w:lang w:eastAsia="zh-CN"/>
        </w:rPr>
        <w:t>；</w:t>
      </w:r>
      <w:r>
        <w:rPr>
          <w:sz w:val="24"/>
          <w:szCs w:val="24"/>
          <w:lang w:eastAsia="zh-CN"/>
        </w:rPr>
        <w:t>包</w:t>
      </w:r>
      <w:r>
        <w:rPr>
          <w:rFonts w:hint="eastAsia"/>
          <w:sz w:val="24"/>
          <w:szCs w:val="24"/>
          <w:lang w:eastAsia="zh-CN"/>
        </w:rPr>
        <w:t>2：一体式温度变送器、热电阻</w:t>
      </w:r>
      <w:r>
        <w:rPr>
          <w:rFonts w:hint="eastAsia"/>
          <w:sz w:val="24"/>
          <w:szCs w:val="24"/>
          <w:lang w:val="en-US" w:eastAsia="zh-CN"/>
        </w:rPr>
        <w:t>采购项目10000元</w:t>
      </w:r>
      <w:r>
        <w:rPr>
          <w:rFonts w:hint="eastAsia"/>
          <w:sz w:val="24"/>
          <w:szCs w:val="24"/>
          <w:lang w:eastAsia="zh-CN"/>
        </w:rPr>
        <w:t>；包3：</w:t>
      </w:r>
      <w:r>
        <w:rPr>
          <w:rFonts w:hint="eastAsia"/>
          <w:color w:val="000000" w:themeColor="text1"/>
          <w:u w:val="none"/>
          <w:lang w:eastAsia="zh-CN"/>
        </w:rPr>
        <w:t>防爆操作柱、急停按钮采购</w:t>
      </w:r>
      <w:r>
        <w:rPr>
          <w:rFonts w:hint="eastAsia"/>
          <w:color w:val="000000" w:themeColor="text1"/>
          <w:u w:val="none"/>
          <w:lang w:val="en-US" w:eastAsia="zh-CN"/>
        </w:rPr>
        <w:t>项目3000元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包1：仪表电缆</w:t>
      </w:r>
      <w:r>
        <w:rPr>
          <w:rFonts w:hint="eastAsia"/>
          <w:b/>
          <w:color w:val="FF0000"/>
          <w:lang w:eastAsia="zh-CN"/>
        </w:rPr>
        <w:t>项目设置最高控制价</w:t>
      </w:r>
      <w:r>
        <w:rPr>
          <w:rFonts w:hint="eastAsia"/>
          <w:b/>
          <w:color w:val="FF0000"/>
          <w:lang w:val="en-US" w:eastAsia="zh-CN"/>
        </w:rPr>
        <w:t>265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包2：一体式温度变送器、热电阻项目</w:t>
      </w:r>
      <w:r>
        <w:rPr>
          <w:rFonts w:hint="eastAsia"/>
          <w:b/>
          <w:color w:val="FF0000"/>
          <w:lang w:eastAsia="zh-CN"/>
        </w:rPr>
        <w:t>设置最高控制价</w:t>
      </w:r>
      <w:r>
        <w:rPr>
          <w:rFonts w:hint="eastAsia"/>
          <w:b/>
          <w:color w:val="FF0000"/>
          <w:lang w:val="en-US" w:eastAsia="zh-CN"/>
        </w:rPr>
        <w:t>70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包3：防爆操作柱、急停按钮采购项目</w:t>
      </w:r>
      <w:r>
        <w:rPr>
          <w:rFonts w:hint="eastAsia"/>
          <w:b/>
          <w:color w:val="FF0000"/>
          <w:lang w:eastAsia="zh-CN"/>
        </w:rPr>
        <w:t>设置最高控制价</w:t>
      </w:r>
      <w:r>
        <w:rPr>
          <w:rFonts w:hint="eastAsia"/>
          <w:b/>
          <w:color w:val="FF0000"/>
          <w:lang w:val="en-US" w:eastAsia="zh-CN"/>
        </w:rPr>
        <w:t>17.25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包4：热带偶采购项目</w:t>
      </w:r>
      <w:r>
        <w:rPr>
          <w:rFonts w:hint="eastAsia"/>
          <w:b/>
          <w:color w:val="FF0000"/>
          <w:lang w:eastAsia="zh-CN"/>
        </w:rPr>
        <w:t>设置最高控制价</w:t>
      </w:r>
      <w:r>
        <w:rPr>
          <w:rFonts w:hint="eastAsia"/>
          <w:b/>
          <w:color w:val="FF0000"/>
          <w:lang w:val="en-US" w:eastAsia="zh-CN"/>
        </w:rPr>
        <w:t>1.6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包5：孔板采购项目</w:t>
      </w:r>
      <w:r>
        <w:rPr>
          <w:rFonts w:hint="eastAsia"/>
          <w:b/>
          <w:color w:val="FF0000"/>
          <w:lang w:eastAsia="zh-CN"/>
        </w:rPr>
        <w:t>设置最高控制价</w:t>
      </w:r>
      <w:r>
        <w:rPr>
          <w:rFonts w:hint="eastAsia"/>
          <w:b/>
          <w:color w:val="FF0000"/>
          <w:lang w:val="en-US" w:eastAsia="zh-CN"/>
        </w:rPr>
        <w:t>1.6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8"/>
        <w:gridCol w:w="3592"/>
        <w:gridCol w:w="1279"/>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spacing w:line="120" w:lineRule="auto"/>
        <w:rPr>
          <w:sz w:val="24"/>
        </w:rPr>
      </w:pPr>
      <w:r>
        <w:rPr>
          <w:rFonts w:hint="eastAsia"/>
          <w:sz w:val="24"/>
        </w:rPr>
        <w:t>1、合同标的和合同价格</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spacing w:line="360" w:lineRule="auto"/>
        <w:rPr>
          <w:sz w:val="24"/>
        </w:rPr>
      </w:pPr>
      <w:r>
        <w:rPr>
          <w:rFonts w:hint="eastAsia"/>
          <w:sz w:val="24"/>
        </w:rPr>
        <w:t xml:space="preserve">   8.3 甲方无故逾期付款的，按照银行同期贷款利率标准支付利息。</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合同包1含税包干固定总价（大写）：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2</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4</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5</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rFonts w:hint="default"/>
          <w:lang w:val="en-US"/>
        </w:rPr>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10294AA3"/>
    <w:rsid w:val="109B279F"/>
    <w:rsid w:val="10E40CA0"/>
    <w:rsid w:val="136130D9"/>
    <w:rsid w:val="13CE320B"/>
    <w:rsid w:val="158161EB"/>
    <w:rsid w:val="158E1ADE"/>
    <w:rsid w:val="18DD4F7E"/>
    <w:rsid w:val="195B58A2"/>
    <w:rsid w:val="19F253E3"/>
    <w:rsid w:val="1A3A6DF2"/>
    <w:rsid w:val="1C217EAF"/>
    <w:rsid w:val="1E085A14"/>
    <w:rsid w:val="1FF43DDB"/>
    <w:rsid w:val="21933AA2"/>
    <w:rsid w:val="24DC0EEC"/>
    <w:rsid w:val="25BF356F"/>
    <w:rsid w:val="25DB0C2D"/>
    <w:rsid w:val="269469E7"/>
    <w:rsid w:val="29FC3B14"/>
    <w:rsid w:val="2B11792E"/>
    <w:rsid w:val="2C9B48A1"/>
    <w:rsid w:val="2DE57862"/>
    <w:rsid w:val="31C54755"/>
    <w:rsid w:val="320B25D2"/>
    <w:rsid w:val="3216608C"/>
    <w:rsid w:val="32E0343B"/>
    <w:rsid w:val="34CE14C6"/>
    <w:rsid w:val="34D84CEC"/>
    <w:rsid w:val="37AF5AB7"/>
    <w:rsid w:val="37F824E3"/>
    <w:rsid w:val="395A672D"/>
    <w:rsid w:val="3B1C3371"/>
    <w:rsid w:val="3CC23198"/>
    <w:rsid w:val="3DDF4815"/>
    <w:rsid w:val="3ED80D7C"/>
    <w:rsid w:val="3FB11C04"/>
    <w:rsid w:val="3FE669E5"/>
    <w:rsid w:val="40FD77F3"/>
    <w:rsid w:val="423D79BD"/>
    <w:rsid w:val="4C3D436D"/>
    <w:rsid w:val="4D7472E9"/>
    <w:rsid w:val="4F34472E"/>
    <w:rsid w:val="4F7033BA"/>
    <w:rsid w:val="4FB40925"/>
    <w:rsid w:val="50F63E28"/>
    <w:rsid w:val="5221007F"/>
    <w:rsid w:val="52926B5A"/>
    <w:rsid w:val="545C5E51"/>
    <w:rsid w:val="5486175B"/>
    <w:rsid w:val="5604432E"/>
    <w:rsid w:val="57667D24"/>
    <w:rsid w:val="57CE5BC3"/>
    <w:rsid w:val="586D6C9A"/>
    <w:rsid w:val="5AE1516A"/>
    <w:rsid w:val="5B6A3A79"/>
    <w:rsid w:val="5C1A5F7B"/>
    <w:rsid w:val="5C57586D"/>
    <w:rsid w:val="5EF92A9F"/>
    <w:rsid w:val="645771F8"/>
    <w:rsid w:val="65304BCB"/>
    <w:rsid w:val="66FD5367"/>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6</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2022-06-20T06:46:04Z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