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仪表</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在线氢气分析仪</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项目编号：QG2205250075</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QG2205250075</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附件四：在线氢气分析仪采购说明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“在线氢气分析仪采购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目编号：QG2205250075</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在线氢气分析仪采购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1套</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val="en-US" w:eastAsia="zh-CN"/>
        </w:rPr>
        <w:t>2022年6月21日</w:t>
      </w:r>
      <w:r>
        <w:rPr>
          <w:rFonts w:hint="eastAsia" w:asciiTheme="minorEastAsia" w:hAnsiTheme="minorEastAsia" w:eastAsiaTheme="minorEastAsia"/>
          <w:sz w:val="24"/>
          <w:szCs w:val="24"/>
          <w:lang w:eastAsia="zh-CN"/>
        </w:rPr>
        <w:t>起至</w:t>
      </w:r>
      <w:r>
        <w:rPr>
          <w:rFonts w:hint="eastAsia" w:asciiTheme="minorEastAsia" w:hAnsiTheme="minorEastAsia" w:eastAsiaTheme="minorEastAsia"/>
          <w:sz w:val="24"/>
          <w:szCs w:val="24"/>
          <w:lang w:val="en-US" w:eastAsia="zh-CN"/>
        </w:rPr>
        <w:t>2022年6月27</w:t>
      </w:r>
      <w:bookmarkStart w:id="1" w:name="_GoBack"/>
      <w:bookmarkEnd w:id="1"/>
      <w:r>
        <w:rPr>
          <w:rFonts w:hint="eastAsia" w:asciiTheme="minorEastAsia" w:hAnsiTheme="minorEastAsia" w:eastAsiaTheme="minorEastAsia"/>
          <w:sz w:val="24"/>
          <w:szCs w:val="24"/>
          <w:lang w:val="en-US" w:eastAsia="zh-CN"/>
        </w:rPr>
        <w:t>日2</w:t>
      </w:r>
      <w:r>
        <w:rPr>
          <w:rFonts w:hint="eastAsia" w:asciiTheme="minorEastAsia" w:hAnsiTheme="minorEastAsia" w:eastAsiaTheme="minorEastAsia"/>
          <w:sz w:val="24"/>
          <w:szCs w:val="24"/>
          <w:lang w:eastAsia="zh-CN"/>
        </w:rPr>
        <w:t>4:00；</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lang w:val="en-US" w:eastAsia="zh-CN"/>
        </w:rPr>
        <w:t>四</w:t>
      </w:r>
      <w:r>
        <w:rPr>
          <w:rFonts w:hint="eastAsia" w:asciiTheme="minorEastAsia" w:hAnsiTheme="minorEastAsia" w:eastAsiaTheme="minorEastAsia"/>
          <w:b/>
          <w:iCs/>
          <w:color w:val="333333"/>
        </w:rPr>
        <w:t>、参选文件递交要求时间、地点：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w:t>
      </w:r>
      <w:r>
        <w:rPr>
          <w:rFonts w:hint="eastAsia" w:cs="宋体" w:asciiTheme="minorEastAsia" w:hAnsiTheme="minorEastAsia" w:eastAsiaTheme="minorEastAsia"/>
          <w:bCs/>
          <w:color w:val="000000" w:themeColor="text1"/>
          <w:szCs w:val="24"/>
          <w:lang w:val="en-US" w:eastAsia="zh-CN"/>
        </w:rPr>
        <w:t>13055516565</w:t>
      </w:r>
      <w:r>
        <w:rPr>
          <w:rFonts w:hint="eastAsia" w:cs="宋体" w:asciiTheme="minorEastAsia" w:hAnsiTheme="minorEastAsia" w:eastAsiaTheme="minorEastAsia"/>
          <w:bCs/>
          <w:color w:val="000000" w:themeColor="text1"/>
          <w:szCs w:val="24"/>
        </w:rPr>
        <w:t xml:space="preserve">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王照军</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19959614244</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：在线氢气分析仪采购。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4、比选控制价：总价90000元（未税），超过该控制价视为无效报价。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套</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rPr>
              <w:t>059</w:t>
            </w:r>
            <w:r>
              <w:rPr>
                <w:rFonts w:hint="eastAsia" w:cs="Times New Roman"/>
                <w:i w:val="0"/>
                <w:caps w:val="0"/>
                <w:color w:val="000000"/>
                <w:spacing w:val="0"/>
                <w:sz w:val="21"/>
                <w:szCs w:val="21"/>
                <w:u w:val="none"/>
                <w:lang w:val="en-US" w:eastAsia="zh-CN"/>
              </w:rPr>
              <w:t>6</w:t>
            </w:r>
            <w:r>
              <w:rPr>
                <w:rFonts w:hint="eastAsia" w:ascii="宋体" w:hAnsi="宋体" w:eastAsia="宋体" w:cs="Times New Roman"/>
                <w:i w:val="0"/>
                <w:caps w:val="0"/>
                <w:color w:val="000000"/>
                <w:spacing w:val="0"/>
                <w:sz w:val="21"/>
                <w:szCs w:val="21"/>
                <w:u w:val="none"/>
              </w:rPr>
              <w:t>-</w:t>
            </w:r>
            <w:r>
              <w:rPr>
                <w:rFonts w:hint="eastAsia" w:cs="Times New Roman"/>
                <w:i w:val="0"/>
                <w:caps w:val="0"/>
                <w:color w:val="000000"/>
                <w:spacing w:val="0"/>
                <w:sz w:val="21"/>
                <w:szCs w:val="21"/>
                <w:u w:val="none"/>
                <w:lang w:val="en-US" w:eastAsia="zh-CN"/>
              </w:rPr>
              <w:t>6311080</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lang w:val="en-US" w:eastAsia="zh-CN"/>
              </w:rPr>
              <w:t>x</w:t>
            </w:r>
            <w:r>
              <w:rPr>
                <w:rFonts w:hint="eastAsia" w:ascii="宋体" w:hAnsi="宋体" w:eastAsia="宋体" w:cs="Times New Roman"/>
                <w:i w:val="0"/>
                <w:caps w:val="0"/>
                <w:color w:val="000000"/>
                <w:spacing w:val="0"/>
                <w:sz w:val="21"/>
                <w:szCs w:val="21"/>
                <w:u w:val="none"/>
              </w:rPr>
              <w:t>u</w:t>
            </w:r>
            <w:r>
              <w:rPr>
                <w:rFonts w:hint="eastAsia" w:ascii="宋体" w:hAnsi="宋体" w:eastAsia="宋体" w:cs="Times New Roman"/>
                <w:i w:val="0"/>
                <w:caps w:val="0"/>
                <w:color w:val="000000"/>
                <w:spacing w:val="0"/>
                <w:sz w:val="21"/>
                <w:szCs w:val="21"/>
                <w:u w:val="none"/>
                <w:lang w:val="en-US" w:eastAsia="zh-CN"/>
              </w:rPr>
              <w:t>kh</w:t>
            </w:r>
            <w:r>
              <w:rPr>
                <w:rFonts w:hint="eastAsia" w:ascii="宋体" w:hAnsi="宋体" w:eastAsia="宋体" w:cs="Times New Roman"/>
                <w:i w:val="0"/>
                <w:caps w:val="0"/>
                <w:color w:val="000000"/>
                <w:spacing w:val="0"/>
                <w:sz w:val="21"/>
                <w:szCs w:val="21"/>
                <w:u w:val="none"/>
              </w:rPr>
              <w:t>@f</w:t>
            </w:r>
            <w:r>
              <w:rPr>
                <w:rFonts w:hint="eastAsia" w:ascii="宋体" w:hAnsi="宋体" w:eastAsia="宋体" w:cs="Times New Roman"/>
                <w:i w:val="0"/>
                <w:caps w:val="0"/>
                <w:color w:val="000000"/>
                <w:spacing w:val="0"/>
                <w:sz w:val="21"/>
                <w:szCs w:val="21"/>
                <w:u w:val="none"/>
                <w:lang w:val="en-US" w:eastAsia="zh-CN"/>
              </w:rPr>
              <w:t>j</w:t>
            </w:r>
            <w:r>
              <w:rPr>
                <w:rFonts w:hint="eastAsia" w:ascii="宋体" w:hAnsi="宋体" w:eastAsia="宋体" w:cs="Times New Roman"/>
                <w:i w:val="0"/>
                <w:caps w:val="0"/>
                <w:color w:val="000000"/>
                <w:spacing w:val="0"/>
                <w:sz w:val="21"/>
                <w:szCs w:val="21"/>
                <w:u w:val="none"/>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在线氢气分析仪采购发包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6</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在线氢气分析仪采购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在线氢气分析仪采购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在线氢气分析仪</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套</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0~100vol%\H2 ±2%F.S\热导检测\4~20mA+公共报警\220VAC/1Kw\Exd ⅡCT4\附带防爆分析柜及预处理装置\详见规格书</w:t>
            </w:r>
            <w:r>
              <w:rPr>
                <w:rFonts w:hint="eastAsia" w:cs="宋体"/>
                <w:i w:val="0"/>
                <w:color w:val="000000"/>
                <w:kern w:val="0"/>
                <w:sz w:val="18"/>
                <w:szCs w:val="18"/>
                <w:u w:val="none"/>
                <w:lang w:val="en-US" w:eastAsia="zh-CN" w:bidi="ar"/>
              </w:rPr>
              <w:t>（具体技术参数以双方技术协议为准）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D807E63"/>
    <w:rsid w:val="0DB539BD"/>
    <w:rsid w:val="11444B30"/>
    <w:rsid w:val="13277FC2"/>
    <w:rsid w:val="13320CC7"/>
    <w:rsid w:val="14F8217A"/>
    <w:rsid w:val="19C11C3C"/>
    <w:rsid w:val="1B9130A5"/>
    <w:rsid w:val="1BFD3935"/>
    <w:rsid w:val="1CD07C5D"/>
    <w:rsid w:val="1D9A588C"/>
    <w:rsid w:val="211E52E5"/>
    <w:rsid w:val="21982EC2"/>
    <w:rsid w:val="21C62431"/>
    <w:rsid w:val="22053D95"/>
    <w:rsid w:val="256C102C"/>
    <w:rsid w:val="28600A02"/>
    <w:rsid w:val="294D0126"/>
    <w:rsid w:val="29EC0946"/>
    <w:rsid w:val="2B5B06BF"/>
    <w:rsid w:val="2B7A381A"/>
    <w:rsid w:val="2C6D7039"/>
    <w:rsid w:val="2C7367C7"/>
    <w:rsid w:val="2D1F37E0"/>
    <w:rsid w:val="2E9D6F5D"/>
    <w:rsid w:val="2F1472D4"/>
    <w:rsid w:val="2F7119A7"/>
    <w:rsid w:val="2FB83131"/>
    <w:rsid w:val="2FFD76B0"/>
    <w:rsid w:val="32F41ED9"/>
    <w:rsid w:val="33937241"/>
    <w:rsid w:val="34526705"/>
    <w:rsid w:val="351C342B"/>
    <w:rsid w:val="35332B89"/>
    <w:rsid w:val="35762F51"/>
    <w:rsid w:val="364A3B8B"/>
    <w:rsid w:val="36501712"/>
    <w:rsid w:val="36D760B5"/>
    <w:rsid w:val="3A2D7ABC"/>
    <w:rsid w:val="3A717EA1"/>
    <w:rsid w:val="3AA82CA6"/>
    <w:rsid w:val="3C2D6D57"/>
    <w:rsid w:val="3E081244"/>
    <w:rsid w:val="3FD45594"/>
    <w:rsid w:val="43FA352E"/>
    <w:rsid w:val="4426585F"/>
    <w:rsid w:val="44666F0A"/>
    <w:rsid w:val="475D0154"/>
    <w:rsid w:val="48BA6FDC"/>
    <w:rsid w:val="490C4677"/>
    <w:rsid w:val="4B1449B9"/>
    <w:rsid w:val="4B1D22A7"/>
    <w:rsid w:val="4BB95558"/>
    <w:rsid w:val="4E1452FC"/>
    <w:rsid w:val="50803166"/>
    <w:rsid w:val="51D50390"/>
    <w:rsid w:val="52A61EAF"/>
    <w:rsid w:val="530F48B5"/>
    <w:rsid w:val="53C46A9B"/>
    <w:rsid w:val="53DA06EC"/>
    <w:rsid w:val="547B4BEE"/>
    <w:rsid w:val="5873407A"/>
    <w:rsid w:val="58884AEC"/>
    <w:rsid w:val="58A115A5"/>
    <w:rsid w:val="58B75AF0"/>
    <w:rsid w:val="5C1D37C5"/>
    <w:rsid w:val="5C3B1DA2"/>
    <w:rsid w:val="5C417AEF"/>
    <w:rsid w:val="5CD2085F"/>
    <w:rsid w:val="5FF76A01"/>
    <w:rsid w:val="6B19304A"/>
    <w:rsid w:val="6CAF4C0A"/>
    <w:rsid w:val="6D4F4F4E"/>
    <w:rsid w:val="6FCC11BE"/>
    <w:rsid w:val="70F63F84"/>
    <w:rsid w:val="710F1ADF"/>
    <w:rsid w:val="71376EE4"/>
    <w:rsid w:val="76BC6DFB"/>
    <w:rsid w:val="796147D0"/>
    <w:rsid w:val="7A6F2C01"/>
    <w:rsid w:val="7D376D9C"/>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7</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2022-06-21T03:41:56Z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