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C5CF5">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团队一台螺杆压缩机</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3C5CF5" w:rsidRPr="003C5CF5">
        <w:rPr>
          <w:color w:val="000000" w:themeColor="text1"/>
          <w:sz w:val="28"/>
          <w:szCs w:val="28"/>
        </w:rPr>
        <w:t>QG2205090020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F40C52">
        <w:rPr>
          <w:rFonts w:ascii="微软雅黑" w:eastAsia="微软雅黑" w:hint="eastAsia"/>
          <w:b/>
          <w:color w:val="000000" w:themeColor="text1"/>
          <w:w w:val="95"/>
          <w:sz w:val="32"/>
          <w:lang w:eastAsia="zh-CN"/>
        </w:rPr>
        <w:t>二〇二二年六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3C5CF5">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 xml:space="preserve">团队一台螺杆压缩机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3C5CF5">
        <w:rPr>
          <w:rFonts w:hint="eastAsia"/>
          <w:color w:val="000000" w:themeColor="text1"/>
          <w:u w:val="single"/>
          <w:lang w:eastAsia="zh-CN"/>
        </w:rPr>
        <w:t>福建福海创石油化工有限公司生产</w:t>
      </w:r>
      <w:proofErr w:type="gramStart"/>
      <w:r w:rsidR="003C5CF5">
        <w:rPr>
          <w:rFonts w:hint="eastAsia"/>
          <w:color w:val="000000" w:themeColor="text1"/>
          <w:u w:val="single"/>
          <w:lang w:eastAsia="zh-CN"/>
        </w:rPr>
        <w:t>一</w:t>
      </w:r>
      <w:proofErr w:type="gramEnd"/>
      <w:r w:rsidR="003C5CF5">
        <w:rPr>
          <w:rFonts w:hint="eastAsia"/>
          <w:color w:val="000000" w:themeColor="text1"/>
          <w:u w:val="single"/>
          <w:lang w:eastAsia="zh-CN"/>
        </w:rPr>
        <w:t>团队一台螺杆压缩机</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3C5CF5" w:rsidRPr="003C5CF5">
        <w:rPr>
          <w:color w:val="000000" w:themeColor="text1"/>
          <w:u w:val="single"/>
          <w:lang w:eastAsia="zh-CN"/>
        </w:rPr>
        <w:t>QG2205090020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3C5CF5">
        <w:rPr>
          <w:rFonts w:hint="eastAsia"/>
          <w:sz w:val="24"/>
          <w:szCs w:val="24"/>
          <w:lang w:eastAsia="zh-CN"/>
        </w:rPr>
        <w:t>项目名称：福建福海创石油化工有限公司生产</w:t>
      </w:r>
      <w:proofErr w:type="gramStart"/>
      <w:r w:rsidR="003C5CF5">
        <w:rPr>
          <w:rFonts w:hint="eastAsia"/>
          <w:sz w:val="24"/>
          <w:szCs w:val="24"/>
          <w:lang w:eastAsia="zh-CN"/>
        </w:rPr>
        <w:t>一</w:t>
      </w:r>
      <w:proofErr w:type="gramEnd"/>
      <w:r w:rsidR="003C5CF5">
        <w:rPr>
          <w:rFonts w:hint="eastAsia"/>
          <w:sz w:val="24"/>
          <w:szCs w:val="24"/>
          <w:lang w:eastAsia="zh-CN"/>
        </w:rPr>
        <w:t>团队一台螺杆压缩机</w:t>
      </w:r>
      <w:r>
        <w:rPr>
          <w:sz w:val="24"/>
          <w:szCs w:val="24"/>
          <w:lang w:eastAsia="zh-CN"/>
        </w:rPr>
        <w:t>采购</w:t>
      </w:r>
      <w:r w:rsidR="00392040">
        <w:rPr>
          <w:sz w:val="24"/>
          <w:szCs w:val="24"/>
          <w:lang w:eastAsia="zh-CN"/>
        </w:rPr>
        <w:t>项目</w:t>
      </w:r>
    </w:p>
    <w:p w:rsidR="00D7766D" w:rsidRPr="00BF71FC"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1855FA" w:rsidRPr="001855FA">
        <w:rPr>
          <w:rFonts w:hint="eastAsia"/>
          <w:sz w:val="24"/>
          <w:szCs w:val="24"/>
          <w:lang w:eastAsia="zh-CN"/>
        </w:rPr>
        <w:t>螺杆压缩机</w:t>
      </w:r>
      <w:r w:rsidR="00AF4295">
        <w:rPr>
          <w:rFonts w:hint="eastAsia"/>
          <w:sz w:val="24"/>
          <w:szCs w:val="24"/>
          <w:lang w:eastAsia="zh-CN"/>
        </w:rPr>
        <w:t xml:space="preserve">数量一台 </w:t>
      </w:r>
      <w:r w:rsidR="001855FA" w:rsidRPr="001855FA">
        <w:rPr>
          <w:rFonts w:hint="eastAsia"/>
          <w:sz w:val="24"/>
          <w:szCs w:val="24"/>
          <w:lang w:eastAsia="zh-CN"/>
        </w:rPr>
        <w:t>排气量：</w:t>
      </w:r>
      <w:r w:rsidR="001855FA" w:rsidRPr="001855FA">
        <w:rPr>
          <w:sz w:val="24"/>
          <w:szCs w:val="24"/>
          <w:lang w:eastAsia="zh-CN"/>
        </w:rPr>
        <w:t>30m3/min(入口状态)；进气压力：0.004Mpa（G）；排气压力0.8Mpa（G）；排气温度≤85℃；压缩机转速：2980r/min；电机功率250kw</w:t>
      </w:r>
      <w:r w:rsidR="001855FA">
        <w:rPr>
          <w:sz w:val="24"/>
          <w:szCs w:val="24"/>
          <w:lang w:eastAsia="zh-CN"/>
        </w:rPr>
        <w:t>（利旧）；轴承形式：滑动轴承</w:t>
      </w:r>
      <w:r w:rsidR="001855FA">
        <w:rPr>
          <w:rFonts w:hint="eastAsia"/>
          <w:sz w:val="24"/>
          <w:szCs w:val="24"/>
          <w:lang w:eastAsia="zh-CN"/>
        </w:rPr>
        <w:t>，</w:t>
      </w:r>
      <w:proofErr w:type="gramStart"/>
      <w:r w:rsidR="001855FA">
        <w:rPr>
          <w:rFonts w:hint="eastAsia"/>
          <w:sz w:val="24"/>
          <w:szCs w:val="24"/>
          <w:lang w:eastAsia="zh-CN"/>
        </w:rPr>
        <w:t>利旧的</w:t>
      </w:r>
      <w:proofErr w:type="gramEnd"/>
      <w:r w:rsidR="001855FA">
        <w:rPr>
          <w:sz w:val="24"/>
          <w:szCs w:val="24"/>
          <w:lang w:eastAsia="zh-CN"/>
        </w:rPr>
        <w:t>驱动机和附属设备往返运输由参选人负责费用</w:t>
      </w:r>
      <w:r w:rsidR="00BF71FC" w:rsidRPr="00BF71FC">
        <w:rPr>
          <w:rFonts w:cs="Arial"/>
          <w:color w:val="111111"/>
          <w:sz w:val="24"/>
          <w:szCs w:val="24"/>
          <w:shd w:val="clear" w:color="auto" w:fill="FFFFFF"/>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BF71FC" w:rsidRPr="001427F4">
        <w:rPr>
          <w:rFonts w:ascii="Arial" w:hAnsi="Arial" w:cs="Arial"/>
          <w:color w:val="111111"/>
          <w:sz w:val="24"/>
          <w:szCs w:val="24"/>
          <w:shd w:val="clear" w:color="auto" w:fill="FFFFFF"/>
          <w:lang w:eastAsia="zh-CN"/>
        </w:rPr>
        <w:t>需具备</w:t>
      </w:r>
      <w:r w:rsidR="001855FA">
        <w:rPr>
          <w:rFonts w:ascii="Arial" w:hAnsi="Arial" w:cs="Arial"/>
          <w:color w:val="111111"/>
          <w:sz w:val="24"/>
          <w:szCs w:val="24"/>
          <w:shd w:val="clear" w:color="auto" w:fill="FFFFFF"/>
          <w:lang w:eastAsia="zh-CN"/>
        </w:rPr>
        <w:t>螺杆压缩机</w:t>
      </w:r>
      <w:r w:rsidR="00BF71FC" w:rsidRPr="001427F4">
        <w:rPr>
          <w:rFonts w:ascii="Arial" w:hAnsi="Arial" w:cs="Arial"/>
          <w:color w:val="111111"/>
          <w:sz w:val="24"/>
          <w:szCs w:val="24"/>
          <w:shd w:val="clear" w:color="auto" w:fill="FFFFFF"/>
          <w:lang w:eastAsia="zh-CN"/>
        </w:rPr>
        <w:t>的制造资质</w:t>
      </w:r>
      <w:r w:rsidR="00BF71FC">
        <w:rPr>
          <w:rFonts w:hint="eastAsia"/>
          <w:sz w:val="24"/>
          <w:szCs w:val="24"/>
          <w:lang w:eastAsia="zh-CN"/>
        </w:rPr>
        <w:t>，</w:t>
      </w:r>
      <w:r w:rsidR="00BF71FC">
        <w:rPr>
          <w:rFonts w:ascii="Arial" w:hAnsi="Arial" w:cs="Arial"/>
          <w:color w:val="111111"/>
          <w:shd w:val="clear" w:color="auto" w:fill="FFFFFF"/>
          <w:lang w:eastAsia="zh-CN"/>
        </w:rPr>
        <w:t>需提</w:t>
      </w:r>
      <w:r w:rsidR="001855FA">
        <w:rPr>
          <w:rFonts w:ascii="Arial" w:hAnsi="Arial" w:cs="Arial"/>
          <w:color w:val="111111"/>
          <w:shd w:val="clear" w:color="auto" w:fill="FFFFFF"/>
          <w:lang w:eastAsia="zh-CN"/>
        </w:rPr>
        <w:t>供近三年内</w:t>
      </w:r>
      <w:r w:rsidR="001855FA" w:rsidRPr="00507256">
        <w:rPr>
          <w:rFonts w:hint="eastAsia"/>
          <w:lang w:eastAsia="zh-CN"/>
        </w:rPr>
        <w:t>LG30/0.8火炬</w:t>
      </w:r>
      <w:r w:rsidR="001855FA">
        <w:rPr>
          <w:rFonts w:hint="eastAsia"/>
          <w:lang w:eastAsia="zh-CN"/>
        </w:rPr>
        <w:t>气回收螺杆</w:t>
      </w:r>
      <w:r w:rsidR="001855FA" w:rsidRPr="0056573C">
        <w:rPr>
          <w:lang w:eastAsia="zh-CN"/>
        </w:rPr>
        <w:t>压缩机组</w:t>
      </w:r>
      <w:r w:rsidR="001855FA">
        <w:rPr>
          <w:rFonts w:ascii="Arial" w:hAnsi="Arial" w:cs="Arial"/>
          <w:color w:val="111111"/>
          <w:shd w:val="clear" w:color="auto" w:fill="FFFFFF"/>
          <w:lang w:eastAsia="zh-CN"/>
        </w:rPr>
        <w:t>同类型或以上</w:t>
      </w:r>
      <w:r w:rsidR="00757774">
        <w:rPr>
          <w:rFonts w:ascii="Arial" w:hAnsi="Arial" w:cs="Arial"/>
          <w:color w:val="111111"/>
          <w:shd w:val="clear" w:color="auto" w:fill="FFFFFF"/>
          <w:lang w:eastAsia="zh-CN"/>
        </w:rPr>
        <w:t>型号</w:t>
      </w:r>
      <w:r w:rsidR="001855FA">
        <w:rPr>
          <w:rFonts w:ascii="Arial" w:hAnsi="Arial" w:cs="Arial"/>
          <w:color w:val="111111"/>
          <w:shd w:val="clear" w:color="auto" w:fill="FFFFFF"/>
          <w:lang w:eastAsia="zh-CN"/>
        </w:rPr>
        <w:t>业</w:t>
      </w:r>
      <w:r w:rsidR="00BF71FC" w:rsidRPr="00BF1841">
        <w:rPr>
          <w:rFonts w:ascii="Arial" w:hAnsi="Arial" w:cs="Arial"/>
          <w:color w:val="111111"/>
          <w:sz w:val="24"/>
          <w:szCs w:val="24"/>
          <w:shd w:val="clear" w:color="auto" w:fill="FFFFFF"/>
          <w:lang w:eastAsia="zh-CN"/>
        </w:rPr>
        <w:t>绩（要提供相应合同扫描件</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757774">
        <w:rPr>
          <w:rFonts w:hint="eastAsia"/>
          <w:color w:val="000000" w:themeColor="text1"/>
          <w:lang w:eastAsia="zh-CN"/>
        </w:rPr>
        <w:t>27000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D7766D" w:rsidRPr="00757774" w:rsidRDefault="00986280">
      <w:pPr>
        <w:pStyle w:val="aa"/>
        <w:spacing w:line="360" w:lineRule="auto"/>
        <w:ind w:right="121"/>
        <w:jc w:val="both"/>
        <w:rPr>
          <w:lang w:eastAsia="zh-CN"/>
        </w:rPr>
      </w:pPr>
      <w:r>
        <w:rPr>
          <w:rFonts w:hint="eastAsia"/>
          <w:color w:val="000000" w:themeColor="text1"/>
          <w:lang w:eastAsia="zh-CN"/>
        </w:rPr>
        <w:t xml:space="preserve">    </w:t>
      </w:r>
      <w:r w:rsidR="00757774">
        <w:rPr>
          <w:rFonts w:hint="eastAsia"/>
          <w:color w:val="000000" w:themeColor="text1"/>
          <w:lang w:eastAsia="zh-CN"/>
        </w:rPr>
        <w:t>开户名称：</w:t>
      </w:r>
      <w:r w:rsidR="00757774" w:rsidRPr="002318C1">
        <w:rPr>
          <w:rFonts w:hint="eastAsia"/>
          <w:lang w:eastAsia="zh-CN"/>
        </w:rPr>
        <w:t>福建福海创石油化工有限公司</w:t>
      </w:r>
    </w:p>
    <w:p w:rsidR="00757774" w:rsidRDefault="00383FD8" w:rsidP="00757774">
      <w:pPr>
        <w:pStyle w:val="aa"/>
        <w:spacing w:line="360" w:lineRule="auto"/>
        <w:ind w:right="121" w:firstLine="480"/>
        <w:jc w:val="both"/>
        <w:rPr>
          <w:lang w:eastAsia="zh-CN"/>
        </w:rPr>
      </w:pPr>
      <w:r>
        <w:rPr>
          <w:rFonts w:hint="eastAsia"/>
          <w:color w:val="000000" w:themeColor="text1"/>
          <w:lang w:eastAsia="zh-CN"/>
        </w:rPr>
        <w:t>开户银行：</w:t>
      </w:r>
      <w:r w:rsidR="00757774">
        <w:rPr>
          <w:rFonts w:hint="eastAsia"/>
          <w:lang w:eastAsia="zh-CN"/>
        </w:rPr>
        <w:t>中国银行漳州古雷支行</w:t>
      </w:r>
    </w:p>
    <w:p w:rsidR="00D7766D" w:rsidRDefault="00986280" w:rsidP="00757774">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00757774" w:rsidRPr="008078AE">
        <w:rPr>
          <w:lang w:eastAsia="zh-CN"/>
        </w:rPr>
        <w:t>406574816628</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757774">
        <w:rPr>
          <w:rFonts w:hint="eastAsia"/>
          <w:color w:val="000000" w:themeColor="text1"/>
          <w:lang w:eastAsia="zh-CN"/>
        </w:rPr>
        <w:t>一台螺杆压缩机</w:t>
      </w:r>
      <w:r w:rsidR="00383FD8">
        <w:rPr>
          <w:rFonts w:hint="eastAsia"/>
          <w:color w:val="000000" w:themeColor="text1"/>
          <w:lang w:eastAsia="zh-CN"/>
        </w:rPr>
        <w:t>采购项目</w:t>
      </w:r>
      <w:r>
        <w:rPr>
          <w:rFonts w:hint="eastAsia"/>
          <w:color w:val="000000" w:themeColor="text1"/>
          <w:lang w:eastAsia="zh-CN"/>
        </w:rPr>
        <w:t>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rsidP="00951099">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51099" w:rsidRDefault="00951099" w:rsidP="00951099">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951099" w:rsidRPr="00951099" w:rsidRDefault="00951099" w:rsidP="00951099">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Default="00951099"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951099" w:rsidRDefault="00986280" w:rsidP="0095109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w:t>
      </w:r>
      <w:r w:rsidR="00951099">
        <w:rPr>
          <w:rFonts w:hint="eastAsia"/>
          <w:sz w:val="24"/>
          <w:szCs w:val="24"/>
          <w:lang w:eastAsia="zh-CN"/>
        </w:rPr>
        <w:t xml:space="preserve">                              </w:t>
      </w: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F40C52">
        <w:rPr>
          <w:rFonts w:hint="eastAsia"/>
          <w:color w:val="000000" w:themeColor="text1"/>
          <w:sz w:val="24"/>
          <w:szCs w:val="24"/>
          <w:lang w:eastAsia="zh-CN"/>
        </w:rPr>
        <w:t>6</w:t>
      </w:r>
      <w:r>
        <w:rPr>
          <w:rFonts w:hint="eastAsia"/>
          <w:color w:val="000000" w:themeColor="text1"/>
          <w:sz w:val="24"/>
          <w:szCs w:val="24"/>
          <w:lang w:eastAsia="zh-CN"/>
        </w:rPr>
        <w:t>月</w:t>
      </w:r>
      <w:r w:rsidR="00796B28">
        <w:rPr>
          <w:rFonts w:hint="eastAsia"/>
          <w:color w:val="000000" w:themeColor="text1"/>
          <w:sz w:val="24"/>
          <w:szCs w:val="24"/>
          <w:lang w:eastAsia="zh-CN"/>
        </w:rPr>
        <w:t>21</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757774">
        <w:rPr>
          <w:rFonts w:hint="eastAsia"/>
          <w:color w:val="000000" w:themeColor="text1"/>
          <w:lang w:eastAsia="zh-CN"/>
        </w:rPr>
        <w:t>福建福海创石油化工有限公司生产</w:t>
      </w:r>
      <w:proofErr w:type="gramStart"/>
      <w:r w:rsidR="00757774">
        <w:rPr>
          <w:rFonts w:hint="eastAsia"/>
          <w:color w:val="000000" w:themeColor="text1"/>
          <w:lang w:eastAsia="zh-CN"/>
        </w:rPr>
        <w:t>一</w:t>
      </w:r>
      <w:proofErr w:type="gramEnd"/>
      <w:r w:rsidR="00757774">
        <w:rPr>
          <w:rFonts w:hint="eastAsia"/>
          <w:color w:val="000000" w:themeColor="text1"/>
          <w:lang w:eastAsia="zh-CN"/>
        </w:rPr>
        <w:t>团队一台螺杆压缩机</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E457C1">
        <w:rPr>
          <w:rFonts w:hint="eastAsia"/>
          <w:lang w:eastAsia="zh-CN"/>
        </w:rPr>
        <w:t>技术联系人：</w:t>
      </w:r>
      <w:proofErr w:type="gramStart"/>
      <w:r w:rsidR="00E457C1">
        <w:rPr>
          <w:rFonts w:hint="eastAsia"/>
          <w:lang w:eastAsia="zh-CN"/>
        </w:rPr>
        <w:t>张</w:t>
      </w:r>
      <w:r w:rsidR="00757774">
        <w:rPr>
          <w:rFonts w:hint="eastAsia"/>
          <w:lang w:eastAsia="zh-CN"/>
        </w:rPr>
        <w:t>连伙</w:t>
      </w:r>
      <w:proofErr w:type="gramEnd"/>
      <w:r w:rsidR="00757774">
        <w:rPr>
          <w:rFonts w:hint="eastAsia"/>
          <w:lang w:eastAsia="zh-CN"/>
        </w:rPr>
        <w:t xml:space="preserve"> </w:t>
      </w:r>
      <w:r w:rsidR="00757774" w:rsidRPr="00757774">
        <w:rPr>
          <w:lang w:eastAsia="zh-CN"/>
        </w:rPr>
        <w:t>18850266190</w:t>
      </w:r>
      <w:r w:rsidR="00757774">
        <w:rPr>
          <w:rFonts w:hint="eastAsia"/>
          <w:lang w:eastAsia="zh-CN"/>
        </w:rPr>
        <w:t>,  lh</w:t>
      </w:r>
      <w:r w:rsidR="009B2858">
        <w:rPr>
          <w:rFonts w:hint="eastAsia"/>
          <w:lang w:eastAsia="zh-CN"/>
        </w:rPr>
        <w:t>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A61F26" w:rsidRPr="00BF71FC" w:rsidRDefault="00A61F26" w:rsidP="00A61F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A61F26" w:rsidRPr="001427F4" w:rsidRDefault="00A61F26" w:rsidP="00A61F2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A61F26" w:rsidRPr="00BF1841" w:rsidRDefault="00A61F26" w:rsidP="00A61F26">
      <w:pPr>
        <w:tabs>
          <w:tab w:val="left" w:pos="709"/>
        </w:tabs>
        <w:spacing w:line="360" w:lineRule="auto"/>
        <w:ind w:firstLineChars="200" w:firstLine="480"/>
        <w:rPr>
          <w:sz w:val="24"/>
          <w:szCs w:val="24"/>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w:t>
      </w:r>
      <w:r w:rsidRPr="001427F4">
        <w:rPr>
          <w:rFonts w:ascii="Arial" w:hAnsi="Arial" w:cs="Arial"/>
          <w:color w:val="111111"/>
          <w:sz w:val="24"/>
          <w:szCs w:val="24"/>
          <w:shd w:val="clear" w:color="auto" w:fill="FFFFFF"/>
          <w:lang w:eastAsia="zh-CN"/>
        </w:rPr>
        <w:t>需具备</w:t>
      </w:r>
      <w:r>
        <w:rPr>
          <w:rFonts w:ascii="Arial" w:hAnsi="Arial" w:cs="Arial"/>
          <w:color w:val="111111"/>
          <w:sz w:val="24"/>
          <w:szCs w:val="24"/>
          <w:shd w:val="clear" w:color="auto" w:fill="FFFFFF"/>
          <w:lang w:eastAsia="zh-CN"/>
        </w:rPr>
        <w:t>螺杆压缩机</w:t>
      </w:r>
      <w:r w:rsidRPr="001427F4">
        <w:rPr>
          <w:rFonts w:ascii="Arial" w:hAnsi="Arial" w:cs="Arial"/>
          <w:color w:val="111111"/>
          <w:sz w:val="24"/>
          <w:szCs w:val="24"/>
          <w:shd w:val="clear" w:color="auto" w:fill="FFFFFF"/>
          <w:lang w:eastAsia="zh-CN"/>
        </w:rPr>
        <w:t>的制造资质</w:t>
      </w:r>
      <w:r>
        <w:rPr>
          <w:rFonts w:hint="eastAsia"/>
          <w:sz w:val="24"/>
          <w:szCs w:val="24"/>
          <w:lang w:eastAsia="zh-CN"/>
        </w:rPr>
        <w:t>，</w:t>
      </w:r>
      <w:r>
        <w:rPr>
          <w:rFonts w:ascii="Arial" w:hAnsi="Arial" w:cs="Arial"/>
          <w:color w:val="111111"/>
          <w:shd w:val="clear" w:color="auto" w:fill="FFFFFF"/>
          <w:lang w:eastAsia="zh-CN"/>
        </w:rPr>
        <w:t>供应商需提供近三年内</w:t>
      </w:r>
      <w:r w:rsidRPr="00507256">
        <w:rPr>
          <w:rFonts w:hint="eastAsia"/>
          <w:lang w:eastAsia="zh-CN"/>
        </w:rPr>
        <w:t>LG30/0.8火炬</w:t>
      </w:r>
      <w:r>
        <w:rPr>
          <w:rFonts w:hint="eastAsia"/>
          <w:lang w:eastAsia="zh-CN"/>
        </w:rPr>
        <w:t>气回收螺杆</w:t>
      </w:r>
      <w:r w:rsidRPr="0056573C">
        <w:rPr>
          <w:lang w:eastAsia="zh-CN"/>
        </w:rPr>
        <w:t>压缩机组</w:t>
      </w:r>
      <w:r>
        <w:rPr>
          <w:rFonts w:ascii="Arial" w:hAnsi="Arial" w:cs="Arial"/>
          <w:color w:val="111111"/>
          <w:shd w:val="clear" w:color="auto" w:fill="FFFFFF"/>
          <w:lang w:eastAsia="zh-CN"/>
        </w:rPr>
        <w:t>同类型或以上型号业</w:t>
      </w:r>
      <w:r w:rsidRPr="00BF1841">
        <w:rPr>
          <w:rFonts w:ascii="Arial" w:hAnsi="Arial" w:cs="Arial"/>
          <w:color w:val="111111"/>
          <w:sz w:val="24"/>
          <w:szCs w:val="24"/>
          <w:shd w:val="clear" w:color="auto" w:fill="FFFFFF"/>
          <w:lang w:eastAsia="zh-CN"/>
        </w:rPr>
        <w:t>绩（要提供相应合同扫描件</w:t>
      </w:r>
      <w:r w:rsidRPr="00BF1841">
        <w:rPr>
          <w:rFonts w:ascii="Arial" w:hAnsi="Arial" w:cs="Arial" w:hint="eastAsia"/>
          <w:color w:val="111111"/>
          <w:sz w:val="24"/>
          <w:szCs w:val="24"/>
          <w:shd w:val="clear" w:color="auto" w:fill="FFFFFF"/>
          <w:lang w:eastAsia="zh-CN"/>
        </w:rPr>
        <w:t>）。</w:t>
      </w:r>
    </w:p>
    <w:p w:rsidR="00A61F26" w:rsidRDefault="00A61F26" w:rsidP="00A61F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757774">
        <w:rPr>
          <w:rFonts w:hint="eastAsia"/>
          <w:color w:val="000000" w:themeColor="text1"/>
          <w:lang w:eastAsia="zh-CN"/>
        </w:rPr>
        <w:t>27000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757774" w:rsidRPr="00757774" w:rsidRDefault="00986280" w:rsidP="00757774">
      <w:pPr>
        <w:pStyle w:val="aa"/>
        <w:spacing w:line="360" w:lineRule="auto"/>
        <w:ind w:right="121"/>
        <w:jc w:val="both"/>
        <w:rPr>
          <w:lang w:eastAsia="zh-CN"/>
        </w:rPr>
      </w:pPr>
      <w:r>
        <w:rPr>
          <w:rFonts w:hint="eastAsia"/>
          <w:color w:val="000000" w:themeColor="text1"/>
          <w:lang w:eastAsia="zh-CN"/>
        </w:rPr>
        <w:t xml:space="preserve">   </w:t>
      </w:r>
      <w:r w:rsidR="007124B6">
        <w:rPr>
          <w:rFonts w:hint="eastAsia"/>
          <w:color w:val="000000" w:themeColor="text1"/>
          <w:lang w:eastAsia="zh-CN"/>
        </w:rPr>
        <w:t xml:space="preserve"> </w:t>
      </w:r>
      <w:r w:rsidR="00757774">
        <w:rPr>
          <w:rFonts w:hint="eastAsia"/>
          <w:color w:val="000000" w:themeColor="text1"/>
          <w:lang w:eastAsia="zh-CN"/>
        </w:rPr>
        <w:t>开户名称：</w:t>
      </w:r>
      <w:r w:rsidR="00757774" w:rsidRPr="002318C1">
        <w:rPr>
          <w:rFonts w:hint="eastAsia"/>
          <w:lang w:eastAsia="zh-CN"/>
        </w:rPr>
        <w:t>福建福海创石油化工有限公司</w:t>
      </w:r>
    </w:p>
    <w:p w:rsidR="00757774" w:rsidRDefault="00757774" w:rsidP="00757774">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9B2858" w:rsidRDefault="00757774" w:rsidP="00757774">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D7766D" w:rsidRPr="009B2858" w:rsidRDefault="009B2858" w:rsidP="009B2858">
      <w:pPr>
        <w:pStyle w:val="aa"/>
        <w:spacing w:line="360" w:lineRule="auto"/>
        <w:ind w:right="121"/>
        <w:jc w:val="both"/>
        <w:rPr>
          <w:color w:val="000000" w:themeColor="text1"/>
          <w:lang w:eastAsia="zh-CN"/>
        </w:rPr>
      </w:pPr>
      <w:r>
        <w:rPr>
          <w:rFonts w:hint="eastAsia"/>
          <w:color w:val="000000" w:themeColor="text1"/>
          <w:lang w:eastAsia="zh-CN"/>
        </w:rPr>
        <w:t xml:space="preserve">    </w:t>
      </w:r>
      <w:r w:rsidR="00757774">
        <w:rPr>
          <w:rFonts w:hint="eastAsia"/>
          <w:color w:val="000000" w:themeColor="text1"/>
          <w:lang w:eastAsia="zh-CN"/>
        </w:rPr>
        <w:t>注明用途：一台螺杆压缩机</w:t>
      </w:r>
      <w:r>
        <w:rPr>
          <w:rFonts w:hint="eastAsia"/>
          <w:color w:val="000000" w:themeColor="text1"/>
          <w:lang w:eastAsia="zh-CN"/>
        </w:rPr>
        <w:t>采购项目参选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pPr>
        <w:pStyle w:val="aa"/>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rsidR="00D7766D" w:rsidRDefault="00986280">
      <w:pPr>
        <w:pStyle w:val="aa"/>
        <w:spacing w:line="360" w:lineRule="auto"/>
        <w:ind w:right="121"/>
        <w:jc w:val="both"/>
        <w:rPr>
          <w:lang w:eastAsia="zh-CN"/>
        </w:rPr>
      </w:pPr>
      <w:r>
        <w:rPr>
          <w:rFonts w:hint="eastAsia"/>
          <w:lang w:eastAsia="zh-CN"/>
        </w:rPr>
        <w:lastRenderedPageBreak/>
        <w:t xml:space="preserve">    3.比选结束退还未中选者的比选保证金（无息），最迟不超过规定的比选有效期满后的20天；</w:t>
      </w:r>
    </w:p>
    <w:p w:rsidR="00D7766D" w:rsidRDefault="00986280">
      <w:pPr>
        <w:pStyle w:val="aa"/>
        <w:spacing w:line="360" w:lineRule="auto"/>
        <w:ind w:right="121"/>
        <w:jc w:val="both"/>
        <w:rPr>
          <w:color w:val="000000" w:themeColor="text1"/>
          <w:lang w:eastAsia="zh-CN"/>
        </w:rPr>
      </w:pPr>
      <w:r>
        <w:rPr>
          <w:rFonts w:hint="eastAsia"/>
          <w:lang w:eastAsia="zh-CN"/>
        </w:rPr>
        <w:t xml:space="preserve">    </w:t>
      </w:r>
      <w:r>
        <w:rPr>
          <w:rFonts w:hint="eastAsia"/>
          <w:b/>
          <w:lang w:eastAsia="zh-CN"/>
        </w:rPr>
        <w:t>4.中选者的参选保证金将直接转为履约保证金；</w:t>
      </w:r>
    </w:p>
    <w:p w:rsidR="00D7766D" w:rsidRDefault="00986280">
      <w:pPr>
        <w:pStyle w:val="aa"/>
        <w:spacing w:line="360" w:lineRule="auto"/>
        <w:ind w:right="121"/>
        <w:jc w:val="both"/>
        <w:rPr>
          <w:lang w:eastAsia="zh-CN"/>
        </w:rPr>
      </w:pPr>
      <w:r>
        <w:rPr>
          <w:rFonts w:hint="eastAsia"/>
          <w:lang w:eastAsia="zh-CN"/>
        </w:rPr>
        <w:t xml:space="preserve">    5.如有下列情况发生，将被没收参选保证金：</w:t>
      </w:r>
    </w:p>
    <w:p w:rsidR="00D7766D" w:rsidRDefault="00986280">
      <w:pPr>
        <w:pStyle w:val="aa"/>
        <w:spacing w:line="360" w:lineRule="auto"/>
        <w:ind w:right="121"/>
        <w:jc w:val="both"/>
        <w:rPr>
          <w:lang w:eastAsia="zh-CN"/>
        </w:rPr>
      </w:pPr>
      <w:r>
        <w:rPr>
          <w:rFonts w:hint="eastAsia"/>
          <w:lang w:eastAsia="zh-CN"/>
        </w:rPr>
        <w:t xml:space="preserve">    （1）参选单位在参选有效期内撤回参选文件；</w:t>
      </w:r>
    </w:p>
    <w:p w:rsidR="00D7766D" w:rsidRDefault="00986280">
      <w:pPr>
        <w:pStyle w:val="aa"/>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57774">
        <w:rPr>
          <w:rFonts w:hint="eastAsia"/>
          <w:b/>
          <w:color w:val="FF0000"/>
          <w:lang w:eastAsia="zh-CN"/>
        </w:rPr>
        <w:t>135</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F40C52" w:rsidRDefault="00104D27" w:rsidP="00F40C5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采用综合评选的方式，从商务和技术两部分进行综合评价，</w:t>
      </w:r>
      <w:r w:rsidR="00F40C52">
        <w:rPr>
          <w:rFonts w:hint="eastAsia"/>
          <w:color w:val="000000"/>
          <w:sz w:val="24"/>
          <w:szCs w:val="24"/>
          <w:shd w:val="clear" w:color="auto" w:fill="FFFFFF"/>
          <w:lang w:eastAsia="zh-CN"/>
        </w:rPr>
        <w:t>商务分与技术分的比例为60：40</w:t>
      </w:r>
      <w:r>
        <w:rPr>
          <w:rFonts w:hint="eastAsia"/>
          <w:color w:val="000000"/>
          <w:sz w:val="24"/>
          <w:szCs w:val="24"/>
          <w:shd w:val="clear" w:color="auto" w:fill="FFFFFF"/>
          <w:lang w:eastAsia="zh-CN"/>
        </w:rPr>
        <w:t>，</w:t>
      </w:r>
      <w:r w:rsidR="00F40C52">
        <w:rPr>
          <w:rFonts w:hint="eastAsia"/>
          <w:color w:val="000000"/>
          <w:sz w:val="24"/>
          <w:szCs w:val="24"/>
          <w:shd w:val="clear" w:color="auto" w:fill="FFFFFF"/>
          <w:lang w:eastAsia="zh-CN"/>
        </w:rPr>
        <w:t>综合得分最高者作为第一中选人。</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53"/>
        <w:gridCol w:w="739"/>
        <w:gridCol w:w="6712"/>
      </w:tblGrid>
      <w:tr w:rsidR="00F40C52" w:rsidTr="00822C92">
        <w:trPr>
          <w:trHeight w:val="399"/>
          <w:jc w:val="center"/>
        </w:trPr>
        <w:tc>
          <w:tcPr>
            <w:tcW w:w="704" w:type="dxa"/>
            <w:shd w:val="clear" w:color="auto" w:fill="auto"/>
            <w:vAlign w:val="center"/>
          </w:tcPr>
          <w:p w:rsidR="00F40C52" w:rsidRPr="00F40C52" w:rsidRDefault="00F40C52" w:rsidP="00FC2F50">
            <w:pPr>
              <w:widowControl/>
              <w:jc w:val="center"/>
              <w:rPr>
                <w:sz w:val="24"/>
                <w:szCs w:val="24"/>
              </w:rPr>
            </w:pPr>
            <w:proofErr w:type="spellStart"/>
            <w:r w:rsidRPr="00F40C52">
              <w:rPr>
                <w:rFonts w:hint="eastAsia"/>
                <w:sz w:val="24"/>
                <w:szCs w:val="24"/>
              </w:rPr>
              <w:t>序号</w:t>
            </w:r>
            <w:proofErr w:type="spellEnd"/>
          </w:p>
        </w:tc>
        <w:tc>
          <w:tcPr>
            <w:tcW w:w="1753" w:type="dxa"/>
            <w:shd w:val="clear" w:color="auto" w:fill="auto"/>
            <w:vAlign w:val="center"/>
          </w:tcPr>
          <w:p w:rsidR="00F40C52" w:rsidRPr="00F40C52" w:rsidRDefault="00F40C52" w:rsidP="00FC2F50">
            <w:pPr>
              <w:widowControl/>
              <w:jc w:val="center"/>
              <w:rPr>
                <w:sz w:val="24"/>
                <w:szCs w:val="24"/>
              </w:rPr>
            </w:pPr>
            <w:proofErr w:type="spellStart"/>
            <w:r w:rsidRPr="00F40C52">
              <w:rPr>
                <w:rFonts w:hint="eastAsia"/>
                <w:sz w:val="24"/>
                <w:szCs w:val="24"/>
              </w:rPr>
              <w:t>评议内容</w:t>
            </w:r>
            <w:proofErr w:type="spellEnd"/>
          </w:p>
        </w:tc>
        <w:tc>
          <w:tcPr>
            <w:tcW w:w="739" w:type="dxa"/>
            <w:shd w:val="clear" w:color="auto" w:fill="auto"/>
            <w:noWrap/>
            <w:vAlign w:val="center"/>
          </w:tcPr>
          <w:p w:rsidR="00F40C52" w:rsidRPr="00F40C52" w:rsidRDefault="00F40C52" w:rsidP="00FC2F50">
            <w:pPr>
              <w:widowControl/>
              <w:jc w:val="center"/>
              <w:rPr>
                <w:sz w:val="24"/>
                <w:szCs w:val="24"/>
              </w:rPr>
            </w:pPr>
            <w:proofErr w:type="spellStart"/>
            <w:r w:rsidRPr="00F40C52">
              <w:rPr>
                <w:rFonts w:hint="eastAsia"/>
                <w:sz w:val="24"/>
                <w:szCs w:val="24"/>
              </w:rPr>
              <w:t>分值</w:t>
            </w:r>
            <w:proofErr w:type="spellEnd"/>
          </w:p>
        </w:tc>
        <w:tc>
          <w:tcPr>
            <w:tcW w:w="6712" w:type="dxa"/>
            <w:shd w:val="clear" w:color="auto" w:fill="auto"/>
            <w:vAlign w:val="center"/>
          </w:tcPr>
          <w:p w:rsidR="00F40C52" w:rsidRPr="00F40C52" w:rsidRDefault="00AF4295" w:rsidP="00FC2F50">
            <w:pPr>
              <w:widowControl/>
              <w:jc w:val="center"/>
              <w:rPr>
                <w:sz w:val="24"/>
                <w:szCs w:val="24"/>
              </w:rPr>
            </w:pPr>
            <w:proofErr w:type="spellStart"/>
            <w:r>
              <w:rPr>
                <w:rFonts w:hint="eastAsia"/>
                <w:sz w:val="24"/>
                <w:szCs w:val="24"/>
              </w:rPr>
              <w:t>评分</w:t>
            </w:r>
            <w:r w:rsidR="00F40C52" w:rsidRPr="00F40C52">
              <w:rPr>
                <w:rFonts w:hint="eastAsia"/>
                <w:sz w:val="24"/>
                <w:szCs w:val="24"/>
              </w:rPr>
              <w:t>标准</w:t>
            </w:r>
            <w:proofErr w:type="spellEnd"/>
          </w:p>
        </w:tc>
      </w:tr>
      <w:tr w:rsidR="00F40C52" w:rsidTr="00FC2F50">
        <w:trPr>
          <w:trHeight w:val="436"/>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一</w:t>
            </w:r>
          </w:p>
        </w:tc>
        <w:tc>
          <w:tcPr>
            <w:tcW w:w="9204" w:type="dxa"/>
            <w:gridSpan w:val="3"/>
            <w:shd w:val="clear" w:color="auto" w:fill="auto"/>
            <w:vAlign w:val="center"/>
          </w:tcPr>
          <w:p w:rsidR="00F40C52" w:rsidRPr="00F40C52" w:rsidRDefault="00F40C52" w:rsidP="00FC2F50">
            <w:pPr>
              <w:widowControl/>
              <w:rPr>
                <w:b/>
                <w:sz w:val="24"/>
                <w:szCs w:val="24"/>
              </w:rPr>
            </w:pPr>
            <w:r w:rsidRPr="00F40C52">
              <w:rPr>
                <w:rFonts w:hint="eastAsia"/>
                <w:b/>
                <w:sz w:val="24"/>
                <w:szCs w:val="24"/>
              </w:rPr>
              <w:t>技术标（满分</w:t>
            </w:r>
            <w:r w:rsidRPr="00F40C52">
              <w:rPr>
                <w:rFonts w:hint="eastAsia"/>
                <w:b/>
                <w:sz w:val="24"/>
                <w:szCs w:val="24"/>
                <w:lang w:eastAsia="zh-CN"/>
              </w:rPr>
              <w:t>4</w:t>
            </w:r>
            <w:r w:rsidRPr="00F40C52">
              <w:rPr>
                <w:b/>
                <w:sz w:val="24"/>
                <w:szCs w:val="24"/>
              </w:rPr>
              <w:t>0</w:t>
            </w:r>
            <w:r w:rsidRPr="00F40C52">
              <w:rPr>
                <w:rFonts w:hint="eastAsia"/>
                <w:b/>
                <w:sz w:val="24"/>
                <w:szCs w:val="24"/>
              </w:rPr>
              <w:t>分）</w:t>
            </w:r>
          </w:p>
        </w:tc>
      </w:tr>
      <w:tr w:rsidR="00F40C52" w:rsidTr="00822C92">
        <w:trPr>
          <w:trHeight w:val="28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1</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类似业绩情况</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13</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根据投标人提供的2017至2021年拥有的业绩情况，重点考虑所提供业绩对应的装置的相似程度、合同设备的类似情况（重点考虑提供压缩机型号、介质、流</w:t>
            </w:r>
            <w:r>
              <w:rPr>
                <w:rFonts w:hint="eastAsia"/>
                <w:color w:val="000000" w:themeColor="text1"/>
                <w:szCs w:val="21"/>
                <w:lang w:eastAsia="zh-CN"/>
              </w:rPr>
              <w:t>量、扬程、温度，轴承形式等要求）工况吻合度等，由评委进行评议并</w:t>
            </w:r>
            <w:r w:rsidRPr="006356D8">
              <w:rPr>
                <w:rFonts w:hint="eastAsia"/>
                <w:color w:val="000000" w:themeColor="text1"/>
                <w:szCs w:val="21"/>
                <w:lang w:eastAsia="zh-CN"/>
              </w:rPr>
              <w:t>进行评分</w:t>
            </w:r>
            <w:r>
              <w:rPr>
                <w:rFonts w:hint="eastAsia"/>
                <w:color w:val="000000" w:themeColor="text1"/>
                <w:szCs w:val="21"/>
                <w:lang w:eastAsia="zh-CN"/>
              </w:rPr>
              <w:t>，有相关业绩，得5分；根据业绩相似程度，</w:t>
            </w:r>
            <w:r w:rsidRPr="006356D8">
              <w:rPr>
                <w:color w:val="000000" w:themeColor="text1"/>
                <w:szCs w:val="21"/>
                <w:lang w:eastAsia="zh-CN"/>
              </w:rPr>
              <w:t>评委在</w:t>
            </w:r>
            <w:r>
              <w:rPr>
                <w:color w:val="000000" w:themeColor="text1"/>
                <w:szCs w:val="21"/>
                <w:lang w:eastAsia="zh-CN"/>
              </w:rPr>
              <w:t>6</w:t>
            </w:r>
            <w:r w:rsidRPr="006356D8">
              <w:rPr>
                <w:color w:val="000000" w:themeColor="text1"/>
                <w:szCs w:val="21"/>
                <w:lang w:eastAsia="zh-CN"/>
              </w:rPr>
              <w:t>-</w:t>
            </w:r>
            <w:r>
              <w:rPr>
                <w:color w:val="000000" w:themeColor="text1"/>
                <w:szCs w:val="21"/>
                <w:lang w:eastAsia="zh-CN"/>
              </w:rPr>
              <w:t>12</w:t>
            </w:r>
            <w:r w:rsidRPr="006356D8">
              <w:rPr>
                <w:color w:val="000000" w:themeColor="text1"/>
                <w:szCs w:val="21"/>
                <w:lang w:eastAsia="zh-CN"/>
              </w:rPr>
              <w:t>分进行评分</w:t>
            </w:r>
            <w:r>
              <w:rPr>
                <w:rFonts w:hint="eastAsia"/>
                <w:color w:val="000000" w:themeColor="text1"/>
                <w:szCs w:val="21"/>
                <w:lang w:eastAsia="zh-CN"/>
              </w:rPr>
              <w:t>；有本案相同业绩，得</w:t>
            </w:r>
            <w:r>
              <w:rPr>
                <w:color w:val="000000" w:themeColor="text1"/>
                <w:szCs w:val="21"/>
                <w:lang w:eastAsia="zh-CN"/>
              </w:rPr>
              <w:t>13</w:t>
            </w:r>
            <w:r>
              <w:rPr>
                <w:rFonts w:hint="eastAsia"/>
                <w:color w:val="000000" w:themeColor="text1"/>
                <w:szCs w:val="21"/>
                <w:lang w:eastAsia="zh-CN"/>
              </w:rPr>
              <w:t>分；未提供得0分</w:t>
            </w:r>
            <w:r w:rsidRPr="006356D8">
              <w:rPr>
                <w:rFonts w:hint="eastAsia"/>
                <w:color w:val="000000" w:themeColor="text1"/>
                <w:szCs w:val="21"/>
                <w:lang w:eastAsia="zh-CN"/>
              </w:rPr>
              <w:t>。</w:t>
            </w:r>
          </w:p>
        </w:tc>
      </w:tr>
      <w:tr w:rsidR="00F40C52" w:rsidTr="00822C92">
        <w:trPr>
          <w:trHeight w:val="28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2</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改造方案</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13</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设备改造技术方案严谨，提供的改造、安装方案合理，且提供详实运行数据等相关证明文件，得10-13分；设备改造技术方案严谨，提供的改造和安装方案合理，</w:t>
            </w:r>
            <w:r>
              <w:rPr>
                <w:rFonts w:hint="eastAsia"/>
                <w:color w:val="000000" w:themeColor="text1"/>
                <w:szCs w:val="21"/>
                <w:lang w:eastAsia="zh-CN"/>
              </w:rPr>
              <w:t>并</w:t>
            </w:r>
            <w:r w:rsidRPr="006356D8">
              <w:rPr>
                <w:rFonts w:hint="eastAsia"/>
                <w:color w:val="000000" w:themeColor="text1"/>
                <w:szCs w:val="21"/>
                <w:lang w:eastAsia="zh-CN"/>
              </w:rPr>
              <w:t>提供相关运行数据，得6-9分；提供的改造方案和安装方案</w:t>
            </w:r>
            <w:r>
              <w:rPr>
                <w:rFonts w:hint="eastAsia"/>
                <w:color w:val="000000" w:themeColor="text1"/>
                <w:szCs w:val="21"/>
                <w:lang w:eastAsia="zh-CN"/>
              </w:rPr>
              <w:t>可行</w:t>
            </w:r>
            <w:r w:rsidRPr="006356D8">
              <w:rPr>
                <w:rFonts w:hint="eastAsia"/>
                <w:color w:val="000000" w:themeColor="text1"/>
                <w:szCs w:val="21"/>
                <w:lang w:eastAsia="zh-CN"/>
              </w:rPr>
              <w:t>，未提供运行数据，得</w:t>
            </w:r>
            <w:r>
              <w:rPr>
                <w:color w:val="000000" w:themeColor="text1"/>
                <w:szCs w:val="21"/>
                <w:lang w:eastAsia="zh-CN"/>
              </w:rPr>
              <w:t>1</w:t>
            </w:r>
            <w:r w:rsidRPr="006356D8">
              <w:rPr>
                <w:rFonts w:hint="eastAsia"/>
                <w:color w:val="000000" w:themeColor="text1"/>
                <w:szCs w:val="21"/>
                <w:lang w:eastAsia="zh-CN"/>
              </w:rPr>
              <w:t>-5分。</w:t>
            </w:r>
          </w:p>
        </w:tc>
      </w:tr>
      <w:tr w:rsidR="00F40C52" w:rsidTr="00822C92">
        <w:trPr>
          <w:trHeight w:val="581"/>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3</w:t>
            </w:r>
          </w:p>
        </w:tc>
        <w:tc>
          <w:tcPr>
            <w:tcW w:w="1753" w:type="dxa"/>
            <w:shd w:val="clear" w:color="auto" w:fill="auto"/>
            <w:vAlign w:val="center"/>
          </w:tcPr>
          <w:p w:rsidR="00F40C52" w:rsidRPr="00F40C52" w:rsidRDefault="00822C92" w:rsidP="00FC2F50">
            <w:pPr>
              <w:widowControl/>
              <w:jc w:val="center"/>
              <w:rPr>
                <w:sz w:val="24"/>
                <w:szCs w:val="24"/>
                <w:highlight w:val="yellow"/>
              </w:rPr>
            </w:pPr>
            <w:proofErr w:type="spellStart"/>
            <w:r w:rsidRPr="006356D8">
              <w:rPr>
                <w:rFonts w:hint="eastAsia"/>
                <w:color w:val="000000" w:themeColor="text1"/>
                <w:szCs w:val="21"/>
              </w:rPr>
              <w:t>供货周期</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5</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货期在四个月内的，得5分；货期在五个月内的，得3分；货期在六个月内得1分，货期在六个月以上不得分。</w:t>
            </w:r>
          </w:p>
        </w:tc>
      </w:tr>
      <w:tr w:rsidR="00F40C52" w:rsidTr="00822C92">
        <w:trPr>
          <w:trHeight w:val="482"/>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lastRenderedPageBreak/>
              <w:t>4</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质量保证</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2</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产品设备质量保证措施完善、投标文件中有详细描述得2分，质量保证措施较完善、投标文件中有描述得1分，质量保证措施一般、投标文件中没有详细描述或无描述得0分。</w:t>
            </w:r>
          </w:p>
        </w:tc>
      </w:tr>
      <w:tr w:rsidR="00F40C52" w:rsidTr="00822C92">
        <w:trPr>
          <w:trHeight w:val="706"/>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5</w:t>
            </w:r>
          </w:p>
        </w:tc>
        <w:tc>
          <w:tcPr>
            <w:tcW w:w="1753" w:type="dxa"/>
            <w:shd w:val="clear" w:color="auto" w:fill="auto"/>
            <w:vAlign w:val="center"/>
          </w:tcPr>
          <w:p w:rsidR="00F40C52" w:rsidRPr="00F40C52" w:rsidRDefault="00822C92" w:rsidP="00FC2F50">
            <w:pPr>
              <w:widowControl/>
              <w:jc w:val="center"/>
              <w:rPr>
                <w:sz w:val="24"/>
                <w:szCs w:val="24"/>
                <w:lang w:eastAsia="zh-CN"/>
              </w:rPr>
            </w:pPr>
            <w:r w:rsidRPr="006356D8">
              <w:rPr>
                <w:color w:val="000000" w:themeColor="text1"/>
                <w:szCs w:val="21"/>
                <w:lang w:eastAsia="zh-CN"/>
              </w:rPr>
              <w:t>主要供货设备的配置情况</w:t>
            </w:r>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2</w:t>
            </w:r>
          </w:p>
        </w:tc>
        <w:tc>
          <w:tcPr>
            <w:tcW w:w="6712" w:type="dxa"/>
            <w:shd w:val="clear" w:color="auto" w:fill="auto"/>
            <w:vAlign w:val="center"/>
          </w:tcPr>
          <w:p w:rsidR="00F40C52" w:rsidRPr="00822C92" w:rsidRDefault="00822C92" w:rsidP="00822C92">
            <w:pPr>
              <w:widowControl/>
              <w:rPr>
                <w:sz w:val="24"/>
                <w:szCs w:val="24"/>
                <w:lang w:eastAsia="zh-CN"/>
              </w:rPr>
            </w:pPr>
            <w:r w:rsidRPr="006356D8">
              <w:rPr>
                <w:color w:val="000000" w:themeColor="text1"/>
                <w:szCs w:val="21"/>
                <w:lang w:eastAsia="zh-CN"/>
              </w:rPr>
              <w:t>根据各投标人提供</w:t>
            </w:r>
            <w:r w:rsidRPr="006356D8">
              <w:rPr>
                <w:rFonts w:hint="eastAsia"/>
                <w:color w:val="000000" w:themeColor="text1"/>
                <w:szCs w:val="21"/>
                <w:lang w:eastAsia="zh-CN"/>
              </w:rPr>
              <w:t>设备</w:t>
            </w:r>
            <w:r w:rsidRPr="006356D8">
              <w:rPr>
                <w:color w:val="000000" w:themeColor="text1"/>
                <w:szCs w:val="21"/>
                <w:lang w:eastAsia="zh-CN"/>
              </w:rPr>
              <w:t>配置情况，重点考虑</w:t>
            </w:r>
            <w:r w:rsidRPr="006356D8">
              <w:rPr>
                <w:rFonts w:hint="eastAsia"/>
                <w:color w:val="000000" w:themeColor="text1"/>
                <w:szCs w:val="21"/>
                <w:lang w:eastAsia="zh-CN"/>
              </w:rPr>
              <w:t>设备</w:t>
            </w:r>
            <w:r w:rsidRPr="006356D8">
              <w:rPr>
                <w:color w:val="000000" w:themeColor="text1"/>
                <w:szCs w:val="21"/>
                <w:lang w:eastAsia="zh-CN"/>
              </w:rPr>
              <w:t>主要零部件材质、特殊或专用工具的材质、分包商（不限于机封、轴承、联轴器、电机等）品牌档次等，评委在0-</w:t>
            </w:r>
            <w:r w:rsidRPr="006356D8">
              <w:rPr>
                <w:rFonts w:hint="eastAsia"/>
                <w:color w:val="000000" w:themeColor="text1"/>
                <w:szCs w:val="21"/>
                <w:lang w:eastAsia="zh-CN"/>
              </w:rPr>
              <w:t>2</w:t>
            </w:r>
            <w:r w:rsidRPr="006356D8">
              <w:rPr>
                <w:color w:val="000000" w:themeColor="text1"/>
                <w:szCs w:val="21"/>
                <w:lang w:eastAsia="zh-CN"/>
              </w:rPr>
              <w:t>分进行评分。</w:t>
            </w:r>
          </w:p>
        </w:tc>
      </w:tr>
      <w:tr w:rsidR="00F40C52" w:rsidTr="00822C92">
        <w:trPr>
          <w:trHeight w:val="39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6</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color w:val="000000" w:themeColor="text1"/>
                <w:szCs w:val="21"/>
              </w:rPr>
              <w:t>备件承诺</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1</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color w:val="000000" w:themeColor="text1"/>
                <w:szCs w:val="21"/>
                <w:lang w:eastAsia="zh-CN"/>
              </w:rPr>
              <w:t>提供质保期后三年内所提供备件的价格不受涨价因素影响的书面承诺者得1分，其余不得分。</w:t>
            </w:r>
          </w:p>
        </w:tc>
      </w:tr>
      <w:tr w:rsidR="00F40C52" w:rsidTr="00822C92">
        <w:trPr>
          <w:trHeight w:val="394"/>
          <w:jc w:val="center"/>
        </w:trPr>
        <w:tc>
          <w:tcPr>
            <w:tcW w:w="704" w:type="dxa"/>
            <w:shd w:val="clear" w:color="auto" w:fill="auto"/>
            <w:vAlign w:val="center"/>
          </w:tcPr>
          <w:p w:rsidR="00F40C52" w:rsidRPr="00F40C52" w:rsidRDefault="00F40C52" w:rsidP="00FC2F50">
            <w:pPr>
              <w:widowControl/>
              <w:jc w:val="center"/>
              <w:rPr>
                <w:sz w:val="24"/>
                <w:szCs w:val="24"/>
                <w:lang w:eastAsia="zh-CN"/>
              </w:rPr>
            </w:pPr>
            <w:r w:rsidRPr="00F40C52">
              <w:rPr>
                <w:rFonts w:hint="eastAsia"/>
                <w:sz w:val="24"/>
                <w:szCs w:val="24"/>
                <w:lang w:eastAsia="zh-CN"/>
              </w:rPr>
              <w:t>7</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过程质量控制</w:t>
            </w:r>
            <w:r w:rsidRPr="006356D8">
              <w:rPr>
                <w:color w:val="000000" w:themeColor="text1"/>
                <w:szCs w:val="21"/>
              </w:rPr>
              <w:t>方案</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2</w:t>
            </w:r>
          </w:p>
        </w:tc>
        <w:tc>
          <w:tcPr>
            <w:tcW w:w="6712" w:type="dxa"/>
            <w:shd w:val="clear" w:color="auto" w:fill="auto"/>
            <w:vAlign w:val="center"/>
          </w:tcPr>
          <w:p w:rsidR="00822C92" w:rsidRPr="006356D8" w:rsidRDefault="00822C92" w:rsidP="00822C92">
            <w:pPr>
              <w:rPr>
                <w:color w:val="000000" w:themeColor="text1"/>
                <w:szCs w:val="21"/>
                <w:lang w:eastAsia="zh-CN"/>
              </w:rPr>
            </w:pPr>
            <w:r w:rsidRPr="006356D8">
              <w:rPr>
                <w:rFonts w:hint="eastAsia"/>
                <w:color w:val="000000" w:themeColor="text1"/>
                <w:szCs w:val="21"/>
                <w:lang w:eastAsia="zh-CN"/>
              </w:rPr>
              <w:t>1.</w:t>
            </w:r>
            <w:r w:rsidRPr="006356D8">
              <w:rPr>
                <w:color w:val="000000" w:themeColor="text1"/>
                <w:szCs w:val="21"/>
                <w:lang w:eastAsia="zh-CN"/>
              </w:rPr>
              <w:t>根据投标人提供的</w:t>
            </w:r>
            <w:r w:rsidRPr="006356D8">
              <w:rPr>
                <w:rFonts w:hint="eastAsia"/>
                <w:color w:val="000000" w:themeColor="text1"/>
                <w:szCs w:val="21"/>
                <w:lang w:eastAsia="zh-CN"/>
              </w:rPr>
              <w:t>设备</w:t>
            </w:r>
            <w:r w:rsidRPr="006356D8">
              <w:rPr>
                <w:color w:val="000000" w:themeColor="text1"/>
                <w:szCs w:val="21"/>
                <w:lang w:eastAsia="zh-CN"/>
              </w:rPr>
              <w:t>制造方案，重点考虑投标人如何在中标后有效地组织安排</w:t>
            </w:r>
            <w:r w:rsidRPr="006356D8">
              <w:rPr>
                <w:rFonts w:hint="eastAsia"/>
                <w:color w:val="000000" w:themeColor="text1"/>
                <w:szCs w:val="21"/>
                <w:lang w:eastAsia="zh-CN"/>
              </w:rPr>
              <w:t>，</w:t>
            </w:r>
            <w:r w:rsidRPr="006356D8">
              <w:rPr>
                <w:color w:val="000000" w:themeColor="text1"/>
                <w:szCs w:val="21"/>
                <w:lang w:eastAsia="zh-CN"/>
              </w:rPr>
              <w:t>确保按时保质地完成设备制造（采购）、运输、装卸、安装、调试直至验收等工作，以及其为此所采取的质量保障措施，由评委按以下标准进行评议：有提供</w:t>
            </w:r>
            <w:r w:rsidRPr="006356D8">
              <w:rPr>
                <w:rFonts w:hint="eastAsia"/>
                <w:color w:val="000000" w:themeColor="text1"/>
                <w:szCs w:val="21"/>
                <w:lang w:eastAsia="zh-CN"/>
              </w:rPr>
              <w:t>质量控制</w:t>
            </w:r>
            <w:r w:rsidRPr="006356D8">
              <w:rPr>
                <w:color w:val="000000" w:themeColor="text1"/>
                <w:szCs w:val="21"/>
                <w:lang w:eastAsia="zh-CN"/>
              </w:rPr>
              <w:t>实施方案的，得基本分</w:t>
            </w:r>
            <w:r w:rsidRPr="006356D8">
              <w:rPr>
                <w:rFonts w:hint="eastAsia"/>
                <w:color w:val="000000" w:themeColor="text1"/>
                <w:szCs w:val="21"/>
                <w:lang w:eastAsia="zh-CN"/>
              </w:rPr>
              <w:t>1</w:t>
            </w:r>
            <w:r w:rsidRPr="006356D8">
              <w:rPr>
                <w:color w:val="000000" w:themeColor="text1"/>
                <w:szCs w:val="21"/>
                <w:lang w:eastAsia="zh-CN"/>
              </w:rPr>
              <w:t>分，并根据方案的优劣在0-</w:t>
            </w:r>
            <w:r w:rsidRPr="006356D8">
              <w:rPr>
                <w:rFonts w:hint="eastAsia"/>
                <w:color w:val="000000" w:themeColor="text1"/>
                <w:szCs w:val="21"/>
                <w:lang w:eastAsia="zh-CN"/>
              </w:rPr>
              <w:t>1</w:t>
            </w:r>
            <w:r w:rsidRPr="006356D8">
              <w:rPr>
                <w:color w:val="000000" w:themeColor="text1"/>
                <w:szCs w:val="21"/>
                <w:lang w:eastAsia="zh-CN"/>
              </w:rPr>
              <w:t>之间评分</w:t>
            </w:r>
            <w:r w:rsidRPr="006356D8">
              <w:rPr>
                <w:rFonts w:hint="eastAsia"/>
                <w:color w:val="000000" w:themeColor="text1"/>
                <w:szCs w:val="21"/>
                <w:lang w:eastAsia="zh-CN"/>
              </w:rPr>
              <w:t>。</w:t>
            </w:r>
          </w:p>
          <w:p w:rsidR="00F40C52" w:rsidRPr="00F40C52" w:rsidRDefault="00822C92" w:rsidP="00822C92">
            <w:pPr>
              <w:widowControl/>
              <w:rPr>
                <w:sz w:val="24"/>
                <w:szCs w:val="24"/>
                <w:lang w:eastAsia="zh-CN"/>
              </w:rPr>
            </w:pPr>
            <w:r w:rsidRPr="006356D8">
              <w:rPr>
                <w:color w:val="000000" w:themeColor="text1"/>
                <w:szCs w:val="21"/>
                <w:lang w:eastAsia="zh-CN"/>
              </w:rPr>
              <w:t>2、根据投标人提供的</w:t>
            </w:r>
            <w:r w:rsidRPr="006356D8">
              <w:rPr>
                <w:rFonts w:hint="eastAsia"/>
                <w:color w:val="000000" w:themeColor="text1"/>
                <w:szCs w:val="21"/>
                <w:lang w:eastAsia="zh-CN"/>
              </w:rPr>
              <w:t>设备</w:t>
            </w:r>
            <w:r w:rsidRPr="006356D8">
              <w:rPr>
                <w:color w:val="000000" w:themeColor="text1"/>
                <w:szCs w:val="21"/>
                <w:lang w:eastAsia="zh-CN"/>
              </w:rPr>
              <w:t>制造方案，</w:t>
            </w:r>
            <w:r w:rsidRPr="006356D8">
              <w:rPr>
                <w:rFonts w:hint="eastAsia"/>
                <w:color w:val="000000" w:themeColor="text1"/>
                <w:szCs w:val="21"/>
                <w:lang w:eastAsia="zh-CN"/>
              </w:rPr>
              <w:t>先进、耐用等技术方案</w:t>
            </w:r>
            <w:r w:rsidRPr="006356D8">
              <w:rPr>
                <w:color w:val="000000" w:themeColor="text1"/>
                <w:szCs w:val="21"/>
                <w:lang w:eastAsia="zh-CN"/>
              </w:rPr>
              <w:t>，由评委进行评议并在0～1分之间进行评分。</w:t>
            </w:r>
          </w:p>
        </w:tc>
      </w:tr>
      <w:tr w:rsidR="00F40C52" w:rsidTr="00822C92">
        <w:trPr>
          <w:trHeight w:val="394"/>
          <w:jc w:val="center"/>
        </w:trPr>
        <w:tc>
          <w:tcPr>
            <w:tcW w:w="704" w:type="dxa"/>
            <w:shd w:val="clear" w:color="auto" w:fill="auto"/>
            <w:vAlign w:val="center"/>
          </w:tcPr>
          <w:p w:rsidR="00F40C52" w:rsidRPr="00F40C52" w:rsidRDefault="00F40C52" w:rsidP="00FC2F50">
            <w:pPr>
              <w:widowControl/>
              <w:jc w:val="center"/>
              <w:rPr>
                <w:sz w:val="24"/>
                <w:szCs w:val="24"/>
                <w:lang w:eastAsia="zh-CN"/>
              </w:rPr>
            </w:pPr>
            <w:r w:rsidRPr="00F40C52">
              <w:rPr>
                <w:rFonts w:hint="eastAsia"/>
                <w:sz w:val="24"/>
                <w:szCs w:val="24"/>
                <w:lang w:eastAsia="zh-CN"/>
              </w:rPr>
              <w:t>8</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售后服务</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2</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有完善的售后服务措施，售后服务人员配备齐全，能及时响应现场所需积极处理相关问题，有良好的市场售后信誉，</w:t>
            </w:r>
            <w:r w:rsidRPr="006356D8">
              <w:rPr>
                <w:color w:val="000000" w:themeColor="text1"/>
                <w:szCs w:val="21"/>
                <w:lang w:eastAsia="zh-CN"/>
              </w:rPr>
              <w:t>由评委进行评议并在</w:t>
            </w:r>
            <w:r w:rsidRPr="006356D8">
              <w:rPr>
                <w:rFonts w:hint="eastAsia"/>
                <w:color w:val="000000" w:themeColor="text1"/>
                <w:szCs w:val="21"/>
                <w:lang w:eastAsia="zh-CN"/>
              </w:rPr>
              <w:t>0</w:t>
            </w:r>
            <w:r w:rsidRPr="006356D8">
              <w:rPr>
                <w:color w:val="000000" w:themeColor="text1"/>
                <w:szCs w:val="21"/>
                <w:lang w:eastAsia="zh-CN"/>
              </w:rPr>
              <w:t>～</w:t>
            </w:r>
            <w:r w:rsidRPr="006356D8">
              <w:rPr>
                <w:rFonts w:hint="eastAsia"/>
                <w:color w:val="000000" w:themeColor="text1"/>
                <w:szCs w:val="21"/>
                <w:lang w:eastAsia="zh-CN"/>
              </w:rPr>
              <w:t>2</w:t>
            </w:r>
            <w:r w:rsidRPr="006356D8">
              <w:rPr>
                <w:color w:val="000000" w:themeColor="text1"/>
                <w:szCs w:val="21"/>
                <w:lang w:eastAsia="zh-CN"/>
              </w:rPr>
              <w:t>分之间进行评分</w:t>
            </w:r>
            <w:r w:rsidRPr="006356D8">
              <w:rPr>
                <w:rFonts w:hint="eastAsia"/>
                <w:color w:val="000000" w:themeColor="text1"/>
                <w:szCs w:val="21"/>
                <w:lang w:eastAsia="zh-CN"/>
              </w:rPr>
              <w:t>。</w:t>
            </w:r>
          </w:p>
        </w:tc>
      </w:tr>
      <w:tr w:rsidR="00F40C52" w:rsidTr="00FC2F50">
        <w:trPr>
          <w:trHeight w:val="28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二</w:t>
            </w:r>
          </w:p>
        </w:tc>
        <w:tc>
          <w:tcPr>
            <w:tcW w:w="9204" w:type="dxa"/>
            <w:gridSpan w:val="3"/>
            <w:shd w:val="clear" w:color="auto" w:fill="auto"/>
            <w:vAlign w:val="center"/>
          </w:tcPr>
          <w:p w:rsidR="00F40C52" w:rsidRPr="00F40C52" w:rsidRDefault="00F40C52" w:rsidP="00FC2F50">
            <w:pPr>
              <w:widowControl/>
              <w:rPr>
                <w:sz w:val="24"/>
                <w:szCs w:val="24"/>
              </w:rPr>
            </w:pPr>
            <w:r w:rsidRPr="00F40C52">
              <w:rPr>
                <w:rFonts w:hint="eastAsia"/>
                <w:b/>
                <w:sz w:val="24"/>
                <w:szCs w:val="24"/>
              </w:rPr>
              <w:t>商务标（满分</w:t>
            </w:r>
            <w:r w:rsidRPr="00F40C52">
              <w:rPr>
                <w:rFonts w:hint="eastAsia"/>
                <w:b/>
                <w:sz w:val="24"/>
                <w:szCs w:val="24"/>
                <w:lang w:eastAsia="zh-CN"/>
              </w:rPr>
              <w:t>6</w:t>
            </w:r>
            <w:r w:rsidRPr="00F40C52">
              <w:rPr>
                <w:rFonts w:hint="eastAsia"/>
                <w:b/>
                <w:sz w:val="24"/>
                <w:szCs w:val="24"/>
              </w:rPr>
              <w:t>0分）</w:t>
            </w:r>
          </w:p>
        </w:tc>
      </w:tr>
      <w:tr w:rsidR="00F40C52" w:rsidTr="00822C92">
        <w:trPr>
          <w:trHeight w:val="28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1</w:t>
            </w:r>
          </w:p>
        </w:tc>
        <w:tc>
          <w:tcPr>
            <w:tcW w:w="1753" w:type="dxa"/>
            <w:shd w:val="clear" w:color="auto" w:fill="auto"/>
            <w:vAlign w:val="center"/>
          </w:tcPr>
          <w:p w:rsidR="00F40C52" w:rsidRPr="00F40C52" w:rsidRDefault="00822C92" w:rsidP="00FC2F50">
            <w:pPr>
              <w:widowControl/>
              <w:rPr>
                <w:color w:val="000000"/>
                <w:sz w:val="24"/>
                <w:szCs w:val="24"/>
                <w:lang w:eastAsia="zh-CN"/>
              </w:rPr>
            </w:pPr>
            <w:proofErr w:type="spellStart"/>
            <w:r>
              <w:rPr>
                <w:rFonts w:hint="eastAsia"/>
                <w:sz w:val="24"/>
                <w:szCs w:val="24"/>
              </w:rPr>
              <w:t>商务报价分数</w:t>
            </w:r>
            <w:proofErr w:type="spellEnd"/>
          </w:p>
        </w:tc>
        <w:tc>
          <w:tcPr>
            <w:tcW w:w="739" w:type="dxa"/>
            <w:shd w:val="clear" w:color="auto" w:fill="auto"/>
            <w:noWrap/>
            <w:vAlign w:val="center"/>
          </w:tcPr>
          <w:p w:rsidR="00F40C52" w:rsidRPr="00F40C52" w:rsidRDefault="00822C92" w:rsidP="00FC2F50">
            <w:pPr>
              <w:jc w:val="center"/>
              <w:rPr>
                <w:color w:val="000000"/>
                <w:sz w:val="24"/>
                <w:szCs w:val="24"/>
              </w:rPr>
            </w:pPr>
            <w:r>
              <w:rPr>
                <w:rFonts w:hint="eastAsia"/>
                <w:color w:val="000000"/>
                <w:sz w:val="24"/>
                <w:szCs w:val="24"/>
                <w:lang w:eastAsia="zh-CN"/>
              </w:rPr>
              <w:t>6</w:t>
            </w:r>
            <w:r w:rsidR="00F40C52" w:rsidRPr="00F40C52">
              <w:rPr>
                <w:rFonts w:hint="eastAsia"/>
                <w:color w:val="000000"/>
                <w:sz w:val="24"/>
                <w:szCs w:val="24"/>
              </w:rPr>
              <w:t>0</w:t>
            </w:r>
          </w:p>
        </w:tc>
        <w:tc>
          <w:tcPr>
            <w:tcW w:w="6712" w:type="dxa"/>
            <w:shd w:val="clear" w:color="auto" w:fill="auto"/>
            <w:vAlign w:val="center"/>
          </w:tcPr>
          <w:p w:rsidR="00961749" w:rsidRDefault="00961749" w:rsidP="00FC2F50">
            <w:pPr>
              <w:widowControl/>
              <w:spacing w:line="440" w:lineRule="exact"/>
              <w:rPr>
                <w:sz w:val="24"/>
                <w:szCs w:val="24"/>
                <w:lang w:eastAsia="zh-CN"/>
              </w:rPr>
            </w:pPr>
            <w:r>
              <w:rPr>
                <w:rFonts w:hint="eastAsia"/>
                <w:sz w:val="24"/>
                <w:szCs w:val="24"/>
                <w:lang w:eastAsia="zh-CN"/>
              </w:rPr>
              <w:t>计算分数=60*(最低报价/有效报价)</w:t>
            </w:r>
          </w:p>
          <w:p w:rsidR="00F40C52" w:rsidRPr="00961749" w:rsidRDefault="00F40C52" w:rsidP="00961749">
            <w:pPr>
              <w:spacing w:before="15" w:line="360" w:lineRule="auto"/>
              <w:rPr>
                <w:color w:val="000000"/>
                <w:sz w:val="24"/>
                <w:szCs w:val="24"/>
                <w:shd w:val="clear" w:color="auto" w:fill="FFFFFF"/>
                <w:lang w:eastAsia="zh-CN"/>
              </w:rPr>
            </w:pPr>
            <w:r w:rsidRPr="00F40C52">
              <w:rPr>
                <w:rFonts w:cs="Calibri"/>
                <w:sz w:val="24"/>
                <w:szCs w:val="24"/>
                <w:lang w:eastAsia="zh-CN"/>
              </w:rPr>
              <w:t>①</w:t>
            </w:r>
            <w:r w:rsidR="00961749">
              <w:rPr>
                <w:rFonts w:cs="Calibri" w:hint="eastAsia"/>
                <w:sz w:val="24"/>
                <w:szCs w:val="24"/>
                <w:lang w:eastAsia="zh-CN"/>
              </w:rPr>
              <w:t>满足付款条件：</w:t>
            </w:r>
            <w:r w:rsidR="00961749">
              <w:rPr>
                <w:rFonts w:hint="eastAsia"/>
                <w:color w:val="000000"/>
                <w:sz w:val="24"/>
                <w:szCs w:val="24"/>
                <w:shd w:val="clear" w:color="auto" w:fill="FFFFFF"/>
                <w:lang w:eastAsia="zh-CN"/>
              </w:rPr>
              <w:t>货到验收合格付90%，留10%质保</w:t>
            </w:r>
          </w:p>
          <w:p w:rsidR="00F40C52" w:rsidRPr="00F40C52" w:rsidRDefault="00F40C52" w:rsidP="00FC2F50">
            <w:pPr>
              <w:widowControl/>
              <w:rPr>
                <w:sz w:val="24"/>
                <w:szCs w:val="24"/>
                <w:lang w:eastAsia="zh-CN"/>
              </w:rPr>
            </w:pPr>
            <w:r w:rsidRPr="00F40C52">
              <w:rPr>
                <w:rFonts w:cs="Calibri"/>
                <w:sz w:val="24"/>
                <w:szCs w:val="24"/>
                <w:lang w:eastAsia="zh-CN"/>
              </w:rPr>
              <w:t>②</w:t>
            </w:r>
            <w:r w:rsidRPr="00F40C52">
              <w:rPr>
                <w:rFonts w:hint="eastAsia"/>
                <w:sz w:val="24"/>
                <w:szCs w:val="24"/>
                <w:lang w:eastAsia="zh-CN"/>
              </w:rPr>
              <w:t>计算分数时四舍五入取小数点后两位</w:t>
            </w:r>
          </w:p>
        </w:tc>
      </w:tr>
    </w:tbl>
    <w:p w:rsidR="00F40C52" w:rsidRPr="00F40C52" w:rsidRDefault="00F40C52" w:rsidP="00F40C52">
      <w:pPr>
        <w:pStyle w:val="10"/>
      </w:pP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57774">
        <w:rPr>
          <w:rStyle w:val="af7"/>
          <w:rFonts w:hint="eastAsia"/>
          <w:color w:val="FF0000"/>
          <w:lang w:eastAsia="zh-CN"/>
        </w:rPr>
        <w:t>权属子公司“腾龙芳烃（漳州）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757774" w:rsidP="00977F9C">
      <w:pPr>
        <w:spacing w:line="360" w:lineRule="auto"/>
        <w:ind w:left="883" w:hangingChars="200" w:hanging="883"/>
        <w:jc w:val="center"/>
        <w:rPr>
          <w:b/>
          <w:sz w:val="44"/>
          <w:szCs w:val="44"/>
          <w:lang w:eastAsia="zh-CN"/>
        </w:rPr>
      </w:pPr>
      <w:r>
        <w:rPr>
          <w:rFonts w:hint="eastAsia"/>
          <w:b/>
          <w:sz w:val="44"/>
          <w:szCs w:val="44"/>
          <w:lang w:eastAsia="zh-CN"/>
        </w:rPr>
        <w:t>一台螺杆压缩机</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57774">
        <w:rPr>
          <w:rFonts w:hint="eastAsia"/>
          <w:b/>
          <w:sz w:val="32"/>
          <w:szCs w:val="32"/>
          <w:lang w:eastAsia="zh-CN"/>
        </w:rPr>
        <w:t>方：腾龙芳烃（漳州）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7D1C68">
        <w:rPr>
          <w:rFonts w:hint="eastAsia"/>
          <w:sz w:val="24"/>
          <w:szCs w:val="24"/>
          <w:lang w:eastAsia="zh-CN"/>
        </w:rPr>
        <w:t>方：腾龙芳烃（漳州）</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7D1C68">
        <w:rPr>
          <w:rFonts w:hint="eastAsia"/>
          <w:sz w:val="24"/>
          <w:szCs w:val="24"/>
          <w:lang w:eastAsia="zh-CN"/>
        </w:rPr>
        <w:t>螺杆压缩机</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sidR="007D1C68">
        <w:rPr>
          <w:rFonts w:hint="eastAsia"/>
          <w:sz w:val="24"/>
          <w:szCs w:val="24"/>
          <w:lang w:eastAsia="zh-CN"/>
        </w:rPr>
        <w:t>技术协议》规定制造合同产品，并就货物的技术和性能向甲</w:t>
      </w:r>
      <w:r>
        <w:rPr>
          <w:rFonts w:hint="eastAsia"/>
          <w:sz w:val="24"/>
          <w:szCs w:val="24"/>
          <w:lang w:eastAsia="zh-CN"/>
        </w:rPr>
        <w:t>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2.2 </w:t>
      </w:r>
      <w:r w:rsidR="00961749">
        <w:rPr>
          <w:rFonts w:hint="eastAsia"/>
          <w:sz w:val="24"/>
          <w:szCs w:val="24"/>
          <w:lang w:eastAsia="zh-CN"/>
        </w:rPr>
        <w:t>本合同总价含货物制造费、以及按国家规定收费标准运到甲</w:t>
      </w:r>
      <w:r>
        <w:rPr>
          <w:rFonts w:hint="eastAsia"/>
          <w:sz w:val="24"/>
          <w:szCs w:val="24"/>
          <w:lang w:eastAsia="zh-CN"/>
        </w:rPr>
        <w:t>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 xml:space="preserve">2.3 </w:t>
      </w:r>
      <w:r w:rsidR="00961749">
        <w:rPr>
          <w:rFonts w:hint="eastAsia"/>
          <w:sz w:val="24"/>
          <w:szCs w:val="24"/>
          <w:lang w:eastAsia="zh-CN"/>
        </w:rPr>
        <w:t>合同总价为一次性不变价。以上总</w:t>
      </w:r>
      <w:proofErr w:type="gramStart"/>
      <w:r w:rsidR="00961749">
        <w:rPr>
          <w:rFonts w:hint="eastAsia"/>
          <w:sz w:val="24"/>
          <w:szCs w:val="24"/>
          <w:lang w:eastAsia="zh-CN"/>
        </w:rPr>
        <w:t>金额为货到</w:t>
      </w:r>
      <w:proofErr w:type="gramEnd"/>
      <w:r w:rsidR="00961749">
        <w:rPr>
          <w:rFonts w:hint="eastAsia"/>
          <w:sz w:val="24"/>
          <w:szCs w:val="24"/>
          <w:lang w:eastAsia="zh-CN"/>
        </w:rPr>
        <w:t>甲</w:t>
      </w:r>
      <w:r>
        <w:rPr>
          <w:rFonts w:hint="eastAsia"/>
          <w:sz w:val="24"/>
          <w:szCs w:val="24"/>
          <w:lang w:eastAsia="zh-CN"/>
        </w:rPr>
        <w:t>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133F6A">
        <w:rPr>
          <w:rFonts w:hint="eastAsia"/>
          <w:sz w:val="24"/>
          <w:szCs w:val="24"/>
          <w:lang w:eastAsia="zh-CN"/>
        </w:rPr>
        <w:t>无预付款，合同签订生效后乙</w:t>
      </w:r>
      <w:r w:rsidR="0071512F">
        <w:rPr>
          <w:rFonts w:hint="eastAsia"/>
          <w:sz w:val="24"/>
          <w:szCs w:val="24"/>
          <w:lang w:eastAsia="zh-CN"/>
        </w:rPr>
        <w:t>方提交的参选保证金自动转为</w:t>
      </w:r>
      <w:r>
        <w:rPr>
          <w:rFonts w:hint="eastAsia"/>
          <w:sz w:val="24"/>
          <w:szCs w:val="24"/>
          <w:lang w:eastAsia="zh-CN"/>
        </w:rPr>
        <w:t>履约保证金。合同到期且卖方无违约扣款行为的，保证金将于合同履约完毕后15</w:t>
      </w:r>
      <w:r w:rsidR="00133F6A">
        <w:rPr>
          <w:rFonts w:hint="eastAsia"/>
          <w:sz w:val="24"/>
          <w:szCs w:val="24"/>
          <w:lang w:eastAsia="zh-CN"/>
        </w:rPr>
        <w:t>个工作日内，甲</w:t>
      </w:r>
      <w:r>
        <w:rPr>
          <w:rFonts w:hint="eastAsia"/>
          <w:sz w:val="24"/>
          <w:szCs w:val="24"/>
          <w:lang w:eastAsia="zh-CN"/>
        </w:rPr>
        <w:t>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sidR="007D1C68">
        <w:rPr>
          <w:rFonts w:hint="eastAsia"/>
          <w:sz w:val="24"/>
          <w:szCs w:val="24"/>
          <w:lang w:eastAsia="zh-CN"/>
        </w:rPr>
        <w:t>方应在接到甲</w:t>
      </w:r>
      <w:r>
        <w:rPr>
          <w:rFonts w:hint="eastAsia"/>
          <w:sz w:val="24"/>
          <w:szCs w:val="24"/>
          <w:lang w:eastAsia="zh-CN"/>
        </w:rPr>
        <w:t>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方书面通知后</w:t>
      </w:r>
      <w:r w:rsidR="00E31CF1">
        <w:rPr>
          <w:rFonts w:hint="eastAsia"/>
          <w:sz w:val="24"/>
          <w:szCs w:val="24"/>
          <w:lang w:eastAsia="zh-CN"/>
        </w:rPr>
        <w:t xml:space="preserve"> 3</w:t>
      </w:r>
      <w:r>
        <w:rPr>
          <w:rFonts w:hint="eastAsia"/>
          <w:sz w:val="24"/>
          <w:szCs w:val="24"/>
          <w:lang w:eastAsia="zh-CN"/>
        </w:rPr>
        <w:t xml:space="preserve"> </w:t>
      </w:r>
      <w:r w:rsidR="00133F6A">
        <w:rPr>
          <w:rFonts w:hint="eastAsia"/>
          <w:sz w:val="24"/>
          <w:szCs w:val="24"/>
          <w:lang w:eastAsia="zh-CN"/>
        </w:rPr>
        <w:t>天内提出，否则上述要求即告成立。如有异议，乙</w:t>
      </w:r>
      <w:r>
        <w:rPr>
          <w:rFonts w:hint="eastAsia"/>
          <w:sz w:val="24"/>
          <w:szCs w:val="24"/>
          <w:lang w:eastAsia="zh-CN"/>
        </w:rPr>
        <w:t>方在接到通知后</w:t>
      </w:r>
      <w:r w:rsidR="00E31CF1">
        <w:rPr>
          <w:rFonts w:hint="eastAsia"/>
          <w:sz w:val="24"/>
          <w:szCs w:val="24"/>
          <w:lang w:eastAsia="zh-CN"/>
        </w:rPr>
        <w:t>7</w:t>
      </w:r>
      <w:r w:rsidR="00133F6A">
        <w:rPr>
          <w:rFonts w:hint="eastAsia"/>
          <w:sz w:val="24"/>
          <w:szCs w:val="24"/>
          <w:lang w:eastAsia="zh-CN"/>
        </w:rPr>
        <w:t>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t>更换</w:t>
      </w:r>
      <w:r w:rsidR="00133F6A">
        <w:rPr>
          <w:rFonts w:hint="eastAsia"/>
          <w:sz w:val="24"/>
          <w:szCs w:val="24"/>
          <w:lang w:eastAsia="zh-CN"/>
        </w:rPr>
        <w:lastRenderedPageBreak/>
        <w:t>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w:t>
      </w:r>
      <w:r w:rsidR="00E31CF1">
        <w:rPr>
          <w:rFonts w:hint="eastAsia"/>
          <w:sz w:val="24"/>
          <w:szCs w:val="24"/>
          <w:lang w:eastAsia="zh-CN"/>
        </w:rPr>
        <w:t>％</w:t>
      </w:r>
      <w:r w:rsidR="00133F6A">
        <w:rPr>
          <w:rFonts w:hint="eastAsia"/>
          <w:sz w:val="24"/>
          <w:szCs w:val="24"/>
          <w:lang w:eastAsia="zh-CN"/>
        </w:rPr>
        <w:t>。如违约金不足以弥补甲方直接损失的，乙</w:t>
      </w:r>
      <w:r>
        <w:rPr>
          <w:rFonts w:hint="eastAsia"/>
          <w:sz w:val="24"/>
          <w:szCs w:val="24"/>
          <w:lang w:eastAsia="zh-CN"/>
        </w:rPr>
        <w:t>方应赔偿买方的直接损失。</w:t>
      </w:r>
      <w:r w:rsidR="00E31CF1">
        <w:rPr>
          <w:rFonts w:hint="eastAsia"/>
          <w:sz w:val="24"/>
          <w:szCs w:val="24"/>
          <w:lang w:eastAsia="zh-CN"/>
        </w:rPr>
        <w:t>如乙方产品不满足本合同要求，甲方亦有权解除本合同，并要求乙方支付本合同20%的违约金，违约金不足以弥补甲方损失的，甲方有权追偿。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w:t>
      </w:r>
      <w:r w:rsidR="007D1C68">
        <w:rPr>
          <w:rFonts w:hint="eastAsia"/>
          <w:sz w:val="24"/>
          <w:szCs w:val="24"/>
          <w:lang w:eastAsia="zh-CN"/>
        </w:rPr>
        <w:t>任何一方都可将这些争议提交给甲方</w:t>
      </w:r>
      <w:r>
        <w:rPr>
          <w:rFonts w:hint="eastAsia"/>
          <w:sz w:val="24"/>
          <w:szCs w:val="24"/>
          <w:lang w:eastAsia="zh-CN"/>
        </w:rPr>
        <w:t>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Pr="00DB5985" w:rsidRDefault="00DB5985" w:rsidP="00DB5985">
      <w:pPr>
        <w:spacing w:line="360" w:lineRule="auto"/>
        <w:rPr>
          <w:b/>
          <w:sz w:val="24"/>
          <w:szCs w:val="24"/>
          <w:lang w:eastAsia="zh-CN"/>
        </w:rPr>
      </w:pPr>
      <w:r>
        <w:rPr>
          <w:sz w:val="24"/>
          <w:szCs w:val="24"/>
          <w:lang w:eastAsia="zh-CN"/>
        </w:rPr>
        <w:t>附件一</w:t>
      </w:r>
      <w:r>
        <w:rPr>
          <w:rFonts w:hint="eastAsia"/>
          <w:sz w:val="24"/>
          <w:szCs w:val="24"/>
          <w:lang w:eastAsia="zh-CN"/>
        </w:rPr>
        <w:t>：</w:t>
      </w:r>
      <w:r>
        <w:rPr>
          <w:rFonts w:hint="eastAsia"/>
          <w:b/>
          <w:sz w:val="24"/>
          <w:szCs w:val="24"/>
          <w:lang w:eastAsia="zh-CN"/>
        </w:rPr>
        <w:t>腾龙芳烃LG30/0.8火炬</w:t>
      </w:r>
      <w:r w:rsidRPr="00E76CE3">
        <w:rPr>
          <w:b/>
          <w:sz w:val="24"/>
          <w:szCs w:val="24"/>
          <w:lang w:eastAsia="zh-CN"/>
        </w:rPr>
        <w:t>压缩机组</w:t>
      </w:r>
      <w:r w:rsidRPr="00E76CE3">
        <w:rPr>
          <w:rFonts w:hint="eastAsia"/>
          <w:b/>
          <w:sz w:val="24"/>
          <w:szCs w:val="24"/>
          <w:lang w:eastAsia="zh-CN"/>
        </w:rPr>
        <w:t>优化改造初步方案</w:t>
      </w: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7D1C68">
        <w:rPr>
          <w:rFonts w:hint="eastAsia"/>
          <w:sz w:val="24"/>
          <w:szCs w:val="24"/>
          <w:lang w:eastAsia="zh-CN"/>
        </w:rPr>
        <w:t>方：腾龙芳烃（漳州）</w:t>
      </w:r>
      <w:r w:rsidR="00977F9C">
        <w:rPr>
          <w:rFonts w:hint="eastAsia"/>
          <w:sz w:val="24"/>
          <w:szCs w:val="24"/>
          <w:lang w:eastAsia="zh-CN"/>
        </w:rPr>
        <w:t xml:space="preserve">有限公司        </w:t>
      </w:r>
      <w:r w:rsidR="00981B41">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7D1C68" w:rsidP="00977F9C">
      <w:pPr>
        <w:spacing w:line="500" w:lineRule="exact"/>
        <w:ind w:left="5880" w:hangingChars="2450" w:hanging="5880"/>
        <w:rPr>
          <w:sz w:val="24"/>
          <w:szCs w:val="24"/>
          <w:lang w:eastAsia="zh-CN"/>
        </w:rPr>
      </w:pPr>
      <w:r>
        <w:rPr>
          <w:rFonts w:hint="eastAsia"/>
          <w:sz w:val="24"/>
          <w:szCs w:val="24"/>
          <w:lang w:eastAsia="zh-CN"/>
        </w:rPr>
        <w:t>开户户名：腾龙芳烃（漳州）</w:t>
      </w:r>
      <w:r w:rsidR="00977F9C">
        <w:rPr>
          <w:rFonts w:hint="eastAsia"/>
          <w:sz w:val="24"/>
          <w:szCs w:val="24"/>
          <w:lang w:eastAsia="zh-CN"/>
        </w:rPr>
        <w:t>有限公司</w:t>
      </w:r>
      <w:r w:rsidR="00977F9C">
        <w:rPr>
          <w:sz w:val="24"/>
          <w:szCs w:val="24"/>
          <w:lang w:eastAsia="zh-CN"/>
        </w:rPr>
        <w:t xml:space="preserve">   </w:t>
      </w:r>
      <w:r>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B5985" w:rsidRDefault="00DB5985" w:rsidP="00DB5985">
      <w:pPr>
        <w:pStyle w:val="10"/>
      </w:pPr>
    </w:p>
    <w:p w:rsidR="00DB5985" w:rsidRDefault="00DB5985" w:rsidP="00DB5985">
      <w:pPr>
        <w:pStyle w:val="10"/>
      </w:pPr>
    </w:p>
    <w:p w:rsidR="00DB5985" w:rsidRDefault="00DB5985" w:rsidP="00DB5985">
      <w:pPr>
        <w:pStyle w:val="10"/>
        <w:rPr>
          <w:rFonts w:asciiTheme="minorEastAsia" w:eastAsiaTheme="minorEastAsia" w:hAnsiTheme="minorEastAsia"/>
          <w:sz w:val="24"/>
          <w:szCs w:val="24"/>
        </w:rPr>
      </w:pPr>
    </w:p>
    <w:p w:rsidR="00DB5985" w:rsidRDefault="00DB5985" w:rsidP="00DB5985">
      <w:pPr>
        <w:pStyle w:val="10"/>
        <w:rPr>
          <w:rFonts w:asciiTheme="minorEastAsia" w:eastAsiaTheme="minorEastAsia" w:hAnsiTheme="minorEastAsia"/>
          <w:sz w:val="24"/>
          <w:szCs w:val="24"/>
        </w:rPr>
      </w:pPr>
      <w:r w:rsidRPr="00DB5985">
        <w:rPr>
          <w:rFonts w:asciiTheme="minorEastAsia" w:eastAsiaTheme="minorEastAsia" w:hAnsiTheme="minorEastAsia" w:hint="eastAsia"/>
          <w:sz w:val="24"/>
          <w:szCs w:val="24"/>
        </w:rPr>
        <w:t>附件一：</w:t>
      </w:r>
    </w:p>
    <w:p w:rsidR="00DB5985" w:rsidRPr="00E76CE3" w:rsidRDefault="00DB5985" w:rsidP="00DB5985">
      <w:pPr>
        <w:spacing w:line="360" w:lineRule="auto"/>
        <w:jc w:val="center"/>
        <w:rPr>
          <w:b/>
          <w:sz w:val="24"/>
          <w:szCs w:val="24"/>
          <w:lang w:eastAsia="zh-CN"/>
        </w:rPr>
      </w:pPr>
      <w:r>
        <w:rPr>
          <w:rFonts w:hint="eastAsia"/>
          <w:b/>
          <w:sz w:val="24"/>
          <w:szCs w:val="24"/>
          <w:lang w:eastAsia="zh-CN"/>
        </w:rPr>
        <w:t>腾龙芳烃LG30/0.8火炬</w:t>
      </w:r>
      <w:r w:rsidRPr="00E76CE3">
        <w:rPr>
          <w:b/>
          <w:sz w:val="24"/>
          <w:szCs w:val="24"/>
          <w:lang w:eastAsia="zh-CN"/>
        </w:rPr>
        <w:t>压缩机组</w:t>
      </w:r>
      <w:r w:rsidRPr="00E76CE3">
        <w:rPr>
          <w:rFonts w:hint="eastAsia"/>
          <w:b/>
          <w:sz w:val="24"/>
          <w:szCs w:val="24"/>
          <w:lang w:eastAsia="zh-CN"/>
        </w:rPr>
        <w:t>优化改造初步方案</w:t>
      </w:r>
    </w:p>
    <w:p w:rsidR="00DB5985" w:rsidRPr="00E76CE3" w:rsidRDefault="00DB5985" w:rsidP="00DB5985">
      <w:pPr>
        <w:spacing w:line="360" w:lineRule="auto"/>
        <w:rPr>
          <w:b/>
          <w:lang w:eastAsia="zh-CN"/>
        </w:rPr>
      </w:pPr>
      <w:r w:rsidRPr="00E76CE3">
        <w:rPr>
          <w:rFonts w:hint="eastAsia"/>
          <w:b/>
          <w:lang w:eastAsia="zh-CN"/>
        </w:rPr>
        <w:t>前言：</w:t>
      </w:r>
    </w:p>
    <w:p w:rsidR="00DB5985" w:rsidRDefault="00DB5985" w:rsidP="00DB5985">
      <w:pPr>
        <w:spacing w:line="360" w:lineRule="auto"/>
        <w:ind w:firstLineChars="200" w:firstLine="440"/>
        <w:rPr>
          <w:color w:val="000000"/>
          <w:lang w:eastAsia="zh-CN"/>
        </w:rPr>
      </w:pPr>
      <w:r w:rsidRPr="00507256">
        <w:rPr>
          <w:rFonts w:hint="eastAsia"/>
          <w:lang w:eastAsia="zh-CN"/>
        </w:rPr>
        <w:t>腾龙芳烃</w:t>
      </w:r>
      <w:r>
        <w:rPr>
          <w:rFonts w:hint="eastAsia"/>
          <w:lang w:eastAsia="zh-CN"/>
        </w:rPr>
        <w:t>现有的</w:t>
      </w:r>
      <w:r w:rsidRPr="00507256">
        <w:rPr>
          <w:rFonts w:hint="eastAsia"/>
          <w:lang w:eastAsia="zh-CN"/>
        </w:rPr>
        <w:t>LG30/0.8火炬</w:t>
      </w:r>
      <w:r>
        <w:rPr>
          <w:rFonts w:hint="eastAsia"/>
          <w:lang w:eastAsia="zh-CN"/>
        </w:rPr>
        <w:t>气回收螺杆</w:t>
      </w:r>
      <w:r w:rsidRPr="0056573C">
        <w:rPr>
          <w:lang w:eastAsia="zh-CN"/>
        </w:rPr>
        <w:t>压缩机组</w:t>
      </w:r>
      <w:r>
        <w:rPr>
          <w:rFonts w:hint="eastAsia"/>
          <w:lang w:eastAsia="zh-CN"/>
        </w:rPr>
        <w:t>系无锡压缩机股份有限公司生产制造，共计3台套。主要用于腾龙芳烃（漳州）</w:t>
      </w:r>
      <w:r w:rsidRPr="00F32593">
        <w:rPr>
          <w:color w:val="000000"/>
          <w:lang w:eastAsia="zh-CN"/>
        </w:rPr>
        <w:t>火炬</w:t>
      </w:r>
      <w:r>
        <w:rPr>
          <w:rFonts w:hint="eastAsia"/>
          <w:color w:val="000000"/>
          <w:lang w:eastAsia="zh-CN"/>
        </w:rPr>
        <w:t>燃料气回收利用，其中一台位号</w:t>
      </w:r>
      <w:r w:rsidRPr="00507256">
        <w:rPr>
          <w:color w:val="000000"/>
          <w:lang w:eastAsia="zh-CN"/>
        </w:rPr>
        <w:t>63-K-10</w:t>
      </w:r>
      <w:r>
        <w:rPr>
          <w:rFonts w:hint="eastAsia"/>
          <w:color w:val="000000"/>
          <w:lang w:eastAsia="zh-CN"/>
        </w:rPr>
        <w:t>1螺杆压缩机组之安装投入运行过程中并未达到设计要求，经对压缩机主机本体反复多次大修处理后问题并未消除，机组振动问题、运行状态等无法满足机组长周期运行的要求。并在2018年委托厂商进行升级改造，改造后的压缩机组运行平稳，达到设计要求，满足现场生产需求。</w:t>
      </w:r>
    </w:p>
    <w:p w:rsidR="00DB5985" w:rsidRDefault="00DB5985" w:rsidP="00DB5985">
      <w:pPr>
        <w:spacing w:line="360" w:lineRule="auto"/>
        <w:ind w:firstLineChars="200" w:firstLine="440"/>
        <w:rPr>
          <w:color w:val="000000"/>
          <w:lang w:eastAsia="zh-CN"/>
        </w:rPr>
      </w:pPr>
      <w:r>
        <w:rPr>
          <w:rFonts w:hint="eastAsia"/>
          <w:color w:val="000000"/>
          <w:lang w:eastAsia="zh-CN"/>
        </w:rPr>
        <w:t>由于有了上述压缩机组优化改造成功的范例，故业主拟设想再对其中的一台压缩机组进行改造工作。现对这次改造的方案、实施的内容，要求如下：</w:t>
      </w:r>
    </w:p>
    <w:p w:rsidR="00DB5985" w:rsidRDefault="00DB5985" w:rsidP="00DB5985">
      <w:pPr>
        <w:spacing w:line="360" w:lineRule="auto"/>
        <w:rPr>
          <w:color w:val="000000"/>
          <w:lang w:eastAsia="zh-CN"/>
        </w:rPr>
      </w:pPr>
      <w:r>
        <w:rPr>
          <w:rFonts w:hint="eastAsia"/>
          <w:color w:val="000000"/>
          <w:lang w:eastAsia="zh-CN"/>
        </w:rPr>
        <w:t>一、在不改变原机组的框架结构尺寸和原有地脚螺栓孔的位置基础上，</w:t>
      </w:r>
      <w:r w:rsidRPr="002F023A">
        <w:rPr>
          <w:rFonts w:hint="eastAsia"/>
          <w:color w:val="000000"/>
          <w:lang w:eastAsia="zh-CN"/>
        </w:rPr>
        <w:t>将原来的压缩机主机</w:t>
      </w:r>
      <w:r>
        <w:rPr>
          <w:rFonts w:hint="eastAsia"/>
          <w:color w:val="000000"/>
          <w:lang w:eastAsia="zh-CN"/>
        </w:rPr>
        <w:t>部分升级改造成</w:t>
      </w:r>
      <w:r w:rsidRPr="00174C2B">
        <w:rPr>
          <w:rFonts w:hint="eastAsia"/>
          <w:color w:val="000000"/>
          <w:lang w:eastAsia="zh-CN"/>
        </w:rPr>
        <w:t>同一档次型号的压缩机主机</w:t>
      </w:r>
      <w:r>
        <w:rPr>
          <w:rFonts w:hint="eastAsia"/>
          <w:color w:val="000000"/>
          <w:lang w:eastAsia="zh-CN"/>
        </w:rPr>
        <w:t>，升级改造后要求压缩机振动值＜4.5mm/s</w:t>
      </w:r>
      <w:r w:rsidRPr="00174C2B">
        <w:rPr>
          <w:rFonts w:hint="eastAsia"/>
          <w:color w:val="000000"/>
          <w:lang w:eastAsia="zh-CN"/>
        </w:rPr>
        <w:t>。</w:t>
      </w:r>
    </w:p>
    <w:p w:rsidR="00DB5985" w:rsidRDefault="00DB5985" w:rsidP="00DB5985">
      <w:pPr>
        <w:spacing w:line="360" w:lineRule="auto"/>
        <w:rPr>
          <w:color w:val="000000"/>
          <w:lang w:eastAsia="zh-CN"/>
        </w:rPr>
      </w:pPr>
      <w:r>
        <w:rPr>
          <w:rFonts w:hint="eastAsia"/>
          <w:color w:val="000000"/>
          <w:lang w:eastAsia="zh-CN"/>
        </w:rPr>
        <w:t>二、原主电机利旧，重新对原机组框架上部分配套的零配件进行优化配置，机组原有的仪表报警、</w:t>
      </w:r>
      <w:proofErr w:type="gramStart"/>
      <w:r>
        <w:rPr>
          <w:rFonts w:hint="eastAsia"/>
          <w:color w:val="000000"/>
          <w:lang w:eastAsia="zh-CN"/>
        </w:rPr>
        <w:t>联锁</w:t>
      </w:r>
      <w:proofErr w:type="gramEnd"/>
      <w:r>
        <w:rPr>
          <w:rFonts w:hint="eastAsia"/>
          <w:color w:val="000000"/>
          <w:lang w:eastAsia="zh-CN"/>
        </w:rPr>
        <w:t>系统不变，可继续利旧。原机组框架内的油站及油路系统需要重新分配（重置），需配套集装</w:t>
      </w:r>
      <w:proofErr w:type="gramStart"/>
      <w:r>
        <w:rPr>
          <w:rFonts w:hint="eastAsia"/>
          <w:color w:val="000000"/>
          <w:lang w:eastAsia="zh-CN"/>
        </w:rPr>
        <w:t>式进压缩机油路系统</w:t>
      </w:r>
      <w:proofErr w:type="gramEnd"/>
      <w:r>
        <w:rPr>
          <w:rFonts w:hint="eastAsia"/>
          <w:color w:val="000000"/>
          <w:lang w:eastAsia="zh-CN"/>
        </w:rPr>
        <w:t>含油分配器总成及各路进机配套油管；配套</w:t>
      </w:r>
      <w:proofErr w:type="gramStart"/>
      <w:r>
        <w:rPr>
          <w:rFonts w:hint="eastAsia"/>
          <w:color w:val="000000"/>
          <w:lang w:eastAsia="zh-CN"/>
        </w:rPr>
        <w:t>集装式回油</w:t>
      </w:r>
      <w:proofErr w:type="gramEnd"/>
      <w:r>
        <w:rPr>
          <w:rFonts w:hint="eastAsia"/>
          <w:color w:val="000000"/>
          <w:lang w:eastAsia="zh-CN"/>
        </w:rPr>
        <w:t>系统含密封回油调压阀及</w:t>
      </w:r>
      <w:proofErr w:type="gramStart"/>
      <w:r>
        <w:rPr>
          <w:rFonts w:hint="eastAsia"/>
          <w:color w:val="000000"/>
          <w:lang w:eastAsia="zh-CN"/>
        </w:rPr>
        <w:t>回油视镜</w:t>
      </w:r>
      <w:proofErr w:type="gramEnd"/>
      <w:r>
        <w:rPr>
          <w:rFonts w:hint="eastAsia"/>
          <w:color w:val="000000"/>
          <w:lang w:eastAsia="zh-CN"/>
        </w:rPr>
        <w:t>，双金属抗震温度计及回油管路；配套双联可切换柴油过滤器，原自带双联柴油过滤器已损坏无法实现切换。</w:t>
      </w:r>
    </w:p>
    <w:p w:rsidR="00DB5985" w:rsidRDefault="00DB5985" w:rsidP="00DB5985">
      <w:pPr>
        <w:spacing w:line="360" w:lineRule="auto"/>
        <w:rPr>
          <w:color w:val="000000"/>
          <w:lang w:eastAsia="zh-CN"/>
        </w:rPr>
      </w:pPr>
      <w:r>
        <w:rPr>
          <w:rFonts w:hint="eastAsia"/>
          <w:color w:val="000000"/>
          <w:lang w:eastAsia="zh-CN"/>
        </w:rPr>
        <w:t>三、为了确保改造工作过程中的准确性由用户将原机组“撬装结构部分”整体移出并交付厂家供重置参考及利旧部分再设计安装。等完成整个优化改造工作后再由厂家负责将参照物</w:t>
      </w:r>
      <w:proofErr w:type="gramStart"/>
      <w:r>
        <w:rPr>
          <w:rFonts w:hint="eastAsia"/>
          <w:color w:val="000000"/>
          <w:lang w:eastAsia="zh-CN"/>
        </w:rPr>
        <w:t>一并发往腾龙</w:t>
      </w:r>
      <w:proofErr w:type="gramEnd"/>
      <w:r>
        <w:rPr>
          <w:rFonts w:hint="eastAsia"/>
          <w:color w:val="000000"/>
          <w:lang w:eastAsia="zh-CN"/>
        </w:rPr>
        <w:t>芳烃用户现场。改造后的半边</w:t>
      </w:r>
      <w:proofErr w:type="gramStart"/>
      <w:r>
        <w:rPr>
          <w:rFonts w:hint="eastAsia"/>
          <w:color w:val="000000"/>
          <w:lang w:eastAsia="zh-CN"/>
        </w:rPr>
        <w:t>整装撬装式</w:t>
      </w:r>
      <w:proofErr w:type="gramEnd"/>
      <w:r>
        <w:rPr>
          <w:rFonts w:hint="eastAsia"/>
          <w:color w:val="000000"/>
          <w:lang w:eastAsia="zh-CN"/>
        </w:rPr>
        <w:t>螺杆压缩机需配套机座。需配套压缩机进出口短接含对焊法兰及缠绕垫片全套8.8级高强度螺栓螺母。配套专用工具（包含轴承拆卸工具、同步齿轮拆卸工具、密封拆卸工具、和盘车扳手）</w:t>
      </w:r>
    </w:p>
    <w:p w:rsidR="00DB5985" w:rsidRDefault="00DB5985" w:rsidP="00DB5985">
      <w:pPr>
        <w:spacing w:line="360" w:lineRule="auto"/>
        <w:rPr>
          <w:color w:val="000000"/>
          <w:lang w:eastAsia="zh-CN"/>
        </w:rPr>
      </w:pPr>
      <w:r>
        <w:rPr>
          <w:rFonts w:hint="eastAsia"/>
          <w:color w:val="000000"/>
          <w:lang w:eastAsia="zh-CN"/>
        </w:rPr>
        <w:t>四、对优化改造后的压缩机组需在厂家内进行出厂前的技术指标及性能参数及主机动态试验进行考核，同时交付业主完整的相关技术文件及资料。</w:t>
      </w:r>
    </w:p>
    <w:p w:rsidR="00DB5985" w:rsidRDefault="00DB5985" w:rsidP="00DB5985">
      <w:pPr>
        <w:spacing w:line="360" w:lineRule="auto"/>
        <w:rPr>
          <w:color w:val="000000"/>
          <w:lang w:eastAsia="zh-CN"/>
        </w:rPr>
      </w:pPr>
      <w:r>
        <w:rPr>
          <w:rFonts w:hint="eastAsia"/>
          <w:color w:val="000000"/>
          <w:lang w:eastAsia="zh-CN"/>
        </w:rPr>
        <w:t>五、整个优化改造工期暂定：压缩机组</w:t>
      </w:r>
      <w:proofErr w:type="gramStart"/>
      <w:r>
        <w:rPr>
          <w:rFonts w:hint="eastAsia"/>
          <w:color w:val="000000"/>
          <w:lang w:eastAsia="zh-CN"/>
        </w:rPr>
        <w:t>整体撬装件</w:t>
      </w:r>
      <w:proofErr w:type="gramEnd"/>
      <w:r>
        <w:rPr>
          <w:rFonts w:hint="eastAsia"/>
          <w:color w:val="000000"/>
          <w:lang w:eastAsia="zh-CN"/>
        </w:rPr>
        <w:t>到达厂家所在地之日起120天完成整个优化改造重置工作。</w:t>
      </w:r>
    </w:p>
    <w:p w:rsidR="00DB5985" w:rsidRDefault="00DB5985" w:rsidP="00DB5985">
      <w:pPr>
        <w:spacing w:line="360" w:lineRule="auto"/>
        <w:rPr>
          <w:color w:val="000000"/>
          <w:lang w:eastAsia="zh-CN"/>
        </w:rPr>
      </w:pPr>
      <w:r>
        <w:rPr>
          <w:rFonts w:hint="eastAsia"/>
          <w:color w:val="000000"/>
          <w:lang w:eastAsia="zh-CN"/>
        </w:rPr>
        <w:t>六、厂家资质：需要有给同行业或</w:t>
      </w:r>
      <w:proofErr w:type="gramStart"/>
      <w:r>
        <w:rPr>
          <w:rFonts w:hint="eastAsia"/>
          <w:color w:val="000000"/>
          <w:lang w:eastAsia="zh-CN"/>
        </w:rPr>
        <w:t>给大型</w:t>
      </w:r>
      <w:proofErr w:type="gramEnd"/>
      <w:r>
        <w:rPr>
          <w:rFonts w:hint="eastAsia"/>
          <w:color w:val="000000"/>
          <w:lang w:eastAsia="zh-CN"/>
        </w:rPr>
        <w:t>国有企业供过该类型压缩机经验。</w:t>
      </w:r>
    </w:p>
    <w:p w:rsidR="00DB5985" w:rsidRPr="00CC75DE" w:rsidRDefault="00DB5985" w:rsidP="00DB5985">
      <w:pPr>
        <w:spacing w:line="360" w:lineRule="auto"/>
        <w:rPr>
          <w:b/>
          <w:color w:val="000000"/>
          <w:lang w:eastAsia="zh-CN"/>
        </w:rPr>
      </w:pPr>
      <w:r w:rsidRPr="00CC75DE">
        <w:rPr>
          <w:rFonts w:hint="eastAsia"/>
          <w:b/>
          <w:color w:val="000000"/>
          <w:lang w:eastAsia="zh-CN"/>
        </w:rPr>
        <w:lastRenderedPageBreak/>
        <w:t>优化改造后的压缩机组技术指标及性能参数</w:t>
      </w:r>
      <w:r>
        <w:rPr>
          <w:rFonts w:hint="eastAsia"/>
          <w:b/>
          <w:color w:val="000000"/>
          <w:lang w:eastAsia="zh-CN"/>
        </w:rPr>
        <w:t>执行标准</w:t>
      </w:r>
      <w:r w:rsidRPr="00CC75DE">
        <w:rPr>
          <w:rFonts w:hint="eastAsia"/>
          <w:b/>
          <w:color w:val="000000"/>
          <w:lang w:eastAsia="zh-CN"/>
        </w:rPr>
        <w:t>如下：</w:t>
      </w:r>
    </w:p>
    <w:p w:rsidR="00DB5985" w:rsidRPr="00E76CE3" w:rsidRDefault="00DB5985" w:rsidP="00DB5985">
      <w:pPr>
        <w:widowControl/>
        <w:tabs>
          <w:tab w:val="left" w:pos="1920"/>
          <w:tab w:val="left" w:leader="dot" w:pos="8160"/>
        </w:tabs>
        <w:spacing w:line="360" w:lineRule="auto"/>
        <w:rPr>
          <w:b/>
          <w:color w:val="000000"/>
        </w:rPr>
      </w:pPr>
      <w:proofErr w:type="spellStart"/>
      <w:r w:rsidRPr="00E76CE3">
        <w:rPr>
          <w:b/>
          <w:color w:val="000000"/>
        </w:rPr>
        <w:t>螺杆压缩机</w:t>
      </w:r>
      <w:r>
        <w:rPr>
          <w:b/>
          <w:color w:val="000000"/>
        </w:rPr>
        <w:t>主机部分</w:t>
      </w:r>
      <w:proofErr w:type="spellEnd"/>
      <w:r>
        <w:rPr>
          <w:b/>
          <w:color w:val="000000"/>
        </w:rPr>
        <w:t>：</w:t>
      </w:r>
    </w:p>
    <w:p w:rsidR="00DB5985" w:rsidRPr="00DD7C78" w:rsidRDefault="00DB5985" w:rsidP="00DB5985">
      <w:pPr>
        <w:pStyle w:val="afd"/>
        <w:widowControl/>
        <w:numPr>
          <w:ilvl w:val="0"/>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0"/>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0"/>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0"/>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1"/>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1"/>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E76CE3" w:rsidRDefault="00DB5985" w:rsidP="00DB5985">
      <w:pPr>
        <w:widowControl/>
        <w:tabs>
          <w:tab w:val="left" w:pos="1920"/>
          <w:tab w:val="left" w:leader="dot" w:pos="8160"/>
        </w:tabs>
        <w:spacing w:line="360" w:lineRule="auto"/>
        <w:rPr>
          <w:color w:val="000000"/>
          <w:lang w:eastAsia="zh-CN"/>
        </w:rPr>
      </w:pPr>
      <w:r w:rsidRPr="00E76CE3">
        <w:rPr>
          <w:color w:val="000000"/>
          <w:lang w:eastAsia="zh-CN"/>
        </w:rPr>
        <w:t>螺杆压缩机的设计和制造参照执行API－619最新版标准。</w:t>
      </w:r>
    </w:p>
    <w:p w:rsidR="00DB5985" w:rsidRDefault="00DB5985" w:rsidP="00DB5985">
      <w:pPr>
        <w:spacing w:line="360" w:lineRule="auto"/>
        <w:rPr>
          <w:color w:val="000000"/>
          <w:lang w:eastAsia="zh-CN"/>
        </w:rPr>
      </w:pPr>
      <w:r w:rsidRPr="00E76CE3">
        <w:rPr>
          <w:color w:val="000000"/>
          <w:lang w:eastAsia="zh-CN"/>
        </w:rPr>
        <w:t>螺杆压缩机采用</w:t>
      </w:r>
      <w:proofErr w:type="gramStart"/>
      <w:r w:rsidRPr="00E76CE3">
        <w:rPr>
          <w:color w:val="000000"/>
          <w:lang w:eastAsia="zh-CN"/>
        </w:rPr>
        <w:t>单级喷液冷</w:t>
      </w:r>
      <w:proofErr w:type="gramEnd"/>
      <w:r w:rsidRPr="00E76CE3">
        <w:rPr>
          <w:color w:val="000000"/>
          <w:lang w:eastAsia="zh-CN"/>
        </w:rPr>
        <w:t>却，双螺杆结构，由电动机直接驱动。压缩机组为单层布</w:t>
      </w:r>
      <w:r>
        <w:rPr>
          <w:color w:val="000000"/>
          <w:lang w:eastAsia="zh-CN"/>
        </w:rPr>
        <w:t>置，压缩机、主电机、润滑油系统及相关辅助设备位于机组公用底座上。</w:t>
      </w:r>
    </w:p>
    <w:p w:rsidR="00DB5985" w:rsidRPr="00E76CE3" w:rsidRDefault="00DB5985" w:rsidP="00DB5985">
      <w:pPr>
        <w:spacing w:line="360" w:lineRule="auto"/>
        <w:rPr>
          <w:color w:val="000000"/>
          <w:lang w:eastAsia="zh-CN"/>
        </w:rPr>
      </w:pPr>
      <w:r>
        <w:rPr>
          <w:rFonts w:hint="eastAsia"/>
          <w:color w:val="000000"/>
          <w:lang w:eastAsia="zh-CN"/>
        </w:rPr>
        <w:t>利旧部分</w:t>
      </w:r>
      <w:r>
        <w:rPr>
          <w:color w:val="000000"/>
          <w:lang w:eastAsia="zh-CN"/>
        </w:rPr>
        <w:t>“</w:t>
      </w:r>
      <w:r w:rsidRPr="00E76CE3">
        <w:rPr>
          <w:color w:val="000000"/>
          <w:lang w:eastAsia="zh-CN"/>
        </w:rPr>
        <w:t>气液分离器、气液冷却器</w:t>
      </w:r>
      <w:r>
        <w:rPr>
          <w:color w:val="000000"/>
          <w:lang w:eastAsia="zh-CN"/>
        </w:rPr>
        <w:t>”</w:t>
      </w:r>
      <w:r w:rsidRPr="00E76CE3">
        <w:rPr>
          <w:color w:val="000000"/>
          <w:lang w:eastAsia="zh-CN"/>
        </w:rPr>
        <w:t>等设备位于机组</w:t>
      </w:r>
      <w:r>
        <w:rPr>
          <w:color w:val="000000"/>
          <w:lang w:eastAsia="zh-CN"/>
        </w:rPr>
        <w:t>壳体</w:t>
      </w:r>
      <w:r w:rsidRPr="00E76CE3">
        <w:rPr>
          <w:color w:val="000000"/>
          <w:lang w:eastAsia="zh-CN"/>
        </w:rPr>
        <w:t>外，</w:t>
      </w:r>
      <w:r>
        <w:rPr>
          <w:color w:val="000000"/>
          <w:lang w:eastAsia="zh-CN"/>
        </w:rPr>
        <w:t>原</w:t>
      </w:r>
      <w:r w:rsidRPr="00E76CE3">
        <w:rPr>
          <w:color w:val="000000"/>
          <w:lang w:eastAsia="zh-CN"/>
        </w:rPr>
        <w:t>布置</w:t>
      </w:r>
      <w:r>
        <w:rPr>
          <w:color w:val="000000"/>
          <w:lang w:eastAsia="zh-CN"/>
        </w:rPr>
        <w:t>不变</w:t>
      </w:r>
      <w:r w:rsidRPr="00E76CE3">
        <w:rPr>
          <w:color w:val="000000"/>
          <w:lang w:eastAsia="zh-CN"/>
        </w:rPr>
        <w:t>。</w:t>
      </w:r>
    </w:p>
    <w:p w:rsidR="00DB5985" w:rsidRPr="00E76CE3" w:rsidRDefault="00DB5985" w:rsidP="00DB5985">
      <w:pPr>
        <w:spacing w:line="360" w:lineRule="auto"/>
        <w:rPr>
          <w:color w:val="000000"/>
          <w:lang w:eastAsia="zh-CN"/>
        </w:rPr>
      </w:pPr>
      <w:r w:rsidRPr="00E76CE3">
        <w:rPr>
          <w:color w:val="000000"/>
          <w:lang w:eastAsia="zh-CN"/>
        </w:rPr>
        <w:t>螺杆压缩机内部采用喷</w:t>
      </w:r>
      <w:r>
        <w:rPr>
          <w:rFonts w:hint="eastAsia"/>
          <w:color w:val="000000"/>
          <w:lang w:eastAsia="zh-CN"/>
        </w:rPr>
        <w:t>柴油</w:t>
      </w:r>
      <w:r w:rsidRPr="00E76CE3">
        <w:rPr>
          <w:color w:val="000000"/>
          <w:lang w:eastAsia="zh-CN"/>
        </w:rPr>
        <w:t>冷却工艺，保证出口温度&lt;8</w:t>
      </w:r>
      <w:r>
        <w:rPr>
          <w:color w:val="000000"/>
          <w:lang w:eastAsia="zh-CN"/>
        </w:rPr>
        <w:t>5</w:t>
      </w:r>
      <w:r w:rsidRPr="00E76CE3">
        <w:rPr>
          <w:color w:val="000000"/>
          <w:lang w:eastAsia="zh-CN"/>
        </w:rPr>
        <w:t>℃，以防止内部结焦，保证机组能长周期安全运行。</w:t>
      </w:r>
    </w:p>
    <w:p w:rsidR="00DB5985" w:rsidRPr="00E76CE3" w:rsidRDefault="00DB5985" w:rsidP="00DB5985">
      <w:pPr>
        <w:spacing w:line="360" w:lineRule="auto"/>
        <w:rPr>
          <w:color w:val="000000"/>
          <w:lang w:eastAsia="zh-CN"/>
        </w:rPr>
      </w:pPr>
      <w:r>
        <w:rPr>
          <w:color w:val="000000"/>
          <w:lang w:eastAsia="zh-CN"/>
        </w:rPr>
        <w:t>螺杆阴阳转子</w:t>
      </w:r>
      <w:proofErr w:type="gramStart"/>
      <w:r>
        <w:rPr>
          <w:color w:val="000000"/>
          <w:lang w:eastAsia="zh-CN"/>
        </w:rPr>
        <w:t>及其型</w:t>
      </w:r>
      <w:proofErr w:type="gramEnd"/>
      <w:r>
        <w:rPr>
          <w:color w:val="000000"/>
          <w:lang w:eastAsia="zh-CN"/>
        </w:rPr>
        <w:t>线的设计</w:t>
      </w:r>
      <w:r>
        <w:rPr>
          <w:rFonts w:hint="eastAsia"/>
          <w:color w:val="000000"/>
          <w:lang w:eastAsia="zh-CN"/>
        </w:rPr>
        <w:t>应</w:t>
      </w:r>
      <w:r>
        <w:rPr>
          <w:color w:val="000000"/>
          <w:lang w:eastAsia="zh-CN"/>
        </w:rPr>
        <w:t>充分考虑</w:t>
      </w:r>
      <w:r w:rsidRPr="00E76CE3">
        <w:rPr>
          <w:color w:val="000000"/>
          <w:lang w:eastAsia="zh-CN"/>
        </w:rPr>
        <w:t>吸入条件（压力、组分、杂质等）大范围波动时，</w:t>
      </w:r>
      <w:r>
        <w:rPr>
          <w:color w:val="000000"/>
          <w:lang w:eastAsia="zh-CN"/>
        </w:rPr>
        <w:t>转子所能承受的交变应力，设计</w:t>
      </w:r>
      <w:r w:rsidRPr="00E76CE3">
        <w:rPr>
          <w:color w:val="000000"/>
          <w:lang w:eastAsia="zh-CN"/>
        </w:rPr>
        <w:t>比SRM</w:t>
      </w:r>
      <w:r>
        <w:rPr>
          <w:color w:val="000000"/>
          <w:lang w:eastAsia="zh-CN"/>
        </w:rPr>
        <w:t>型线更加强壮的改进型，并加工</w:t>
      </w:r>
      <w:proofErr w:type="gramStart"/>
      <w:r w:rsidRPr="00E76CE3">
        <w:rPr>
          <w:color w:val="000000"/>
          <w:lang w:eastAsia="zh-CN"/>
        </w:rPr>
        <w:t>卸污槽</w:t>
      </w:r>
      <w:proofErr w:type="gramEnd"/>
      <w:r w:rsidRPr="00E76CE3">
        <w:rPr>
          <w:color w:val="000000"/>
          <w:lang w:eastAsia="zh-CN"/>
        </w:rPr>
        <w:t>和密封筋，以保证将介质气中的杂质颗粒顺畅地输出到排气端并起到更好的密封作用，提高压缩机的效率。</w:t>
      </w:r>
    </w:p>
    <w:p w:rsidR="00DB5985" w:rsidRPr="00E76CE3" w:rsidRDefault="00DB5985" w:rsidP="00DB5985">
      <w:pPr>
        <w:spacing w:line="360" w:lineRule="auto"/>
        <w:rPr>
          <w:color w:val="000000"/>
          <w:lang w:eastAsia="zh-CN"/>
        </w:rPr>
      </w:pPr>
      <w:r w:rsidRPr="00E76CE3">
        <w:rPr>
          <w:color w:val="000000"/>
          <w:lang w:eastAsia="zh-CN"/>
        </w:rPr>
        <w:t>压缩机壳体为分段铸造，采用垂直剖分结构，</w:t>
      </w:r>
      <w:proofErr w:type="gramStart"/>
      <w:r w:rsidRPr="00E76CE3">
        <w:rPr>
          <w:color w:val="000000"/>
          <w:lang w:eastAsia="zh-CN"/>
        </w:rPr>
        <w:t>上进上</w:t>
      </w:r>
      <w:proofErr w:type="gramEnd"/>
      <w:r w:rsidRPr="00E76CE3">
        <w:rPr>
          <w:color w:val="000000"/>
          <w:lang w:eastAsia="zh-CN"/>
        </w:rPr>
        <w:t>出，能适应较高排气压力和</w:t>
      </w:r>
      <w:proofErr w:type="gramStart"/>
      <w:r w:rsidRPr="00E76CE3">
        <w:rPr>
          <w:color w:val="000000"/>
          <w:lang w:eastAsia="zh-CN"/>
        </w:rPr>
        <w:t>带液操作</w:t>
      </w:r>
      <w:proofErr w:type="gramEnd"/>
      <w:r w:rsidRPr="00E76CE3">
        <w:rPr>
          <w:color w:val="000000"/>
          <w:lang w:eastAsia="zh-CN"/>
        </w:rPr>
        <w:t>工况。壳体密封面与介质气接触面积小，可以满足</w:t>
      </w:r>
      <w:proofErr w:type="gramStart"/>
      <w:r w:rsidRPr="00E76CE3">
        <w:rPr>
          <w:color w:val="000000"/>
          <w:lang w:eastAsia="zh-CN"/>
        </w:rPr>
        <w:t>介质气零泄漏</w:t>
      </w:r>
      <w:proofErr w:type="gramEnd"/>
      <w:r w:rsidRPr="00E76CE3">
        <w:rPr>
          <w:color w:val="000000"/>
          <w:lang w:eastAsia="zh-CN"/>
        </w:rPr>
        <w:t>的苛刻工况，适用于气体分子量较小且易燃易爆剧毒气体。</w:t>
      </w:r>
    </w:p>
    <w:p w:rsidR="00DB5985" w:rsidRPr="00E76CE3" w:rsidRDefault="00DB5985" w:rsidP="00DB5985">
      <w:pPr>
        <w:spacing w:line="360" w:lineRule="auto"/>
        <w:rPr>
          <w:color w:val="000000"/>
          <w:lang w:eastAsia="zh-CN"/>
        </w:rPr>
      </w:pPr>
      <w:r w:rsidRPr="00E76CE3">
        <w:rPr>
          <w:color w:val="000000"/>
          <w:lang w:eastAsia="zh-CN"/>
        </w:rPr>
        <w:t>压缩机轴</w:t>
      </w:r>
      <w:proofErr w:type="gramStart"/>
      <w:r w:rsidRPr="00E76CE3">
        <w:rPr>
          <w:color w:val="000000"/>
          <w:lang w:eastAsia="zh-CN"/>
        </w:rPr>
        <w:t>封系统</w:t>
      </w:r>
      <w:proofErr w:type="gramEnd"/>
      <w:r w:rsidRPr="00E76CE3">
        <w:rPr>
          <w:color w:val="000000"/>
          <w:lang w:eastAsia="zh-CN"/>
        </w:rPr>
        <w:t>采用迷宫+双端面机械密封的组合密封结构，保证在最恶劣工况下介质气不泄露。</w:t>
      </w:r>
    </w:p>
    <w:p w:rsidR="00DB5985" w:rsidRPr="00E76CE3" w:rsidRDefault="00DB5985" w:rsidP="00DB5985">
      <w:pPr>
        <w:spacing w:line="360" w:lineRule="auto"/>
        <w:rPr>
          <w:color w:val="000000"/>
          <w:lang w:eastAsia="zh-CN"/>
        </w:rPr>
      </w:pPr>
      <w:r w:rsidRPr="00E76CE3">
        <w:rPr>
          <w:color w:val="000000"/>
          <w:lang w:eastAsia="zh-CN"/>
        </w:rPr>
        <w:t>压缩机径向和推力轴承均采用</w:t>
      </w:r>
      <w:r>
        <w:rPr>
          <w:color w:val="000000"/>
          <w:lang w:eastAsia="zh-CN"/>
        </w:rPr>
        <w:t>滑</w:t>
      </w:r>
      <w:r w:rsidRPr="00E76CE3">
        <w:rPr>
          <w:color w:val="000000"/>
          <w:lang w:eastAsia="zh-CN"/>
        </w:rPr>
        <w:t>动轴承，</w:t>
      </w:r>
      <w:r>
        <w:rPr>
          <w:color w:val="000000"/>
          <w:lang w:eastAsia="zh-CN"/>
        </w:rPr>
        <w:t>压力</w:t>
      </w:r>
      <w:r w:rsidRPr="00E76CE3">
        <w:rPr>
          <w:color w:val="000000"/>
          <w:lang w:eastAsia="zh-CN"/>
        </w:rPr>
        <w:t>润滑。</w:t>
      </w:r>
    </w:p>
    <w:p w:rsidR="00DB5985" w:rsidRDefault="00DB5985" w:rsidP="00DB5985">
      <w:pPr>
        <w:spacing w:line="360" w:lineRule="auto"/>
        <w:rPr>
          <w:color w:val="000000"/>
          <w:lang w:eastAsia="zh-CN"/>
        </w:rPr>
      </w:pPr>
      <w:r w:rsidRPr="00E76CE3">
        <w:rPr>
          <w:color w:val="000000"/>
          <w:lang w:eastAsia="zh-CN"/>
        </w:rPr>
        <w:t>压缩机同步齿轮副为中硬齿面齿轮，材质为42CrMo，经热处理后硬度HRC45,齿面经过磨齿精度等级为7级。大齿轮为厚薄</w:t>
      </w:r>
      <w:proofErr w:type="gramStart"/>
      <w:r w:rsidRPr="00E76CE3">
        <w:rPr>
          <w:color w:val="000000"/>
          <w:lang w:eastAsia="zh-CN"/>
        </w:rPr>
        <w:t>齿</w:t>
      </w:r>
      <w:proofErr w:type="gramEnd"/>
      <w:r w:rsidRPr="00E76CE3">
        <w:rPr>
          <w:color w:val="000000"/>
          <w:lang w:eastAsia="zh-CN"/>
        </w:rPr>
        <w:t>结构，以避免压缩机反转时转子接触</w:t>
      </w:r>
      <w:r>
        <w:rPr>
          <w:rFonts w:hint="eastAsia"/>
          <w:color w:val="000000"/>
          <w:lang w:eastAsia="zh-CN"/>
        </w:rPr>
        <w:t>。</w:t>
      </w:r>
    </w:p>
    <w:p w:rsidR="00DB5985" w:rsidRPr="00ED5DD1" w:rsidRDefault="00DB5985" w:rsidP="00DB5985">
      <w:pPr>
        <w:spacing w:line="360" w:lineRule="auto"/>
        <w:rPr>
          <w:color w:val="000000"/>
        </w:rPr>
      </w:pPr>
      <w:proofErr w:type="spellStart"/>
      <w:r w:rsidRPr="00E76CE3">
        <w:rPr>
          <w:b/>
          <w:color w:val="000000"/>
        </w:rPr>
        <w:t>压缩机主要技术参数</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2316"/>
        <w:gridCol w:w="4349"/>
      </w:tblGrid>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吸气量</w:t>
            </w:r>
            <w:proofErr w:type="spellEnd"/>
            <w:r w:rsidRPr="00FA4FC1">
              <w:rPr>
                <w:color w:val="000000"/>
              </w:rPr>
              <w:t>(</w:t>
            </w:r>
            <w:proofErr w:type="spellStart"/>
            <w:r w:rsidRPr="00FA4FC1">
              <w:rPr>
                <w:color w:val="000000"/>
              </w:rPr>
              <w:t>入口状态</w:t>
            </w:r>
            <w:proofErr w:type="spellEnd"/>
            <w:r w:rsidRPr="00FA4FC1">
              <w:rPr>
                <w:color w:val="000000"/>
              </w:rPr>
              <w:t>)</w:t>
            </w:r>
          </w:p>
        </w:tc>
        <w:tc>
          <w:tcPr>
            <w:tcW w:w="4349" w:type="dxa"/>
            <w:tcBorders>
              <w:right w:val="single" w:sz="12" w:space="0" w:color="auto"/>
            </w:tcBorders>
            <w:vAlign w:val="center"/>
          </w:tcPr>
          <w:p w:rsidR="00DB5985" w:rsidRPr="00FA4FC1" w:rsidRDefault="00DB5985" w:rsidP="00642687">
            <w:pPr>
              <w:spacing w:line="360" w:lineRule="auto"/>
              <w:rPr>
                <w:color w:val="000000"/>
              </w:rPr>
            </w:pPr>
            <w:r>
              <w:rPr>
                <w:rFonts w:hint="eastAsia"/>
                <w:color w:val="000000"/>
              </w:rPr>
              <w:t>3</w:t>
            </w:r>
            <w:r w:rsidRPr="00815EBD">
              <w:rPr>
                <w:rFonts w:hint="eastAsia"/>
                <w:color w:val="000000"/>
              </w:rPr>
              <w:t>0m³/</w:t>
            </w:r>
            <w:r>
              <w:rPr>
                <w:rFonts w:hint="eastAsia"/>
                <w:color w:val="000000"/>
              </w:rPr>
              <w:t>min</w:t>
            </w:r>
            <w:r w:rsidRPr="00815EBD">
              <w:rPr>
                <w:rFonts w:hint="eastAsia"/>
                <w:color w:val="000000"/>
              </w:rPr>
              <w:t xml:space="preserve"> </w:t>
            </w:r>
            <w:r w:rsidRPr="00FA4FC1">
              <w:rPr>
                <w:color w:val="000000"/>
              </w:rPr>
              <w:t xml:space="preserve">                         </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吸入压力</w:t>
            </w:r>
            <w:proofErr w:type="spellEnd"/>
            <w:r w:rsidRPr="00FA4FC1">
              <w:rPr>
                <w:color w:val="000000"/>
              </w:rPr>
              <w:t>/</w:t>
            </w:r>
            <w:proofErr w:type="spellStart"/>
            <w:r w:rsidRPr="00FA4FC1">
              <w:rPr>
                <w:color w:val="000000"/>
              </w:rPr>
              <w:t>吸入温度</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Pr>
                <w:color w:val="000000"/>
              </w:rPr>
              <w:t>0.0</w:t>
            </w:r>
            <w:r>
              <w:rPr>
                <w:rFonts w:hint="eastAsia"/>
                <w:color w:val="000000"/>
              </w:rPr>
              <w:t>0</w:t>
            </w:r>
            <w:r>
              <w:rPr>
                <w:color w:val="000000"/>
              </w:rPr>
              <w:t>4</w:t>
            </w:r>
            <w:r>
              <w:rPr>
                <w:rFonts w:hint="eastAsia"/>
                <w:color w:val="000000"/>
              </w:rPr>
              <w:t>Mpa(G)</w:t>
            </w:r>
            <w:r w:rsidRPr="00FA4FC1">
              <w:rPr>
                <w:color w:val="000000"/>
              </w:rPr>
              <w:t xml:space="preserve">/ </w:t>
            </w:r>
            <w:r>
              <w:rPr>
                <w:rFonts w:hint="eastAsia"/>
                <w:color w:val="000000"/>
              </w:rPr>
              <w:t>6</w:t>
            </w:r>
            <w:r w:rsidRPr="00FA4FC1">
              <w:rPr>
                <w:color w:val="000000"/>
              </w:rPr>
              <w:t xml:space="preserve">0 </w:t>
            </w:r>
            <w:r w:rsidRPr="00321E38">
              <w:rPr>
                <w:color w:val="000000"/>
              </w:rPr>
              <w:t>℃</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排气压力</w:t>
            </w:r>
            <w:proofErr w:type="spellEnd"/>
            <w:r w:rsidRPr="00FA4FC1">
              <w:rPr>
                <w:color w:val="000000"/>
              </w:rPr>
              <w:t>/</w:t>
            </w:r>
            <w:proofErr w:type="spellStart"/>
            <w:r w:rsidRPr="00FA4FC1">
              <w:rPr>
                <w:color w:val="000000"/>
              </w:rPr>
              <w:t>排气温度</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0.</w:t>
            </w:r>
            <w:r>
              <w:rPr>
                <w:rFonts w:hint="eastAsia"/>
                <w:color w:val="000000"/>
              </w:rPr>
              <w:t>8</w:t>
            </w:r>
            <w:r w:rsidRPr="00FA4FC1">
              <w:rPr>
                <w:color w:val="000000"/>
              </w:rPr>
              <w:t>MPa(G)/ ≤8</w:t>
            </w:r>
            <w:r>
              <w:rPr>
                <w:rFonts w:hint="eastAsia"/>
                <w:color w:val="000000"/>
              </w:rPr>
              <w:t>5</w:t>
            </w:r>
            <w:r w:rsidRPr="00FA4FC1">
              <w:rPr>
                <w:color w:val="000000"/>
              </w:rPr>
              <w:t>℃</w:t>
            </w:r>
            <w:r>
              <w:rPr>
                <w:rFonts w:hint="eastAsia"/>
                <w:color w:val="000000"/>
              </w:rPr>
              <w:t>，冷后</w:t>
            </w:r>
            <w:r w:rsidRPr="00FA4FC1">
              <w:rPr>
                <w:color w:val="000000"/>
              </w:rPr>
              <w:t>≤</w:t>
            </w:r>
            <w:r>
              <w:rPr>
                <w:rFonts w:hint="eastAsia"/>
                <w:color w:val="000000"/>
              </w:rPr>
              <w:t>45</w:t>
            </w:r>
            <w:r w:rsidRPr="00FA4FC1">
              <w:rPr>
                <w:color w:val="000000"/>
              </w:rPr>
              <w:t>℃</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转子型线</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SRM单边非对称</w:t>
            </w:r>
            <w:proofErr w:type="spellEnd"/>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转子直径</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2</w:t>
            </w:r>
            <w:r>
              <w:rPr>
                <w:rFonts w:hint="eastAsia"/>
                <w:color w:val="000000"/>
              </w:rPr>
              <w:t>55</w:t>
            </w:r>
            <w:r w:rsidRPr="00FA4FC1">
              <w:rPr>
                <w:color w:val="000000"/>
              </w:rPr>
              <w:t>mm</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转子长径比</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1</w:t>
            </w:r>
            <w:r>
              <w:rPr>
                <w:rFonts w:hint="eastAsia"/>
                <w:color w:val="000000"/>
              </w:rPr>
              <w:t>.65</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轴功率</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Pr>
                <w:rFonts w:hint="eastAsia"/>
                <w:color w:val="000000"/>
              </w:rPr>
              <w:t>约220</w:t>
            </w:r>
            <w:r w:rsidRPr="00FA4FC1">
              <w:rPr>
                <w:color w:val="000000"/>
              </w:rPr>
              <w:t>kW</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正常转速</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Pr>
                <w:rFonts w:hint="eastAsia"/>
                <w:color w:val="000000"/>
              </w:rPr>
              <w:t>约</w:t>
            </w:r>
            <w:r w:rsidRPr="00FA4FC1">
              <w:rPr>
                <w:color w:val="000000"/>
              </w:rPr>
              <w:t>3</w:t>
            </w:r>
            <w:r>
              <w:rPr>
                <w:color w:val="000000"/>
              </w:rPr>
              <w:t>0</w:t>
            </w:r>
            <w:r w:rsidRPr="00FA4FC1">
              <w:rPr>
                <w:color w:val="000000"/>
              </w:rPr>
              <w:t>00rpm</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壳体型式</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垂直剖分</w:t>
            </w:r>
            <w:proofErr w:type="spellEnd"/>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进出口型式</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上进上出</w:t>
            </w:r>
            <w:proofErr w:type="spellEnd"/>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lastRenderedPageBreak/>
              <w:t>径向与止推轴承型式</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Pr>
                <w:color w:val="000000"/>
              </w:rPr>
              <w:t>滑</w:t>
            </w:r>
            <w:r w:rsidRPr="00FA4FC1">
              <w:rPr>
                <w:color w:val="000000"/>
              </w:rPr>
              <w:t>动轴承</w:t>
            </w:r>
            <w:proofErr w:type="spellEnd"/>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轴封型式</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迷宫+双端面机械密封</w:t>
            </w:r>
            <w:proofErr w:type="spellEnd"/>
          </w:p>
        </w:tc>
      </w:tr>
      <w:tr w:rsidR="00DB5985" w:rsidRPr="00FA4FC1" w:rsidTr="00642687">
        <w:trPr>
          <w:cantSplit/>
          <w:trHeight w:val="415"/>
          <w:jc w:val="center"/>
        </w:trPr>
        <w:tc>
          <w:tcPr>
            <w:tcW w:w="1180" w:type="dxa"/>
            <w:vMerge w:val="restart"/>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材料</w:t>
            </w:r>
            <w:proofErr w:type="spellEnd"/>
          </w:p>
        </w:tc>
        <w:tc>
          <w:tcPr>
            <w:tcW w:w="2316" w:type="dxa"/>
            <w:vAlign w:val="center"/>
          </w:tcPr>
          <w:p w:rsidR="00DB5985" w:rsidRPr="00FA4FC1" w:rsidRDefault="00DB5985" w:rsidP="00642687">
            <w:pPr>
              <w:spacing w:line="360" w:lineRule="auto"/>
              <w:rPr>
                <w:color w:val="000000"/>
              </w:rPr>
            </w:pPr>
            <w:proofErr w:type="spellStart"/>
            <w:r w:rsidRPr="00FA4FC1">
              <w:rPr>
                <w:color w:val="000000"/>
              </w:rPr>
              <w:t>壳体</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ZG15Cr12</w:t>
            </w:r>
          </w:p>
        </w:tc>
      </w:tr>
      <w:tr w:rsidR="00DB5985" w:rsidRPr="00FA4FC1" w:rsidTr="00642687">
        <w:trPr>
          <w:cantSplit/>
          <w:trHeight w:val="415"/>
          <w:jc w:val="center"/>
        </w:trPr>
        <w:tc>
          <w:tcPr>
            <w:tcW w:w="1180" w:type="dxa"/>
            <w:vMerge/>
            <w:tcBorders>
              <w:left w:val="single" w:sz="12" w:space="0" w:color="auto"/>
            </w:tcBorders>
            <w:vAlign w:val="center"/>
          </w:tcPr>
          <w:p w:rsidR="00DB5985" w:rsidRPr="00FA4FC1" w:rsidRDefault="00DB5985" w:rsidP="00642687">
            <w:pPr>
              <w:spacing w:line="360" w:lineRule="auto"/>
              <w:rPr>
                <w:color w:val="000000"/>
              </w:rPr>
            </w:pPr>
          </w:p>
        </w:tc>
        <w:tc>
          <w:tcPr>
            <w:tcW w:w="2316" w:type="dxa"/>
            <w:vAlign w:val="center"/>
          </w:tcPr>
          <w:p w:rsidR="00DB5985" w:rsidRPr="00FA4FC1" w:rsidRDefault="00DB5985" w:rsidP="00642687">
            <w:pPr>
              <w:spacing w:line="360" w:lineRule="auto"/>
              <w:rPr>
                <w:color w:val="000000"/>
              </w:rPr>
            </w:pPr>
            <w:proofErr w:type="spellStart"/>
            <w:r w:rsidRPr="00FA4FC1">
              <w:rPr>
                <w:color w:val="000000"/>
              </w:rPr>
              <w:t>转子</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20Cr13</w:t>
            </w:r>
          </w:p>
        </w:tc>
      </w:tr>
      <w:tr w:rsidR="00DB5985" w:rsidRPr="00FA4FC1" w:rsidTr="00642687">
        <w:trPr>
          <w:cantSplit/>
          <w:trHeight w:val="415"/>
          <w:jc w:val="center"/>
        </w:trPr>
        <w:tc>
          <w:tcPr>
            <w:tcW w:w="1180" w:type="dxa"/>
            <w:vMerge/>
            <w:tcBorders>
              <w:left w:val="single" w:sz="12" w:space="0" w:color="auto"/>
            </w:tcBorders>
            <w:vAlign w:val="center"/>
          </w:tcPr>
          <w:p w:rsidR="00DB5985" w:rsidRPr="00FA4FC1" w:rsidRDefault="00DB5985" w:rsidP="00642687">
            <w:pPr>
              <w:spacing w:line="360" w:lineRule="auto"/>
              <w:rPr>
                <w:color w:val="000000"/>
              </w:rPr>
            </w:pPr>
          </w:p>
        </w:tc>
        <w:tc>
          <w:tcPr>
            <w:tcW w:w="2316" w:type="dxa"/>
            <w:vAlign w:val="center"/>
          </w:tcPr>
          <w:p w:rsidR="00DB5985" w:rsidRPr="00FA4FC1" w:rsidRDefault="00DB5985" w:rsidP="00642687">
            <w:pPr>
              <w:spacing w:line="360" w:lineRule="auto"/>
              <w:rPr>
                <w:color w:val="000000"/>
              </w:rPr>
            </w:pPr>
            <w:proofErr w:type="spellStart"/>
            <w:r w:rsidRPr="00FA4FC1">
              <w:rPr>
                <w:color w:val="000000"/>
              </w:rPr>
              <w:t>同步齿轮</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42CrMo</w:t>
            </w:r>
          </w:p>
        </w:tc>
      </w:tr>
      <w:tr w:rsidR="00DB5985" w:rsidRPr="00E76CE3" w:rsidTr="00642687">
        <w:trPr>
          <w:cantSplit/>
          <w:trHeight w:val="415"/>
          <w:jc w:val="center"/>
        </w:trPr>
        <w:tc>
          <w:tcPr>
            <w:tcW w:w="3496" w:type="dxa"/>
            <w:gridSpan w:val="2"/>
            <w:tcBorders>
              <w:left w:val="single" w:sz="12" w:space="0" w:color="auto"/>
              <w:bottom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流量调节方式</w:t>
            </w:r>
            <w:proofErr w:type="spellEnd"/>
          </w:p>
        </w:tc>
        <w:tc>
          <w:tcPr>
            <w:tcW w:w="4349" w:type="dxa"/>
            <w:tcBorders>
              <w:bottom w:val="single" w:sz="12" w:space="0" w:color="auto"/>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变频+循环回流调节</w:t>
            </w:r>
            <w:proofErr w:type="spellEnd"/>
          </w:p>
        </w:tc>
      </w:tr>
    </w:tbl>
    <w:p w:rsidR="00DB5985" w:rsidRDefault="00DB5985" w:rsidP="00DB5985">
      <w:pPr>
        <w:spacing w:line="360" w:lineRule="auto"/>
        <w:rPr>
          <w:b/>
          <w:color w:val="000000"/>
        </w:rPr>
      </w:pPr>
    </w:p>
    <w:p w:rsidR="00DB5985" w:rsidRPr="00E76CE3" w:rsidRDefault="00DB5985" w:rsidP="00DB5985">
      <w:pPr>
        <w:spacing w:line="360" w:lineRule="auto"/>
        <w:rPr>
          <w:b/>
          <w:color w:val="000000"/>
          <w:lang w:eastAsia="zh-CN"/>
        </w:rPr>
      </w:pPr>
      <w:r w:rsidRPr="00E76CE3">
        <w:rPr>
          <w:b/>
          <w:color w:val="000000"/>
          <w:lang w:eastAsia="zh-CN"/>
        </w:rPr>
        <w:t>驱动机和附属设备</w:t>
      </w:r>
      <w:r>
        <w:rPr>
          <w:b/>
          <w:color w:val="000000"/>
          <w:lang w:eastAsia="zh-CN"/>
        </w:rPr>
        <w:t>（利旧部分）：</w:t>
      </w:r>
    </w:p>
    <w:p w:rsidR="00DB5985" w:rsidRPr="00FA4FC1" w:rsidRDefault="00DB5985" w:rsidP="00DB5985">
      <w:pPr>
        <w:spacing w:line="360" w:lineRule="auto"/>
        <w:rPr>
          <w:color w:val="000000"/>
          <w:lang w:eastAsia="zh-CN"/>
        </w:rPr>
      </w:pPr>
      <w:r w:rsidRPr="00FA4FC1">
        <w:rPr>
          <w:color w:val="000000"/>
          <w:lang w:eastAsia="zh-CN"/>
        </w:rPr>
        <w:t>驱动机采用三相变频隔爆异步电机，额定功率</w:t>
      </w:r>
      <w:r>
        <w:rPr>
          <w:rFonts w:hint="eastAsia"/>
          <w:color w:val="000000"/>
          <w:lang w:eastAsia="zh-CN"/>
        </w:rPr>
        <w:t>220</w:t>
      </w:r>
      <w:r w:rsidRPr="00FA4FC1">
        <w:rPr>
          <w:color w:val="000000"/>
          <w:lang w:eastAsia="zh-CN"/>
        </w:rPr>
        <w:t>kW，3Ph,380V,60Hz，防爆等级：</w:t>
      </w:r>
      <w:proofErr w:type="spellStart"/>
      <w:r w:rsidRPr="00FA4FC1">
        <w:rPr>
          <w:color w:val="000000"/>
          <w:lang w:eastAsia="zh-CN"/>
        </w:rPr>
        <w:t>dII</w:t>
      </w:r>
      <w:proofErr w:type="spellEnd"/>
      <w:r w:rsidRPr="00FA4FC1">
        <w:rPr>
          <w:color w:val="000000"/>
          <w:lang w:eastAsia="zh-CN"/>
        </w:rPr>
        <w:t xml:space="preserve"> CT3，防护等级：IP55。</w:t>
      </w:r>
    </w:p>
    <w:p w:rsidR="00DB5985" w:rsidRPr="00FA4FC1" w:rsidRDefault="00DB5985" w:rsidP="00DB5985">
      <w:pPr>
        <w:spacing w:line="360" w:lineRule="auto"/>
        <w:rPr>
          <w:color w:val="000000"/>
          <w:lang w:eastAsia="zh-CN"/>
        </w:rPr>
      </w:pPr>
      <w:r w:rsidRPr="00FA4FC1">
        <w:rPr>
          <w:color w:val="000000"/>
          <w:lang w:eastAsia="zh-CN"/>
        </w:rPr>
        <w:t>主电机采用</w:t>
      </w:r>
      <w:r>
        <w:rPr>
          <w:color w:val="000000"/>
          <w:lang w:eastAsia="zh-CN"/>
        </w:rPr>
        <w:t>滚</w:t>
      </w:r>
      <w:r w:rsidRPr="00FA4FC1">
        <w:rPr>
          <w:color w:val="000000"/>
          <w:lang w:eastAsia="zh-CN"/>
        </w:rPr>
        <w:t>动轴承，</w:t>
      </w:r>
      <w:r>
        <w:rPr>
          <w:color w:val="000000"/>
          <w:lang w:eastAsia="zh-CN"/>
        </w:rPr>
        <w:t>油脂</w:t>
      </w:r>
      <w:r w:rsidRPr="00FA4FC1">
        <w:rPr>
          <w:color w:val="000000"/>
          <w:lang w:eastAsia="zh-CN"/>
        </w:rPr>
        <w:t>润滑。每</w:t>
      </w:r>
      <w:r>
        <w:rPr>
          <w:color w:val="000000"/>
          <w:lang w:eastAsia="zh-CN"/>
        </w:rPr>
        <w:t>组</w:t>
      </w:r>
      <w:r w:rsidRPr="00FA4FC1">
        <w:rPr>
          <w:color w:val="000000"/>
          <w:lang w:eastAsia="zh-CN"/>
        </w:rPr>
        <w:t>轴承设置一个PT</w:t>
      </w:r>
      <w:proofErr w:type="gramStart"/>
      <w:r w:rsidRPr="00FA4FC1">
        <w:rPr>
          <w:color w:val="000000"/>
          <w:lang w:eastAsia="zh-CN"/>
        </w:rPr>
        <w:t>100双支铂热电阻</w:t>
      </w:r>
      <w:proofErr w:type="gramEnd"/>
      <w:r w:rsidRPr="00FA4FC1">
        <w:rPr>
          <w:color w:val="000000"/>
          <w:lang w:eastAsia="zh-CN"/>
        </w:rPr>
        <w:t>，共2支；定子绕组埋置pt100</w:t>
      </w:r>
      <w:proofErr w:type="gramStart"/>
      <w:r w:rsidRPr="00FA4FC1">
        <w:rPr>
          <w:color w:val="000000"/>
          <w:lang w:eastAsia="zh-CN"/>
        </w:rPr>
        <w:t>铂</w:t>
      </w:r>
      <w:proofErr w:type="gramEnd"/>
      <w:r w:rsidRPr="00FA4FC1">
        <w:rPr>
          <w:color w:val="000000"/>
          <w:lang w:eastAsia="zh-CN"/>
        </w:rPr>
        <w:t>热电阻(三线制)6支，</w:t>
      </w:r>
      <w:proofErr w:type="gramStart"/>
      <w:r w:rsidRPr="00FA4FC1">
        <w:rPr>
          <w:color w:val="000000"/>
          <w:lang w:eastAsia="zh-CN"/>
        </w:rPr>
        <w:t>每相2只</w:t>
      </w:r>
      <w:proofErr w:type="gramEnd"/>
      <w:r w:rsidRPr="00FA4FC1">
        <w:rPr>
          <w:color w:val="000000"/>
          <w:lang w:eastAsia="zh-CN"/>
        </w:rPr>
        <w:t>，其中3支备用。</w:t>
      </w:r>
    </w:p>
    <w:p w:rsidR="00DB5985" w:rsidRPr="00FA4FC1" w:rsidRDefault="00DB5985" w:rsidP="00DB5985">
      <w:pPr>
        <w:spacing w:line="360" w:lineRule="auto"/>
        <w:rPr>
          <w:color w:val="000000"/>
          <w:lang w:eastAsia="zh-CN"/>
        </w:rPr>
      </w:pPr>
      <w:r w:rsidRPr="00FA4FC1">
        <w:rPr>
          <w:color w:val="000000"/>
          <w:lang w:eastAsia="zh-CN"/>
        </w:rPr>
        <w:t>主接线盒位于电机的</w:t>
      </w:r>
      <w:proofErr w:type="gramStart"/>
      <w:r w:rsidRPr="00FA4FC1">
        <w:rPr>
          <w:color w:val="000000"/>
          <w:lang w:eastAsia="zh-CN"/>
        </w:rPr>
        <w:t>右侧(</w:t>
      </w:r>
      <w:proofErr w:type="gramEnd"/>
      <w:r w:rsidRPr="00FA4FC1">
        <w:rPr>
          <w:color w:val="000000"/>
          <w:lang w:eastAsia="zh-CN"/>
        </w:rPr>
        <w:t>从</w:t>
      </w:r>
      <w:proofErr w:type="gramStart"/>
      <w:r w:rsidRPr="00FA4FC1">
        <w:rPr>
          <w:color w:val="000000"/>
          <w:lang w:eastAsia="zh-CN"/>
        </w:rPr>
        <w:t>电机轴伸端视之</w:t>
      </w:r>
      <w:proofErr w:type="gramEnd"/>
      <w:r w:rsidRPr="00FA4FC1">
        <w:rPr>
          <w:color w:val="000000"/>
          <w:lang w:eastAsia="zh-CN"/>
        </w:rPr>
        <w:t>)，防护等级为IP55，螺纹口。</w:t>
      </w:r>
    </w:p>
    <w:p w:rsidR="00DB5985" w:rsidRPr="00FA4FC1" w:rsidRDefault="00DB5985" w:rsidP="00DB5985">
      <w:pPr>
        <w:spacing w:line="360" w:lineRule="auto"/>
        <w:rPr>
          <w:color w:val="000000"/>
          <w:lang w:eastAsia="zh-CN"/>
        </w:rPr>
      </w:pPr>
      <w:r w:rsidRPr="00FA4FC1">
        <w:rPr>
          <w:color w:val="000000"/>
          <w:lang w:eastAsia="zh-CN"/>
        </w:rPr>
        <w:t>电动机的额定功率须按满足连续运行的条件下，负载所需的轴功率来选择，并且还要考虑储备系数和温度修正系数，一般取大于或等于1.1倍的所驱动负载的轴功率，且不小于出口安全阀定压下的功率计算值。</w:t>
      </w:r>
    </w:p>
    <w:p w:rsidR="00DB5985" w:rsidRDefault="00DB5985" w:rsidP="00DB5985">
      <w:pPr>
        <w:spacing w:line="360" w:lineRule="auto"/>
        <w:rPr>
          <w:color w:val="000000"/>
          <w:lang w:eastAsia="zh-CN"/>
        </w:rPr>
      </w:pPr>
      <w:r>
        <w:rPr>
          <w:color w:val="000000"/>
          <w:lang w:eastAsia="zh-CN"/>
        </w:rPr>
        <w:t>主电</w:t>
      </w:r>
      <w:r>
        <w:rPr>
          <w:rFonts w:hint="eastAsia"/>
          <w:color w:val="000000"/>
          <w:lang w:eastAsia="zh-CN"/>
        </w:rPr>
        <w:t>机的描述以用户现场实际技术参数及性能为准。</w:t>
      </w:r>
    </w:p>
    <w:p w:rsidR="00DB5985" w:rsidRPr="00DB5985" w:rsidRDefault="00DB5985" w:rsidP="00DB5985">
      <w:pPr>
        <w:pStyle w:val="10"/>
        <w:rPr>
          <w:rFonts w:asciiTheme="minorEastAsia" w:eastAsiaTheme="minorEastAsia" w:hAnsiTheme="minorEastAsia"/>
          <w:sz w:val="24"/>
          <w:szCs w:val="24"/>
        </w:rPr>
      </w:pP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7124B6">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生产一团队一台螺杆压缩机</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6535C9">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D1C68">
        <w:rPr>
          <w:rFonts w:ascii="Times New Roman" w:hAnsi="ˎ̥" w:hint="eastAsia"/>
          <w:color w:val="000000" w:themeColor="text1"/>
          <w:sz w:val="28"/>
          <w:szCs w:val="28"/>
          <w:u w:val="single"/>
          <w:lang w:eastAsia="zh-CN"/>
        </w:rPr>
        <w:t>生产</w:t>
      </w:r>
      <w:proofErr w:type="gramStart"/>
      <w:r w:rsidR="007D1C68">
        <w:rPr>
          <w:rFonts w:ascii="Times New Roman" w:hAnsi="ˎ̥" w:hint="eastAsia"/>
          <w:color w:val="000000" w:themeColor="text1"/>
          <w:sz w:val="28"/>
          <w:szCs w:val="28"/>
          <w:u w:val="single"/>
          <w:lang w:eastAsia="zh-CN"/>
        </w:rPr>
        <w:t>一</w:t>
      </w:r>
      <w:proofErr w:type="gramEnd"/>
      <w:r w:rsidR="007D1C68">
        <w:rPr>
          <w:rFonts w:ascii="Times New Roman" w:hAnsi="ˎ̥" w:hint="eastAsia"/>
          <w:color w:val="000000" w:themeColor="text1"/>
          <w:sz w:val="28"/>
          <w:szCs w:val="28"/>
          <w:u w:val="single"/>
          <w:lang w:eastAsia="zh-CN"/>
        </w:rPr>
        <w:t>团队一台螺杆压缩机</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7D1C68"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团队一台螺杆压缩机</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7D1C68"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rsidP="0054092C">
            <w:pPr>
              <w:jc w:val="center"/>
              <w:rPr>
                <w:color w:val="000000"/>
                <w:sz w:val="21"/>
                <w:szCs w:val="21"/>
              </w:rPr>
            </w:pPr>
            <w:r w:rsidRPr="007D1C68">
              <w:rPr>
                <w:color w:val="000000"/>
                <w:sz w:val="21"/>
                <w:szCs w:val="21"/>
              </w:rPr>
              <w:t>QG2205090020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pPr>
              <w:jc w:val="center"/>
              <w:rPr>
                <w:color w:val="000000"/>
                <w:sz w:val="21"/>
                <w:szCs w:val="21"/>
              </w:rPr>
            </w:pPr>
            <w:r w:rsidRPr="007D1C68">
              <w:rPr>
                <w:rFonts w:hint="eastAsia"/>
                <w:color w:val="000000"/>
                <w:sz w:val="21"/>
                <w:szCs w:val="21"/>
              </w:rPr>
              <w:t>1317080018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pPr>
              <w:jc w:val="center"/>
              <w:rPr>
                <w:color w:val="000000"/>
                <w:sz w:val="21"/>
                <w:szCs w:val="21"/>
              </w:rPr>
            </w:pPr>
            <w:proofErr w:type="spellStart"/>
            <w:r w:rsidRPr="007D1C68">
              <w:rPr>
                <w:rFonts w:hint="eastAsia"/>
                <w:color w:val="000000"/>
                <w:sz w:val="21"/>
                <w:szCs w:val="21"/>
              </w:rPr>
              <w:t>螺杆</w:t>
            </w:r>
            <w:proofErr w:type="spellEnd"/>
            <w:r w:rsidRPr="007D1C68">
              <w:rPr>
                <w:rFonts w:hint="eastAsia"/>
                <w:color w:val="000000"/>
                <w:sz w:val="21"/>
                <w:szCs w:val="21"/>
                <w:lang w:eastAsia="zh-CN"/>
              </w:rPr>
              <w:t xml:space="preserve">   </w:t>
            </w:r>
            <w:r w:rsidR="001D48BE">
              <w:rPr>
                <w:rFonts w:hint="eastAsia"/>
                <w:color w:val="000000"/>
                <w:sz w:val="21"/>
                <w:szCs w:val="21"/>
                <w:lang w:eastAsia="zh-CN"/>
              </w:rPr>
              <w:t xml:space="preserve"> </w:t>
            </w:r>
            <w:proofErr w:type="spellStart"/>
            <w:r w:rsidRPr="007D1C68">
              <w:rPr>
                <w:rFonts w:hint="eastAsia"/>
                <w:color w:val="000000"/>
                <w:sz w:val="21"/>
                <w:szCs w:val="21"/>
              </w:rPr>
              <w:t>压缩机</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7D1C68" w:rsidRPr="007D1C68" w:rsidRDefault="007D1C68">
            <w:pPr>
              <w:jc w:val="center"/>
              <w:rPr>
                <w:color w:val="000000"/>
                <w:sz w:val="21"/>
                <w:szCs w:val="21"/>
                <w:lang w:eastAsia="zh-CN"/>
              </w:rPr>
            </w:pPr>
            <w:r w:rsidRPr="007D1C68">
              <w:rPr>
                <w:rFonts w:hint="eastAsia"/>
                <w:color w:val="000000"/>
                <w:sz w:val="21"/>
                <w:szCs w:val="21"/>
                <w:lang w:eastAsia="zh-CN"/>
              </w:rPr>
              <w:t>排气量：</w:t>
            </w:r>
            <w:r w:rsidRPr="007D1C68">
              <w:rPr>
                <w:color w:val="000000"/>
                <w:sz w:val="21"/>
                <w:szCs w:val="21"/>
                <w:lang w:eastAsia="zh-CN"/>
              </w:rPr>
              <w:t>30m3/min(入口状态)；进气压力：0.004Mpa（G）；排气压力0.8Mpa（G）；排气温度≤85℃；压缩机转速：2980r/min；电机功率250kw（利旧）；轴承形式：滑动轴承。</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rsidP="0054092C">
            <w:pPr>
              <w:jc w:val="center"/>
              <w:rPr>
                <w:color w:val="000000"/>
                <w:sz w:val="21"/>
                <w:szCs w:val="21"/>
              </w:rPr>
            </w:pPr>
            <w:r w:rsidRPr="007D1C68">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rsidP="0054092C">
            <w:pPr>
              <w:jc w:val="center"/>
              <w:rPr>
                <w:color w:val="000000"/>
                <w:sz w:val="21"/>
                <w:szCs w:val="21"/>
                <w:lang w:eastAsia="zh-CN"/>
              </w:rPr>
            </w:pPr>
            <w:r w:rsidRPr="007D1C68">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32ED8" w:rsidRDefault="007D1C68"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7D1C68">
              <w:rPr>
                <w:rFonts w:hint="eastAsia"/>
                <w:b/>
                <w:bCs/>
              </w:rPr>
              <w:t>、报价单随附“一台螺杆压缩机</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w:t>
            </w:r>
            <w:r w:rsidR="007D1C68">
              <w:rPr>
                <w:rFonts w:hint="eastAsia"/>
                <w:b/>
                <w:bCs/>
                <w:sz w:val="24"/>
                <w:lang w:eastAsia="zh-CN"/>
              </w:rPr>
              <w:t>、付款方式：</w:t>
            </w:r>
            <w:r>
              <w:rPr>
                <w:rFonts w:hint="eastAsia"/>
                <w:b/>
                <w:bCs/>
                <w:sz w:val="24"/>
                <w:lang w:eastAsia="zh-CN"/>
              </w:rPr>
              <w:t>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7D1C68">
      <w:pPr>
        <w:spacing w:line="460" w:lineRule="exact"/>
        <w:ind w:firstLineChars="1500" w:firstLine="4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7D1C68" w:rsidRDefault="00D7766D">
      <w:pPr>
        <w:spacing w:line="460" w:lineRule="exact"/>
        <w:ind w:firstLineChars="200" w:firstLine="560"/>
        <w:rPr>
          <w:sz w:val="28"/>
          <w:u w:val="single"/>
          <w:lang w:eastAsia="zh-CN"/>
        </w:rPr>
      </w:pPr>
    </w:p>
    <w:p w:rsidR="00D7766D" w:rsidRDefault="00986280" w:rsidP="007D1C68">
      <w:pPr>
        <w:spacing w:line="460" w:lineRule="exact"/>
        <w:ind w:firstLineChars="1300" w:firstLine="364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rsidP="007D1C68">
      <w:pPr>
        <w:ind w:firstLineChars="1500" w:firstLine="4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C9" w:rsidRDefault="006535C9">
      <w:r>
        <w:separator/>
      </w:r>
    </w:p>
  </w:endnote>
  <w:endnote w:type="continuationSeparator" w:id="0">
    <w:p w:rsidR="006535C9" w:rsidRDefault="0065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96B2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96B28">
              <w:rPr>
                <w:b/>
                <w:bCs/>
                <w:noProof/>
              </w:rPr>
              <w:t>30</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96B2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96B28">
              <w:rPr>
                <w:b/>
                <w:bCs/>
                <w:noProof/>
              </w:rPr>
              <w:t>30</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6535C9">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796B28" w:rsidRPr="00796B28">
          <w:rPr>
            <w:noProof/>
            <w:lang w:val="zh-CN" w:eastAsia="zh-CN"/>
          </w:rPr>
          <w:t>11</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C9" w:rsidRDefault="006535C9">
      <w:r>
        <w:separator/>
      </w:r>
    </w:p>
  </w:footnote>
  <w:footnote w:type="continuationSeparator" w:id="0">
    <w:p w:rsidR="006535C9" w:rsidRDefault="00653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10">
    <w:nsid w:val="6FC071FC"/>
    <w:multiLevelType w:val="multilevel"/>
    <w:tmpl w:val="1C5EA2CC"/>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0D5D"/>
    <w:rsid w:val="000D1175"/>
    <w:rsid w:val="000D1AB8"/>
    <w:rsid w:val="000D35CF"/>
    <w:rsid w:val="000D51F3"/>
    <w:rsid w:val="000E505B"/>
    <w:rsid w:val="000F116F"/>
    <w:rsid w:val="000F15E9"/>
    <w:rsid w:val="000F27AD"/>
    <w:rsid w:val="000F39C1"/>
    <w:rsid w:val="000F4255"/>
    <w:rsid w:val="00101100"/>
    <w:rsid w:val="00104D27"/>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5FA"/>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D48B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319"/>
    <w:rsid w:val="003C5CF5"/>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AA9"/>
    <w:rsid w:val="00432036"/>
    <w:rsid w:val="00437706"/>
    <w:rsid w:val="00437CA2"/>
    <w:rsid w:val="00447CA6"/>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5D55"/>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6597"/>
    <w:rsid w:val="00622985"/>
    <w:rsid w:val="006238C7"/>
    <w:rsid w:val="006238EE"/>
    <w:rsid w:val="00624F51"/>
    <w:rsid w:val="006268B0"/>
    <w:rsid w:val="00630128"/>
    <w:rsid w:val="006312AB"/>
    <w:rsid w:val="00631F92"/>
    <w:rsid w:val="00632468"/>
    <w:rsid w:val="00632E52"/>
    <w:rsid w:val="00642E61"/>
    <w:rsid w:val="006458DE"/>
    <w:rsid w:val="006535C9"/>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24B6"/>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57774"/>
    <w:rsid w:val="007601EF"/>
    <w:rsid w:val="00760373"/>
    <w:rsid w:val="007619B1"/>
    <w:rsid w:val="00786BE0"/>
    <w:rsid w:val="00794F72"/>
    <w:rsid w:val="00795740"/>
    <w:rsid w:val="00796B28"/>
    <w:rsid w:val="007B7828"/>
    <w:rsid w:val="007C2B12"/>
    <w:rsid w:val="007C6297"/>
    <w:rsid w:val="007C7F5F"/>
    <w:rsid w:val="007D17EF"/>
    <w:rsid w:val="007D1C68"/>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53CC"/>
    <w:rsid w:val="00822C92"/>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05D8"/>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1099"/>
    <w:rsid w:val="00952F8D"/>
    <w:rsid w:val="00955A6F"/>
    <w:rsid w:val="00961749"/>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149E5"/>
    <w:rsid w:val="00A153FC"/>
    <w:rsid w:val="00A2542D"/>
    <w:rsid w:val="00A278D7"/>
    <w:rsid w:val="00A33603"/>
    <w:rsid w:val="00A36063"/>
    <w:rsid w:val="00A367C8"/>
    <w:rsid w:val="00A37693"/>
    <w:rsid w:val="00A45CA3"/>
    <w:rsid w:val="00A45F18"/>
    <w:rsid w:val="00A614C8"/>
    <w:rsid w:val="00A61F26"/>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95"/>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5985"/>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1CF1"/>
    <w:rsid w:val="00E3205C"/>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0C52"/>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7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36812-368B-4293-BBB7-2A213A18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2274</Words>
  <Characters>12966</Characters>
  <Application>Microsoft Office Word</Application>
  <DocSecurity>0</DocSecurity>
  <Lines>108</Lines>
  <Paragraphs>30</Paragraphs>
  <ScaleCrop>false</ScaleCrop>
  <Company>福化环保</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447</cp:revision>
  <dcterms:created xsi:type="dcterms:W3CDTF">2019-03-28T11:18:00Z</dcterms:created>
  <dcterms:modified xsi:type="dcterms:W3CDTF">2022-06-21T01:30:00Z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