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line="240" w:lineRule="atLeast"/>
        <w:jc w:val="center"/>
        <w:rPr>
          <w:rFonts w:hint="eastAsia" w:asciiTheme="majorEastAsia" w:hAnsiTheme="majorEastAsia" w:eastAsiaTheme="majorEastAsia"/>
          <w:b/>
          <w:sz w:val="44"/>
          <w:szCs w:val="44"/>
          <w:u w:val="none"/>
          <w:lang w:eastAsia="zh-CN"/>
        </w:rPr>
      </w:pPr>
      <w:r>
        <w:rPr>
          <w:rFonts w:hint="eastAsia" w:asciiTheme="majorEastAsia" w:hAnsiTheme="majorEastAsia" w:eastAsiaTheme="majorEastAsia"/>
          <w:b/>
          <w:sz w:val="44"/>
          <w:szCs w:val="44"/>
          <w:u w:val="none"/>
          <w:lang w:eastAsia="zh-CN"/>
        </w:rPr>
        <w:t xml:space="preserve">  </w:t>
      </w:r>
    </w:p>
    <w:p>
      <w:pPr>
        <w:spacing w:line="240" w:lineRule="atLeast"/>
        <w:jc w:val="center"/>
        <w:rPr>
          <w:rFonts w:hint="eastAsia" w:ascii="PMingLiU" w:hAnsi="PMingLiU"/>
          <w:b/>
          <w:color w:val="000000"/>
          <w:sz w:val="44"/>
          <w:szCs w:val="44"/>
          <w:lang w:val="en-US" w:eastAsia="zh-CN"/>
        </w:rPr>
      </w:pPr>
      <w:r>
        <w:rPr>
          <w:rFonts w:hint="eastAsia" w:asciiTheme="majorEastAsia" w:hAnsiTheme="majorEastAsia" w:eastAsiaTheme="majorEastAsia"/>
          <w:b/>
          <w:sz w:val="44"/>
          <w:szCs w:val="44"/>
          <w:u w:val="none"/>
          <w:lang w:eastAsia="zh-CN"/>
        </w:rPr>
        <w:t xml:space="preserve"> </w:t>
      </w:r>
      <w:r>
        <w:rPr>
          <w:rFonts w:hint="eastAsia" w:ascii="PMingLiU" w:hAnsi="PMingLiU"/>
          <w:b/>
          <w:color w:val="000000"/>
          <w:sz w:val="44"/>
          <w:szCs w:val="44"/>
        </w:rPr>
        <w:t>芳烃团队重整装置催化剂筛</w:t>
      </w:r>
      <w:r>
        <w:rPr>
          <w:rFonts w:hint="eastAsia" w:ascii="PMingLiU" w:hAnsi="PMingLiU"/>
          <w:b/>
          <w:color w:val="000000"/>
          <w:sz w:val="44"/>
          <w:szCs w:val="44"/>
          <w:lang w:val="en-US" w:eastAsia="zh-CN"/>
        </w:rPr>
        <w:t>分工程</w:t>
      </w:r>
    </w:p>
    <w:p>
      <w:pPr>
        <w:pStyle w:val="2"/>
        <w:rPr>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30"/>
          <w:szCs w:val="30"/>
        </w:rPr>
      </w:pPr>
      <w:r>
        <w:rPr>
          <w:rFonts w:hint="eastAsia"/>
          <w:sz w:val="30"/>
          <w:szCs w:val="30"/>
        </w:rPr>
        <w:t>（文件编号：</w:t>
      </w:r>
      <w:r>
        <w:rPr>
          <w:rFonts w:hint="eastAsia"/>
          <w:sz w:val="30"/>
          <w:szCs w:val="30"/>
          <w:u w:val="single"/>
        </w:rPr>
        <w:t>FHC-PTCG20220526005</w:t>
      </w:r>
      <w:r>
        <w:rPr>
          <w:rFonts w:hint="eastAsia"/>
          <w:i w:val="0"/>
          <w:iCs w:val="0"/>
          <w:sz w:val="30"/>
          <w:szCs w:val="30"/>
          <w:u w:val="single"/>
        </w:rPr>
        <w:t xml:space="preserve"> </w:t>
      </w:r>
      <w:r>
        <w:rPr>
          <w:rFonts w:hint="eastAsia"/>
          <w:sz w:val="30"/>
          <w:szCs w:val="30"/>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 xml:space="preserve">2 </w:t>
      </w:r>
      <w:r>
        <w:rPr>
          <w:rFonts w:hint="eastAsia" w:ascii="微软雅黑" w:eastAsia="微软雅黑"/>
          <w:b/>
          <w:w w:val="95"/>
          <w:sz w:val="32"/>
          <w:lang w:eastAsia="zh-CN"/>
        </w:rPr>
        <w:t>年 0</w:t>
      </w:r>
      <w:r>
        <w:rPr>
          <w:rFonts w:hint="eastAsia" w:ascii="微软雅黑" w:eastAsia="微软雅黑"/>
          <w:b/>
          <w:w w:val="95"/>
          <w:sz w:val="32"/>
          <w:lang w:val="en-US" w:eastAsia="zh-CN"/>
        </w:rPr>
        <w:t xml:space="preserve">6 </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rPr>
          <w:b/>
          <w:sz w:val="28"/>
          <w:lang w:eastAsia="zh-CN"/>
        </w:rPr>
      </w:pPr>
    </w:p>
    <w:p>
      <w:pPr>
        <w:jc w:val="center"/>
        <w:rPr>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0" w:leftChars="0" w:right="0" w:rightChars="0" w:firstLine="0" w:firstLineChars="0"/>
        <w:jc w:val="center"/>
        <w:textAlignment w:val="auto"/>
        <w:outlineLvl w:val="9"/>
        <w:rPr>
          <w:rFonts w:hint="eastAsia"/>
          <w:b/>
          <w:bCs/>
          <w:sz w:val="32"/>
          <w:lang w:eastAsia="zh-CN"/>
        </w:rPr>
      </w:pPr>
      <w:r>
        <w:rPr>
          <w:rFonts w:hint="eastAsia"/>
          <w:b/>
          <w:bCs/>
          <w:sz w:val="32"/>
          <w:lang w:eastAsia="zh-CN"/>
        </w:rPr>
        <w:t>重整催化剂筛分工程</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840" w:firstLineChars="3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hint="eastAsia" w:asciiTheme="minorEastAsia" w:hAnsiTheme="minorEastAsia" w:eastAsiaTheme="minorEastAsia"/>
          <w:bCs/>
          <w:sz w:val="24"/>
          <w:szCs w:val="24"/>
          <w:u w:val="single"/>
          <w:lang w:eastAsia="zh-CN"/>
        </w:rPr>
        <w:t>“</w:t>
      </w:r>
      <w:r>
        <w:rPr>
          <w:rFonts w:hint="eastAsia" w:ascii="宋体" w:hAnsi="宋体"/>
          <w:color w:val="000000"/>
          <w:sz w:val="24"/>
          <w:szCs w:val="24"/>
          <w:u w:val="single"/>
        </w:rPr>
        <w:t>重整催化剂筛分工程</w:t>
      </w:r>
      <w:r>
        <w:rPr>
          <w:rFonts w:hint="eastAsia" w:asciiTheme="minorEastAsia" w:hAnsiTheme="minorEastAsia" w:eastAsiaTheme="minorEastAsia"/>
          <w:bCs/>
          <w:sz w:val="24"/>
          <w:szCs w:val="24"/>
          <w:u w:val="single"/>
          <w:lang w:eastAsia="zh-CN"/>
        </w:rPr>
        <w:t>（项目编号：FHC-PTCG20220526005”</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4"/>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14"/>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w:t>
      </w:r>
      <w:r>
        <w:rPr>
          <w:rFonts w:hint="eastAsia" w:ascii="宋体" w:hAnsi="宋体"/>
          <w:color w:val="000000"/>
          <w:sz w:val="24"/>
          <w:szCs w:val="24"/>
        </w:rPr>
        <w:t>重整催化剂筛分工程</w:t>
      </w:r>
    </w:p>
    <w:p>
      <w:pPr>
        <w:pStyle w:val="14"/>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hint="eastAsia" w:ascii="宋体" w:hAnsi="宋体"/>
          <w:color w:val="000000"/>
          <w:sz w:val="24"/>
          <w:szCs w:val="24"/>
        </w:rPr>
        <w:t>重整催化剂筛分工程</w:t>
      </w:r>
      <w:r>
        <w:rPr>
          <w:rFonts w:hint="eastAsia"/>
          <w:color w:val="000000"/>
          <w:sz w:val="24"/>
          <w:szCs w:val="24"/>
          <w:lang w:val="en-US" w:eastAsia="zh-CN"/>
        </w:rPr>
        <w:t>,详见附件《重整催化剂筛分发包说明》。</w:t>
      </w:r>
    </w:p>
    <w:p>
      <w:pPr>
        <w:pStyle w:val="14"/>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14"/>
        <w:numPr>
          <w:ilvl w:val="0"/>
          <w:numId w:val="3"/>
        </w:numPr>
        <w:autoSpaceDE/>
        <w:autoSpaceDN/>
        <w:spacing w:before="100" w:beforeAutospacing="1" w:after="100" w:afterAutospacing="1" w:line="360" w:lineRule="auto"/>
        <w:jc w:val="both"/>
        <w:rPr>
          <w:rFonts w:ascii="宋体" w:hAnsi="宋体"/>
          <w:color w:val="000000"/>
          <w:sz w:val="24"/>
          <w:szCs w:val="24"/>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4"/>
        <w:numPr>
          <w:ilvl w:val="0"/>
          <w:numId w:val="3"/>
        </w:numPr>
        <w:autoSpaceDE/>
        <w:autoSpaceDN/>
        <w:spacing w:before="100" w:beforeAutospacing="1" w:after="100" w:afterAutospacing="1" w:line="360" w:lineRule="auto"/>
        <w:jc w:val="both"/>
        <w:rPr>
          <w:rFonts w:ascii="宋体" w:hAnsi="宋体"/>
          <w:color w:val="000000"/>
          <w:sz w:val="24"/>
          <w:szCs w:val="24"/>
        </w:rPr>
      </w:pPr>
      <w:r>
        <w:rPr>
          <w:rFonts w:hint="eastAsia" w:ascii="宋体" w:hAnsi="宋体"/>
          <w:color w:val="000000"/>
          <w:sz w:val="24"/>
          <w:szCs w:val="24"/>
        </w:rPr>
        <w:t>具备有效的质量管理体系认证证书；职业健康安全管理体系认证证书；环境管理体系认证证书。</w:t>
      </w:r>
    </w:p>
    <w:p>
      <w:pPr>
        <w:pStyle w:val="14"/>
        <w:numPr>
          <w:ilvl w:val="0"/>
          <w:numId w:val="3"/>
        </w:numPr>
        <w:autoSpaceDE/>
        <w:autoSpaceDN/>
        <w:spacing w:before="100" w:beforeAutospacing="1" w:after="100" w:afterAutospacing="1" w:line="360" w:lineRule="auto"/>
        <w:jc w:val="both"/>
        <w:rPr>
          <w:rFonts w:asciiTheme="majorEastAsia" w:hAnsiTheme="majorEastAsia" w:eastAsiaTheme="majorEastAsia"/>
          <w:sz w:val="24"/>
          <w:szCs w:val="24"/>
          <w:lang w:eastAsia="zh-CN"/>
        </w:rPr>
      </w:pPr>
      <w:r>
        <w:rPr>
          <w:color w:val="111111"/>
          <w:sz w:val="24"/>
          <w:szCs w:val="24"/>
          <w:shd w:val="clear" w:color="auto" w:fill="FFFFFF"/>
        </w:rPr>
        <w:t>2015年1月1日至今，具有</w:t>
      </w:r>
      <w:r>
        <w:rPr>
          <w:rFonts w:hint="eastAsia"/>
          <w:color w:val="111111"/>
          <w:sz w:val="24"/>
          <w:szCs w:val="24"/>
          <w:shd w:val="clear" w:color="auto" w:fill="FFFFFF"/>
        </w:rPr>
        <w:t>不少于</w:t>
      </w:r>
      <w:r>
        <w:rPr>
          <w:color w:val="111111"/>
          <w:sz w:val="24"/>
          <w:szCs w:val="24"/>
          <w:shd w:val="clear" w:color="auto" w:fill="FFFFFF"/>
        </w:rPr>
        <w:t>1</w:t>
      </w:r>
      <w:r>
        <w:rPr>
          <w:rFonts w:hint="eastAsia"/>
          <w:color w:val="111111"/>
          <w:sz w:val="24"/>
          <w:szCs w:val="24"/>
          <w:shd w:val="clear" w:color="auto" w:fill="FFFFFF"/>
        </w:rPr>
        <w:t>个重整装置重整催化剂器外筛分成功业绩且单次器外筛分量在100吨及以上（需提供合同及对应的结算签认资料与发票复印件）</w:t>
      </w:r>
      <w:r>
        <w:rPr>
          <w:rFonts w:hint="eastAsia" w:ascii="宋体" w:hAnsi="宋体"/>
          <w:color w:val="000000"/>
          <w:sz w:val="24"/>
          <w:szCs w:val="24"/>
        </w:rPr>
        <w:t>。</w:t>
      </w:r>
    </w:p>
    <w:p>
      <w:pPr>
        <w:pStyle w:val="14"/>
        <w:numPr>
          <w:ilvl w:val="0"/>
          <w:numId w:val="3"/>
        </w:numPr>
        <w:autoSpaceDE/>
        <w:autoSpaceDN/>
        <w:spacing w:before="100" w:beforeAutospacing="1" w:after="100" w:afterAutospacing="1"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4"/>
        <w:numPr>
          <w:ilvl w:val="0"/>
          <w:numId w:val="3"/>
        </w:numPr>
        <w:autoSpaceDE/>
        <w:autoSpaceDN/>
        <w:spacing w:before="100" w:beforeAutospacing="1" w:after="100" w:afterAutospacing="1" w:line="360" w:lineRule="auto"/>
        <w:jc w:val="both"/>
        <w:rPr>
          <w:sz w:val="24"/>
          <w:szCs w:val="24"/>
        </w:rPr>
      </w:pP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4"/>
        <w:numPr>
          <w:ilvl w:val="0"/>
          <w:numId w:val="3"/>
        </w:numPr>
        <w:autoSpaceDE/>
        <w:autoSpaceDN/>
        <w:spacing w:before="100" w:beforeAutospacing="1" w:after="100" w:afterAutospacing="1" w:line="360" w:lineRule="auto"/>
        <w:jc w:val="both"/>
        <w:rPr>
          <w:sz w:val="24"/>
          <w:szCs w:val="24"/>
        </w:rPr>
      </w:pPr>
      <w:r>
        <w:rPr>
          <w:rFonts w:hint="eastAsia" w:asciiTheme="majorEastAsia" w:hAnsiTheme="majorEastAsia" w:eastAsiaTheme="majorEastAsia"/>
          <w:sz w:val="24"/>
          <w:szCs w:val="24"/>
        </w:rPr>
        <w:t>本项目不接受联合体投标</w:t>
      </w:r>
      <w:r>
        <w:rPr>
          <w:rFonts w:hint="eastAsia"/>
          <w:sz w:val="24"/>
          <w:szCs w:val="24"/>
        </w:rPr>
        <w:t>。</w:t>
      </w:r>
    </w:p>
    <w:p>
      <w:pPr>
        <w:pStyle w:val="14"/>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14"/>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lang w:eastAsia="zh-CN"/>
        </w:rPr>
        <w:t>天）。</w:t>
      </w:r>
    </w:p>
    <w:p>
      <w:pPr>
        <w:pStyle w:val="14"/>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Fonts w:hint="eastAsia"/>
          <w:color w:val="0000FF"/>
          <w:u w:val="single"/>
          <w:lang w:val="en-US" w:eastAsia="zh-CN"/>
        </w:rPr>
        <w:t>huangmq</w:t>
      </w:r>
      <w:r>
        <w:rPr>
          <w:rStyle w:val="11"/>
          <w:rFonts w:asciiTheme="minorEastAsia" w:hAnsiTheme="minorEastAsia" w:eastAsiaTheme="minorEastAsia"/>
          <w:bCs/>
          <w:color w:val="0000FF"/>
          <w:sz w:val="24"/>
          <w:szCs w:val="24"/>
          <w:u w:val="single"/>
        </w:rPr>
        <w:t>@</w:t>
      </w:r>
      <w:r>
        <w:rPr>
          <w:rStyle w:val="11"/>
          <w:rFonts w:hint="eastAsia" w:asciiTheme="minorEastAsia" w:hAnsiTheme="minorEastAsia" w:eastAsiaTheme="minorEastAsia"/>
          <w:bCs/>
          <w:color w:val="0000FF"/>
          <w:sz w:val="24"/>
          <w:szCs w:val="24"/>
          <w:u w:val="single"/>
          <w:lang w:val="en-US" w:eastAsia="zh-CN"/>
        </w:rPr>
        <w:t>fj</w:t>
      </w:r>
      <w:r>
        <w:rPr>
          <w:rStyle w:val="11"/>
          <w:rFonts w:asciiTheme="minorEastAsia" w:hAnsiTheme="minorEastAsia" w:eastAsiaTheme="minorEastAsia"/>
          <w:bCs/>
          <w:sz w:val="24"/>
          <w:szCs w:val="24"/>
        </w:rPr>
        <w:t>pec.com.cn</w:t>
      </w:r>
      <w:r>
        <w:rPr>
          <w:rStyle w:val="11"/>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w:t>
      </w:r>
      <w:r>
        <w:rPr>
          <w:rFonts w:hint="eastAsia" w:asciiTheme="minorEastAsia" w:hAnsiTheme="minorEastAsia" w:eastAsiaTheme="minorEastAsia"/>
          <w:bCs/>
          <w:sz w:val="24"/>
          <w:szCs w:val="24"/>
          <w:lang w:val="en-US" w:eastAsia="zh-CN"/>
        </w:rPr>
        <w:t>并需与工厂签署技术协议书</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未签署技术协议书的报价默认为无效报价；</w:t>
      </w:r>
      <w:r>
        <w:rPr>
          <w:rFonts w:asciiTheme="minorEastAsia" w:hAnsiTheme="minorEastAsia" w:eastAsiaTheme="minorEastAsia"/>
          <w:bCs/>
          <w:sz w:val="24"/>
          <w:szCs w:val="24"/>
          <w:lang w:eastAsia="zh-CN"/>
        </w:rPr>
        <w:t>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14"/>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14"/>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autoSpaceDE/>
        <w:autoSpaceDN/>
        <w:spacing w:line="360" w:lineRule="auto"/>
        <w:ind w:left="0" w:leftChars="0" w:firstLine="818" w:firstLineChars="341"/>
        <w:jc w:val="both"/>
        <w:rPr>
          <w:rFonts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w:t>
      </w:r>
      <w:r>
        <w:rPr>
          <w:rFonts w:hint="eastAsia" w:asciiTheme="majorEastAsia" w:hAnsiTheme="majorEastAsia" w:eastAsiaTheme="majorEastAsia"/>
          <w:bCs/>
          <w:sz w:val="24"/>
          <w:szCs w:val="24"/>
          <w:lang w:eastAsia="zh-CN"/>
        </w:rPr>
        <w:t>福建省漳州市漳浦县杜浔镇杜昌路9号</w:t>
      </w:r>
    </w:p>
    <w:p>
      <w:pPr>
        <w:autoSpaceDE/>
        <w:autoSpaceDN/>
        <w:spacing w:line="360" w:lineRule="auto"/>
        <w:ind w:left="953" w:leftChars="381" w:hanging="115" w:hangingChars="48"/>
        <w:jc w:val="both"/>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递交截止时间：公示之日起第10天即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20</w:t>
      </w:r>
      <w:bookmarkStart w:id="11" w:name="_GoBack"/>
      <w:bookmarkEnd w:id="11"/>
      <w:r>
        <w:rPr>
          <w:rFonts w:hint="eastAsia" w:asciiTheme="minorEastAsia" w:hAnsiTheme="minorEastAsia" w:eastAsiaTheme="minorEastAsia"/>
          <w:sz w:val="24"/>
          <w:szCs w:val="24"/>
          <w:lang w:eastAsia="zh-CN"/>
        </w:rPr>
        <w:t>日1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0</w:t>
      </w:r>
      <w:r>
        <w:rPr>
          <w:rFonts w:hint="eastAsia" w:asciiTheme="majorEastAsia" w:hAnsiTheme="majorEastAsia" w:eastAsiaTheme="majorEastAsia"/>
          <w:bCs/>
          <w:sz w:val="24"/>
          <w:szCs w:val="24"/>
          <w:lang w:eastAsia="zh-CN"/>
        </w:rPr>
        <w:t>将参选文件纸质原件密封送达比选人指定地点。</w:t>
      </w:r>
    </w:p>
    <w:p>
      <w:pPr>
        <w:pStyle w:val="14"/>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电话：13</w:t>
      </w:r>
      <w:r>
        <w:rPr>
          <w:rFonts w:hint="eastAsia" w:cs="宋体" w:asciiTheme="minorEastAsia" w:hAnsiTheme="minorEastAsia"/>
          <w:bCs/>
          <w:sz w:val="24"/>
          <w:szCs w:val="24"/>
          <w:lang w:val="en-US" w:eastAsia="zh-CN"/>
        </w:rPr>
        <w:t>806001925</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1"/>
          <w:rFonts w:hint="eastAsia" w:cs="宋体" w:asciiTheme="minorEastAsia" w:hAnsiTheme="minorEastAsia"/>
          <w:bCs/>
          <w:color w:val="0000FF"/>
          <w:sz w:val="24"/>
          <w:szCs w:val="24"/>
          <w:lang w:val="en-US" w:eastAsia="zh-CN"/>
        </w:rPr>
        <w:t>huangmq</w:t>
      </w:r>
      <w:r>
        <w:rPr>
          <w:rStyle w:val="11"/>
          <w:rFonts w:cs="宋体" w:asciiTheme="minorEastAsia" w:hAnsiTheme="minorEastAsia"/>
          <w:bCs/>
          <w:color w:val="0000FF"/>
          <w:sz w:val="24"/>
          <w:szCs w:val="24"/>
        </w:rPr>
        <w:t>@f</w:t>
      </w:r>
      <w:r>
        <w:rPr>
          <w:rStyle w:val="11"/>
          <w:rFonts w:hint="eastAsia" w:cs="宋体" w:asciiTheme="minorEastAsia" w:hAnsiTheme="minorEastAsia"/>
          <w:bCs/>
          <w:color w:val="0000FF"/>
          <w:sz w:val="24"/>
          <w:szCs w:val="24"/>
          <w:lang w:val="en-US" w:eastAsia="zh-CN"/>
        </w:rPr>
        <w:t>j</w:t>
      </w:r>
      <w:r>
        <w:rPr>
          <w:rStyle w:val="11"/>
          <w:rFonts w:cs="宋体" w:asciiTheme="minorEastAsia" w:hAnsiTheme="minorEastAsia"/>
          <w:bCs/>
          <w:color w:val="0000FF"/>
          <w:sz w:val="24"/>
          <w:szCs w:val="24"/>
        </w:rPr>
        <w:t>pe</w:t>
      </w:r>
      <w:r>
        <w:rPr>
          <w:rStyle w:val="11"/>
          <w:rFonts w:cs="宋体" w:asciiTheme="minorEastAsia" w:hAnsiTheme="minorEastAsia"/>
          <w:bCs/>
          <w:sz w:val="24"/>
          <w:szCs w:val="24"/>
        </w:rPr>
        <w:t>c.com.cn</w:t>
      </w:r>
      <w:r>
        <w:rPr>
          <w:rStyle w:val="1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 xml:space="preserve">技术联系人：曾志浩  电话：18065753712   </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1"/>
          <w:rFonts w:cs="宋体" w:asciiTheme="minorEastAsia" w:hAnsiTheme="minorEastAsia"/>
          <w:bCs/>
          <w:sz w:val="24"/>
          <w:szCs w:val="24"/>
        </w:rPr>
        <w:t>qlin@fhcpec.com.cn</w:t>
      </w:r>
      <w:r>
        <w:rPr>
          <w:rStyle w:val="1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年0</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08</w:t>
      </w:r>
      <w:r>
        <w:rPr>
          <w:rFonts w:hint="eastAsia" w:asciiTheme="minorEastAsia" w:hAnsiTheme="minorEastAsia" w:eastAsiaTheme="minorEastAsia"/>
          <w:sz w:val="24"/>
          <w:szCs w:val="24"/>
          <w:lang w:eastAsia="zh-CN"/>
        </w:rPr>
        <w:t>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6"/>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ind w:left="680"/>
        <w:rPr>
          <w:b/>
          <w:sz w:val="24"/>
          <w:szCs w:val="24"/>
          <w:lang w:eastAsia="zh-CN"/>
        </w:rPr>
      </w:pPr>
      <w:r>
        <w:rPr>
          <w:b/>
          <w:w w:val="95"/>
          <w:sz w:val="24"/>
          <w:szCs w:val="24"/>
          <w:lang w:eastAsia="zh-CN"/>
        </w:rPr>
        <w:t>一、比选内容</w:t>
      </w:r>
    </w:p>
    <w:p>
      <w:pPr>
        <w:pStyle w:val="6"/>
        <w:spacing w:before="186" w:line="322" w:lineRule="auto"/>
        <w:ind w:left="598"/>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u w:val="single"/>
          <w:lang w:val="en-US" w:eastAsia="zh-CN"/>
        </w:rPr>
        <w:t xml:space="preserve"> 重整催化剂筛分工程项目</w:t>
      </w:r>
      <w:r>
        <w:rPr>
          <w:rFonts w:hint="eastAsia"/>
          <w:sz w:val="24"/>
          <w:szCs w:val="24"/>
          <w:u w:val="single"/>
          <w:lang w:eastAsia="zh-CN"/>
        </w:rPr>
        <w:t xml:space="preserve"> </w:t>
      </w:r>
      <w:r>
        <w:rPr>
          <w:sz w:val="24"/>
          <w:szCs w:val="24"/>
          <w:lang w:eastAsia="zh-CN"/>
        </w:rPr>
        <w:t>。</w:t>
      </w:r>
    </w:p>
    <w:p>
      <w:pPr>
        <w:pStyle w:val="6"/>
        <w:spacing w:before="131" w:line="322" w:lineRule="auto"/>
        <w:ind w:left="598"/>
        <w:rPr>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spacing w:before="131" w:line="322" w:lineRule="auto"/>
        <w:ind w:left="595"/>
        <w:rPr>
          <w:sz w:val="24"/>
          <w:szCs w:val="24"/>
          <w:lang w:eastAsia="zh-CN"/>
        </w:rPr>
      </w:pPr>
      <w:r>
        <w:rPr>
          <w:sz w:val="24"/>
          <w:szCs w:val="24"/>
          <w:lang w:eastAsia="zh-CN"/>
        </w:rPr>
        <w:t>(三)</w:t>
      </w:r>
      <w:r>
        <w:rPr>
          <w:rFonts w:hint="eastAsia"/>
          <w:sz w:val="24"/>
          <w:szCs w:val="24"/>
          <w:lang w:eastAsia="zh-CN"/>
        </w:rPr>
        <w:t>承包方式：</w:t>
      </w:r>
      <w:r>
        <w:rPr>
          <w:rFonts w:hint="eastAsia" w:asciiTheme="majorEastAsia" w:hAnsiTheme="majorEastAsia" w:eastAsiaTheme="majorEastAsia"/>
          <w:bCs/>
          <w:snapToGrid w:val="0"/>
          <w:spacing w:val="8"/>
          <w:sz w:val="24"/>
          <w:szCs w:val="24"/>
          <w:lang w:eastAsia="zh-CN"/>
        </w:rPr>
        <w:t>采用</w:t>
      </w:r>
      <w:r>
        <w:rPr>
          <w:rFonts w:hint="eastAsia" w:asciiTheme="majorEastAsia" w:hAnsiTheme="majorEastAsia" w:eastAsiaTheme="majorEastAsia"/>
          <w:bCs/>
          <w:snapToGrid w:val="0"/>
          <w:spacing w:val="8"/>
          <w:sz w:val="24"/>
          <w:szCs w:val="24"/>
          <w:lang w:val="en-US" w:eastAsia="zh-CN"/>
        </w:rPr>
        <w:t>固定包干单价</w:t>
      </w:r>
      <w:r>
        <w:rPr>
          <w:rFonts w:hint="eastAsia" w:asciiTheme="majorEastAsia" w:hAnsiTheme="majorEastAsia" w:eastAsiaTheme="majorEastAsia"/>
          <w:bCs/>
          <w:snapToGrid w:val="0"/>
          <w:spacing w:val="8"/>
          <w:sz w:val="24"/>
          <w:szCs w:val="24"/>
          <w:lang w:eastAsia="zh-CN"/>
        </w:rPr>
        <w:t>的</w:t>
      </w:r>
      <w:r>
        <w:rPr>
          <w:rFonts w:hint="eastAsia" w:asciiTheme="majorEastAsia" w:hAnsiTheme="majorEastAsia" w:eastAsiaTheme="majorEastAsia"/>
          <w:sz w:val="24"/>
          <w:szCs w:val="24"/>
          <w:lang w:eastAsia="zh-CN"/>
        </w:rPr>
        <w:t>方式。</w:t>
      </w:r>
    </w:p>
    <w:p>
      <w:pPr>
        <w:pStyle w:val="6"/>
        <w:spacing w:before="131" w:line="322" w:lineRule="auto"/>
        <w:ind w:left="595"/>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spacing w:line="324" w:lineRule="auto"/>
        <w:ind w:left="1095" w:leftChars="327" w:hanging="376" w:hangingChars="157"/>
        <w:rPr>
          <w:rFonts w:asciiTheme="minorEastAsia" w:hAnsiTheme="minorEastAsia" w:eastAsiaTheme="minorEastAsia"/>
          <w:sz w:val="24"/>
          <w:szCs w:val="24"/>
          <w:lang w:eastAsia="zh-CN"/>
        </w:rPr>
      </w:pPr>
      <w:r>
        <w:rPr>
          <w:rFonts w:hint="eastAsia"/>
          <w:sz w:val="24"/>
          <w:szCs w:val="24"/>
          <w:lang w:eastAsia="zh-CN"/>
        </w:rPr>
        <w:t>1、项目概况：</w:t>
      </w:r>
      <w:r>
        <w:rPr>
          <w:rFonts w:ascii="宋体" w:hAnsi="宋体"/>
          <w:color w:val="000000"/>
          <w:sz w:val="24"/>
          <w:szCs w:val="24"/>
        </w:rPr>
        <w:t xml:space="preserve"> </w:t>
      </w:r>
      <w:r>
        <w:rPr>
          <w:rFonts w:hint="eastAsia" w:ascii="宋体" w:hAnsi="宋体"/>
          <w:color w:val="000000"/>
          <w:sz w:val="24"/>
          <w:szCs w:val="24"/>
        </w:rPr>
        <w:t>福建福海创芳烃团队计划于2022年7月份270万</w:t>
      </w:r>
      <w:r>
        <w:rPr>
          <w:rFonts w:hint="eastAsia" w:ascii="宋体" w:hAnsi="宋体"/>
          <w:sz w:val="24"/>
          <w:szCs w:val="24"/>
        </w:rPr>
        <w:t>吨/年</w:t>
      </w:r>
      <w:r>
        <w:rPr>
          <w:rFonts w:hint="eastAsia" w:ascii="宋体" w:hAnsi="宋体"/>
          <w:bCs/>
          <w:sz w:val="24"/>
          <w:szCs w:val="24"/>
        </w:rPr>
        <w:t>连续重整</w:t>
      </w:r>
      <w:r>
        <w:rPr>
          <w:rFonts w:hint="eastAsia" w:ascii="宋体" w:hAnsi="宋体"/>
          <w:sz w:val="24"/>
          <w:szCs w:val="24"/>
        </w:rPr>
        <w:t>装置停工消缺。</w:t>
      </w:r>
      <w:r>
        <w:rPr>
          <w:rFonts w:hint="eastAsia" w:ascii="宋体" w:hAnsi="宋体"/>
          <w:bCs/>
          <w:sz w:val="24"/>
          <w:szCs w:val="24"/>
        </w:rPr>
        <w:t>重整</w:t>
      </w:r>
      <w:r>
        <w:rPr>
          <w:rFonts w:hint="eastAsia" w:ascii="宋体" w:hAnsi="宋体"/>
          <w:sz w:val="24"/>
          <w:szCs w:val="24"/>
        </w:rPr>
        <w:t>反应器32-R-101、32-R-102、32-R-103、32-R-104和再生器33-R-101内卸下的混合</w:t>
      </w:r>
      <w:r>
        <w:rPr>
          <w:rFonts w:hint="eastAsia" w:ascii="宋体" w:hAnsi="宋体"/>
          <w:bCs/>
          <w:sz w:val="24"/>
          <w:szCs w:val="24"/>
        </w:rPr>
        <w:t>催化剂约185吨，这部分催化剂含有亮黑剂、侏儒球 及粉尘等。这些不合格催化剂不利于装置运行需要进行催化剂筛分处理。</w:t>
      </w:r>
      <w:r>
        <w:rPr>
          <w:rFonts w:hint="eastAsia"/>
          <w:color w:val="000000"/>
          <w:sz w:val="24"/>
          <w:szCs w:val="24"/>
          <w:lang w:val="en-US" w:eastAsia="zh-CN"/>
        </w:rPr>
        <w:t>详见附件《重整催化剂筛分发包说明》</w:t>
      </w:r>
    </w:p>
    <w:p>
      <w:pPr>
        <w:spacing w:line="324" w:lineRule="auto"/>
        <w:ind w:left="1196" w:leftChars="318" w:hanging="496" w:hangingChars="207"/>
        <w:rPr>
          <w:bCs/>
          <w:snapToGrid w:val="0"/>
          <w:spacing w:val="8"/>
          <w:sz w:val="24"/>
          <w:szCs w:val="24"/>
          <w:lang w:eastAsia="zh-CN"/>
        </w:rPr>
      </w:pPr>
      <w:r>
        <w:rPr>
          <w:rFonts w:hint="eastAsia"/>
          <w:sz w:val="24"/>
          <w:szCs w:val="24"/>
          <w:lang w:eastAsia="zh-CN"/>
        </w:rPr>
        <w:t xml:space="preserve"> 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以未税总价最低者作为中选单位。</w:t>
      </w:r>
    </w:p>
    <w:p>
      <w:pPr>
        <w:pStyle w:val="3"/>
        <w:spacing w:before="18"/>
        <w:ind w:left="680"/>
        <w:rPr>
          <w:sz w:val="24"/>
          <w:szCs w:val="24"/>
          <w:lang w:eastAsia="zh-CN"/>
        </w:rPr>
      </w:pPr>
      <w:r>
        <w:rPr>
          <w:w w:val="95"/>
          <w:sz w:val="24"/>
          <w:szCs w:val="24"/>
          <w:lang w:eastAsia="zh-CN"/>
        </w:rPr>
        <w:t>二、定义和解释</w:t>
      </w:r>
    </w:p>
    <w:p>
      <w:pPr>
        <w:pStyle w:val="6"/>
        <w:spacing w:before="186"/>
        <w:ind w:left="598" w:leftChars="272" w:firstLine="120" w:firstLineChars="50"/>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119" w:leftChars="54" w:right="222" w:firstLine="588" w:firstLineChars="270"/>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spacing w:before="27" w:line="321" w:lineRule="auto"/>
        <w:ind w:left="119" w:leftChars="54" w:right="222" w:firstLine="585" w:firstLineChars="276"/>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sz w:val="24"/>
          <w:szCs w:val="24"/>
          <w:lang w:eastAsia="zh-CN"/>
        </w:rPr>
      </w:pPr>
      <w:r>
        <w:rPr>
          <w:w w:val="95"/>
          <w:sz w:val="24"/>
          <w:szCs w:val="24"/>
          <w:lang w:eastAsia="zh-CN"/>
        </w:rPr>
        <w:t>三、比选文件组成</w:t>
      </w:r>
    </w:p>
    <w:p>
      <w:pPr>
        <w:pStyle w:val="6"/>
        <w:spacing w:before="188"/>
        <w:ind w:left="598" w:leftChars="272" w:firstLine="120" w:firstLineChars="50"/>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spacing w:before="105"/>
        <w:ind w:left="598"/>
        <w:rPr>
          <w:sz w:val="24"/>
          <w:szCs w:val="24"/>
          <w:lang w:eastAsia="zh-CN"/>
        </w:rPr>
      </w:pPr>
      <w:r>
        <w:rPr>
          <w:sz w:val="24"/>
          <w:szCs w:val="24"/>
          <w:lang w:eastAsia="zh-CN"/>
        </w:rPr>
        <w:t>比选公告、比选须知、项目内容、合同书格式、报价单、承诺函等。</w:t>
      </w:r>
    </w:p>
    <w:p>
      <w:pPr>
        <w:pStyle w:val="6"/>
        <w:spacing w:before="108" w:line="321" w:lineRule="auto"/>
        <w:ind w:left="119" w:leftChars="54" w:right="212" w:firstLine="600" w:firstLineChars="250"/>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spacing w:before="186" w:line="321" w:lineRule="auto"/>
        <w:ind w:left="118" w:right="92" w:firstLine="480"/>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6"/>
        <w:spacing w:before="186" w:line="321" w:lineRule="auto"/>
        <w:ind w:left="118" w:right="92" w:firstLine="480"/>
        <w:rPr>
          <w:spacing w:val="-13"/>
          <w:sz w:val="24"/>
          <w:szCs w:val="24"/>
          <w:lang w:eastAsia="zh-CN"/>
        </w:rPr>
      </w:pPr>
    </w:p>
    <w:p>
      <w:pPr>
        <w:pStyle w:val="3"/>
        <w:spacing w:before="97"/>
        <w:ind w:left="680"/>
        <w:rPr>
          <w:sz w:val="24"/>
          <w:szCs w:val="24"/>
          <w:lang w:eastAsia="zh-CN"/>
        </w:rPr>
      </w:pPr>
      <w:r>
        <w:rPr>
          <w:w w:val="95"/>
          <w:sz w:val="24"/>
          <w:szCs w:val="24"/>
          <w:lang w:eastAsia="zh-CN"/>
        </w:rPr>
        <w:t>四、比选文件的澄清</w:t>
      </w:r>
    </w:p>
    <w:p>
      <w:pPr>
        <w:pStyle w:val="6"/>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6"/>
        <w:spacing w:before="189" w:line="321" w:lineRule="auto"/>
        <w:ind w:left="118" w:right="22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118" w:right="222"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9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比选文件的修改书将构成比选文件的一部分，对参选人具有约束作用。</w:t>
      </w:r>
    </w:p>
    <w:p>
      <w:pPr>
        <w:pStyle w:val="3"/>
        <w:spacing w:before="174"/>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1、参选人必须具备有效的企业法人营业执照，具有在中华人民共和国注册的法人资格。</w:t>
      </w:r>
    </w:p>
    <w:p>
      <w:pPr>
        <w:pStyle w:val="6"/>
        <w:spacing w:before="189" w:line="321" w:lineRule="auto"/>
        <w:ind w:left="118" w:right="226" w:firstLine="480"/>
        <w:jc w:val="both"/>
        <w:rPr>
          <w:rFonts w:hint="eastAsia" w:ascii="宋体" w:hAnsi="宋体"/>
          <w:color w:val="000000"/>
          <w:sz w:val="24"/>
          <w:szCs w:val="24"/>
        </w:rPr>
      </w:pPr>
      <w:r>
        <w:rPr>
          <w:rFonts w:hint="eastAsia" w:ascii="宋体" w:hAnsi="宋体" w:eastAsia="宋体" w:cs="宋体"/>
          <w:spacing w:val="-10"/>
          <w:sz w:val="24"/>
          <w:szCs w:val="24"/>
          <w:lang w:val="en-US" w:eastAsia="zh-CN"/>
        </w:rPr>
        <w:t>2、</w:t>
      </w:r>
      <w:r>
        <w:rPr>
          <w:rFonts w:hint="eastAsia" w:ascii="宋体" w:hAnsi="宋体"/>
          <w:color w:val="000000"/>
          <w:sz w:val="24"/>
          <w:szCs w:val="24"/>
        </w:rPr>
        <w:t>具备有效的质量管理体系认证证书；职业健康安全管理体系认证证书；环境管理体系认证证书。</w:t>
      </w:r>
    </w:p>
    <w:p>
      <w:pPr>
        <w:pStyle w:val="6"/>
        <w:spacing w:before="189" w:line="321" w:lineRule="auto"/>
        <w:ind w:left="907" w:leftChars="254" w:right="226" w:hanging="348" w:hangingChars="145"/>
        <w:jc w:val="both"/>
        <w:rPr>
          <w:rFonts w:hint="eastAsia" w:ascii="宋体" w:hAnsi="宋体"/>
          <w:color w:val="000000"/>
          <w:sz w:val="24"/>
          <w:szCs w:val="24"/>
        </w:rPr>
      </w:pPr>
      <w:r>
        <w:rPr>
          <w:rFonts w:hint="eastAsia"/>
          <w:color w:val="000000"/>
          <w:sz w:val="24"/>
          <w:szCs w:val="24"/>
          <w:lang w:val="en-US" w:eastAsia="zh-CN"/>
        </w:rPr>
        <w:t>3、</w:t>
      </w:r>
      <w:r>
        <w:rPr>
          <w:color w:val="111111"/>
          <w:sz w:val="24"/>
          <w:szCs w:val="24"/>
          <w:shd w:val="clear" w:color="auto" w:fill="FFFFFF"/>
        </w:rPr>
        <w:t>2015年1月1日至今，具有</w:t>
      </w:r>
      <w:r>
        <w:rPr>
          <w:rFonts w:hint="eastAsia"/>
          <w:color w:val="111111"/>
          <w:sz w:val="24"/>
          <w:szCs w:val="24"/>
          <w:shd w:val="clear" w:color="auto" w:fill="FFFFFF"/>
        </w:rPr>
        <w:t>不少于</w:t>
      </w:r>
      <w:r>
        <w:rPr>
          <w:color w:val="111111"/>
          <w:sz w:val="24"/>
          <w:szCs w:val="24"/>
          <w:shd w:val="clear" w:color="auto" w:fill="FFFFFF"/>
        </w:rPr>
        <w:t>1</w:t>
      </w:r>
      <w:r>
        <w:rPr>
          <w:rFonts w:hint="eastAsia"/>
          <w:color w:val="111111"/>
          <w:sz w:val="24"/>
          <w:szCs w:val="24"/>
          <w:shd w:val="clear" w:color="auto" w:fill="FFFFFF"/>
        </w:rPr>
        <w:t>个重整装置重整催化剂器外筛分成功业绩且单次器外筛分量在100吨及以上（需提供合同及对应的结算签认资料与发票复印件）</w:t>
      </w:r>
      <w:r>
        <w:rPr>
          <w:rFonts w:hint="eastAsia" w:ascii="宋体" w:hAnsi="宋体"/>
          <w:color w:val="000000"/>
          <w:sz w:val="24"/>
          <w:szCs w:val="24"/>
        </w:rPr>
        <w:t>。</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cs="宋体"/>
          <w:spacing w:val="-10"/>
          <w:sz w:val="24"/>
          <w:szCs w:val="24"/>
          <w:lang w:val="en-US" w:eastAsia="zh-CN"/>
        </w:rPr>
        <w:t>4、</w:t>
      </w:r>
      <w:r>
        <w:rPr>
          <w:rFonts w:hint="eastAsia" w:ascii="宋体" w:hAnsi="宋体" w:eastAsia="宋体" w:cs="宋体"/>
          <w:spacing w:val="-10"/>
          <w:sz w:val="24"/>
          <w:szCs w:val="24"/>
          <w:lang w:val="en-US" w:eastAsia="zh-CN"/>
        </w:rPr>
        <w:t>没有失信黑名单记录（以最高院失信被执行人系统发布信息为准）。</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cs="宋体"/>
          <w:spacing w:val="-10"/>
          <w:sz w:val="24"/>
          <w:szCs w:val="24"/>
          <w:lang w:val="en-US" w:eastAsia="zh-CN"/>
        </w:rPr>
        <w:t>5</w:t>
      </w:r>
      <w:r>
        <w:rPr>
          <w:rFonts w:hint="eastAsia" w:ascii="宋体" w:hAnsi="宋体" w:eastAsia="宋体" w:cs="宋体"/>
          <w:spacing w:val="-10"/>
          <w:sz w:val="24"/>
          <w:szCs w:val="24"/>
          <w:lang w:val="en-US" w:eastAsia="zh-CN"/>
        </w:rPr>
        <w:t>、与比选人无诉讼纠纷。</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cs="宋体"/>
          <w:spacing w:val="-10"/>
          <w:sz w:val="24"/>
          <w:szCs w:val="24"/>
          <w:lang w:val="en-US" w:eastAsia="zh-CN"/>
        </w:rPr>
        <w:t>6</w:t>
      </w:r>
      <w:r>
        <w:rPr>
          <w:rFonts w:hint="eastAsia" w:ascii="宋体" w:hAnsi="宋体" w:eastAsia="宋体" w:cs="宋体"/>
          <w:spacing w:val="-10"/>
          <w:sz w:val="24"/>
          <w:szCs w:val="24"/>
          <w:lang w:val="en-US" w:eastAsia="zh-CN"/>
        </w:rPr>
        <w:t>、本项目不接受联合体投标。</w:t>
      </w:r>
    </w:p>
    <w:p>
      <w:pPr>
        <w:pStyle w:val="3"/>
        <w:spacing w:before="95"/>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6"/>
        <w:spacing w:line="360" w:lineRule="auto"/>
        <w:ind w:left="854" w:leftChars="254" w:right="121" w:hanging="295" w:hangingChars="12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 参选单位应缴纳参选保证金，</w:t>
      </w:r>
      <w:r>
        <w:rPr>
          <w:rFonts w:hint="eastAsia" w:cs="宋体" w:asciiTheme="majorEastAsia" w:hAnsiTheme="majorEastAsia" w:eastAsiaTheme="majorEastAsia"/>
          <w:b/>
          <w:bCs/>
          <w:sz w:val="24"/>
          <w:szCs w:val="24"/>
          <w:lang w:val="en-US" w:eastAsia="zh-CN" w:bidi="ar-SA"/>
        </w:rPr>
        <w:t>保证金金额25000元整</w:t>
      </w:r>
      <w:r>
        <w:rPr>
          <w:rFonts w:hint="eastAsia" w:cs="宋体" w:asciiTheme="majorEastAsia" w:hAnsiTheme="majorEastAsia" w:eastAsiaTheme="majorEastAsia"/>
          <w:sz w:val="24"/>
          <w:szCs w:val="24"/>
          <w:lang w:val="en-US" w:eastAsia="zh-CN" w:bidi="ar-SA"/>
        </w:rPr>
        <w:t>，参选单位应按照要求从参选单位基本账户转入比选单位的账户，比选单位账户信息如下：</w:t>
      </w:r>
    </w:p>
    <w:p>
      <w:pPr>
        <w:pStyle w:val="6"/>
        <w:spacing w:line="360" w:lineRule="auto"/>
        <w:ind w:left="914" w:leftChars="399" w:right="121" w:hanging="36" w:hangingChars="15"/>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开户名称：</w:t>
      </w:r>
      <w:r>
        <w:rPr>
          <w:rFonts w:hint="eastAsia" w:cs="宋体" w:asciiTheme="majorEastAsia" w:hAnsiTheme="majorEastAsia" w:eastAsiaTheme="majorEastAsia"/>
          <w:sz w:val="24"/>
          <w:szCs w:val="24"/>
          <w:lang w:val="en-US" w:eastAsia="zh-CN" w:bidi="ar-SA"/>
        </w:rPr>
        <w:t>福建福海创石油化工有限公司</w:t>
      </w:r>
    </w:p>
    <w:p>
      <w:pPr>
        <w:pStyle w:val="6"/>
        <w:spacing w:line="360" w:lineRule="auto"/>
        <w:ind w:left="914" w:leftChars="399" w:right="121" w:hanging="36" w:hangingChars="15"/>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开户银行：</w:t>
      </w:r>
      <w:r>
        <w:rPr>
          <w:rFonts w:hint="eastAsia" w:cs="宋体" w:asciiTheme="majorEastAsia" w:hAnsiTheme="majorEastAsia" w:eastAsiaTheme="majorEastAsia"/>
          <w:sz w:val="24"/>
          <w:szCs w:val="24"/>
          <w:lang w:val="en-US" w:eastAsia="zh-CN" w:bidi="ar-SA"/>
        </w:rPr>
        <w:t>中国银行股份有限公司漳州古雷经济开发区支行</w:t>
      </w:r>
    </w:p>
    <w:p>
      <w:pPr>
        <w:pStyle w:val="6"/>
        <w:spacing w:line="360" w:lineRule="auto"/>
        <w:ind w:left="914" w:leftChars="399" w:right="121" w:hanging="36" w:hangingChars="15"/>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帐  号：</w:t>
      </w:r>
      <w:r>
        <w:rPr>
          <w:rFonts w:hint="eastAsia" w:cs="宋体" w:asciiTheme="majorEastAsia" w:hAnsiTheme="majorEastAsia" w:eastAsiaTheme="majorEastAsia"/>
          <w:sz w:val="24"/>
          <w:szCs w:val="24"/>
          <w:lang w:val="en-US" w:eastAsia="zh-CN" w:bidi="ar-SA"/>
        </w:rPr>
        <w:t>406574816628</w:t>
      </w:r>
    </w:p>
    <w:p>
      <w:pPr>
        <w:pStyle w:val="6"/>
        <w:spacing w:line="360" w:lineRule="auto"/>
        <w:ind w:left="854" w:leftChars="254" w:right="121" w:hanging="295" w:hangingChars="12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w:t>
      </w:r>
      <w:r>
        <w:rPr>
          <w:rFonts w:hint="eastAsia" w:cs="宋体" w:asciiTheme="majorEastAsia" w:hAnsiTheme="majorEastAsia" w:eastAsiaTheme="majorEastAsia"/>
          <w:b/>
          <w:bCs/>
          <w:sz w:val="24"/>
          <w:szCs w:val="24"/>
          <w:lang w:val="en-US" w:eastAsia="zh-CN" w:bidi="ar-SA"/>
        </w:rPr>
        <w:t>注明用途</w:t>
      </w:r>
      <w:r>
        <w:rPr>
          <w:rFonts w:hint="eastAsia" w:ascii="宋体" w:hAnsi="宋体"/>
          <w:color w:val="000000"/>
          <w:sz w:val="24"/>
          <w:szCs w:val="24"/>
          <w:lang w:val="en-US" w:eastAsia="zh-CN"/>
        </w:rPr>
        <w:t>：</w:t>
      </w:r>
      <w:r>
        <w:rPr>
          <w:rFonts w:hint="eastAsia" w:ascii="宋体" w:hAnsi="宋体"/>
          <w:color w:val="000000"/>
          <w:sz w:val="24"/>
          <w:szCs w:val="24"/>
        </w:rPr>
        <w:t>重整催化剂筛分工程</w:t>
      </w:r>
      <w:r>
        <w:rPr>
          <w:rFonts w:hint="eastAsia" w:cs="宋体" w:asciiTheme="majorEastAsia" w:hAnsiTheme="majorEastAsia" w:eastAsiaTheme="majorEastAsia"/>
          <w:sz w:val="24"/>
          <w:szCs w:val="24"/>
          <w:lang w:val="en-US" w:eastAsia="zh-CN" w:bidi="ar-SA"/>
        </w:rPr>
        <w:t>参选保证金</w:t>
      </w:r>
    </w:p>
    <w:p>
      <w:pPr>
        <w:pStyle w:val="6"/>
        <w:spacing w:line="360" w:lineRule="auto"/>
        <w:ind w:left="854" w:leftChars="254" w:right="121" w:hanging="295" w:hangingChars="12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参选保证金有效期：90日历天。</w:t>
      </w:r>
    </w:p>
    <w:p>
      <w:pPr>
        <w:pStyle w:val="6"/>
        <w:spacing w:line="360" w:lineRule="auto"/>
        <w:ind w:left="1511" w:leftChars="254" w:right="121" w:hanging="952" w:hangingChars="397"/>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2.对于未能按要求提交保证金的参选文件，比选单位可以视为不符合上面比选要求而予以拒绝；</w:t>
      </w:r>
    </w:p>
    <w:p>
      <w:pPr>
        <w:pStyle w:val="6"/>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3.比选结束退还未中选者的比选保证金（无息），最迟不超过规定的比选有效期满后的20天；</w:t>
      </w:r>
    </w:p>
    <w:p>
      <w:pPr>
        <w:pStyle w:val="6"/>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4.中选者的参选保证金（无息），将在合同签订后自动转为履约保证金，将于合同周期完成后15个工作日内，甲方无息退还履约保证金；</w:t>
      </w:r>
    </w:p>
    <w:p>
      <w:pPr>
        <w:pStyle w:val="6"/>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5.如有下列情况发生，将被没收参选保证金：</w:t>
      </w:r>
    </w:p>
    <w:p>
      <w:pPr>
        <w:pStyle w:val="6"/>
        <w:spacing w:line="360" w:lineRule="auto"/>
        <w:ind w:left="1310" w:leftChars="527" w:right="121" w:hanging="151" w:hangingChars="6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（1）参选单位在参选有效期内撤回参选文件；</w:t>
      </w:r>
    </w:p>
    <w:p>
      <w:pPr>
        <w:pStyle w:val="3"/>
        <w:spacing w:line="360" w:lineRule="auto"/>
        <w:ind w:left="1310" w:leftChars="527" w:hanging="151" w:hangingChars="63"/>
        <w:rPr>
          <w:rFonts w:hint="eastAsia"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（2）参选单位未能按接到中标通知书后规定的时间内签定合同。</w:t>
      </w:r>
    </w:p>
    <w:p>
      <w:pPr>
        <w:pStyle w:val="3"/>
        <w:spacing w:before="174"/>
        <w:ind w:left="68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6879"/>
        </w:tabs>
        <w:spacing w:before="107" w:line="321" w:lineRule="auto"/>
        <w:ind w:left="118" w:right="106"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1、参选文件递交的截止时间：公示之日起第1</w:t>
      </w:r>
      <w:r>
        <w:rPr>
          <w:rFonts w:hint="eastAsia" w:cs="宋体"/>
          <w:sz w:val="24"/>
          <w:szCs w:val="24"/>
          <w:lang w:val="en-US" w:eastAsia="zh-CN"/>
        </w:rPr>
        <w:t>0</w:t>
      </w:r>
      <w:r>
        <w:rPr>
          <w:rFonts w:hint="eastAsia" w:ascii="宋体" w:hAnsi="宋体" w:eastAsia="宋体" w:cs="宋体"/>
          <w:sz w:val="24"/>
          <w:szCs w:val="24"/>
          <w:lang w:eastAsia="zh-CN"/>
        </w:rPr>
        <w:t>天 即202</w:t>
      </w:r>
      <w:r>
        <w:rPr>
          <w:rFonts w:hint="eastAsia" w:cs="宋体"/>
          <w:sz w:val="24"/>
          <w:szCs w:val="24"/>
          <w:lang w:val="en-US" w:eastAsia="zh-CN"/>
        </w:rPr>
        <w:t>2</w:t>
      </w:r>
      <w:r>
        <w:rPr>
          <w:rFonts w:hint="eastAsia" w:ascii="宋体" w:hAnsi="宋体" w:eastAsia="宋体" w:cs="宋体"/>
          <w:sz w:val="24"/>
          <w:szCs w:val="24"/>
          <w:lang w:eastAsia="zh-CN"/>
        </w:rPr>
        <w:t>年  月  日  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cs="宋体"/>
          <w:sz w:val="24"/>
          <w:szCs w:val="24"/>
          <w:lang w:val="en-US" w:eastAsia="zh-CN"/>
        </w:rPr>
        <w:t>3</w:t>
      </w:r>
      <w:r>
        <w:rPr>
          <w:rFonts w:hint="eastAsia" w:ascii="宋体" w:hAnsi="宋体" w:eastAsia="宋体" w:cs="宋体"/>
          <w:sz w:val="24"/>
          <w:szCs w:val="24"/>
          <w:lang w:eastAsia="zh-CN"/>
        </w:rPr>
        <w:t>0。</w:t>
      </w:r>
    </w:p>
    <w:p>
      <w:pPr>
        <w:pStyle w:val="4"/>
        <w:tabs>
          <w:tab w:val="left" w:pos="6879"/>
        </w:tabs>
        <w:spacing w:line="360" w:lineRule="auto"/>
        <w:ind w:left="820" w:leftChars="272" w:right="106" w:hanging="222" w:hangingChars="92"/>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6879"/>
        </w:tabs>
        <w:spacing w:line="360" w:lineRule="auto"/>
        <w:ind w:right="106" w:firstLine="482" w:firstLineChars="200"/>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0"/>
          <w:lang w:val="en-US" w:eastAsia="zh-CN"/>
        </w:rPr>
        <w:t>黄梅钦</w:t>
      </w:r>
      <w:r>
        <w:rPr>
          <w:rFonts w:hint="eastAsia" w:ascii="宋体" w:hAnsi="宋体" w:eastAsia="宋体" w:cs="宋体"/>
          <w:spacing w:val="43"/>
          <w:kern w:val="0"/>
          <w:sz w:val="24"/>
          <w:szCs w:val="24"/>
          <w:fitText w:val="3921" w:id="0"/>
          <w:lang w:eastAsia="zh-CN"/>
        </w:rPr>
        <w:t xml:space="preserve"> 电话：</w:t>
      </w:r>
      <w:r>
        <w:rPr>
          <w:rFonts w:hint="eastAsia" w:ascii="宋体" w:hAnsi="宋体" w:eastAsia="宋体" w:cs="宋体"/>
          <w:spacing w:val="43"/>
          <w:kern w:val="0"/>
          <w:sz w:val="24"/>
          <w:szCs w:val="24"/>
          <w:fitText w:val="3921" w:id="0"/>
          <w:lang w:val="en-US" w:eastAsia="zh-CN"/>
        </w:rPr>
        <w:t>1380600192</w:t>
      </w:r>
      <w:r>
        <w:rPr>
          <w:rFonts w:hint="eastAsia" w:ascii="宋体" w:hAnsi="宋体" w:eastAsia="宋体" w:cs="宋体"/>
          <w:spacing w:val="9"/>
          <w:kern w:val="0"/>
          <w:sz w:val="24"/>
          <w:szCs w:val="24"/>
          <w:fitText w:val="3921" w:id="0"/>
          <w:lang w:val="en-US" w:eastAsia="zh-CN"/>
        </w:rPr>
        <w:t>5</w:t>
      </w:r>
    </w:p>
    <w:p>
      <w:pPr>
        <w:spacing w:line="312" w:lineRule="exact"/>
        <w:ind w:left="598"/>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6"/>
        <w:spacing w:before="108"/>
        <w:ind w:left="598"/>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spacing w:before="105" w:line="324"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spacing w:before="24" w:line="321"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129.5万</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93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4"/>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92133"/>
      <w:bookmarkStart w:id="2" w:name="_Toc430488651"/>
      <w:bookmarkStart w:id="3" w:name="_Toc430489126"/>
      <w:bookmarkStart w:id="4" w:name="_Toc430422420"/>
      <w:bookmarkStart w:id="5" w:name="_Toc177186249"/>
      <w:bookmarkStart w:id="6" w:name="_Toc430488858"/>
      <w:bookmarkStart w:id="7" w:name="_Toc430490619"/>
      <w:bookmarkStart w:id="8" w:name="_Toc304357904"/>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b/>
          <w:bCs/>
          <w:sz w:val="24"/>
          <w:szCs w:val="24"/>
          <w:lang w:val="en-US" w:eastAsia="zh-CN"/>
        </w:rPr>
        <w:t>人民币129.5万</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w:t>
      </w:r>
      <w:r>
        <w:rPr>
          <w:rFonts w:hint="eastAsia"/>
          <w:b/>
          <w:bCs/>
          <w:sz w:val="24"/>
          <w:szCs w:val="24"/>
          <w:lang w:val="en-US" w:eastAsia="zh-CN"/>
        </w:rPr>
        <w:t>单</w:t>
      </w:r>
      <w:r>
        <w:rPr>
          <w:rFonts w:hint="eastAsia"/>
          <w:b/>
          <w:bCs/>
          <w:sz w:val="24"/>
          <w:szCs w:val="24"/>
          <w:lang w:eastAsia="zh-CN"/>
        </w:rPr>
        <w:t>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r>
        <w:rPr>
          <w:highlight w:val="yellow"/>
          <w:lang w:eastAsia="zh-CN"/>
        </w:rPr>
        <w:t>第五章</w:t>
      </w:r>
      <w:r>
        <w:rPr>
          <w:highlight w:val="yellow"/>
          <w:lang w:eastAsia="zh-CN"/>
        </w:rPr>
        <w:tab/>
      </w:r>
      <w:r>
        <w:rPr>
          <w:spacing w:val="-1"/>
          <w:w w:val="95"/>
          <w:highlight w:val="yellow"/>
          <w:lang w:eastAsia="zh-CN"/>
        </w:rPr>
        <w:t>合同授</w:t>
      </w:r>
      <w:r>
        <w:rPr>
          <w:w w:val="95"/>
          <w:highlight w:val="yellow"/>
          <w:lang w:eastAsia="zh-CN"/>
        </w:rPr>
        <w:t>予</w:t>
      </w: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pStyle w:val="6"/>
        <w:tabs>
          <w:tab w:val="left" w:pos="1760"/>
        </w:tabs>
        <w:rPr>
          <w:rFonts w:hint="eastAsia" w:ascii="Times New Roman" w:hAnsi="Times New Roman" w:eastAsia="宋体" w:cs="Times New Roman"/>
          <w:sz w:val="20"/>
          <w:highlight w:val="none"/>
          <w:lang w:eastAsia="zh-CN"/>
        </w:rPr>
      </w:pPr>
      <w:bookmarkStart w:id="9" w:name="_Toc251742852"/>
    </w:p>
    <w:p>
      <w:pPr>
        <w:jc w:val="center"/>
        <w:rPr>
          <w:rFonts w:ascii="Times New Roman" w:hAnsi="Times New Roman" w:cs="Times New Roman"/>
          <w:b/>
          <w:sz w:val="36"/>
          <w:szCs w:val="36"/>
          <w:highlight w:val="none"/>
          <w:lang w:eastAsia="zh-CN"/>
        </w:rPr>
      </w:pPr>
      <w:r>
        <w:rPr>
          <w:rFonts w:hint="eastAsia" w:ascii="PMingLiU" w:hAnsi="PMingLiU"/>
          <w:b/>
          <w:color w:val="000000"/>
          <w:sz w:val="36"/>
          <w:szCs w:val="36"/>
          <w:highlight w:val="none"/>
        </w:rPr>
        <w:t>福建福海创石油化工有限公司</w:t>
      </w:r>
    </w:p>
    <w:p>
      <w:pPr>
        <w:pStyle w:val="2"/>
        <w:rPr>
          <w:highlight w:val="none"/>
          <w:lang w:eastAsia="zh-CN"/>
        </w:rPr>
      </w:pPr>
    </w:p>
    <w:p>
      <w:pPr>
        <w:spacing w:line="240" w:lineRule="atLeast"/>
        <w:jc w:val="center"/>
        <w:rPr>
          <w:rFonts w:hint="eastAsia" w:ascii="PMingLiU" w:hAnsi="PMingLiU"/>
          <w:b/>
          <w:color w:val="000000"/>
          <w:sz w:val="32"/>
          <w:szCs w:val="32"/>
          <w:highlight w:val="none"/>
          <w:lang w:val="en-US" w:eastAsia="zh-CN"/>
        </w:rPr>
      </w:pPr>
      <w:r>
        <w:rPr>
          <w:rFonts w:hint="eastAsia" w:ascii="PMingLiU" w:hAnsi="PMingLiU"/>
          <w:b/>
          <w:color w:val="000000"/>
          <w:sz w:val="32"/>
          <w:szCs w:val="32"/>
          <w:highlight w:val="none"/>
          <w:lang w:val="en-US" w:eastAsia="zh-CN"/>
        </w:rPr>
        <w:t>芳烃团队</w:t>
      </w:r>
      <w:r>
        <w:rPr>
          <w:rFonts w:hint="eastAsia" w:ascii="PMingLiU" w:hAnsi="PMingLiU"/>
          <w:b/>
          <w:color w:val="000000"/>
          <w:sz w:val="32"/>
          <w:szCs w:val="32"/>
          <w:highlight w:val="none"/>
        </w:rPr>
        <w:t>重整装置催化剂筛</w:t>
      </w:r>
      <w:r>
        <w:rPr>
          <w:rFonts w:hint="eastAsia" w:ascii="PMingLiU" w:hAnsi="PMingLiU"/>
          <w:b/>
          <w:color w:val="000000"/>
          <w:sz w:val="32"/>
          <w:szCs w:val="32"/>
          <w:highlight w:val="none"/>
          <w:lang w:val="en-US" w:eastAsia="zh-CN"/>
        </w:rPr>
        <w:t>分</w:t>
      </w:r>
    </w:p>
    <w:p>
      <w:pPr>
        <w:spacing w:line="240" w:lineRule="atLeast"/>
        <w:jc w:val="center"/>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技术服务合同</w:t>
      </w:r>
    </w:p>
    <w:p>
      <w:pPr>
        <w:pStyle w:val="8"/>
        <w:spacing w:line="360" w:lineRule="auto"/>
        <w:jc w:val="center"/>
        <w:rPr>
          <w:rFonts w:ascii="Times New Roman" w:hAnsi="Times New Roman" w:cs="Times New Roman"/>
          <w:b/>
          <w:sz w:val="24"/>
          <w:szCs w:val="24"/>
          <w:highlight w:val="none"/>
          <w:lang w:eastAsia="zh-CN"/>
        </w:rPr>
      </w:pPr>
      <w:r>
        <w:rPr>
          <w:rFonts w:ascii="Times New Roman" w:hAnsi="Times New Roman" w:cs="Times New Roman"/>
          <w:b/>
          <w:sz w:val="36"/>
          <w:szCs w:val="36"/>
          <w:highlight w:val="none"/>
          <w:lang w:eastAsia="zh-CN"/>
        </w:rPr>
        <w:t xml:space="preserve">            </w:t>
      </w:r>
      <w:r>
        <w:rPr>
          <w:rFonts w:ascii="Times New Roman" w:hAnsi="Times New Roman" w:cs="Times New Roman"/>
          <w:b/>
          <w:sz w:val="24"/>
          <w:szCs w:val="24"/>
          <w:highlight w:val="none"/>
          <w:lang w:eastAsia="zh-CN"/>
        </w:rPr>
        <w:t xml:space="preserve"> </w:t>
      </w:r>
    </w:p>
    <w:p>
      <w:pPr>
        <w:pStyle w:val="8"/>
        <w:spacing w:line="360" w:lineRule="auto"/>
        <w:jc w:val="both"/>
        <w:rPr>
          <w:rFonts w:ascii="Times New Roman" w:hAnsi="Times New Roman" w:cs="Times New Roman"/>
          <w:b/>
          <w:sz w:val="36"/>
          <w:szCs w:val="36"/>
          <w:highlight w:val="none"/>
          <w:lang w:eastAsia="zh-CN"/>
        </w:rPr>
      </w:pPr>
      <w:r>
        <w:rPr>
          <w:rFonts w:ascii="Times New Roman" w:hAnsi="Times New Roman" w:cs="Times New Roman"/>
          <w:b/>
          <w:sz w:val="36"/>
          <w:szCs w:val="36"/>
          <w:highlight w:val="none"/>
          <w:lang w:eastAsia="zh-CN"/>
        </w:rPr>
        <w:t xml:space="preserve">             </w:t>
      </w:r>
    </w:p>
    <w:p>
      <w:pPr>
        <w:pStyle w:val="8"/>
        <w:spacing w:line="400" w:lineRule="exact"/>
        <w:rPr>
          <w:rFonts w:ascii="Times New Roman" w:hAnsi="Times New Roman" w:cs="Times New Roman"/>
          <w:sz w:val="32"/>
          <w:szCs w:val="32"/>
          <w:highlight w:val="none"/>
          <w:lang w:eastAsia="zh-CN"/>
        </w:rPr>
      </w:pP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委托方（</w:t>
      </w:r>
      <w:r>
        <w:rPr>
          <w:rFonts w:hint="eastAsia" w:ascii="Times New Roman" w:hAnsi="Times New Roman" w:cs="Times New Roman"/>
          <w:sz w:val="24"/>
          <w:szCs w:val="24"/>
          <w:highlight w:val="none"/>
          <w:lang w:val="en-US" w:eastAsia="zh-CN"/>
        </w:rPr>
        <w:t>简称：</w:t>
      </w:r>
      <w:r>
        <w:rPr>
          <w:rFonts w:ascii="Times New Roman" w:hAnsi="Times New Roman" w:cs="Times New Roman"/>
          <w:sz w:val="24"/>
          <w:szCs w:val="24"/>
          <w:highlight w:val="none"/>
          <w:lang w:eastAsia="zh-CN"/>
        </w:rPr>
        <w:t>甲方）：</w:t>
      </w:r>
      <w:r>
        <w:rPr>
          <w:rFonts w:hint="eastAsia" w:ascii="Times New Roman" w:hAnsi="Times New Roman" w:cs="Times New Roman"/>
          <w:sz w:val="24"/>
          <w:szCs w:val="24"/>
          <w:highlight w:val="none"/>
          <w:lang w:val="en-US" w:eastAsia="zh-CN"/>
        </w:rPr>
        <w:t>腾龙芳烃</w:t>
      </w:r>
      <w:r>
        <w:rPr>
          <w:rFonts w:ascii="Times New Roman" w:hAnsi="Times New Roman" w:cs="Times New Roman"/>
          <w:snapToGrid w:val="0"/>
          <w:color w:val="000000"/>
          <w:sz w:val="24"/>
          <w:szCs w:val="24"/>
          <w:highlight w:val="none"/>
          <w:lang w:eastAsia="zh-CN"/>
        </w:rPr>
        <w:t>（漳州）有限公司</w:t>
      </w:r>
      <w:r>
        <w:rPr>
          <w:rFonts w:ascii="Times New Roman" w:hAnsi="Times New Roman" w:cs="Times New Roman"/>
          <w:sz w:val="24"/>
          <w:szCs w:val="24"/>
          <w:highlight w:val="none"/>
          <w:lang w:eastAsia="zh-CN"/>
        </w:rPr>
        <w:t xml:space="preserve"> </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住  所  地：福建省漳州市古雷开发区腾龙路</w:t>
      </w:r>
      <w:r>
        <w:rPr>
          <w:rFonts w:hint="eastAsia" w:ascii="Times New Roman" w:hAnsi="Times New Roman" w:cs="Times New Roman"/>
          <w:sz w:val="24"/>
          <w:szCs w:val="24"/>
          <w:highlight w:val="none"/>
          <w:lang w:val="en-US" w:eastAsia="zh-CN"/>
        </w:rPr>
        <w:t>84</w:t>
      </w:r>
      <w:r>
        <w:rPr>
          <w:rFonts w:ascii="Times New Roman" w:hAnsi="Times New Roman" w:cs="Times New Roman"/>
          <w:sz w:val="24"/>
          <w:szCs w:val="24"/>
          <w:highlight w:val="none"/>
          <w:lang w:eastAsia="zh-CN"/>
        </w:rPr>
        <w:t>号</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法定代表人：</w:t>
      </w:r>
      <w:r>
        <w:rPr>
          <w:rFonts w:hint="eastAsia" w:ascii="Times New Roman" w:hAnsi="Times New Roman" w:cs="Times New Roman"/>
          <w:sz w:val="24"/>
          <w:szCs w:val="24"/>
          <w:highlight w:val="none"/>
          <w:lang w:val="en-US" w:eastAsia="zh-CN"/>
        </w:rPr>
        <w:t>李邦雄</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项目联系人：</w:t>
      </w:r>
      <w:r>
        <w:rPr>
          <w:rFonts w:hint="eastAsia" w:ascii="Times New Roman" w:hAnsi="Times New Roman" w:cs="Times New Roman"/>
          <w:sz w:val="24"/>
          <w:szCs w:val="24"/>
          <w:highlight w:val="none"/>
          <w:lang w:val="en-US" w:eastAsia="zh-CN"/>
        </w:rPr>
        <w:t>曾志浩</w:t>
      </w:r>
      <w:r>
        <w:rPr>
          <w:rFonts w:ascii="Times New Roman" w:hAnsi="Times New Roman" w:cs="Times New Roman"/>
          <w:bCs/>
          <w:sz w:val="24"/>
          <w:szCs w:val="24"/>
          <w:highlight w:val="none"/>
          <w:u w:val="none"/>
          <w:lang w:eastAsia="zh-CN"/>
        </w:rPr>
        <w:t xml:space="preserve">   </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通讯地址：福建省漳州市古雷经济开发区腾龙路</w:t>
      </w:r>
      <w:r>
        <w:rPr>
          <w:rFonts w:hint="eastAsia" w:ascii="Times New Roman" w:hAnsi="Times New Roman" w:cs="Times New Roman"/>
          <w:sz w:val="24"/>
          <w:szCs w:val="24"/>
          <w:highlight w:val="none"/>
          <w:lang w:val="en-US" w:eastAsia="zh-CN"/>
        </w:rPr>
        <w:t>84</w:t>
      </w:r>
      <w:r>
        <w:rPr>
          <w:rFonts w:ascii="Times New Roman" w:hAnsi="Times New Roman" w:cs="Times New Roman"/>
          <w:sz w:val="24"/>
          <w:szCs w:val="24"/>
          <w:highlight w:val="none"/>
          <w:lang w:eastAsia="zh-CN"/>
        </w:rPr>
        <w:t>号</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    话：</w:t>
      </w:r>
      <w:r>
        <w:rPr>
          <w:rFonts w:hint="eastAsia" w:ascii="Times New Roman" w:hAnsi="Times New Roman" w:cs="Times New Roman"/>
          <w:sz w:val="24"/>
          <w:szCs w:val="24"/>
          <w:highlight w:val="none"/>
          <w:lang w:val="en-US" w:eastAsia="zh-CN"/>
        </w:rPr>
        <w:t>18065753712</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传    真：</w:t>
      </w:r>
    </w:p>
    <w:p>
      <w:pPr>
        <w:pStyle w:val="8"/>
        <w:spacing w:line="360" w:lineRule="auto"/>
        <w:ind w:left="418" w:leftChars="190" w:firstLine="0" w:firstLineChars="0"/>
        <w:rPr>
          <w:rFonts w:ascii="Times New Roman" w:hAnsi="Times New Roman" w:cs="Times New Roman"/>
          <w:sz w:val="24"/>
          <w:szCs w:val="24"/>
          <w:highlight w:val="none"/>
          <w:u w:val="none"/>
          <w:lang w:eastAsia="zh-CN"/>
        </w:rPr>
      </w:pPr>
      <w:r>
        <w:rPr>
          <w:rFonts w:ascii="Times New Roman" w:hAnsi="Times New Roman" w:cs="Times New Roman"/>
          <w:sz w:val="24"/>
          <w:szCs w:val="24"/>
          <w:highlight w:val="none"/>
          <w:lang w:eastAsia="zh-CN"/>
        </w:rPr>
        <w:t>电子信箱：</w:t>
      </w:r>
      <w:r>
        <w:rPr>
          <w:rFonts w:hint="eastAsia" w:ascii="Times New Roman" w:hAnsi="Times New Roman" w:cs="Times New Roman"/>
          <w:sz w:val="24"/>
          <w:szCs w:val="24"/>
          <w:highlight w:val="none"/>
          <w:lang w:val="en-US" w:eastAsia="zh-CN"/>
        </w:rPr>
        <w:t>zhzeng</w:t>
      </w:r>
      <w:r>
        <w:rPr>
          <w:rFonts w:ascii="Times New Roman" w:hAnsi="Times New Roman" w:cs="Times New Roman"/>
          <w:bCs/>
          <w:sz w:val="24"/>
          <w:szCs w:val="24"/>
          <w:highlight w:val="none"/>
          <w:u w:val="none"/>
          <w:lang w:eastAsia="zh-CN"/>
        </w:rPr>
        <w:t>@fhcpec.com.cn</w:t>
      </w:r>
    </w:p>
    <w:p>
      <w:pPr>
        <w:pStyle w:val="8"/>
        <w:spacing w:line="360" w:lineRule="auto"/>
        <w:ind w:left="418" w:leftChars="19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受托方（</w:t>
      </w:r>
      <w:r>
        <w:rPr>
          <w:rFonts w:hint="eastAsia" w:ascii="Times New Roman" w:hAnsi="Times New Roman" w:cs="Times New Roman"/>
          <w:sz w:val="24"/>
          <w:szCs w:val="24"/>
          <w:highlight w:val="none"/>
          <w:lang w:val="en-US" w:eastAsia="zh-CN"/>
        </w:rPr>
        <w:t>简称：</w:t>
      </w:r>
      <w:r>
        <w:rPr>
          <w:rFonts w:ascii="Times New Roman" w:hAnsi="Times New Roman" w:eastAsia="宋体" w:cs="Times New Roman"/>
          <w:sz w:val="24"/>
          <w:szCs w:val="24"/>
          <w:highlight w:val="none"/>
          <w:lang w:eastAsia="zh-CN"/>
        </w:rPr>
        <w:t>乙方）：</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住  所  地：</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 xml:space="preserve">法定代表人： </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项目联系人：</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通讯地址：</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电    话：</w:t>
      </w:r>
    </w:p>
    <w:p>
      <w:pPr>
        <w:pStyle w:val="8"/>
        <w:spacing w:line="360" w:lineRule="auto"/>
        <w:ind w:left="418" w:leftChars="190" w:firstLine="0" w:firstLineChars="0"/>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传    真：</w:t>
      </w: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r>
        <w:rPr>
          <w:rFonts w:ascii="Times New Roman" w:hAnsi="Times New Roman" w:eastAsia="宋体" w:cs="Times New Roman"/>
          <w:sz w:val="24"/>
          <w:szCs w:val="24"/>
          <w:highlight w:val="none"/>
          <w:lang w:eastAsia="zh-CN"/>
        </w:rPr>
        <w:t>电子信箱：</w:t>
      </w: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p>
    <w:p>
      <w:pPr>
        <w:keepNext w:val="0"/>
        <w:keepLines w:val="0"/>
        <w:pageBreakBefore w:val="0"/>
        <w:widowControl w:val="0"/>
        <w:kinsoku/>
        <w:wordWrap/>
        <w:overflowPunct/>
        <w:topLinePunct w:val="0"/>
        <w:autoSpaceDE w:val="0"/>
        <w:autoSpaceDN w:val="0"/>
        <w:bidi w:val="0"/>
        <w:adjustRightInd/>
        <w:snapToGrid/>
        <w:spacing w:after="157" w:afterLines="50" w:line="240" w:lineRule="atLeast"/>
        <w:ind w:left="0" w:leftChars="0" w:right="0" w:rightChars="0" w:firstLine="0" w:firstLineChars="0"/>
        <w:jc w:val="center"/>
        <w:textAlignment w:val="auto"/>
        <w:outlineLvl w:val="9"/>
        <w:rPr>
          <w:highlight w:val="none"/>
          <w:lang w:eastAsia="zh-CN"/>
        </w:rPr>
      </w:pPr>
      <w:r>
        <w:rPr>
          <w:rFonts w:hint="eastAsia" w:ascii="PMingLiU" w:hAnsi="PMingLiU"/>
          <w:b/>
          <w:color w:val="000000"/>
          <w:sz w:val="32"/>
          <w:szCs w:val="32"/>
          <w:highlight w:val="none"/>
        </w:rPr>
        <w:t>重整装置催化剂筛</w:t>
      </w:r>
      <w:r>
        <w:rPr>
          <w:rFonts w:hint="eastAsia" w:ascii="PMingLiU" w:hAnsi="PMingLiU"/>
          <w:b/>
          <w:color w:val="000000"/>
          <w:sz w:val="32"/>
          <w:szCs w:val="32"/>
          <w:highlight w:val="none"/>
          <w:lang w:val="en-US" w:eastAsia="zh-CN"/>
        </w:rPr>
        <w:t>分</w:t>
      </w:r>
      <w:r>
        <w:rPr>
          <w:rFonts w:ascii="Times New Roman" w:hAnsi="Times New Roman" w:cs="Times New Roman"/>
          <w:b/>
          <w:bCs/>
          <w:sz w:val="32"/>
          <w:szCs w:val="32"/>
          <w:highlight w:val="none"/>
          <w:lang w:eastAsia="zh-CN"/>
        </w:rPr>
        <w:t>技术服务合同</w:t>
      </w:r>
    </w:p>
    <w:p>
      <w:pPr>
        <w:pStyle w:val="8"/>
        <w:spacing w:line="360" w:lineRule="auto"/>
        <w:ind w:left="418" w:leftChars="190" w:firstLine="0" w:firstLineChars="0"/>
        <w:rPr>
          <w:rFonts w:ascii="Times New Roman" w:hAnsi="Times New Roman" w:cs="Times New Roman"/>
          <w:b/>
          <w:bCs/>
          <w:snapToGrid w:val="0"/>
          <w:color w:val="000000"/>
          <w:sz w:val="28"/>
          <w:szCs w:val="28"/>
          <w:highlight w:val="none"/>
          <w:lang w:eastAsia="zh-CN"/>
        </w:rPr>
      </w:pPr>
      <w:r>
        <w:rPr>
          <w:rFonts w:ascii="Times New Roman" w:hAnsi="Times New Roman" w:cs="Times New Roman"/>
          <w:b/>
          <w:bCs/>
          <w:sz w:val="28"/>
          <w:szCs w:val="28"/>
          <w:highlight w:val="none"/>
          <w:lang w:eastAsia="zh-CN"/>
        </w:rPr>
        <w:t>甲方：</w:t>
      </w:r>
      <w:r>
        <w:rPr>
          <w:rFonts w:hint="eastAsia" w:ascii="Times New Roman" w:hAnsi="Times New Roman" w:cs="Times New Roman"/>
          <w:b/>
          <w:bCs/>
          <w:sz w:val="28"/>
          <w:szCs w:val="28"/>
          <w:highlight w:val="none"/>
          <w:lang w:val="en-US" w:eastAsia="zh-CN"/>
        </w:rPr>
        <w:t>腾龙芳烃</w:t>
      </w:r>
      <w:r>
        <w:rPr>
          <w:rFonts w:ascii="Times New Roman" w:hAnsi="Times New Roman" w:cs="Times New Roman"/>
          <w:b/>
          <w:bCs/>
          <w:snapToGrid w:val="0"/>
          <w:color w:val="000000"/>
          <w:sz w:val="28"/>
          <w:szCs w:val="28"/>
          <w:highlight w:val="none"/>
          <w:lang w:eastAsia="zh-CN"/>
        </w:rPr>
        <w:t>（漳州）有限公司</w:t>
      </w:r>
    </w:p>
    <w:p>
      <w:pPr>
        <w:pStyle w:val="8"/>
        <w:spacing w:line="360" w:lineRule="auto"/>
        <w:ind w:left="418" w:leftChars="190" w:firstLine="0" w:firstLineChars="0"/>
        <w:rPr>
          <w:rFonts w:ascii="Times New Roman" w:hAnsi="Times New Roman" w:eastAsia="宋体" w:cs="Times New Roman"/>
          <w:b/>
          <w:bCs/>
          <w:sz w:val="28"/>
          <w:szCs w:val="28"/>
          <w:highlight w:val="none"/>
          <w:lang w:eastAsia="zh-CN"/>
        </w:rPr>
      </w:pPr>
      <w:r>
        <w:rPr>
          <w:rFonts w:ascii="Times New Roman" w:hAnsi="Times New Roman" w:eastAsia="宋体" w:cs="Times New Roman"/>
          <w:b/>
          <w:bCs/>
          <w:sz w:val="28"/>
          <w:szCs w:val="28"/>
          <w:highlight w:val="none"/>
          <w:lang w:eastAsia="zh-CN"/>
        </w:rPr>
        <w:t>乙方：</w:t>
      </w:r>
    </w:p>
    <w:p>
      <w:pPr>
        <w:pStyle w:val="8"/>
        <w:spacing w:line="360" w:lineRule="auto"/>
        <w:ind w:left="418" w:leftChars="190" w:firstLine="0" w:firstLineChars="0"/>
        <w:rPr>
          <w:rFonts w:hint="eastAsia" w:ascii="Times New Roman" w:hAnsi="Times New Roman" w:eastAsia="宋体" w:cs="Times New Roman"/>
          <w:sz w:val="24"/>
          <w:szCs w:val="24"/>
          <w:highlight w:val="none"/>
          <w:lang w:val="zh-CN" w:eastAsia="zh-CN"/>
        </w:rPr>
      </w:pPr>
      <w:r>
        <w:rPr>
          <w:rFonts w:ascii="Times New Roman" w:hAnsi="Times New Roman" w:cs="Times New Roman"/>
          <w:sz w:val="24"/>
          <w:szCs w:val="24"/>
          <w:highlight w:val="none"/>
          <w:lang w:eastAsia="zh-CN"/>
        </w:rPr>
        <w:t xml:space="preserve"> </w:t>
      </w:r>
    </w:p>
    <w:p>
      <w:pPr>
        <w:keepNext w:val="0"/>
        <w:keepLines w:val="0"/>
        <w:pageBreakBefore w:val="0"/>
        <w:kinsoku/>
        <w:wordWrap/>
        <w:overflowPunct/>
        <w:topLinePunct w:val="0"/>
        <w:bidi w:val="0"/>
        <w:spacing w:line="360" w:lineRule="auto"/>
        <w:ind w:firstLine="360" w:firstLineChars="15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本合同由甲方委托乙方就</w:t>
      </w:r>
      <w:r>
        <w:rPr>
          <w:rFonts w:hint="eastAsia" w:ascii="Times New Roman" w:hAnsi="Times New Roman" w:eastAsia="宋体" w:cs="Times New Roman"/>
          <w:sz w:val="24"/>
          <w:szCs w:val="24"/>
          <w:highlight w:val="none"/>
          <w:u w:val="single"/>
          <w:lang w:eastAsia="zh-CN"/>
        </w:rPr>
        <w:t>重整装置催化剂筛</w:t>
      </w:r>
      <w:r>
        <w:rPr>
          <w:rFonts w:hint="eastAsia" w:ascii="Times New Roman" w:hAnsi="Times New Roman" w:eastAsia="宋体" w:cs="Times New Roman"/>
          <w:sz w:val="24"/>
          <w:szCs w:val="24"/>
          <w:highlight w:val="none"/>
          <w:u w:val="single"/>
          <w:lang w:val="en-US" w:eastAsia="zh-CN"/>
        </w:rPr>
        <w:t>分</w:t>
      </w:r>
      <w:r>
        <w:rPr>
          <w:rFonts w:hint="default" w:ascii="Times New Roman" w:hAnsi="Times New Roman" w:eastAsia="宋体" w:cs="Times New Roman"/>
          <w:sz w:val="24"/>
          <w:szCs w:val="24"/>
          <w:highlight w:val="none"/>
          <w:lang w:eastAsia="zh-CN"/>
        </w:rPr>
        <w:t>进行技术服务，并支付技术服务报酬。双方经过平等协商，在真实、充分地表达各自意愿的基础上，根据《中华人民共和国民法典》的规定，达成如下协议，并由双方共同恪守。</w:t>
      </w:r>
    </w:p>
    <w:p>
      <w:pPr>
        <w:spacing w:line="360" w:lineRule="auto"/>
        <w:rPr>
          <w:rFonts w:hint="default" w:ascii="Times New Roman" w:hAnsi="Times New Roman" w:eastAsia="宋体" w:cs="Times New Roman"/>
          <w:sz w:val="24"/>
          <w:szCs w:val="24"/>
          <w:highlight w:val="none"/>
          <w:lang w:eastAsia="zh-CN"/>
        </w:rPr>
      </w:pPr>
      <w:r>
        <w:rPr>
          <w:rFonts w:hint="eastAsia" w:ascii="宋体" w:hAnsi="宋体"/>
          <w:color w:val="000000"/>
          <w:sz w:val="24"/>
          <w:szCs w:val="24"/>
          <w:highlight w:val="none"/>
        </w:rPr>
        <w:t xml:space="preserve"> </w:t>
      </w:r>
      <w:r>
        <w:rPr>
          <w:rFonts w:hint="default" w:ascii="Times New Roman" w:hAnsi="Times New Roman" w:eastAsia="宋体" w:cs="Times New Roman"/>
          <w:b/>
          <w:sz w:val="24"/>
          <w:szCs w:val="24"/>
          <w:highlight w:val="none"/>
          <w:lang w:eastAsia="zh-CN"/>
        </w:rPr>
        <w:t>第一条</w:t>
      </w:r>
      <w:r>
        <w:rPr>
          <w:rFonts w:hint="default" w:ascii="Times New Roman" w:hAnsi="Times New Roman" w:eastAsia="宋体" w:cs="Times New Roman"/>
          <w:b/>
          <w:bCs/>
          <w:sz w:val="24"/>
          <w:szCs w:val="24"/>
          <w:highlight w:val="none"/>
          <w:lang w:eastAsia="zh-CN"/>
        </w:rPr>
        <w:t>　乙方进行技术的内容、要求、方式：</w:t>
      </w:r>
    </w:p>
    <w:p>
      <w:pPr>
        <w:keepNext w:val="0"/>
        <w:keepLines w:val="0"/>
        <w:pageBreakBefore w:val="0"/>
        <w:kinsoku/>
        <w:wordWrap/>
        <w:overflowPunct/>
        <w:topLinePunct w:val="0"/>
        <w:bidi w:val="0"/>
        <w:spacing w:line="360" w:lineRule="auto"/>
        <w:ind w:left="240" w:hanging="240" w:hangingChars="10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技术服务内容：</w:t>
      </w:r>
      <w:r>
        <w:rPr>
          <w:rFonts w:hint="eastAsia" w:ascii="Times New Roman" w:hAnsi="Times New Roman" w:cs="Times New Roman"/>
          <w:sz w:val="24"/>
          <w:szCs w:val="24"/>
          <w:highlight w:val="none"/>
          <w:u w:val="single"/>
          <w:lang w:val="en-US" w:eastAsia="zh-CN"/>
        </w:rPr>
        <w:t xml:space="preserve">  见附件发包说明   </w:t>
      </w:r>
      <w:r>
        <w:rPr>
          <w:rFonts w:hint="default" w:ascii="Times New Roman" w:hAnsi="Times New Roman" w:eastAsia="宋体" w:cs="Times New Roman"/>
          <w:sz w:val="24"/>
          <w:szCs w:val="24"/>
          <w:highlight w:val="none"/>
          <w:lang w:eastAsia="zh-CN"/>
        </w:rPr>
        <w:t xml:space="preserve">            </w:t>
      </w:r>
    </w:p>
    <w:p>
      <w:pPr>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技术服务要求：</w:t>
      </w:r>
      <w:r>
        <w:rPr>
          <w:rFonts w:hint="eastAsia" w:ascii="Times New Roman" w:hAnsi="Times New Roman" w:cs="Times New Roman"/>
          <w:sz w:val="24"/>
          <w:szCs w:val="24"/>
          <w:highlight w:val="none"/>
          <w:u w:val="single"/>
          <w:lang w:val="en-US" w:eastAsia="zh-CN"/>
        </w:rPr>
        <w:t xml:space="preserve">  见附件发包说明   </w:t>
      </w:r>
      <w:r>
        <w:rPr>
          <w:rFonts w:hint="default" w:ascii="Times New Roman" w:hAnsi="Times New Roman" w:eastAsia="宋体" w:cs="Times New Roman"/>
          <w:sz w:val="24"/>
          <w:szCs w:val="24"/>
          <w:highlight w:val="none"/>
          <w:lang w:eastAsia="zh-CN"/>
        </w:rPr>
        <w:t xml:space="preserve">  </w:t>
      </w:r>
    </w:p>
    <w:p>
      <w:pPr>
        <w:pStyle w:val="2"/>
        <w:keepNext w:val="0"/>
        <w:keepLines w:val="0"/>
        <w:pageBreakBefore w:val="0"/>
        <w:numPr>
          <w:ilvl w:val="0"/>
          <w:numId w:val="7"/>
        </w:numPr>
        <w:kinsoku/>
        <w:wordWrap/>
        <w:overflowPunct/>
        <w:topLinePunct w:val="0"/>
        <w:bidi w:val="0"/>
        <w:spacing w:line="360" w:lineRule="auto"/>
        <w:ind w:left="240" w:leftChars="0" w:hanging="240" w:hangingChars="100"/>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咨询方式</w:t>
      </w:r>
      <w:r>
        <w:rPr>
          <w:rFonts w:hint="default"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u w:val="single"/>
          <w:lang w:val="en-US" w:eastAsia="zh-CN"/>
        </w:rPr>
        <w:t xml:space="preserve">      见附件发包说明   </w:t>
      </w:r>
      <w:r>
        <w:rPr>
          <w:rFonts w:hint="default" w:ascii="Times New Roman" w:hAnsi="Times New Roman" w:eastAsia="宋体" w:cs="Times New Roman"/>
          <w:sz w:val="24"/>
          <w:szCs w:val="24"/>
          <w:highlight w:val="none"/>
          <w:lang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sz w:val="24"/>
          <w:szCs w:val="24"/>
          <w:highlight w:val="none"/>
          <w:lang w:eastAsia="zh-CN"/>
        </w:rPr>
        <w:t>第二条</w:t>
      </w:r>
      <w:r>
        <w:rPr>
          <w:rFonts w:hint="default" w:ascii="Times New Roman" w:hAnsi="Times New Roman" w:eastAsia="宋体"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乙方按照下列要求进行本合同项目的技术</w:t>
      </w:r>
      <w:r>
        <w:rPr>
          <w:rFonts w:hint="eastAsia" w:ascii="Times New Roman" w:hAnsi="Times New Roman" w:cs="Times New Roman"/>
          <w:b/>
          <w:bCs/>
          <w:sz w:val="24"/>
          <w:szCs w:val="24"/>
          <w:highlight w:val="none"/>
          <w:lang w:val="en-US" w:eastAsia="zh-CN"/>
        </w:rPr>
        <w:t>报务</w:t>
      </w:r>
      <w:r>
        <w:rPr>
          <w:rFonts w:hint="default" w:ascii="Times New Roman" w:hAnsi="Times New Roman" w:eastAsia="宋体" w:cs="Times New Roman"/>
          <w:b/>
          <w:bCs/>
          <w:sz w:val="24"/>
          <w:szCs w:val="24"/>
          <w:highlight w:val="none"/>
          <w:lang w:eastAsia="zh-CN"/>
        </w:rPr>
        <w:t>工作：</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技术服务地点：</w:t>
      </w:r>
      <w:r>
        <w:rPr>
          <w:rFonts w:hint="default" w:ascii="Times New Roman" w:hAnsi="Times New Roman" w:eastAsia="宋体" w:cs="Times New Roman"/>
          <w:sz w:val="24"/>
          <w:szCs w:val="24"/>
          <w:highlight w:val="none"/>
          <w:u w:val="single"/>
          <w:lang w:eastAsia="zh-CN"/>
        </w:rPr>
        <w:t xml:space="preserve"> 甲方现场指定地点</w:t>
      </w:r>
      <w:r>
        <w:rPr>
          <w:rFonts w:hint="default" w:ascii="Times New Roman" w:hAnsi="Times New Roman" w:eastAsia="宋体" w:cs="Times New Roman"/>
          <w:sz w:val="24"/>
          <w:szCs w:val="24"/>
          <w:highlight w:val="none"/>
          <w:lang w:eastAsia="zh-CN"/>
        </w:rPr>
        <w:t xml:space="preserve">。  </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2.</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技术服务期限：</w:t>
      </w:r>
      <w:r>
        <w:rPr>
          <w:rFonts w:hint="eastAsia" w:ascii="Times New Roman" w:hAnsi="Times New Roman" w:cs="Times New Roman"/>
          <w:color w:val="auto"/>
          <w:sz w:val="24"/>
          <w:szCs w:val="24"/>
          <w:highlight w:val="none"/>
          <w:u w:val="single"/>
          <w:lang w:val="en-US" w:eastAsia="zh-CN"/>
        </w:rPr>
        <w:t>自合同签订之日起至合同执行完毕止</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lang w:eastAsia="zh-CN"/>
        </w:rPr>
        <w:t xml:space="preserve">                    </w:t>
      </w:r>
    </w:p>
    <w:p>
      <w:pPr>
        <w:adjustRightInd w:val="0"/>
        <w:snapToGrid w:val="0"/>
        <w:spacing w:line="360" w:lineRule="auto"/>
        <w:ind w:left="1920" w:hanging="1920" w:hangingChars="800"/>
        <w:rPr>
          <w:rFonts w:ascii="宋体" w:hAnsi="宋体"/>
          <w:kern w:val="0"/>
          <w:sz w:val="24"/>
          <w:szCs w:val="24"/>
          <w:highlight w:val="none"/>
        </w:rPr>
      </w:pPr>
      <w:r>
        <w:rPr>
          <w:rFonts w:hint="default" w:ascii="Times New Roman" w:hAnsi="Times New Roman" w:eastAsia="宋体" w:cs="Times New Roman"/>
          <w:sz w:val="24"/>
          <w:szCs w:val="24"/>
          <w:highlight w:val="none"/>
          <w:lang w:eastAsia="zh-CN"/>
        </w:rPr>
        <w:t>3.</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技术服务进度：</w:t>
      </w:r>
      <w:r>
        <w:rPr>
          <w:rFonts w:hint="eastAsia" w:ascii="宋体" w:hAnsi="宋体"/>
          <w:kern w:val="0"/>
          <w:sz w:val="24"/>
          <w:szCs w:val="24"/>
          <w:highlight w:val="none"/>
        </w:rPr>
        <w:t>催化剂到指定作业场所后，24小时内制定出催化剂风车式物理分级统筹安排进度表﹙＜10天﹚；负责对待分催化剂进行器外风车式物理分级等工作。</w:t>
      </w:r>
    </w:p>
    <w:p>
      <w:pPr>
        <w:pStyle w:val="2"/>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4. 技术服务质量要求：</w:t>
      </w:r>
      <w:r>
        <w:rPr>
          <w:rFonts w:hint="eastAsia" w:ascii="Times New Roman" w:hAnsi="Times New Roman" w:cs="Times New Roman"/>
          <w:sz w:val="24"/>
          <w:szCs w:val="24"/>
          <w:highlight w:val="none"/>
          <w:u w:val="single"/>
          <w:lang w:val="en-US" w:eastAsia="zh-CN"/>
        </w:rPr>
        <w:t xml:space="preserve">  见附件发包说明   </w:t>
      </w:r>
      <w:r>
        <w:rPr>
          <w:rFonts w:hint="eastAsia" w:ascii="Times New Roman" w:hAnsi="Times New Roman" w:cs="Times New Roman"/>
          <w:sz w:val="24"/>
          <w:szCs w:val="24"/>
          <w:highlight w:val="none"/>
          <w:lang w:val="en-US" w:eastAsia="zh-CN"/>
        </w:rPr>
        <w:t xml:space="preserve"> </w:t>
      </w:r>
    </w:p>
    <w:p>
      <w:pPr>
        <w:pStyle w:val="2"/>
        <w:rPr>
          <w:rFonts w:hint="eastAsia" w:ascii="Times New Roman" w:hAnsi="Times New Roman" w:cs="Times New Roman"/>
          <w:sz w:val="24"/>
          <w:szCs w:val="24"/>
          <w:highlight w:val="none"/>
          <w:lang w:val="en-US" w:eastAsia="zh-CN"/>
        </w:rPr>
      </w:pPr>
    </w:p>
    <w:p>
      <w:pPr>
        <w:spacing w:line="360" w:lineRule="auto"/>
        <w:rPr>
          <w:rFonts w:hint="default" w:ascii="Times New Roman" w:hAnsi="Times New Roman" w:eastAsia="宋体" w:cs="Times New Roman"/>
          <w:b/>
          <w:sz w:val="24"/>
          <w:szCs w:val="24"/>
          <w:highlight w:val="none"/>
          <w:lang w:val="en-US" w:eastAsia="zh-CN" w:bidi="ar-SA"/>
        </w:rPr>
      </w:pPr>
      <w:r>
        <w:rPr>
          <w:rFonts w:hint="eastAsia" w:ascii="Times New Roman" w:hAnsi="Times New Roman" w:eastAsia="宋体" w:cs="Times New Roman"/>
          <w:b/>
          <w:sz w:val="24"/>
          <w:szCs w:val="24"/>
          <w:highlight w:val="none"/>
          <w:lang w:val="en-US" w:eastAsia="zh-CN" w:bidi="ar-SA"/>
        </w:rPr>
        <w:t>第三条  工程范围及数量</w:t>
      </w:r>
    </w:p>
    <w:p>
      <w:pPr>
        <w:spacing w:line="360" w:lineRule="auto"/>
        <w:rPr>
          <w:rFonts w:ascii="宋体" w:hAnsi="宋体"/>
          <w:b/>
          <w:bCs/>
          <w:color w:val="000000"/>
          <w:sz w:val="24"/>
          <w:szCs w:val="24"/>
          <w:highlight w:val="none"/>
        </w:rPr>
      </w:pPr>
      <w:r>
        <w:rPr>
          <w:rFonts w:hint="eastAsia"/>
          <w:b/>
          <w:bCs/>
          <w:sz w:val="24"/>
          <w:szCs w:val="24"/>
          <w:highlight w:val="none"/>
          <w:lang w:val="en-US" w:eastAsia="zh-CN"/>
        </w:rPr>
        <w:t>3</w:t>
      </w:r>
      <w:r>
        <w:rPr>
          <w:b/>
          <w:bCs/>
          <w:sz w:val="24"/>
          <w:szCs w:val="24"/>
          <w:highlight w:val="none"/>
        </w:rPr>
        <w:t xml:space="preserve">.1  </w:t>
      </w:r>
      <w:r>
        <w:rPr>
          <w:rFonts w:hint="eastAsia" w:ascii="宋体" w:hAnsi="宋体"/>
          <w:b/>
          <w:bCs/>
          <w:color w:val="000000"/>
          <w:sz w:val="24"/>
          <w:szCs w:val="24"/>
          <w:highlight w:val="none"/>
        </w:rPr>
        <w:t>催化剂预估工程量如下</w:t>
      </w:r>
    </w:p>
    <w:tbl>
      <w:tblPr>
        <w:tblStyle w:val="12"/>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159"/>
        <w:gridCol w:w="1377"/>
        <w:gridCol w:w="1786"/>
        <w:gridCol w:w="860"/>
        <w:gridCol w:w="941"/>
        <w:gridCol w:w="137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488" w:hRule="atLeast"/>
        </w:trPr>
        <w:tc>
          <w:tcPr>
            <w:tcW w:w="1159" w:type="dxa"/>
            <w:tcBorders>
              <w:top w:val="single" w:color="auto" w:sz="4" w:space="0"/>
              <w:left w:val="single" w:color="auto" w:sz="4"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装置</w:t>
            </w:r>
          </w:p>
        </w:tc>
        <w:tc>
          <w:tcPr>
            <w:tcW w:w="137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催化剂名称</w:t>
            </w:r>
          </w:p>
        </w:tc>
        <w:tc>
          <w:tcPr>
            <w:tcW w:w="1786"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eastAsia="仿宋_GB2312"/>
                <w:b/>
                <w:kern w:val="0"/>
                <w:szCs w:val="21"/>
                <w:highlight w:val="none"/>
                <w:lang w:val="en-US" w:eastAsia="zh-CN"/>
              </w:rPr>
              <w:t>技术</w:t>
            </w:r>
            <w:r>
              <w:rPr>
                <w:rFonts w:hint="eastAsia" w:ascii="仿宋_GB2312" w:hAnsi="宋体" w:eastAsia="仿宋_GB2312"/>
                <w:b/>
                <w:kern w:val="0"/>
                <w:szCs w:val="21"/>
                <w:highlight w:val="none"/>
              </w:rPr>
              <w:t>要求</w:t>
            </w:r>
          </w:p>
        </w:tc>
        <w:tc>
          <w:tcPr>
            <w:tcW w:w="860"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_GB2312" w:hAnsi="宋体" w:eastAsia="仿宋_GB2312"/>
                <w:b/>
                <w:bCs/>
                <w:kern w:val="0"/>
                <w:szCs w:val="21"/>
                <w:highlight w:val="none"/>
                <w:lang w:val="en-US" w:eastAsia="zh-CN"/>
              </w:rPr>
            </w:pPr>
            <w:r>
              <w:rPr>
                <w:rFonts w:hint="eastAsia" w:ascii="仿宋_GB2312" w:hAnsi="宋体" w:eastAsia="仿宋_GB2312"/>
                <w:b/>
                <w:bCs/>
                <w:kern w:val="0"/>
                <w:szCs w:val="21"/>
                <w:highlight w:val="none"/>
                <w:lang w:val="en-US" w:eastAsia="zh-CN"/>
              </w:rPr>
              <w:t>计量</w:t>
            </w:r>
          </w:p>
          <w:p>
            <w:pPr>
              <w:widowControl/>
              <w:jc w:val="center"/>
              <w:rPr>
                <w:highlight w:val="none"/>
              </w:rPr>
            </w:pPr>
            <w:r>
              <w:rPr>
                <w:rFonts w:hint="eastAsia" w:ascii="仿宋_GB2312" w:hAnsi="宋体" w:eastAsia="仿宋_GB2312"/>
                <w:b/>
                <w:bCs/>
                <w:kern w:val="0"/>
                <w:szCs w:val="21"/>
                <w:highlight w:val="none"/>
                <w:lang w:val="en-US" w:eastAsia="zh-CN"/>
              </w:rPr>
              <w:t>单位</w:t>
            </w:r>
          </w:p>
        </w:tc>
        <w:tc>
          <w:tcPr>
            <w:tcW w:w="941" w:type="dxa"/>
            <w:tcBorders>
              <w:top w:val="single" w:color="auto" w:sz="4" w:space="0"/>
              <w:left w:val="single" w:color="auto" w:sz="6" w:space="0"/>
              <w:bottom w:val="single" w:color="auto" w:sz="4" w:space="0"/>
              <w:right w:val="single" w:color="auto" w:sz="4" w:space="0"/>
            </w:tcBorders>
            <w:vAlign w:val="center"/>
          </w:tcPr>
          <w:p>
            <w:pPr>
              <w:widowControl/>
              <w:jc w:val="center"/>
              <w:rPr>
                <w:rFonts w:hint="eastAsia" w:ascii="仿宋_GB2312" w:eastAsia="仿宋_GB2312"/>
                <w:b/>
                <w:bCs/>
                <w:kern w:val="0"/>
                <w:szCs w:val="21"/>
                <w:highlight w:val="none"/>
                <w:lang w:val="en-US" w:eastAsia="zh-CN"/>
              </w:rPr>
            </w:pPr>
            <w:r>
              <w:rPr>
                <w:rFonts w:hint="eastAsia" w:ascii="仿宋_GB2312" w:eastAsia="仿宋_GB2312"/>
                <w:b/>
                <w:bCs/>
                <w:kern w:val="0"/>
                <w:szCs w:val="21"/>
                <w:highlight w:val="none"/>
                <w:lang w:val="en-US" w:eastAsia="zh-CN"/>
              </w:rPr>
              <w:t>预估</w:t>
            </w:r>
          </w:p>
          <w:p>
            <w:pPr>
              <w:widowControl/>
              <w:jc w:val="center"/>
              <w:rPr>
                <w:rFonts w:ascii="仿宋_GB2312" w:eastAsia="仿宋_GB2312"/>
                <w:b/>
                <w:kern w:val="0"/>
                <w:szCs w:val="21"/>
                <w:highlight w:val="none"/>
              </w:rPr>
            </w:pPr>
            <w:r>
              <w:rPr>
                <w:rFonts w:hint="eastAsia" w:ascii="仿宋_GB2312" w:hAnsi="宋体" w:eastAsia="仿宋_GB2312"/>
                <w:b/>
                <w:bCs/>
                <w:kern w:val="0"/>
                <w:szCs w:val="21"/>
                <w:highlight w:val="none"/>
              </w:rPr>
              <w:t>数量</w:t>
            </w:r>
          </w:p>
        </w:tc>
        <w:tc>
          <w:tcPr>
            <w:tcW w:w="1377"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b/>
                <w:bCs/>
                <w:kern w:val="0"/>
                <w:szCs w:val="21"/>
                <w:highlight w:val="none"/>
              </w:rPr>
            </w:pPr>
            <w:r>
              <w:rPr>
                <w:rFonts w:hint="eastAsia" w:ascii="仿宋_GB2312" w:hAnsi="宋体" w:eastAsia="仿宋_GB2312"/>
                <w:b/>
                <w:kern w:val="0"/>
                <w:szCs w:val="21"/>
                <w:highlight w:val="none"/>
              </w:rPr>
              <w:t>分级</w:t>
            </w:r>
            <w:r>
              <w:rPr>
                <w:rFonts w:hint="eastAsia" w:ascii="仿宋_GB2312" w:eastAsia="仿宋_GB2312"/>
                <w:b/>
                <w:bCs/>
                <w:kern w:val="0"/>
                <w:szCs w:val="21"/>
                <w:highlight w:val="none"/>
              </w:rPr>
              <w:t>时间</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Cs w:val="21"/>
                <w:highlight w:val="none"/>
              </w:rPr>
            </w:pPr>
            <w:r>
              <w:rPr>
                <w:rFonts w:hint="eastAsia" w:ascii="仿宋_GB2312" w:hAnsi="宋体" w:eastAsia="仿宋_GB2312"/>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683" w:hRule="atLeast"/>
        </w:trPr>
        <w:tc>
          <w:tcPr>
            <w:tcW w:w="1159" w:type="dxa"/>
            <w:tcBorders>
              <w:top w:val="single" w:color="auto" w:sz="4" w:space="0"/>
              <w:left w:val="single" w:color="auto" w:sz="4" w:space="0"/>
              <w:bottom w:val="single" w:color="auto" w:sz="4" w:space="0"/>
              <w:right w:val="single" w:color="auto" w:sz="6" w:space="0"/>
            </w:tcBorders>
            <w:vAlign w:val="center"/>
          </w:tcPr>
          <w:p>
            <w:pPr>
              <w:widowControl/>
              <w:jc w:val="center"/>
              <w:rPr>
                <w:rFonts w:ascii="仿宋_GB2312" w:hAnsi="宋体" w:eastAsia="仿宋_GB2312"/>
                <w:bCs/>
                <w:kern w:val="0"/>
                <w:szCs w:val="21"/>
                <w:highlight w:val="none"/>
              </w:rPr>
            </w:pPr>
            <w:r>
              <w:rPr>
                <w:rFonts w:hint="eastAsia" w:ascii="仿宋_GB2312" w:hAnsi="宋体" w:eastAsia="仿宋_GB2312"/>
                <w:bCs/>
                <w:kern w:val="0"/>
                <w:szCs w:val="21"/>
                <w:highlight w:val="none"/>
              </w:rPr>
              <w:t>连续重整</w:t>
            </w:r>
          </w:p>
        </w:tc>
        <w:tc>
          <w:tcPr>
            <w:tcW w:w="137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宋体" w:eastAsia="仿宋_GB2312"/>
                <w:bCs/>
                <w:color w:val="FF0000"/>
                <w:kern w:val="0"/>
                <w:szCs w:val="21"/>
                <w:highlight w:val="none"/>
              </w:rPr>
            </w:pPr>
            <w:r>
              <w:rPr>
                <w:rFonts w:hint="eastAsia" w:ascii="仿宋_GB2312" w:hAnsi="宋体" w:eastAsia="仿宋_GB2312" w:cs="Arial"/>
                <w:bCs/>
                <w:color w:val="000000"/>
                <w:kern w:val="0"/>
                <w:sz w:val="24"/>
                <w:highlight w:val="none"/>
              </w:rPr>
              <w:t>AR701</w:t>
            </w:r>
          </w:p>
        </w:tc>
        <w:tc>
          <w:tcPr>
            <w:tcW w:w="1786"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宋体" w:eastAsia="仿宋_GB2312"/>
                <w:bCs/>
                <w:color w:val="000000"/>
                <w:kern w:val="0"/>
                <w:szCs w:val="21"/>
                <w:highlight w:val="none"/>
              </w:rPr>
            </w:pPr>
            <w:r>
              <w:rPr>
                <w:rFonts w:hint="eastAsia" w:ascii="仿宋_GB2312" w:hAnsi="宋体" w:eastAsia="仿宋_GB2312"/>
                <w:kern w:val="0"/>
                <w:szCs w:val="21"/>
                <w:highlight w:val="none"/>
              </w:rPr>
              <w:t>风车式物理分级</w:t>
            </w:r>
          </w:p>
        </w:tc>
        <w:tc>
          <w:tcPr>
            <w:tcW w:w="860" w:type="dxa"/>
            <w:tcBorders>
              <w:top w:val="single" w:color="auto" w:sz="4" w:space="0"/>
              <w:left w:val="single" w:color="auto" w:sz="6" w:space="0"/>
              <w:bottom w:val="single" w:color="auto" w:sz="4" w:space="0"/>
              <w:right w:val="single" w:color="auto" w:sz="6" w:space="0"/>
            </w:tcBorders>
            <w:vAlign w:val="center"/>
          </w:tcPr>
          <w:p>
            <w:pPr>
              <w:widowControl/>
              <w:jc w:val="center"/>
              <w:rPr>
                <w:highlight w:val="none"/>
              </w:rPr>
            </w:pPr>
            <w:r>
              <w:rPr>
                <w:rFonts w:hint="eastAsia" w:ascii="仿宋_GB2312" w:hAnsi="宋体" w:eastAsia="仿宋_GB2312"/>
                <w:b/>
                <w:bCs/>
                <w:kern w:val="0"/>
                <w:szCs w:val="21"/>
                <w:highlight w:val="none"/>
              </w:rPr>
              <w:t>吨</w:t>
            </w:r>
          </w:p>
        </w:tc>
        <w:tc>
          <w:tcPr>
            <w:tcW w:w="941" w:type="dxa"/>
            <w:tcBorders>
              <w:top w:val="single" w:color="auto" w:sz="4" w:space="0"/>
              <w:left w:val="single" w:color="auto" w:sz="6" w:space="0"/>
              <w:bottom w:val="single" w:color="auto" w:sz="4" w:space="0"/>
              <w:right w:val="single" w:color="auto" w:sz="4" w:space="0"/>
            </w:tcBorders>
            <w:vAlign w:val="center"/>
          </w:tcPr>
          <w:p>
            <w:pPr>
              <w:widowControl/>
              <w:jc w:val="center"/>
              <w:rPr>
                <w:rFonts w:ascii="仿宋_GB2312" w:hAnsi="宋体" w:eastAsia="仿宋_GB2312"/>
                <w:kern w:val="0"/>
                <w:szCs w:val="21"/>
                <w:highlight w:val="none"/>
              </w:rPr>
            </w:pPr>
            <w:r>
              <w:rPr>
                <w:rFonts w:hint="eastAsia" w:ascii="仿宋_GB2312" w:hAnsi="宋体" w:eastAsia="仿宋_GB2312"/>
                <w:bCs/>
                <w:color w:val="000000"/>
                <w:kern w:val="0"/>
                <w:szCs w:val="21"/>
                <w:highlight w:val="none"/>
              </w:rPr>
              <w:t>185</w:t>
            </w:r>
          </w:p>
        </w:tc>
        <w:tc>
          <w:tcPr>
            <w:tcW w:w="1377"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bCs/>
                <w:kern w:val="0"/>
                <w:szCs w:val="21"/>
                <w:highlight w:val="none"/>
              </w:rPr>
            </w:pPr>
            <w:r>
              <w:rPr>
                <w:rFonts w:hint="eastAsia" w:ascii="仿宋_GB2312" w:eastAsia="仿宋_GB2312"/>
                <w:bCs/>
                <w:color w:val="000000"/>
                <w:kern w:val="0"/>
                <w:szCs w:val="21"/>
                <w:highlight w:val="none"/>
              </w:rPr>
              <w:t>10</w:t>
            </w:r>
            <w:r>
              <w:rPr>
                <w:rFonts w:hint="eastAsia" w:ascii="仿宋_GB2312" w:eastAsia="仿宋_GB2312"/>
                <w:bCs/>
                <w:kern w:val="0"/>
                <w:szCs w:val="21"/>
                <w:highlight w:val="none"/>
              </w:rPr>
              <w:t>天</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kern w:val="0"/>
                <w:szCs w:val="21"/>
                <w:highlight w:val="none"/>
              </w:rPr>
            </w:pPr>
            <w:r>
              <w:rPr>
                <w:rFonts w:hint="eastAsia" w:ascii="仿宋_GB2312" w:hAnsi="宋体" w:eastAsia="仿宋_GB2312"/>
                <w:kern w:val="0"/>
                <w:szCs w:val="21"/>
                <w:highlight w:val="none"/>
              </w:rPr>
              <w:t>现场作业</w:t>
            </w:r>
            <w:r>
              <w:rPr>
                <w:rFonts w:hint="eastAsia" w:ascii="仿宋_GB2312" w:hAnsi="宋体" w:eastAsia="仿宋_GB2312"/>
                <w:kern w:val="0"/>
                <w:szCs w:val="21"/>
                <w:highlight w:val="none"/>
                <w:lang w:eastAsia="zh-CN"/>
              </w:rPr>
              <w:t>，</w:t>
            </w:r>
            <w:r>
              <w:rPr>
                <w:rFonts w:hint="eastAsia" w:ascii="仿宋_GB2312" w:hAnsi="宋体" w:eastAsia="仿宋_GB2312"/>
                <w:kern w:val="0"/>
                <w:szCs w:val="21"/>
                <w:highlight w:val="none"/>
                <w:lang w:val="en-US" w:eastAsia="zh-CN"/>
              </w:rPr>
              <w:t>具体要求详见附件发包说明</w:t>
            </w:r>
            <w:r>
              <w:rPr>
                <w:rFonts w:hint="eastAsia" w:ascii="仿宋_GB2312" w:eastAsia="仿宋_GB2312"/>
                <w:kern w:val="0"/>
                <w:szCs w:val="21"/>
                <w:highlight w:val="none"/>
                <w:lang w:val="en-US" w:eastAsia="zh-CN"/>
              </w:rPr>
              <w:t>。</w:t>
            </w:r>
          </w:p>
        </w:tc>
      </w:tr>
    </w:tbl>
    <w:p>
      <w:pPr>
        <w:spacing w:line="360" w:lineRule="auto"/>
        <w:rPr>
          <w:sz w:val="24"/>
          <w:szCs w:val="24"/>
          <w:highlight w:val="none"/>
        </w:rPr>
      </w:pPr>
      <w:r>
        <w:rPr>
          <w:rFonts w:hint="eastAsia"/>
          <w:sz w:val="24"/>
          <w:szCs w:val="24"/>
          <w:highlight w:val="none"/>
        </w:rPr>
        <w:t>注：1.</w:t>
      </w:r>
      <w:r>
        <w:rPr>
          <w:sz w:val="24"/>
          <w:szCs w:val="24"/>
          <w:highlight w:val="none"/>
        </w:rPr>
        <w:t xml:space="preserve"> </w:t>
      </w:r>
      <w:r>
        <w:rPr>
          <w:rFonts w:hint="eastAsia"/>
          <w:sz w:val="24"/>
          <w:szCs w:val="24"/>
          <w:highlight w:val="none"/>
        </w:rPr>
        <w:t>结算筛分量以实际确认量为准。</w:t>
      </w:r>
    </w:p>
    <w:p>
      <w:pPr>
        <w:spacing w:line="360" w:lineRule="auto"/>
        <w:rPr>
          <w:rFonts w:hint="eastAsia"/>
          <w:sz w:val="24"/>
          <w:szCs w:val="24"/>
          <w:highlight w:val="none"/>
        </w:rPr>
      </w:pPr>
      <w:r>
        <w:rPr>
          <w:rFonts w:hint="eastAsia"/>
          <w:sz w:val="24"/>
          <w:szCs w:val="24"/>
          <w:highlight w:val="none"/>
        </w:rPr>
        <w:t xml:space="preserve"> </w:t>
      </w:r>
      <w:r>
        <w:rPr>
          <w:sz w:val="24"/>
          <w:szCs w:val="24"/>
          <w:highlight w:val="none"/>
        </w:rPr>
        <w:t xml:space="preserve">   2.</w:t>
      </w:r>
      <w:r>
        <w:rPr>
          <w:rFonts w:hint="eastAsia"/>
          <w:sz w:val="24"/>
          <w:szCs w:val="24"/>
          <w:highlight w:val="none"/>
        </w:rPr>
        <w:t xml:space="preserve"> 催化剂分级时间是指分级第一桶催化剂至分级完最后一桶催化剂。</w:t>
      </w:r>
    </w:p>
    <w:p>
      <w:pPr>
        <w:spacing w:line="360" w:lineRule="auto"/>
        <w:rPr>
          <w:rFonts w:ascii="宋体" w:hAnsi="宋体"/>
          <w:b/>
          <w:bCs/>
          <w:color w:val="000000"/>
          <w:sz w:val="24"/>
          <w:szCs w:val="24"/>
          <w:highlight w:val="none"/>
        </w:rPr>
      </w:pPr>
      <w:r>
        <w:rPr>
          <w:rFonts w:ascii="宋体" w:hAnsi="宋体"/>
          <w:b/>
          <w:bCs/>
          <w:color w:val="000000"/>
          <w:sz w:val="24"/>
          <w:szCs w:val="24"/>
          <w:highlight w:val="none"/>
        </w:rPr>
        <w:t>3</w:t>
      </w:r>
      <w:r>
        <w:rPr>
          <w:rFonts w:hint="eastAsia" w:ascii="宋体" w:hAnsi="宋体"/>
          <w:b/>
          <w:bCs/>
          <w:color w:val="000000"/>
          <w:sz w:val="24"/>
          <w:szCs w:val="24"/>
          <w:highlight w:val="none"/>
          <w:lang w:val="en-US" w:eastAsia="zh-CN"/>
        </w:rPr>
        <w:t xml:space="preserve">.2 </w:t>
      </w:r>
      <w:r>
        <w:rPr>
          <w:rFonts w:hint="eastAsia" w:ascii="宋体" w:hAnsi="宋体"/>
          <w:b/>
          <w:bCs/>
          <w:color w:val="000000"/>
          <w:sz w:val="24"/>
          <w:szCs w:val="24"/>
          <w:highlight w:val="none"/>
        </w:rPr>
        <w:t>风车式物理分离</w:t>
      </w:r>
    </w:p>
    <w:p>
      <w:pPr>
        <w:spacing w:line="360" w:lineRule="auto"/>
        <w:ind w:left="218" w:leftChars="99" w:firstLine="2" w:firstLineChars="0"/>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1风车式物理分级分类要求</w:t>
      </w:r>
    </w:p>
    <w:p>
      <w:pPr>
        <w:spacing w:line="360" w:lineRule="auto"/>
        <w:ind w:left="716" w:leftChars="209" w:hanging="256" w:hangingChars="107"/>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 xml:space="preserve">.1 </w:t>
      </w:r>
      <w:r>
        <w:rPr>
          <w:rFonts w:hint="eastAsia" w:ascii="宋体" w:hAnsi="宋体"/>
          <w:sz w:val="24"/>
          <w:szCs w:val="24"/>
          <w:highlight w:val="none"/>
        </w:rPr>
        <w:t>催化剂中含有一定量的粉尘分离出来并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ind w:left="716" w:leftChars="209" w:hanging="256" w:hangingChars="107"/>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2</w:t>
      </w:r>
      <w:r>
        <w:rPr>
          <w:rFonts w:hint="eastAsia" w:ascii="宋体" w:hAnsi="宋体"/>
          <w:color w:val="000000"/>
          <w:sz w:val="24"/>
          <w:szCs w:val="24"/>
          <w:highlight w:val="none"/>
          <w:lang w:val="en-US" w:eastAsia="zh-CN"/>
        </w:rPr>
        <w:t xml:space="preserve"> </w:t>
      </w:r>
      <w:r>
        <w:rPr>
          <w:rFonts w:hint="eastAsia" w:ascii="宋体" w:hAnsi="宋体"/>
          <w:sz w:val="24"/>
          <w:szCs w:val="24"/>
          <w:highlight w:val="none"/>
        </w:rPr>
        <w:t>同体积，密度不相同的催化剂──含炭高的催化剂分离出来并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ind w:left="716" w:leftChars="209" w:hanging="256" w:hangingChars="107"/>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 xml:space="preserve"> </w:t>
      </w:r>
      <w:r>
        <w:rPr>
          <w:rFonts w:hint="eastAsia" w:ascii="宋体" w:hAnsi="宋体"/>
          <w:sz w:val="24"/>
          <w:szCs w:val="24"/>
          <w:highlight w:val="none"/>
        </w:rPr>
        <w:t>同重量，体积不相等的催化剂──Φ≦1.2mm灰白色侏儒球全部分离出来并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ind w:left="716" w:leftChars="209" w:hanging="256" w:hangingChars="107"/>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4</w:t>
      </w:r>
      <w:r>
        <w:rPr>
          <w:rFonts w:hint="eastAsia" w:ascii="宋体" w:hAnsi="宋体"/>
          <w:color w:val="000000"/>
          <w:sz w:val="24"/>
          <w:szCs w:val="24"/>
          <w:highlight w:val="none"/>
          <w:lang w:val="en-US" w:eastAsia="zh-CN"/>
        </w:rPr>
        <w:t xml:space="preserve"> </w:t>
      </w:r>
      <w:r>
        <w:rPr>
          <w:rFonts w:hint="eastAsia" w:ascii="宋体" w:hAnsi="宋体"/>
          <w:sz w:val="24"/>
          <w:szCs w:val="24"/>
          <w:highlight w:val="none"/>
        </w:rPr>
        <w:t>同密度，体积、重量不等的催化剂──Φ＜1.4mm以下的</w:t>
      </w:r>
      <w:r>
        <w:rPr>
          <w:rFonts w:hint="eastAsia" w:ascii="宋体" w:hAnsi="宋体"/>
          <w:color w:val="000000"/>
          <w:sz w:val="24"/>
          <w:szCs w:val="24"/>
          <w:highlight w:val="none"/>
        </w:rPr>
        <w:t>低</w:t>
      </w:r>
      <w:r>
        <w:rPr>
          <w:rFonts w:hint="eastAsia" w:ascii="宋体" w:hAnsi="宋体"/>
          <w:sz w:val="24"/>
          <w:szCs w:val="24"/>
          <w:highlight w:val="none"/>
        </w:rPr>
        <w:t>炭催化剂分离出来并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ind w:left="716" w:leftChars="209" w:hanging="256" w:hangingChars="107"/>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1.5</w:t>
      </w:r>
      <w:r>
        <w:rPr>
          <w:rFonts w:hint="eastAsia" w:ascii="宋体" w:hAnsi="宋体"/>
          <w:color w:val="000000"/>
          <w:sz w:val="24"/>
          <w:szCs w:val="24"/>
          <w:highlight w:val="none"/>
          <w:lang w:val="en-US" w:eastAsia="zh-CN"/>
        </w:rPr>
        <w:t xml:space="preserve"> </w:t>
      </w:r>
      <w:r>
        <w:rPr>
          <w:rFonts w:hint="eastAsia" w:ascii="宋体" w:hAnsi="宋体"/>
          <w:sz w:val="24"/>
          <w:szCs w:val="24"/>
          <w:highlight w:val="none"/>
        </w:rPr>
        <w:t>可回装颗粒Φ＞1.4mm的低炭催化剂详细</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ind w:left="218" w:leftChars="99" w:firstLine="2" w:firstLineChars="0"/>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 xml:space="preserve">2.2 </w:t>
      </w:r>
      <w:r>
        <w:rPr>
          <w:rFonts w:hint="eastAsia" w:ascii="宋体" w:hAnsi="宋体"/>
          <w:color w:val="000000"/>
          <w:sz w:val="24"/>
          <w:szCs w:val="24"/>
          <w:highlight w:val="none"/>
        </w:rPr>
        <w:t>风车式物理分级指标</w:t>
      </w:r>
    </w:p>
    <w:p>
      <w:pPr>
        <w:spacing w:line="360" w:lineRule="auto"/>
        <w:ind w:left="460" w:leftChars="209" w:firstLine="0" w:firstLineChars="0"/>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2.2</w:t>
      </w:r>
      <w:r>
        <w:rPr>
          <w:rFonts w:hint="eastAsia" w:ascii="宋体" w:hAnsi="宋体"/>
          <w:color w:val="000000"/>
          <w:sz w:val="24"/>
          <w:szCs w:val="24"/>
          <w:highlight w:val="none"/>
        </w:rPr>
        <w:t>.1可回</w:t>
      </w:r>
      <w:r>
        <w:rPr>
          <w:rFonts w:hint="eastAsia"/>
          <w:sz w:val="24"/>
          <w:szCs w:val="24"/>
          <w:highlight w:val="none"/>
        </w:rPr>
        <w:t>装</w:t>
      </w:r>
      <w:r>
        <w:rPr>
          <w:rFonts w:hint="eastAsia" w:ascii="宋体" w:hAnsi="宋体"/>
          <w:color w:val="000000"/>
          <w:sz w:val="24"/>
          <w:szCs w:val="24"/>
          <w:highlight w:val="none"/>
        </w:rPr>
        <w:t>催化剂无亮黑及黑黑剂：</w:t>
      </w:r>
    </w:p>
    <w:p>
      <w:pPr>
        <w:spacing w:line="360" w:lineRule="auto"/>
        <w:ind w:left="460" w:leftChars="209" w:firstLine="0" w:firstLineChars="0"/>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2.2</w:t>
      </w:r>
      <w:r>
        <w:rPr>
          <w:rFonts w:hint="eastAsia" w:ascii="宋体" w:hAnsi="宋体"/>
          <w:color w:val="000000"/>
          <w:sz w:val="24"/>
          <w:szCs w:val="24"/>
          <w:highlight w:val="none"/>
        </w:rPr>
        <w:t>.2可回</w:t>
      </w:r>
      <w:r>
        <w:rPr>
          <w:rFonts w:hint="eastAsia"/>
          <w:sz w:val="24"/>
          <w:szCs w:val="24"/>
          <w:highlight w:val="none"/>
        </w:rPr>
        <w:t>装</w:t>
      </w:r>
      <w:r>
        <w:rPr>
          <w:rFonts w:hint="eastAsia" w:ascii="宋体" w:hAnsi="宋体"/>
          <w:color w:val="000000"/>
          <w:sz w:val="24"/>
          <w:szCs w:val="24"/>
          <w:highlight w:val="none"/>
        </w:rPr>
        <w:t>催化剂</w:t>
      </w:r>
      <w:r>
        <w:rPr>
          <w:rFonts w:hint="eastAsia" w:ascii="宋体" w:hAnsi="宋体"/>
          <w:sz w:val="24"/>
          <w:szCs w:val="24"/>
          <w:highlight w:val="none"/>
        </w:rPr>
        <w:t>颗粒</w:t>
      </w:r>
      <w:r>
        <w:rPr>
          <w:rFonts w:hint="eastAsia" w:ascii="宋体" w:hAnsi="宋体"/>
          <w:color w:val="000000"/>
          <w:sz w:val="24"/>
          <w:szCs w:val="24"/>
          <w:highlight w:val="none"/>
        </w:rPr>
        <w:t>直径应大于</w:t>
      </w:r>
      <w:r>
        <w:rPr>
          <w:rFonts w:hint="eastAsia" w:ascii="宋体" w:hAnsi="宋体"/>
          <w:sz w:val="24"/>
          <w:szCs w:val="24"/>
          <w:highlight w:val="none"/>
        </w:rPr>
        <w:t>＞1.4mm</w:t>
      </w:r>
      <w:r>
        <w:rPr>
          <w:rFonts w:hint="eastAsia" w:ascii="宋体" w:hAnsi="宋体"/>
          <w:color w:val="000000"/>
          <w:sz w:val="24"/>
          <w:szCs w:val="24"/>
          <w:highlight w:val="none"/>
        </w:rPr>
        <w:t>。</w:t>
      </w:r>
    </w:p>
    <w:p>
      <w:pPr>
        <w:spacing w:line="360" w:lineRule="auto"/>
        <w:ind w:left="460" w:leftChars="209" w:firstLine="0" w:firstLineChars="0"/>
        <w:rPr>
          <w:sz w:val="24"/>
          <w:szCs w:val="24"/>
          <w:highlight w:val="none"/>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2.2</w:t>
      </w:r>
      <w:r>
        <w:rPr>
          <w:rFonts w:hint="eastAsia" w:ascii="宋体" w:hAnsi="宋体"/>
          <w:color w:val="000000"/>
          <w:sz w:val="24"/>
          <w:szCs w:val="24"/>
          <w:highlight w:val="none"/>
        </w:rPr>
        <w:t>.3</w:t>
      </w:r>
      <w:r>
        <w:rPr>
          <w:rFonts w:hint="eastAsia" w:ascii="宋体" w:hAnsi="宋体"/>
          <w:kern w:val="0"/>
          <w:sz w:val="24"/>
          <w:szCs w:val="24"/>
          <w:highlight w:val="none"/>
        </w:rPr>
        <w:t>进行分级的重整催化剂损耗率</w:t>
      </w:r>
      <w:r>
        <w:rPr>
          <w:rFonts w:hint="eastAsia" w:ascii="宋体" w:hAnsi="宋体"/>
          <w:color w:val="000000"/>
          <w:sz w:val="24"/>
          <w:szCs w:val="24"/>
          <w:highlight w:val="none"/>
        </w:rPr>
        <w:t>应</w:t>
      </w:r>
      <w:r>
        <w:rPr>
          <w:rFonts w:hint="eastAsia" w:ascii="宋体" w:hAnsi="宋体"/>
          <w:kern w:val="0"/>
          <w:sz w:val="24"/>
          <w:szCs w:val="24"/>
          <w:highlight w:val="none"/>
        </w:rPr>
        <w:t>＜0.1%</w:t>
      </w:r>
      <w:r>
        <w:rPr>
          <w:rFonts w:hint="eastAsia"/>
          <w:sz w:val="24"/>
          <w:szCs w:val="24"/>
          <w:highlight w:val="none"/>
        </w:rPr>
        <w:t>。</w:t>
      </w:r>
    </w:p>
    <w:p>
      <w:pPr>
        <w:spacing w:line="360" w:lineRule="auto"/>
        <w:ind w:left="460" w:leftChars="209" w:firstLine="0" w:firstLineChars="0"/>
        <w:rPr>
          <w:rFonts w:hint="eastAsia" w:ascii="宋体" w:hAnsi="宋体"/>
          <w:color w:val="000000"/>
          <w:sz w:val="24"/>
          <w:szCs w:val="24"/>
          <w:highlight w:val="none"/>
        </w:rPr>
      </w:pPr>
      <w:r>
        <w:rPr>
          <w:rFonts w:ascii="宋体" w:hAnsi="宋体"/>
          <w:color w:val="000000"/>
          <w:sz w:val="24"/>
          <w:szCs w:val="24"/>
          <w:highlight w:val="none"/>
        </w:rPr>
        <w:t>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2.2</w:t>
      </w:r>
      <w:r>
        <w:rPr>
          <w:rFonts w:hint="eastAsia" w:ascii="宋体" w:hAnsi="宋体"/>
          <w:color w:val="000000"/>
          <w:sz w:val="24"/>
          <w:szCs w:val="24"/>
          <w:highlight w:val="none"/>
        </w:rPr>
        <w:t>.</w:t>
      </w:r>
      <w:r>
        <w:rPr>
          <w:rFonts w:ascii="宋体" w:hAnsi="宋体"/>
          <w:color w:val="000000"/>
          <w:sz w:val="24"/>
          <w:szCs w:val="24"/>
          <w:highlight w:val="none"/>
        </w:rPr>
        <w:t>4</w:t>
      </w:r>
      <w:r>
        <w:rPr>
          <w:rFonts w:hint="eastAsia" w:ascii="宋体" w:hAnsi="宋体"/>
          <w:color w:val="000000"/>
          <w:sz w:val="24"/>
          <w:szCs w:val="24"/>
          <w:highlight w:val="none"/>
        </w:rPr>
        <w:t>重整催化剂物理分级处理时间＜ 10天。</w:t>
      </w:r>
    </w:p>
    <w:p>
      <w:pPr>
        <w:keepNext w:val="0"/>
        <w:keepLines w:val="0"/>
        <w:pageBreakBefore w:val="0"/>
        <w:widowControl w:val="0"/>
        <w:kinsoku/>
        <w:wordWrap/>
        <w:overflowPunct/>
        <w:topLinePunct w:val="0"/>
        <w:autoSpaceDE w:val="0"/>
        <w:autoSpaceDN w:val="0"/>
        <w:bidi w:val="0"/>
        <w:adjustRightInd/>
        <w:snapToGrid/>
        <w:spacing w:before="313" w:beforeLines="100" w:after="157" w:afterLines="50" w:line="360" w:lineRule="auto"/>
        <w:ind w:left="0" w:leftChars="0" w:right="0" w:rightChars="0" w:firstLine="0" w:firstLineChars="0"/>
        <w:jc w:val="left"/>
        <w:textAlignment w:val="auto"/>
        <w:outlineLvl w:val="9"/>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第四条  </w:t>
      </w:r>
      <w:r>
        <w:rPr>
          <w:rFonts w:hint="eastAsia" w:ascii="宋体" w:hAnsi="宋体"/>
          <w:b/>
          <w:bCs/>
          <w:color w:val="000000"/>
          <w:sz w:val="24"/>
          <w:szCs w:val="24"/>
          <w:highlight w:val="none"/>
        </w:rPr>
        <w:t>验收标准</w:t>
      </w:r>
    </w:p>
    <w:p>
      <w:pPr>
        <w:adjustRightInd w:val="0"/>
        <w:snapToGrid w:val="0"/>
        <w:spacing w:line="360" w:lineRule="auto"/>
        <w:ind w:left="499" w:leftChars="0" w:hanging="499" w:hangingChars="208"/>
        <w:rPr>
          <w:rFonts w:ascii="宋体" w:hAnsi="宋体"/>
          <w:kern w:val="0"/>
          <w:sz w:val="24"/>
          <w:szCs w:val="24"/>
          <w:highlight w:val="none"/>
        </w:rPr>
      </w:pPr>
      <w:r>
        <w:rPr>
          <w:rFonts w:hint="eastAsia" w:ascii="宋体" w:hAnsi="宋体"/>
          <w:kern w:val="0"/>
          <w:sz w:val="24"/>
          <w:szCs w:val="24"/>
          <w:highlight w:val="none"/>
          <w:lang w:val="en-US" w:eastAsia="zh-CN"/>
        </w:rPr>
        <w:t>4.1 甲方</w:t>
      </w:r>
      <w:r>
        <w:rPr>
          <w:rFonts w:hint="eastAsia" w:ascii="宋体" w:hAnsi="宋体"/>
          <w:kern w:val="0"/>
          <w:sz w:val="24"/>
          <w:szCs w:val="24"/>
          <w:highlight w:val="none"/>
        </w:rPr>
        <w:t>负责将待分级催化剂分为4个批次，由</w:t>
      </w:r>
      <w:r>
        <w:rPr>
          <w:rFonts w:hint="eastAsia" w:ascii="宋体" w:hAnsi="宋体"/>
          <w:kern w:val="0"/>
          <w:sz w:val="24"/>
          <w:szCs w:val="24"/>
          <w:highlight w:val="none"/>
          <w:lang w:val="en-US" w:eastAsia="zh-CN"/>
        </w:rPr>
        <w:t>甲、乙</w:t>
      </w:r>
      <w:r>
        <w:rPr>
          <w:rFonts w:hint="eastAsia" w:ascii="宋体" w:hAnsi="宋体"/>
          <w:kern w:val="0"/>
          <w:sz w:val="24"/>
          <w:szCs w:val="24"/>
          <w:highlight w:val="none"/>
        </w:rPr>
        <w:t>双方共同取样（催化剂按每批取1份样品，经混合后作为标准样品保留），混合样分成三份。</w:t>
      </w:r>
      <w:r>
        <w:rPr>
          <w:rFonts w:hint="eastAsia" w:ascii="宋体" w:hAnsi="宋体"/>
          <w:kern w:val="0"/>
          <w:sz w:val="24"/>
          <w:szCs w:val="24"/>
          <w:highlight w:val="none"/>
          <w:lang w:val="en-US" w:eastAsia="zh-CN"/>
        </w:rPr>
        <w:t>甲、乙</w:t>
      </w:r>
      <w:r>
        <w:rPr>
          <w:rFonts w:hint="eastAsia" w:ascii="宋体" w:hAnsi="宋体"/>
          <w:kern w:val="0"/>
          <w:sz w:val="24"/>
          <w:szCs w:val="24"/>
          <w:highlight w:val="none"/>
        </w:rPr>
        <w:t>双方各执一份，第三份作为发生纠纷时仲裁的依据。</w:t>
      </w:r>
    </w:p>
    <w:p>
      <w:pPr>
        <w:spacing w:line="360" w:lineRule="auto"/>
        <w:ind w:left="499" w:leftChars="0" w:hanging="499" w:hangingChars="208"/>
        <w:rPr>
          <w:rFonts w:ascii="宋体" w:hAnsi="宋体"/>
          <w:color w:val="000000"/>
          <w:sz w:val="24"/>
          <w:szCs w:val="24"/>
          <w:highlight w:val="none"/>
        </w:rPr>
      </w:pPr>
      <w:r>
        <w:rPr>
          <w:rFonts w:hint="eastAsia" w:ascii="宋体" w:hAnsi="宋体"/>
          <w:kern w:val="0"/>
          <w:sz w:val="24"/>
          <w:szCs w:val="24"/>
          <w:highlight w:val="none"/>
          <w:lang w:val="en-US" w:eastAsia="zh-CN"/>
        </w:rPr>
        <w:t xml:space="preserve">4.2 </w:t>
      </w:r>
      <w:r>
        <w:rPr>
          <w:rFonts w:hint="eastAsia" w:ascii="宋体" w:hAnsi="宋体"/>
          <w:kern w:val="0"/>
          <w:sz w:val="24"/>
          <w:szCs w:val="24"/>
          <w:highlight w:val="none"/>
        </w:rPr>
        <w:t>催化剂物理分</w:t>
      </w:r>
      <w:r>
        <w:rPr>
          <w:rFonts w:hint="eastAsia" w:ascii="宋体" w:hAnsi="宋体"/>
          <w:sz w:val="24"/>
          <w:szCs w:val="24"/>
          <w:highlight w:val="none"/>
        </w:rPr>
        <w:t>级</w:t>
      </w:r>
      <w:r>
        <w:rPr>
          <w:rFonts w:hint="eastAsia" w:ascii="宋体" w:hAnsi="宋体"/>
          <w:kern w:val="0"/>
          <w:sz w:val="24"/>
          <w:szCs w:val="24"/>
          <w:highlight w:val="none"/>
        </w:rPr>
        <w:t>效果由</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质检部进行评价。有争议时，委托有分析</w:t>
      </w:r>
      <w:r>
        <w:rPr>
          <w:rFonts w:hint="eastAsia" w:ascii="宋体" w:hAnsi="宋体"/>
          <w:color w:val="000000"/>
          <w:sz w:val="24"/>
          <w:szCs w:val="24"/>
          <w:highlight w:val="none"/>
        </w:rPr>
        <w:t>资质的第三方进行评价。</w:t>
      </w:r>
    </w:p>
    <w:p>
      <w:pPr>
        <w:spacing w:line="360" w:lineRule="auto"/>
        <w:ind w:left="499" w:leftChars="0" w:hanging="499" w:hangingChars="208"/>
        <w:rPr>
          <w:rFonts w:ascii="宋体" w:hAnsi="宋体"/>
          <w:color w:val="000000"/>
          <w:sz w:val="24"/>
          <w:szCs w:val="24"/>
          <w:highlight w:val="none"/>
        </w:rPr>
      </w:pPr>
      <w:r>
        <w:rPr>
          <w:rFonts w:hint="eastAsia" w:ascii="宋体" w:hAnsi="宋体"/>
          <w:color w:val="000000"/>
          <w:sz w:val="24"/>
          <w:szCs w:val="24"/>
          <w:highlight w:val="none"/>
        </w:rPr>
        <w:t>4.</w:t>
      </w:r>
      <w:r>
        <w:rPr>
          <w:rFonts w:hint="eastAsia" w:ascii="宋体" w:hAnsi="宋体"/>
          <w:color w:val="000000"/>
          <w:sz w:val="24"/>
          <w:szCs w:val="24"/>
          <w:highlight w:val="none"/>
          <w:lang w:val="en-US" w:eastAsia="zh-CN"/>
        </w:rPr>
        <w:t xml:space="preserve">3 </w:t>
      </w:r>
      <w:r>
        <w:rPr>
          <w:rFonts w:hint="eastAsia" w:ascii="宋体" w:hAnsi="宋体"/>
          <w:color w:val="000000"/>
          <w:sz w:val="24"/>
          <w:szCs w:val="24"/>
          <w:highlight w:val="none"/>
        </w:rPr>
        <w:t>分级后的催化剂分类包装标准：密封性好、防水、防潮，外观要清晰标明标牌号、批号、净重、日期等。</w:t>
      </w:r>
    </w:p>
    <w:p>
      <w:pPr>
        <w:spacing w:line="360" w:lineRule="auto"/>
        <w:ind w:left="499" w:leftChars="0" w:hanging="499" w:hangingChars="208"/>
        <w:rPr>
          <w:rFonts w:ascii="宋体" w:hAnsi="宋体"/>
          <w:color w:val="000000"/>
          <w:sz w:val="24"/>
          <w:szCs w:val="24"/>
          <w:highlight w:val="none"/>
        </w:rPr>
      </w:pPr>
      <w:r>
        <w:rPr>
          <w:rFonts w:hint="eastAsia" w:ascii="宋体" w:hAnsi="宋体"/>
          <w:color w:val="000000"/>
          <w:sz w:val="24"/>
          <w:szCs w:val="24"/>
          <w:highlight w:val="none"/>
        </w:rPr>
        <w:t>4.</w:t>
      </w:r>
      <w:r>
        <w:rPr>
          <w:rFonts w:hint="eastAsia" w:ascii="宋体" w:hAnsi="宋体"/>
          <w:color w:val="000000"/>
          <w:sz w:val="24"/>
          <w:szCs w:val="24"/>
          <w:highlight w:val="none"/>
          <w:lang w:val="en-US" w:eastAsia="zh-CN"/>
        </w:rPr>
        <w:t xml:space="preserve">4 </w:t>
      </w:r>
      <w:r>
        <w:rPr>
          <w:rFonts w:hint="eastAsia" w:ascii="宋体" w:hAnsi="宋体"/>
          <w:color w:val="000000"/>
          <w:sz w:val="24"/>
          <w:szCs w:val="24"/>
          <w:highlight w:val="none"/>
        </w:rPr>
        <w:t>被回收的低碳催化剂标准：颗粒直径＞1.4mm、含碳量≤7%，并标明标牌号。</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381" w:leftChars="0" w:right="0" w:rightChars="0" w:hanging="381" w:hangingChars="158"/>
        <w:jc w:val="left"/>
        <w:textAlignment w:val="auto"/>
        <w:outlineLvl w:val="9"/>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第五条  </w:t>
      </w:r>
      <w:r>
        <w:rPr>
          <w:rFonts w:hint="eastAsia" w:ascii="宋体" w:hAnsi="宋体"/>
          <w:b/>
          <w:bCs/>
          <w:color w:val="000000"/>
          <w:sz w:val="24"/>
          <w:szCs w:val="24"/>
          <w:highlight w:val="none"/>
        </w:rPr>
        <w:t xml:space="preserve">验收方法 </w:t>
      </w:r>
    </w:p>
    <w:p>
      <w:pPr>
        <w:spacing w:line="360" w:lineRule="auto"/>
        <w:ind w:left="477" w:leftChars="0" w:hanging="477" w:hangingChars="199"/>
        <w:rPr>
          <w:rFonts w:ascii="宋体" w:hAnsi="宋体"/>
          <w:color w:val="000000"/>
          <w:sz w:val="24"/>
          <w:szCs w:val="24"/>
          <w:highlight w:val="none"/>
        </w:rPr>
      </w:pPr>
      <w:r>
        <w:rPr>
          <w:rFonts w:hint="eastAsia" w:ascii="宋体" w:hAnsi="宋体"/>
          <w:color w:val="000000"/>
          <w:sz w:val="24"/>
          <w:szCs w:val="24"/>
          <w:highlight w:val="none"/>
        </w:rPr>
        <w:t>5.1</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风车式物理分级指标3.1.1的验收方法：最高碳含量是当催化剂分级处理完毕后，</w:t>
      </w:r>
      <w:r>
        <w:rPr>
          <w:rFonts w:hint="eastAsia" w:ascii="宋体" w:hAnsi="宋体"/>
          <w:kern w:val="0"/>
          <w:sz w:val="24"/>
          <w:szCs w:val="24"/>
          <w:highlight w:val="none"/>
          <w:lang w:val="en-US" w:eastAsia="zh-CN"/>
        </w:rPr>
        <w:t>甲、乙</w:t>
      </w:r>
      <w:r>
        <w:rPr>
          <w:rFonts w:hint="eastAsia" w:ascii="宋体" w:hAnsi="宋体"/>
          <w:color w:val="000000"/>
          <w:sz w:val="24"/>
          <w:szCs w:val="24"/>
          <w:highlight w:val="none"/>
        </w:rPr>
        <w:t>双方在场，由</w:t>
      </w:r>
      <w:r>
        <w:rPr>
          <w:rFonts w:hint="eastAsia" w:ascii="宋体" w:hAnsi="宋体"/>
          <w:kern w:val="0"/>
          <w:sz w:val="24"/>
          <w:szCs w:val="24"/>
          <w:highlight w:val="none"/>
          <w:lang w:val="en-US" w:eastAsia="zh-CN"/>
        </w:rPr>
        <w:t>甲方</w:t>
      </w:r>
      <w:r>
        <w:rPr>
          <w:rFonts w:hint="eastAsia" w:ascii="宋体" w:hAnsi="宋体"/>
          <w:color w:val="000000"/>
          <w:sz w:val="24"/>
          <w:szCs w:val="24"/>
          <w:highlight w:val="none"/>
        </w:rPr>
        <w:t>取出2000颗催化剂，在其中选出催化剂30颗最黑的（小球）催化剂交</w:t>
      </w:r>
      <w:r>
        <w:rPr>
          <w:rFonts w:hint="eastAsia" w:ascii="宋体" w:hAnsi="宋体"/>
          <w:kern w:val="0"/>
          <w:sz w:val="24"/>
          <w:szCs w:val="24"/>
          <w:highlight w:val="none"/>
          <w:lang w:val="en-US" w:eastAsia="zh-CN"/>
        </w:rPr>
        <w:t>甲方</w:t>
      </w:r>
      <w:r>
        <w:rPr>
          <w:rFonts w:hint="eastAsia" w:ascii="宋体" w:hAnsi="宋体"/>
          <w:color w:val="000000"/>
          <w:sz w:val="24"/>
          <w:szCs w:val="24"/>
          <w:highlight w:val="none"/>
        </w:rPr>
        <w:t>的质量技术中心进行碳含量测定，并以此分析数据作为验收数据。</w:t>
      </w:r>
    </w:p>
    <w:p>
      <w:pPr>
        <w:spacing w:line="360" w:lineRule="auto"/>
        <w:ind w:left="477" w:leftChars="0" w:hanging="477" w:hangingChars="199"/>
        <w:rPr>
          <w:rFonts w:ascii="宋体" w:hAnsi="宋体"/>
          <w:color w:val="000000"/>
          <w:sz w:val="24"/>
          <w:szCs w:val="24"/>
          <w:highlight w:val="none"/>
        </w:rPr>
      </w:pPr>
      <w:r>
        <w:rPr>
          <w:rFonts w:hint="eastAsia" w:ascii="宋体" w:hAnsi="宋体"/>
          <w:color w:val="000000"/>
          <w:sz w:val="24"/>
          <w:szCs w:val="24"/>
          <w:highlight w:val="none"/>
        </w:rPr>
        <w:t>5.2</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风车式物理分级指标3.1.2的验收方法：催化剂分级后可回装低炭催化剂中，</w:t>
      </w:r>
      <w:r>
        <w:rPr>
          <w:rFonts w:hint="eastAsia" w:ascii="宋体" w:hAnsi="宋体"/>
          <w:kern w:val="0"/>
          <w:sz w:val="24"/>
          <w:szCs w:val="24"/>
          <w:highlight w:val="none"/>
          <w:lang w:val="en-US" w:eastAsia="zh-CN"/>
        </w:rPr>
        <w:t>甲、乙</w:t>
      </w:r>
      <w:r>
        <w:rPr>
          <w:rFonts w:hint="eastAsia" w:ascii="宋体" w:hAnsi="宋体"/>
          <w:color w:val="000000"/>
          <w:sz w:val="24"/>
          <w:szCs w:val="24"/>
          <w:highlight w:val="none"/>
        </w:rPr>
        <w:t>双方在场，由</w:t>
      </w:r>
      <w:r>
        <w:rPr>
          <w:rFonts w:hint="eastAsia" w:ascii="宋体" w:hAnsi="宋体"/>
          <w:kern w:val="0"/>
          <w:sz w:val="24"/>
          <w:szCs w:val="24"/>
          <w:highlight w:val="none"/>
          <w:lang w:val="en-US" w:eastAsia="zh-CN"/>
        </w:rPr>
        <w:t>甲方</w:t>
      </w:r>
      <w:r>
        <w:rPr>
          <w:rFonts w:hint="eastAsia" w:ascii="宋体" w:hAnsi="宋体"/>
          <w:color w:val="000000"/>
          <w:sz w:val="24"/>
          <w:szCs w:val="24"/>
          <w:highlight w:val="none"/>
        </w:rPr>
        <w:t>取出2000颗催化剂，在其中选出最小的催化剂用千分尺测试，若直径大于1.4mm为合格，允许1.4mm＞Φ＞1.2mm两颗，小于1.2mm匀为不合格。</w:t>
      </w:r>
    </w:p>
    <w:p>
      <w:pPr>
        <w:spacing w:line="360" w:lineRule="auto"/>
        <w:ind w:left="477" w:leftChars="0" w:hanging="477" w:hangingChars="199"/>
        <w:rPr>
          <w:rFonts w:ascii="宋体" w:hAnsi="宋体"/>
          <w:color w:val="000000"/>
          <w:sz w:val="24"/>
          <w:szCs w:val="24"/>
          <w:highlight w:val="none"/>
        </w:rPr>
      </w:pPr>
      <w:r>
        <w:rPr>
          <w:rFonts w:hint="eastAsia" w:ascii="宋体" w:hAnsi="宋体"/>
          <w:color w:val="000000"/>
          <w:sz w:val="24"/>
          <w:szCs w:val="24"/>
          <w:highlight w:val="none"/>
        </w:rPr>
        <w:t>5.3</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风车式物理分级指标3.1.3的验收方法：重整催化剂物理分级前后分别在</w:t>
      </w:r>
      <w:r>
        <w:rPr>
          <w:rFonts w:hint="eastAsia" w:ascii="宋体" w:hAnsi="宋体"/>
          <w:kern w:val="0"/>
          <w:sz w:val="24"/>
          <w:szCs w:val="24"/>
          <w:highlight w:val="none"/>
          <w:lang w:val="en-US" w:eastAsia="zh-CN"/>
        </w:rPr>
        <w:t>甲方</w:t>
      </w:r>
      <w:r>
        <w:rPr>
          <w:rFonts w:hint="eastAsia" w:ascii="宋体" w:hAnsi="宋体"/>
          <w:color w:val="000000"/>
          <w:sz w:val="24"/>
          <w:szCs w:val="24"/>
          <w:highlight w:val="none"/>
        </w:rPr>
        <w:t>现场</w:t>
      </w:r>
      <w:r>
        <w:rPr>
          <w:rFonts w:ascii="宋体" w:hAnsi="宋体"/>
          <w:color w:val="000000"/>
          <w:sz w:val="24"/>
          <w:szCs w:val="24"/>
          <w:highlight w:val="none"/>
        </w:rPr>
        <w:t>称重认可</w:t>
      </w:r>
      <w:r>
        <w:rPr>
          <w:rFonts w:hint="eastAsia" w:ascii="宋体" w:hAnsi="宋体"/>
          <w:color w:val="000000"/>
          <w:sz w:val="24"/>
          <w:szCs w:val="24"/>
          <w:highlight w:val="none"/>
        </w:rPr>
        <w:t>，分级前后催化剂的重量差值与催化剂密度分级前的重量比值作为重整催化剂损耗率。</w:t>
      </w:r>
    </w:p>
    <w:p>
      <w:pPr>
        <w:spacing w:line="360" w:lineRule="auto"/>
        <w:ind w:left="477" w:leftChars="0" w:hanging="477" w:hangingChars="199"/>
        <w:rPr>
          <w:rFonts w:hint="eastAsia" w:ascii="宋体" w:hAnsi="宋体"/>
          <w:color w:val="000000"/>
          <w:sz w:val="24"/>
          <w:szCs w:val="24"/>
          <w:highlight w:val="none"/>
        </w:rPr>
      </w:pPr>
      <w:r>
        <w:rPr>
          <w:rFonts w:hint="eastAsia" w:ascii="宋体" w:hAnsi="宋体"/>
          <w:color w:val="000000"/>
          <w:sz w:val="24"/>
          <w:szCs w:val="24"/>
          <w:highlight w:val="none"/>
        </w:rPr>
        <w:t>5.4</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风车式物理分级指标3.1.4的验收方法：重整催化剂物理分级处理时间以</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签收</w:t>
      </w:r>
      <w:r>
        <w:rPr>
          <w:rFonts w:hint="eastAsia" w:ascii="宋体" w:hAnsi="宋体"/>
          <w:color w:val="000000"/>
          <w:sz w:val="24"/>
          <w:szCs w:val="24"/>
          <w:highlight w:val="none"/>
          <w:lang w:val="en-US" w:eastAsia="zh-CN"/>
        </w:rPr>
        <w:t>甲方</w:t>
      </w:r>
      <w:r>
        <w:rPr>
          <w:rFonts w:hint="eastAsia" w:ascii="宋体" w:hAnsi="宋体"/>
          <w:color w:val="000000"/>
          <w:sz w:val="24"/>
          <w:szCs w:val="24"/>
          <w:highlight w:val="none"/>
        </w:rPr>
        <w:t>的第一批催化剂开始计时，到物理分级处理完毕</w:t>
      </w:r>
      <w:r>
        <w:rPr>
          <w:rFonts w:hint="eastAsia" w:ascii="宋体" w:hAnsi="宋体"/>
          <w:kern w:val="0"/>
          <w:sz w:val="24"/>
          <w:szCs w:val="24"/>
          <w:highlight w:val="none"/>
          <w:lang w:val="en-US" w:eastAsia="zh-CN"/>
        </w:rPr>
        <w:t>甲方</w:t>
      </w:r>
      <w:r>
        <w:rPr>
          <w:rFonts w:hint="eastAsia" w:ascii="宋体" w:hAnsi="宋体"/>
          <w:color w:val="000000"/>
          <w:sz w:val="24"/>
          <w:szCs w:val="24"/>
          <w:highlight w:val="none"/>
        </w:rPr>
        <w:t>签收</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交回的最后一批催化剂结束计时（户外除外）。</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455" w:leftChars="0" w:right="0" w:rightChars="0" w:hanging="455" w:hangingChars="189"/>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b/>
          <w:bCs/>
          <w:sz w:val="24"/>
          <w:szCs w:val="24"/>
          <w:highlight w:val="none"/>
          <w:lang w:val="en-US" w:eastAsia="zh-CN" w:bidi="ar-SA"/>
        </w:rPr>
        <w:t>第</w:t>
      </w:r>
      <w:r>
        <w:rPr>
          <w:rFonts w:hint="eastAsia" w:ascii="Times New Roman" w:hAnsi="Times New Roman" w:cs="Times New Roman"/>
          <w:b/>
          <w:bCs/>
          <w:sz w:val="24"/>
          <w:szCs w:val="24"/>
          <w:highlight w:val="none"/>
          <w:lang w:val="en-US" w:eastAsia="zh-CN" w:bidi="ar-SA"/>
        </w:rPr>
        <w:t>六</w:t>
      </w:r>
      <w:r>
        <w:rPr>
          <w:rFonts w:hint="eastAsia" w:ascii="Times New Roman" w:hAnsi="Times New Roman" w:eastAsia="宋体" w:cs="Times New Roman"/>
          <w:b/>
          <w:bCs/>
          <w:sz w:val="24"/>
          <w:szCs w:val="24"/>
          <w:highlight w:val="none"/>
          <w:lang w:val="en-US" w:eastAsia="zh-CN" w:bidi="ar-SA"/>
        </w:rPr>
        <w:t>条</w:t>
      </w:r>
      <w:r>
        <w:rPr>
          <w:rFonts w:hint="eastAsia"/>
          <w:b/>
          <w:bCs/>
          <w:highlight w:val="none"/>
          <w:lang w:val="en-US" w:eastAsia="zh-CN"/>
        </w:rPr>
        <w:t xml:space="preserve">  </w:t>
      </w:r>
      <w:r>
        <w:rPr>
          <w:rFonts w:hint="eastAsia" w:ascii="Times New Roman" w:hAnsi="Times New Roman" w:eastAsia="宋体" w:cs="Times New Roman"/>
          <w:sz w:val="24"/>
          <w:szCs w:val="24"/>
          <w:highlight w:val="none"/>
          <w:lang w:val="en-US" w:eastAsia="zh-CN" w:bidi="ar-SA"/>
        </w:rPr>
        <w:t>双方确定，按以下标准和方式对乙方提交的技术咨询工作成果进行验收：</w:t>
      </w:r>
    </w:p>
    <w:p>
      <w:pPr>
        <w:keepNext w:val="0"/>
        <w:keepLines w:val="0"/>
        <w:pageBreakBefore w:val="0"/>
        <w:widowControl w:val="0"/>
        <w:kinsoku/>
        <w:wordWrap/>
        <w:overflowPunct/>
        <w:topLinePunct w:val="0"/>
        <w:autoSpaceDE w:val="0"/>
        <w:autoSpaceDN w:val="0"/>
        <w:bidi w:val="0"/>
        <w:adjustRightInd/>
        <w:snapToGrid/>
        <w:spacing w:line="360" w:lineRule="auto"/>
        <w:ind w:left="20" w:leftChars="9" w:right="0" w:rightChars="0" w:firstLine="480" w:firstLineChars="20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cs="Times New Roman"/>
          <w:sz w:val="24"/>
          <w:szCs w:val="24"/>
          <w:highlight w:val="none"/>
          <w:lang w:val="en-US" w:eastAsia="zh-CN" w:bidi="ar-SA"/>
        </w:rPr>
        <w:t>6.</w:t>
      </w:r>
      <w:r>
        <w:rPr>
          <w:rFonts w:hint="eastAsia" w:ascii="Times New Roman" w:hAnsi="Times New Roman" w:eastAsia="宋体" w:cs="Times New Roman"/>
          <w:sz w:val="24"/>
          <w:szCs w:val="24"/>
          <w:highlight w:val="none"/>
          <w:lang w:val="en-US" w:eastAsia="zh-CN" w:bidi="ar-SA"/>
        </w:rPr>
        <w:t>1</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乙方提交技术工作成果的形式：见发包说明</w:t>
      </w:r>
    </w:p>
    <w:p>
      <w:pPr>
        <w:keepNext w:val="0"/>
        <w:keepLines w:val="0"/>
        <w:pageBreakBefore w:val="0"/>
        <w:widowControl w:val="0"/>
        <w:kinsoku/>
        <w:wordWrap/>
        <w:overflowPunct/>
        <w:topLinePunct w:val="0"/>
        <w:autoSpaceDE w:val="0"/>
        <w:autoSpaceDN w:val="0"/>
        <w:bidi w:val="0"/>
        <w:adjustRightInd/>
        <w:snapToGrid/>
        <w:spacing w:line="360" w:lineRule="auto"/>
        <w:ind w:left="20" w:leftChars="9" w:right="0" w:rightChars="0" w:firstLine="480" w:firstLineChars="20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cs="Times New Roman"/>
          <w:sz w:val="24"/>
          <w:szCs w:val="24"/>
          <w:highlight w:val="none"/>
          <w:lang w:val="en-US" w:eastAsia="zh-CN" w:bidi="ar-SA"/>
        </w:rPr>
        <w:t xml:space="preserve">6.2 </w:t>
      </w:r>
      <w:r>
        <w:rPr>
          <w:rFonts w:hint="eastAsia" w:ascii="Times New Roman" w:hAnsi="Times New Roman" w:eastAsia="宋体" w:cs="Times New Roman"/>
          <w:sz w:val="24"/>
          <w:szCs w:val="24"/>
          <w:highlight w:val="none"/>
          <w:lang w:val="en-US" w:eastAsia="zh-CN" w:bidi="ar-SA"/>
        </w:rPr>
        <w:t>技术工作成果的验收标准：见发包说明</w:t>
      </w:r>
    </w:p>
    <w:p>
      <w:pPr>
        <w:keepNext w:val="0"/>
        <w:keepLines w:val="0"/>
        <w:pageBreakBefore w:val="0"/>
        <w:widowControl w:val="0"/>
        <w:kinsoku/>
        <w:wordWrap/>
        <w:overflowPunct/>
        <w:topLinePunct w:val="0"/>
        <w:autoSpaceDE w:val="0"/>
        <w:autoSpaceDN w:val="0"/>
        <w:bidi w:val="0"/>
        <w:adjustRightInd/>
        <w:snapToGrid/>
        <w:spacing w:line="360" w:lineRule="auto"/>
        <w:ind w:left="20" w:leftChars="9"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bidi="ar-SA"/>
        </w:rPr>
      </w:pPr>
      <w:r>
        <w:rPr>
          <w:rFonts w:hint="eastAsia" w:ascii="Times New Roman" w:hAnsi="Times New Roman" w:cs="Times New Roman"/>
          <w:sz w:val="24"/>
          <w:szCs w:val="24"/>
          <w:highlight w:val="none"/>
          <w:lang w:val="en-US" w:eastAsia="zh-CN" w:bidi="ar-SA"/>
        </w:rPr>
        <w:t xml:space="preserve">6.3 </w:t>
      </w:r>
      <w:r>
        <w:rPr>
          <w:rFonts w:hint="default" w:ascii="Times New Roman" w:hAnsi="Times New Roman" w:eastAsia="宋体" w:cs="Times New Roman"/>
          <w:sz w:val="24"/>
          <w:szCs w:val="24"/>
          <w:highlight w:val="none"/>
          <w:lang w:val="en-US" w:eastAsia="zh-CN" w:bidi="ar-SA"/>
        </w:rPr>
        <w:t>验收地点：甲方现场指定地点。</w:t>
      </w:r>
    </w:p>
    <w:p>
      <w:pPr>
        <w:keepNext w:val="0"/>
        <w:keepLines w:val="0"/>
        <w:pageBreakBefore w:val="0"/>
        <w:widowControl w:val="0"/>
        <w:kinsoku/>
        <w:wordWrap/>
        <w:overflowPunct/>
        <w:topLinePunct w:val="0"/>
        <w:autoSpaceDE w:val="0"/>
        <w:autoSpaceDN w:val="0"/>
        <w:bidi w:val="0"/>
        <w:adjustRightInd/>
        <w:snapToGrid/>
        <w:spacing w:line="360" w:lineRule="auto"/>
        <w:ind w:left="979" w:leftChars="227" w:right="0" w:rightChars="0" w:hanging="480" w:hangingChars="200"/>
        <w:jc w:val="left"/>
        <w:textAlignment w:val="auto"/>
        <w:outlineLvl w:val="9"/>
        <w:rPr>
          <w:rFonts w:hint="default" w:ascii="Times New Roman" w:hAnsi="Times New Roman" w:eastAsia="宋体" w:cs="Times New Roman"/>
          <w:sz w:val="24"/>
          <w:szCs w:val="24"/>
          <w:highlight w:val="none"/>
          <w:lang w:val="en-US" w:eastAsia="zh-CN" w:bidi="ar-SA"/>
        </w:rPr>
      </w:pPr>
      <w:r>
        <w:rPr>
          <w:rFonts w:hint="eastAsia" w:ascii="Times New Roman" w:hAnsi="Times New Roman" w:cs="Times New Roman"/>
          <w:sz w:val="24"/>
          <w:szCs w:val="24"/>
          <w:highlight w:val="none"/>
          <w:lang w:val="en-US" w:eastAsia="zh-CN" w:bidi="ar-SA"/>
        </w:rPr>
        <w:t>6.</w:t>
      </w:r>
      <w:r>
        <w:rPr>
          <w:rFonts w:hint="default" w:ascii="Times New Roman" w:hAnsi="Times New Roman" w:eastAsia="宋体" w:cs="Times New Roman"/>
          <w:sz w:val="24"/>
          <w:szCs w:val="24"/>
          <w:highlight w:val="none"/>
          <w:lang w:val="en-US" w:eastAsia="zh-CN" w:bidi="ar-SA"/>
        </w:rPr>
        <w:t>4</w:t>
      </w:r>
      <w:r>
        <w:rPr>
          <w:rFonts w:hint="eastAsia" w:ascii="Times New Roman" w:hAnsi="Times New Roman" w:cs="Times New Roman"/>
          <w:sz w:val="24"/>
          <w:szCs w:val="24"/>
          <w:highlight w:val="none"/>
          <w:lang w:val="en-US" w:eastAsia="zh-CN" w:bidi="ar-SA"/>
        </w:rPr>
        <w:t xml:space="preserve"> </w:t>
      </w:r>
      <w:r>
        <w:rPr>
          <w:rFonts w:hint="default" w:ascii="Times New Roman" w:hAnsi="Times New Roman" w:eastAsia="宋体" w:cs="Times New Roman"/>
          <w:sz w:val="24"/>
          <w:szCs w:val="24"/>
          <w:highlight w:val="none"/>
          <w:lang w:val="en-US" w:eastAsia="zh-CN" w:bidi="ar-SA"/>
        </w:rPr>
        <w:t>双方确认，甲方的确认仅作为付款依据，不代表甲方对乙方工作成果的最终认可。在相关资料报告运用过程中，如有证据表明乙方存</w:t>
      </w:r>
      <w:r>
        <w:rPr>
          <w:rFonts w:hint="eastAsia" w:ascii="Times New Roman" w:hAnsi="Times New Roman" w:cs="Times New Roman"/>
          <w:sz w:val="24"/>
          <w:szCs w:val="24"/>
          <w:highlight w:val="none"/>
          <w:lang w:val="en-US" w:eastAsia="zh-CN" w:bidi="ar-SA"/>
        </w:rPr>
        <w:t>在</w:t>
      </w:r>
      <w:r>
        <w:rPr>
          <w:rFonts w:hint="default" w:ascii="Times New Roman" w:hAnsi="Times New Roman" w:eastAsia="宋体" w:cs="Times New Roman"/>
          <w:sz w:val="24"/>
          <w:szCs w:val="24"/>
          <w:highlight w:val="none"/>
          <w:lang w:val="en-US" w:eastAsia="zh-CN" w:bidi="ar-SA"/>
        </w:rPr>
        <w:t>弄虚作假等违反合同约定的情形，甲方仍有权要求乙方承担由此造成的损失和法律后果。</w:t>
      </w:r>
    </w:p>
    <w:p>
      <w:pPr>
        <w:pStyle w:val="8"/>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sz w:val="24"/>
          <w:szCs w:val="24"/>
          <w:highlight w:val="none"/>
          <w:lang w:eastAsia="zh-CN"/>
        </w:rPr>
        <w:t>第</w:t>
      </w:r>
      <w:r>
        <w:rPr>
          <w:rFonts w:hint="eastAsia" w:ascii="Times New Roman" w:hAnsi="Times New Roman" w:cs="Times New Roman"/>
          <w:b/>
          <w:sz w:val="24"/>
          <w:szCs w:val="24"/>
          <w:highlight w:val="none"/>
          <w:lang w:val="en-US" w:eastAsia="zh-CN"/>
        </w:rPr>
        <w:t>七</w:t>
      </w:r>
      <w:r>
        <w:rPr>
          <w:rFonts w:hint="default" w:ascii="Times New Roman" w:hAnsi="Times New Roman" w:eastAsia="宋体" w:cs="Times New Roman"/>
          <w:b/>
          <w:sz w:val="24"/>
          <w:szCs w:val="24"/>
          <w:highlight w:val="none"/>
          <w:lang w:eastAsia="zh-CN"/>
        </w:rPr>
        <w:t>条</w:t>
      </w:r>
      <w:r>
        <w:rPr>
          <w:rFonts w:hint="default" w:ascii="Times New Roman" w:hAnsi="Times New Roman" w:eastAsia="宋体"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甲方向乙方支付技术服务报酬及支付方式为：</w:t>
      </w:r>
    </w:p>
    <w:p>
      <w:pPr>
        <w:pStyle w:val="9"/>
        <w:keepNext w:val="0"/>
        <w:keepLines w:val="0"/>
        <w:pageBreakBefore w:val="0"/>
        <w:widowControl/>
        <w:suppressLineNumbers w:val="0"/>
        <w:kinsoku/>
        <w:wordWrap/>
        <w:overflowPunct/>
        <w:topLinePunct w:val="0"/>
        <w:bidi w:val="0"/>
        <w:snapToGrid/>
        <w:spacing w:before="0" w:beforeAutospacing="0" w:after="0" w:afterAutospacing="0" w:line="360" w:lineRule="auto"/>
        <w:ind w:left="414" w:leftChars="-9" w:right="-226" w:hanging="434" w:hangingChars="181"/>
        <w:jc w:val="left"/>
        <w:textAlignment w:val="auto"/>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7.</w:t>
      </w:r>
      <w:r>
        <w:rPr>
          <w:rFonts w:hint="default" w:ascii="Times New Roman" w:hAnsi="Times New Roman" w:eastAsia="宋体" w:cs="Times New Roman"/>
          <w:sz w:val="24"/>
          <w:szCs w:val="24"/>
          <w:highlight w:val="none"/>
          <w:lang w:eastAsia="zh-CN"/>
        </w:rPr>
        <w:t>1</w:t>
      </w:r>
      <w:r>
        <w:rPr>
          <w:rFonts w:hint="eastAsia" w:ascii="Times New Roman" w:hAnsi="Times New Roman" w:cs="Times New Roman"/>
          <w:sz w:val="24"/>
          <w:szCs w:val="24"/>
          <w:highlight w:val="none"/>
          <w:lang w:val="en-US" w:eastAsia="zh-CN"/>
        </w:rPr>
        <w:t xml:space="preserve"> 技术</w:t>
      </w:r>
      <w:r>
        <w:rPr>
          <w:rFonts w:hint="default" w:ascii="Times New Roman" w:hAnsi="Times New Roman" w:eastAsia="宋体" w:cs="Times New Roman"/>
          <w:sz w:val="24"/>
          <w:szCs w:val="24"/>
          <w:highlight w:val="none"/>
          <w:lang w:eastAsia="zh-CN"/>
        </w:rPr>
        <w:t>服务</w:t>
      </w:r>
      <w:r>
        <w:rPr>
          <w:rFonts w:hint="eastAsia" w:ascii="Times New Roman" w:hAnsi="Times New Roman" w:cs="Times New Roman"/>
          <w:sz w:val="24"/>
          <w:szCs w:val="24"/>
          <w:highlight w:val="none"/>
          <w:lang w:val="en-US" w:eastAsia="zh-CN"/>
        </w:rPr>
        <w:t>报酬固定综合单价为：</w:t>
      </w:r>
      <w:r>
        <w:rPr>
          <w:rFonts w:hint="default" w:ascii="Times New Roman" w:hAnsi="Times New Roman" w:eastAsia="宋体" w:cs="Times New Roman"/>
          <w:sz w:val="24"/>
          <w:szCs w:val="24"/>
          <w:highlight w:val="none"/>
          <w:lang w:eastAsia="zh-CN"/>
        </w:rPr>
        <w:t>人民币</w:t>
      </w:r>
      <w:r>
        <w:rPr>
          <w:rFonts w:hint="default" w:ascii="Times New Roman" w:hAnsi="Times New Roman" w:eastAsia="宋体" w:cs="Times New Roman"/>
          <w:b/>
          <w:bCs/>
          <w:sz w:val="24"/>
          <w:szCs w:val="24"/>
          <w:highlight w:val="none"/>
          <w:u w:val="single"/>
          <w:lang w:eastAsia="zh-CN"/>
        </w:rPr>
        <w:t xml:space="preserve"> </w:t>
      </w:r>
      <w:r>
        <w:rPr>
          <w:rFonts w:hint="eastAsia" w:ascii="Times New Roman" w:hAnsi="Times New Roman" w:cs="Times New Roman"/>
          <w:b/>
          <w:bCs/>
          <w:sz w:val="24"/>
          <w:szCs w:val="24"/>
          <w:highlight w:val="none"/>
          <w:u w:val="single"/>
          <w:lang w:val="en-US" w:eastAsia="zh-CN"/>
        </w:rPr>
        <w:t xml:space="preserve">        </w:t>
      </w:r>
      <w:r>
        <w:rPr>
          <w:rFonts w:hint="default" w:ascii="Times New Roman" w:hAnsi="Times New Roman" w:eastAsia="宋体" w:cs="Times New Roman"/>
          <w:b/>
          <w:bCs/>
          <w:sz w:val="24"/>
          <w:szCs w:val="24"/>
          <w:highlight w:val="none"/>
          <w:lang w:eastAsia="zh-CN"/>
        </w:rPr>
        <w:t>元</w:t>
      </w:r>
      <w:r>
        <w:rPr>
          <w:rFonts w:hint="eastAsia" w:ascii="Times New Roman" w:hAnsi="Times New Roman" w:cs="Times New Roman"/>
          <w:b/>
          <w:bCs/>
          <w:sz w:val="24"/>
          <w:szCs w:val="24"/>
          <w:highlight w:val="none"/>
          <w:lang w:val="en-US" w:eastAsia="zh-CN"/>
        </w:rPr>
        <w:t>/吨</w:t>
      </w:r>
      <w:r>
        <w:rPr>
          <w:rFonts w:hint="default" w:ascii="Times New Roman" w:hAnsi="Times New Roman" w:eastAsia="宋体" w:cs="Times New Roman"/>
          <w:sz w:val="24"/>
          <w:szCs w:val="24"/>
          <w:highlight w:val="none"/>
          <w:lang w:eastAsia="zh-CN"/>
        </w:rPr>
        <w:t>整(含</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sz w:val="24"/>
          <w:szCs w:val="24"/>
          <w:highlight w:val="none"/>
          <w:lang w:val="en-US" w:eastAsia="zh-CN"/>
        </w:rPr>
        <w:t>增值</w:t>
      </w:r>
      <w:r>
        <w:rPr>
          <w:rFonts w:hint="default" w:ascii="Times New Roman" w:hAnsi="Times New Roman" w:eastAsia="宋体" w:cs="Times New Roman"/>
          <w:sz w:val="24"/>
          <w:szCs w:val="24"/>
          <w:highlight w:val="none"/>
          <w:lang w:eastAsia="zh-CN"/>
        </w:rPr>
        <w:t>税</w:t>
      </w:r>
      <w:r>
        <w:rPr>
          <w:rFonts w:hint="eastAsia" w:ascii="Times New Roman" w:hAnsi="Times New Roman" w:cs="Times New Roman"/>
          <w:sz w:val="24"/>
          <w:szCs w:val="24"/>
          <w:highlight w:val="none"/>
          <w:lang w:val="en-US" w:eastAsia="zh-CN"/>
        </w:rPr>
        <w:t>专用发票）</w:t>
      </w:r>
      <w:r>
        <w:rPr>
          <w:rFonts w:hint="default"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lang w:val="en-US" w:eastAsia="zh-CN"/>
        </w:rPr>
        <w:t>暂定处理数量为185吨，暂定总价为人民币</w:t>
      </w:r>
      <w:r>
        <w:rPr>
          <w:rFonts w:hint="default" w:ascii="Times New Roman" w:hAnsi="Times New Roman" w:eastAsia="宋体" w:cs="Times New Roman"/>
          <w:b/>
          <w:bCs/>
          <w:sz w:val="24"/>
          <w:szCs w:val="24"/>
          <w:highlight w:val="none"/>
          <w:u w:val="single"/>
          <w:lang w:eastAsia="zh-CN"/>
        </w:rPr>
        <w:t xml:space="preserve"> </w:t>
      </w:r>
      <w:r>
        <w:rPr>
          <w:rFonts w:hint="eastAsia" w:ascii="Times New Roman" w:hAnsi="Times New Roman" w:cs="Times New Roman"/>
          <w:b/>
          <w:bCs/>
          <w:sz w:val="24"/>
          <w:szCs w:val="24"/>
          <w:highlight w:val="none"/>
          <w:u w:val="single"/>
          <w:lang w:val="en-US" w:eastAsia="zh-CN"/>
        </w:rPr>
        <w:t xml:space="preserve">        </w:t>
      </w:r>
      <w:r>
        <w:rPr>
          <w:rFonts w:hint="default" w:ascii="Times New Roman" w:hAnsi="Times New Roman" w:eastAsia="宋体" w:cs="Times New Roman"/>
          <w:b/>
          <w:bCs/>
          <w:sz w:val="24"/>
          <w:szCs w:val="24"/>
          <w:highlight w:val="none"/>
          <w:u w:val="single"/>
          <w:lang w:val="en-US" w:eastAsia="zh-CN"/>
        </w:rPr>
        <w:t>元</w:t>
      </w:r>
      <w:r>
        <w:rPr>
          <w:rFonts w:hint="default" w:ascii="Times New Roman" w:hAnsi="Times New Roman" w:eastAsia="宋体" w:cs="Times New Roman"/>
          <w:b/>
          <w:bCs/>
          <w:sz w:val="24"/>
          <w:szCs w:val="24"/>
          <w:highlight w:val="none"/>
          <w:lang w:eastAsia="zh-CN"/>
        </w:rPr>
        <w:t>整</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(含</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sz w:val="24"/>
          <w:szCs w:val="24"/>
          <w:highlight w:val="none"/>
          <w:lang w:val="en-US" w:eastAsia="zh-CN"/>
        </w:rPr>
        <w:t>增值</w:t>
      </w:r>
      <w:r>
        <w:rPr>
          <w:rFonts w:hint="default" w:ascii="Times New Roman" w:hAnsi="Times New Roman" w:eastAsia="宋体" w:cs="Times New Roman"/>
          <w:sz w:val="24"/>
          <w:szCs w:val="24"/>
          <w:highlight w:val="none"/>
          <w:lang w:eastAsia="zh-CN"/>
        </w:rPr>
        <w:t>税</w:t>
      </w:r>
      <w:r>
        <w:rPr>
          <w:rFonts w:hint="eastAsia" w:ascii="Times New Roman" w:hAnsi="Times New Roman" w:cs="Times New Roman"/>
          <w:sz w:val="24"/>
          <w:szCs w:val="24"/>
          <w:highlight w:val="none"/>
          <w:lang w:val="en-US" w:eastAsia="zh-CN"/>
        </w:rPr>
        <w:t>专用发票）</w:t>
      </w:r>
      <w:r>
        <w:rPr>
          <w:rFonts w:hint="default" w:ascii="Times New Roman" w:hAnsi="Times New Roman" w:eastAsia="宋体" w:cs="Times New Roman"/>
          <w:sz w:val="24"/>
          <w:szCs w:val="24"/>
          <w:highlight w:val="none"/>
          <w:lang w:eastAsia="zh-CN"/>
        </w:rPr>
        <w:t>。</w:t>
      </w:r>
    </w:p>
    <w:p>
      <w:pPr>
        <w:pStyle w:val="9"/>
        <w:keepNext w:val="0"/>
        <w:keepLines w:val="0"/>
        <w:pageBreakBefore w:val="0"/>
        <w:widowControl/>
        <w:suppressLineNumbers w:val="0"/>
        <w:kinsoku/>
        <w:wordWrap/>
        <w:overflowPunct/>
        <w:topLinePunct w:val="0"/>
        <w:bidi w:val="0"/>
        <w:snapToGrid/>
        <w:spacing w:before="0" w:beforeAutospacing="0" w:after="0" w:afterAutospacing="0" w:line="360" w:lineRule="auto"/>
        <w:ind w:left="414" w:leftChars="-9" w:right="-226" w:hanging="434" w:hangingChars="181"/>
        <w:jc w:val="left"/>
        <w:textAlignment w:val="auto"/>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7.</w:t>
      </w:r>
      <w:r>
        <w:rPr>
          <w:rFonts w:hint="default" w:ascii="Times New Roman" w:hAnsi="Times New Roman" w:eastAsia="宋体" w:cs="Times New Roman"/>
          <w:sz w:val="24"/>
          <w:szCs w:val="24"/>
          <w:highlight w:val="none"/>
          <w:lang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具体支付方式和时间分配如下：</w:t>
      </w:r>
    </w:p>
    <w:p>
      <w:pPr>
        <w:pStyle w:val="9"/>
        <w:keepNext w:val="0"/>
        <w:keepLines w:val="0"/>
        <w:pageBreakBefore w:val="0"/>
        <w:widowControl/>
        <w:suppressLineNumbers w:val="0"/>
        <w:kinsoku/>
        <w:wordWrap/>
        <w:overflowPunct/>
        <w:topLinePunct w:val="0"/>
        <w:bidi w:val="0"/>
        <w:snapToGrid/>
        <w:spacing w:before="0" w:beforeAutospacing="0" w:after="0" w:afterAutospacing="0" w:line="360" w:lineRule="auto"/>
        <w:ind w:left="40" w:leftChars="18" w:right="-226" w:firstLine="463" w:firstLineChars="193"/>
        <w:jc w:val="left"/>
        <w:textAlignment w:val="auto"/>
        <w:outlineLvl w:val="9"/>
        <w:rPr>
          <w:rFonts w:hint="default" w:ascii="Times New Roman" w:hAnsi="Times New Roman" w:eastAsia="宋体" w:cs="Times New Roman"/>
          <w:sz w:val="24"/>
          <w:szCs w:val="24"/>
          <w:highlight w:val="none"/>
          <w:lang w:val="en-US" w:eastAsia="zh-CN" w:bidi="ar-SA"/>
        </w:rPr>
      </w:pPr>
      <w:r>
        <w:rPr>
          <w:rFonts w:hint="default" w:ascii="Times New Roman" w:hAnsi="Times New Roman" w:cs="Times New Roman"/>
          <w:sz w:val="24"/>
          <w:szCs w:val="24"/>
          <w:highlight w:val="none"/>
          <w:lang w:val="en-US" w:eastAsia="zh-CN" w:bidi="ar-SA"/>
        </w:rPr>
        <w:t>乙方应在全部</w:t>
      </w:r>
      <w:r>
        <w:rPr>
          <w:rFonts w:hint="eastAsia" w:ascii="Times New Roman" w:hAnsi="Times New Roman" w:cs="Times New Roman"/>
          <w:sz w:val="24"/>
          <w:szCs w:val="24"/>
          <w:highlight w:val="none"/>
          <w:lang w:val="en-US" w:eastAsia="zh-CN" w:bidi="ar-SA"/>
        </w:rPr>
        <w:t>作业</w:t>
      </w:r>
      <w:r>
        <w:rPr>
          <w:rFonts w:hint="default" w:ascii="Times New Roman" w:hAnsi="Times New Roman" w:cs="Times New Roman"/>
          <w:sz w:val="24"/>
          <w:szCs w:val="24"/>
          <w:highlight w:val="none"/>
          <w:lang w:val="en-US" w:eastAsia="zh-CN" w:bidi="ar-SA"/>
        </w:rPr>
        <w:t>完成后</w:t>
      </w:r>
      <w:r>
        <w:rPr>
          <w:rFonts w:hint="eastAsia" w:ascii="Times New Roman" w:hAnsi="Times New Roman" w:cs="Times New Roman"/>
          <w:sz w:val="24"/>
          <w:szCs w:val="24"/>
          <w:highlight w:val="none"/>
          <w:lang w:val="en-US" w:eastAsia="zh-CN" w:bidi="ar-SA"/>
        </w:rPr>
        <w:t>提供质量报告并完成结算，甲方收到乙方提供结算费用全额增值税专用发票</w:t>
      </w:r>
      <w:r>
        <w:rPr>
          <w:rFonts w:hint="default" w:ascii="Times New Roman" w:hAnsi="Times New Roman" w:eastAsia="宋体" w:cs="Times New Roman"/>
          <w:sz w:val="24"/>
          <w:szCs w:val="24"/>
          <w:highlight w:val="none"/>
          <w:lang w:val="en-US" w:eastAsia="zh-CN" w:bidi="ar-SA"/>
        </w:rPr>
        <w:t>60日内，甲方支付</w:t>
      </w:r>
      <w:r>
        <w:rPr>
          <w:rFonts w:hint="eastAsia" w:ascii="Times New Roman" w:hAnsi="Times New Roman" w:cs="Times New Roman"/>
          <w:sz w:val="24"/>
          <w:szCs w:val="24"/>
          <w:highlight w:val="none"/>
          <w:lang w:val="en-US" w:eastAsia="zh-CN" w:bidi="ar-SA"/>
        </w:rPr>
        <w:t>结算金</w:t>
      </w:r>
      <w:r>
        <w:rPr>
          <w:rFonts w:hint="default" w:ascii="Times New Roman" w:hAnsi="Times New Roman" w:eastAsia="宋体" w:cs="Times New Roman"/>
          <w:sz w:val="24"/>
          <w:szCs w:val="24"/>
          <w:highlight w:val="none"/>
          <w:lang w:val="en-US" w:eastAsia="zh-CN" w:bidi="ar-SA"/>
        </w:rPr>
        <w:t>额的100 %</w:t>
      </w:r>
      <w:r>
        <w:rPr>
          <w:rFonts w:hint="eastAsia" w:ascii="Times New Roman" w:hAnsi="Times New Roman" w:cs="Times New Roman"/>
          <w:sz w:val="24"/>
          <w:szCs w:val="24"/>
          <w:highlight w:val="none"/>
          <w:lang w:val="en-US" w:eastAsia="zh-CN" w:bidi="ar-SA"/>
        </w:rPr>
        <w:t xml:space="preserve">  </w:t>
      </w:r>
      <w:r>
        <w:rPr>
          <w:rFonts w:hint="default" w:ascii="Times New Roman" w:hAnsi="Times New Roman" w:eastAsia="宋体" w:cs="Times New Roman"/>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left="412" w:leftChars="-9" w:right="0" w:rightChars="0" w:hanging="432" w:hangingChars="18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cs="Times New Roman"/>
          <w:sz w:val="24"/>
          <w:szCs w:val="24"/>
          <w:highlight w:val="none"/>
          <w:lang w:val="en-US" w:eastAsia="zh-CN" w:bidi="ar-SA"/>
        </w:rPr>
        <w:t>7</w:t>
      </w:r>
      <w:r>
        <w:rPr>
          <w:rFonts w:hint="eastAsia" w:ascii="Times New Roman" w:hAnsi="Times New Roman" w:eastAsia="宋体" w:cs="Times New Roman"/>
          <w:sz w:val="24"/>
          <w:szCs w:val="24"/>
          <w:highlight w:val="none"/>
          <w:lang w:val="en-US" w:eastAsia="zh-CN" w:bidi="ar-SA"/>
        </w:rPr>
        <w:t>.3 上述技术服务报酬直接支付至乙方指定的下列账号：</w:t>
      </w:r>
    </w:p>
    <w:p>
      <w:pPr>
        <w:keepNext w:val="0"/>
        <w:keepLines w:val="0"/>
        <w:pageBreakBefore w:val="0"/>
        <w:widowControl w:val="0"/>
        <w:kinsoku/>
        <w:wordWrap/>
        <w:overflowPunct/>
        <w:topLinePunct w:val="0"/>
        <w:autoSpaceDE w:val="0"/>
        <w:autoSpaceDN w:val="0"/>
        <w:bidi w:val="0"/>
        <w:adjustRightInd/>
        <w:snapToGrid/>
        <w:spacing w:line="360" w:lineRule="auto"/>
        <w:ind w:left="460" w:leftChars="209" w:right="0" w:rightChars="0" w:firstLine="48" w:firstLineChars="2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460" w:leftChars="209" w:right="0" w:rightChars="0" w:firstLine="48" w:firstLineChars="2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公司名称：</w:t>
      </w:r>
    </w:p>
    <w:p>
      <w:pPr>
        <w:keepNext w:val="0"/>
        <w:keepLines w:val="0"/>
        <w:pageBreakBefore w:val="0"/>
        <w:widowControl w:val="0"/>
        <w:kinsoku/>
        <w:wordWrap/>
        <w:overflowPunct/>
        <w:topLinePunct w:val="0"/>
        <w:autoSpaceDE w:val="0"/>
        <w:autoSpaceDN w:val="0"/>
        <w:bidi w:val="0"/>
        <w:adjustRightInd/>
        <w:snapToGrid/>
        <w:spacing w:line="360" w:lineRule="auto"/>
        <w:ind w:left="460" w:leftChars="209" w:right="0" w:rightChars="0" w:firstLine="48" w:firstLineChars="20"/>
        <w:jc w:val="left"/>
        <w:textAlignment w:val="auto"/>
        <w:outlineLvl w:val="9"/>
        <w:rPr>
          <w:rFonts w:hint="default"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账</w:t>
      </w:r>
      <w:r>
        <w:rPr>
          <w:rFonts w:hint="eastAsia" w:ascii="Times New Roman" w:hAnsi="Times New Roman" w:cs="Times New Roman"/>
          <w:sz w:val="24"/>
          <w:szCs w:val="24"/>
          <w:highlight w:val="none"/>
          <w:lang w:val="en-US" w:eastAsia="zh-CN" w:bidi="ar-SA"/>
        </w:rPr>
        <w:t xml:space="preserve">    </w:t>
      </w:r>
      <w:r>
        <w:rPr>
          <w:rFonts w:hint="eastAsia" w:ascii="Times New Roman" w:hAnsi="Times New Roman" w:eastAsia="宋体" w:cs="Times New Roman"/>
          <w:sz w:val="24"/>
          <w:szCs w:val="24"/>
          <w:highlight w:val="none"/>
          <w:lang w:val="en-US" w:eastAsia="zh-CN" w:bidi="ar-SA"/>
        </w:rPr>
        <w:t>号：</w:t>
      </w:r>
    </w:p>
    <w:p>
      <w:pPr>
        <w:pStyle w:val="8"/>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val="0"/>
          <w:sz w:val="24"/>
          <w:szCs w:val="24"/>
          <w:highlight w:val="none"/>
          <w:lang w:eastAsia="zh-CN"/>
        </w:rPr>
        <w:t>第</w:t>
      </w:r>
      <w:r>
        <w:rPr>
          <w:rFonts w:hint="eastAsia" w:ascii="Times New Roman" w:hAnsi="Times New Roman" w:cs="Times New Roman"/>
          <w:b/>
          <w:bCs w:val="0"/>
          <w:sz w:val="24"/>
          <w:szCs w:val="24"/>
          <w:highlight w:val="none"/>
          <w:lang w:val="en-US" w:eastAsia="zh-CN"/>
        </w:rPr>
        <w:t xml:space="preserve">八条 </w:t>
      </w:r>
      <w:r>
        <w:rPr>
          <w:rFonts w:hint="default" w:ascii="Times New Roman" w:hAnsi="Times New Roman" w:eastAsia="宋体" w:cs="Times New Roman"/>
          <w:b/>
          <w:bCs w:val="0"/>
          <w:sz w:val="24"/>
          <w:szCs w:val="24"/>
          <w:highlight w:val="none"/>
          <w:lang w:eastAsia="zh-CN"/>
        </w:rPr>
        <w:t xml:space="preserve"> 双方确定因履行本合同应遵守的保密义务如下：</w:t>
      </w:r>
    </w:p>
    <w:p>
      <w:pPr>
        <w:pStyle w:val="8"/>
        <w:keepNext w:val="0"/>
        <w:keepLines w:val="0"/>
        <w:pageBreakBefore w:val="0"/>
        <w:kinsoku/>
        <w:wordWrap/>
        <w:overflowPunct/>
        <w:topLinePunct w:val="0"/>
        <w:bidi w:val="0"/>
        <w:spacing w:line="360" w:lineRule="auto"/>
        <w:ind w:left="561" w:leftChars="118" w:hanging="301" w:hangingChars="125"/>
        <w:outlineLvl w:val="9"/>
        <w:rPr>
          <w:rFonts w:hint="default" w:ascii="Times New Roman" w:hAnsi="Times New Roman" w:eastAsia="宋体" w:cs="Times New Roman"/>
          <w:b/>
          <w:bCs/>
          <w:sz w:val="24"/>
          <w:szCs w:val="24"/>
          <w:highlight w:val="none"/>
          <w:lang w:eastAsia="zh-CN"/>
        </w:rPr>
      </w:pPr>
      <w:r>
        <w:rPr>
          <w:rFonts w:hint="eastAsia" w:ascii="Times New Roman" w:hAnsi="Times New Roman" w:cs="Times New Roman"/>
          <w:b/>
          <w:bCs/>
          <w:sz w:val="24"/>
          <w:szCs w:val="24"/>
          <w:highlight w:val="none"/>
          <w:lang w:val="en-US" w:eastAsia="zh-CN"/>
        </w:rPr>
        <w:t xml:space="preserve">8.1 </w:t>
      </w:r>
      <w:r>
        <w:rPr>
          <w:rFonts w:hint="default" w:ascii="Times New Roman" w:hAnsi="Times New Roman" w:eastAsia="宋体" w:cs="Times New Roman"/>
          <w:b/>
          <w:bCs/>
          <w:sz w:val="24"/>
          <w:szCs w:val="24"/>
          <w:highlight w:val="none"/>
          <w:lang w:eastAsia="zh-CN"/>
        </w:rPr>
        <w:t>甲方：</w:t>
      </w:r>
    </w:p>
    <w:p>
      <w:pPr>
        <w:pStyle w:val="8"/>
        <w:keepNext w:val="0"/>
        <w:keepLines w:val="0"/>
        <w:pageBreakBefore w:val="0"/>
        <w:numPr>
          <w:ilvl w:val="0"/>
          <w:numId w:val="0"/>
        </w:numPr>
        <w:kinsoku/>
        <w:wordWrap/>
        <w:overflowPunct/>
        <w:topLinePunct w:val="0"/>
        <w:bidi w:val="0"/>
        <w:spacing w:line="360" w:lineRule="auto"/>
        <w:ind w:left="697" w:leftChars="101" w:hanging="475" w:hangingChars="198"/>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8.1.1</w:t>
      </w:r>
      <w:r>
        <w:rPr>
          <w:rFonts w:hint="default" w:ascii="Times New Roman" w:hAnsi="Times New Roman" w:eastAsia="宋体" w:cs="Times New Roman"/>
          <w:sz w:val="24"/>
          <w:szCs w:val="24"/>
          <w:highlight w:val="none"/>
          <w:lang w:eastAsia="zh-CN"/>
        </w:rPr>
        <w:t>保密内容（包含技术信息和经营信息）：乙方提供的资料，服务咨询报告及该服务咨询报告的附件资料除外。</w:t>
      </w:r>
    </w:p>
    <w:p>
      <w:pPr>
        <w:pStyle w:val="8"/>
        <w:keepNext w:val="0"/>
        <w:keepLines w:val="0"/>
        <w:pageBreakBefore w:val="0"/>
        <w:numPr>
          <w:ilvl w:val="0"/>
          <w:numId w:val="0"/>
        </w:numPr>
        <w:kinsoku/>
        <w:wordWrap/>
        <w:overflowPunct/>
        <w:topLinePunct w:val="0"/>
        <w:bidi w:val="0"/>
        <w:spacing w:line="360" w:lineRule="auto"/>
        <w:ind w:left="697" w:leftChars="101" w:hanging="475" w:hangingChars="198"/>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8.1.2</w:t>
      </w:r>
      <w:r>
        <w:rPr>
          <w:rFonts w:hint="default" w:ascii="Times New Roman" w:hAnsi="Times New Roman" w:eastAsia="宋体" w:cs="Times New Roman"/>
          <w:sz w:val="24"/>
          <w:szCs w:val="24"/>
          <w:highlight w:val="none"/>
          <w:lang w:eastAsia="zh-CN"/>
        </w:rPr>
        <w:t>涉密人员范围：甲方及甲方工作人员。</w:t>
      </w:r>
    </w:p>
    <w:p>
      <w:pPr>
        <w:pStyle w:val="8"/>
        <w:keepNext w:val="0"/>
        <w:keepLines w:val="0"/>
        <w:pageBreakBefore w:val="0"/>
        <w:numPr>
          <w:ilvl w:val="0"/>
          <w:numId w:val="0"/>
        </w:numPr>
        <w:kinsoku/>
        <w:wordWrap/>
        <w:overflowPunct/>
        <w:topLinePunct w:val="0"/>
        <w:bidi w:val="0"/>
        <w:spacing w:line="360" w:lineRule="auto"/>
        <w:ind w:left="697" w:leftChars="101" w:hanging="475" w:hangingChars="198"/>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8.1.3</w:t>
      </w:r>
      <w:r>
        <w:rPr>
          <w:rFonts w:hint="default" w:ascii="Times New Roman" w:hAnsi="Times New Roman" w:eastAsia="宋体" w:cs="Times New Roman"/>
          <w:sz w:val="24"/>
          <w:szCs w:val="24"/>
          <w:highlight w:val="none"/>
          <w:lang w:eastAsia="zh-CN"/>
        </w:rPr>
        <w:t xml:space="preserve">泄密责任：按本合同约定及国家有关保密法的规定执行。 </w:t>
      </w:r>
    </w:p>
    <w:p>
      <w:pPr>
        <w:pStyle w:val="8"/>
        <w:keepNext w:val="0"/>
        <w:keepLines w:val="0"/>
        <w:pageBreakBefore w:val="0"/>
        <w:kinsoku/>
        <w:wordWrap/>
        <w:overflowPunct/>
        <w:topLinePunct w:val="0"/>
        <w:bidi w:val="0"/>
        <w:spacing w:line="360" w:lineRule="auto"/>
        <w:ind w:left="479" w:leftChars="109" w:hanging="239" w:hangingChars="99"/>
        <w:outlineLvl w:val="9"/>
        <w:rPr>
          <w:rFonts w:hint="default" w:ascii="Times New Roman" w:hAnsi="Times New Roman" w:eastAsia="宋体" w:cs="Times New Roman"/>
          <w:b/>
          <w:bCs/>
          <w:sz w:val="24"/>
          <w:szCs w:val="24"/>
          <w:highlight w:val="none"/>
          <w:lang w:eastAsia="zh-CN"/>
        </w:rPr>
      </w:pPr>
      <w:r>
        <w:rPr>
          <w:rFonts w:hint="eastAsia" w:ascii="Times New Roman" w:hAnsi="Times New Roman" w:cs="Times New Roman"/>
          <w:b/>
          <w:bCs/>
          <w:sz w:val="24"/>
          <w:szCs w:val="24"/>
          <w:highlight w:val="none"/>
          <w:lang w:val="en-US" w:eastAsia="zh-CN"/>
        </w:rPr>
        <w:t xml:space="preserve">8.2 </w:t>
      </w:r>
      <w:r>
        <w:rPr>
          <w:rFonts w:hint="default" w:ascii="Times New Roman" w:hAnsi="Times New Roman" w:eastAsia="宋体" w:cs="Times New Roman"/>
          <w:b/>
          <w:bCs/>
          <w:sz w:val="24"/>
          <w:szCs w:val="24"/>
          <w:highlight w:val="none"/>
          <w:lang w:eastAsia="zh-CN"/>
        </w:rPr>
        <w:t>乙方：</w:t>
      </w:r>
    </w:p>
    <w:p>
      <w:pPr>
        <w:pStyle w:val="8"/>
        <w:keepNext w:val="0"/>
        <w:keepLines w:val="0"/>
        <w:pageBreakBefore w:val="0"/>
        <w:numPr>
          <w:ilvl w:val="0"/>
          <w:numId w:val="0"/>
        </w:numPr>
        <w:kinsoku/>
        <w:wordWrap/>
        <w:overflowPunct/>
        <w:topLinePunct w:val="0"/>
        <w:bidi w:val="0"/>
        <w:spacing w:line="360" w:lineRule="auto"/>
        <w:ind w:left="731" w:leftChars="89" w:hanging="535" w:hangingChars="223"/>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8.2.1</w:t>
      </w:r>
      <w:r>
        <w:rPr>
          <w:rFonts w:hint="default" w:ascii="Times New Roman" w:hAnsi="Times New Roman" w:eastAsia="宋体" w:cs="Times New Roman"/>
          <w:sz w:val="24"/>
          <w:szCs w:val="24"/>
          <w:highlight w:val="none"/>
          <w:lang w:eastAsia="zh-CN"/>
        </w:rPr>
        <w:t xml:space="preserve">保密内容：甲方提供的资料以及乙方在提供本合同约定服务过程中知悉的甲方技术信息、经营信息、生产工艺、操作流程等。 </w:t>
      </w:r>
    </w:p>
    <w:p>
      <w:pPr>
        <w:pStyle w:val="8"/>
        <w:keepNext w:val="0"/>
        <w:keepLines w:val="0"/>
        <w:pageBreakBefore w:val="0"/>
        <w:numPr>
          <w:ilvl w:val="0"/>
          <w:numId w:val="0"/>
        </w:numPr>
        <w:kinsoku/>
        <w:wordWrap/>
        <w:overflowPunct/>
        <w:topLinePunct w:val="0"/>
        <w:bidi w:val="0"/>
        <w:spacing w:line="360" w:lineRule="auto"/>
        <w:ind w:left="731" w:leftChars="89" w:hanging="535" w:hangingChars="223"/>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8.2.2</w:t>
      </w:r>
      <w:r>
        <w:rPr>
          <w:rFonts w:hint="default" w:ascii="Times New Roman" w:hAnsi="Times New Roman" w:eastAsia="宋体" w:cs="Times New Roman"/>
          <w:sz w:val="24"/>
          <w:szCs w:val="24"/>
          <w:highlight w:val="none"/>
          <w:lang w:eastAsia="zh-CN"/>
        </w:rPr>
        <w:t>涉密人员范围：乙方及乙方工作人员。</w:t>
      </w:r>
    </w:p>
    <w:p>
      <w:pPr>
        <w:pStyle w:val="8"/>
        <w:keepNext w:val="0"/>
        <w:keepLines w:val="0"/>
        <w:pageBreakBefore w:val="0"/>
        <w:numPr>
          <w:ilvl w:val="0"/>
          <w:numId w:val="0"/>
        </w:numPr>
        <w:kinsoku/>
        <w:wordWrap/>
        <w:overflowPunct/>
        <w:topLinePunct w:val="0"/>
        <w:bidi w:val="0"/>
        <w:spacing w:line="360" w:lineRule="auto"/>
        <w:ind w:left="731" w:leftChars="89" w:hanging="535" w:hangingChars="223"/>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8.2.3</w:t>
      </w:r>
      <w:r>
        <w:rPr>
          <w:rFonts w:hint="default" w:ascii="Times New Roman" w:hAnsi="Times New Roman" w:eastAsia="宋体" w:cs="Times New Roman"/>
          <w:sz w:val="24"/>
          <w:szCs w:val="24"/>
          <w:highlight w:val="none"/>
          <w:lang w:eastAsia="zh-CN"/>
        </w:rPr>
        <w:t>泄密责任：按本合同约定及国家有关保密法的规定执行。</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after="157" w:afterLines="50" w:line="360" w:lineRule="auto"/>
        <w:ind w:left="-18" w:leftChars="-8" w:right="0" w:rightChars="0" w:firstLine="17" w:firstLineChars="7"/>
        <w:jc w:val="left"/>
        <w:textAlignment w:val="auto"/>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b/>
          <w:bCs/>
          <w:sz w:val="24"/>
          <w:szCs w:val="24"/>
          <w:highlight w:val="none"/>
          <w:lang w:val="en-US" w:eastAsia="zh-CN"/>
        </w:rPr>
        <w:t xml:space="preserve">第九条  </w:t>
      </w:r>
      <w:r>
        <w:rPr>
          <w:rFonts w:hint="default" w:ascii="Times New Roman" w:hAnsi="Times New Roman" w:eastAsia="宋体" w:cs="Times New Roman"/>
          <w:sz w:val="24"/>
          <w:szCs w:val="24"/>
          <w:highlight w:val="none"/>
          <w:lang w:eastAsia="zh-CN"/>
        </w:rPr>
        <w:t>本合同的变更必须由双方协商一致，并以书面形式确定。甲方可以向乙方或乙方可以向甲方提出变更合同权利和义务的请求，另一方应当在</w:t>
      </w:r>
      <w:r>
        <w:rPr>
          <w:rFonts w:hint="default" w:ascii="Times New Roman" w:hAnsi="Times New Roman" w:eastAsia="宋体" w:cs="Times New Roman"/>
          <w:sz w:val="24"/>
          <w:szCs w:val="24"/>
          <w:highlight w:val="none"/>
          <w:u w:val="single"/>
          <w:lang w:eastAsia="zh-CN"/>
        </w:rPr>
        <w:t xml:space="preserve"> 7 </w:t>
      </w:r>
      <w:r>
        <w:rPr>
          <w:rFonts w:hint="default" w:ascii="Times New Roman" w:hAnsi="Times New Roman" w:eastAsia="宋体" w:cs="Times New Roman"/>
          <w:sz w:val="24"/>
          <w:szCs w:val="24"/>
          <w:highlight w:val="none"/>
          <w:lang w:eastAsia="zh-CN"/>
        </w:rPr>
        <w:t>日内予以答复。</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Times New Roman" w:hAnsi="Times New Roman" w:eastAsia="宋体" w:cs="Times New Roman"/>
          <w:b/>
          <w:bCs w:val="0"/>
          <w:sz w:val="24"/>
          <w:szCs w:val="24"/>
          <w:highlight w:val="none"/>
          <w:lang w:val="en-US" w:eastAsia="zh-CN" w:bidi="ar-SA"/>
        </w:rPr>
      </w:pPr>
      <w:r>
        <w:rPr>
          <w:rFonts w:hint="eastAsia" w:ascii="Times New Roman" w:hAnsi="Times New Roman" w:eastAsia="宋体" w:cs="Times New Roman"/>
          <w:b/>
          <w:bCs w:val="0"/>
          <w:sz w:val="24"/>
          <w:szCs w:val="24"/>
          <w:highlight w:val="none"/>
          <w:lang w:val="en-US" w:eastAsia="zh-CN" w:bidi="ar-SA"/>
        </w:rPr>
        <w:t>第</w:t>
      </w:r>
      <w:r>
        <w:rPr>
          <w:rFonts w:hint="eastAsia" w:ascii="Times New Roman" w:hAnsi="Times New Roman" w:cs="Times New Roman"/>
          <w:b/>
          <w:bCs w:val="0"/>
          <w:sz w:val="24"/>
          <w:szCs w:val="24"/>
          <w:highlight w:val="none"/>
          <w:lang w:val="en-US" w:eastAsia="zh-CN" w:bidi="ar-SA"/>
        </w:rPr>
        <w:t>十</w:t>
      </w:r>
      <w:r>
        <w:rPr>
          <w:rFonts w:hint="eastAsia" w:ascii="Times New Roman" w:hAnsi="Times New Roman" w:eastAsia="宋体" w:cs="Times New Roman"/>
          <w:b/>
          <w:bCs w:val="0"/>
          <w:sz w:val="24"/>
          <w:szCs w:val="24"/>
          <w:highlight w:val="none"/>
          <w:lang w:val="en-US" w:eastAsia="zh-CN" w:bidi="ar-SA"/>
        </w:rPr>
        <w:t>条</w:t>
      </w:r>
      <w:r>
        <w:rPr>
          <w:rFonts w:hint="eastAsia" w:ascii="Times New Roman" w:hAnsi="Times New Roman" w:cs="Times New Roman"/>
          <w:b/>
          <w:bCs w:val="0"/>
          <w:sz w:val="24"/>
          <w:szCs w:val="24"/>
          <w:highlight w:val="none"/>
          <w:lang w:val="en-US" w:eastAsia="zh-CN" w:bidi="ar-SA"/>
        </w:rPr>
        <w:t xml:space="preserve">  </w:t>
      </w:r>
      <w:r>
        <w:rPr>
          <w:rFonts w:hint="eastAsia" w:ascii="Times New Roman" w:hAnsi="Times New Roman" w:eastAsia="宋体" w:cs="Times New Roman"/>
          <w:b/>
          <w:bCs w:val="0"/>
          <w:sz w:val="24"/>
          <w:szCs w:val="24"/>
          <w:highlight w:val="none"/>
          <w:lang w:val="en-US" w:eastAsia="zh-CN" w:bidi="ar-SA"/>
        </w:rPr>
        <w:t>货物的归属及风险承担</w:t>
      </w:r>
    </w:p>
    <w:p>
      <w:pPr>
        <w:keepNext w:val="0"/>
        <w:keepLines w:val="0"/>
        <w:pageBreakBefore w:val="0"/>
        <w:widowControl w:val="0"/>
        <w:kinsoku/>
        <w:wordWrap/>
        <w:overflowPunct/>
        <w:topLinePunct w:val="0"/>
        <w:autoSpaceDE w:val="0"/>
        <w:autoSpaceDN w:val="0"/>
        <w:bidi w:val="0"/>
        <w:adjustRightInd/>
        <w:snapToGrid/>
        <w:spacing w:line="360" w:lineRule="auto"/>
        <w:ind w:left="20" w:leftChars="9" w:right="0" w:rightChars="0" w:firstLine="480" w:firstLineChars="200"/>
        <w:jc w:val="left"/>
        <w:textAlignment w:val="auto"/>
        <w:outlineLvl w:val="9"/>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无论重整前后，催化剂的货权均归甲方所有，乙方在</w:t>
      </w:r>
      <w:r>
        <w:rPr>
          <w:rFonts w:hint="eastAsia" w:ascii="宋体" w:hAnsi="宋体"/>
          <w:bCs/>
          <w:sz w:val="24"/>
          <w:szCs w:val="24"/>
          <w:highlight w:val="none"/>
        </w:rPr>
        <w:t>催化剂筛分处理</w:t>
      </w:r>
      <w:r>
        <w:rPr>
          <w:rFonts w:hint="eastAsia" w:ascii="Times New Roman" w:hAnsi="Times New Roman" w:eastAsia="宋体" w:cs="Times New Roman"/>
          <w:sz w:val="24"/>
          <w:szCs w:val="24"/>
          <w:highlight w:val="none"/>
          <w:lang w:val="en-US" w:eastAsia="zh-CN" w:bidi="ar-SA"/>
        </w:rPr>
        <w:t>过程中，所分离出来的催化剂粉尘、碎剂、坏剂均归甲方所有，乙方应返还给甲方。</w:t>
      </w:r>
    </w:p>
    <w:p>
      <w:pPr>
        <w:pStyle w:val="8"/>
        <w:keepNext w:val="0"/>
        <w:keepLines w:val="0"/>
        <w:pageBreakBefore w:val="0"/>
        <w:kinsoku/>
        <w:wordWrap/>
        <w:overflowPunct/>
        <w:topLinePunct w:val="0"/>
        <w:bidi w:val="0"/>
        <w:spacing w:beforeLines="50"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sz w:val="24"/>
          <w:szCs w:val="24"/>
          <w:highlight w:val="none"/>
          <w:lang w:eastAsia="zh-CN"/>
        </w:rPr>
        <w:t>第</w:t>
      </w:r>
      <w:r>
        <w:rPr>
          <w:rFonts w:hint="eastAsia" w:ascii="Times New Roman" w:hAnsi="Times New Roman" w:cs="Times New Roman"/>
          <w:b/>
          <w:sz w:val="24"/>
          <w:szCs w:val="24"/>
          <w:highlight w:val="none"/>
          <w:lang w:val="en-US" w:eastAsia="zh-CN"/>
        </w:rPr>
        <w:t>十一</w:t>
      </w:r>
      <w:r>
        <w:rPr>
          <w:rFonts w:hint="default" w:ascii="Times New Roman" w:hAnsi="Times New Roman" w:eastAsia="宋体" w:cs="Times New Roman"/>
          <w:b/>
          <w:sz w:val="24"/>
          <w:szCs w:val="24"/>
          <w:highlight w:val="none"/>
          <w:lang w:eastAsia="zh-CN"/>
        </w:rPr>
        <w:t>条</w:t>
      </w:r>
      <w:r>
        <w:rPr>
          <w:rFonts w:hint="default" w:ascii="Times New Roman" w:hAnsi="Times New Roman" w:eastAsia="宋体" w:cs="Times New Roman"/>
          <w:sz w:val="24"/>
          <w:szCs w:val="24"/>
          <w:highlight w:val="none"/>
          <w:lang w:eastAsia="zh-CN"/>
        </w:rPr>
        <w:t xml:space="preserve"> 双方确定，甲方指定</w:t>
      </w:r>
      <w:r>
        <w:rPr>
          <w:rFonts w:hint="default" w:ascii="Times New Roman" w:hAnsi="Times New Roman" w:eastAsia="宋体" w:cs="Times New Roman"/>
          <w:i w:val="0"/>
          <w:iCs w:val="0"/>
          <w:sz w:val="24"/>
          <w:szCs w:val="24"/>
          <w:highlight w:val="none"/>
          <w:u w:val="single"/>
          <w:lang w:eastAsia="zh-CN"/>
        </w:rPr>
        <w:t xml:space="preserve"> </w:t>
      </w:r>
      <w:r>
        <w:rPr>
          <w:rFonts w:hint="eastAsia" w:ascii="Times New Roman" w:hAnsi="Times New Roman" w:cs="Times New Roman"/>
          <w:i w:val="0"/>
          <w:iCs w:val="0"/>
          <w:sz w:val="24"/>
          <w:szCs w:val="24"/>
          <w:highlight w:val="none"/>
          <w:u w:val="single"/>
          <w:lang w:val="en-US" w:eastAsia="zh-CN"/>
        </w:rPr>
        <w:t>曾志浩</w:t>
      </w:r>
      <w:r>
        <w:rPr>
          <w:rFonts w:hint="default" w:ascii="Times New Roman" w:hAnsi="Times New Roman" w:eastAsia="宋体" w:cs="Times New Roman"/>
          <w:bCs/>
          <w:sz w:val="24"/>
          <w:szCs w:val="24"/>
          <w:highlight w:val="none"/>
          <w:u w:val="single"/>
          <w:lang w:eastAsia="zh-CN"/>
        </w:rPr>
        <w:t xml:space="preserve"> 电话：1</w:t>
      </w:r>
      <w:r>
        <w:rPr>
          <w:rFonts w:hint="eastAsia" w:ascii="Times New Roman" w:hAnsi="Times New Roman" w:cs="Times New Roman"/>
          <w:bCs/>
          <w:sz w:val="24"/>
          <w:szCs w:val="24"/>
          <w:highlight w:val="none"/>
          <w:u w:val="single"/>
          <w:lang w:val="en-US" w:eastAsia="zh-CN"/>
        </w:rPr>
        <w:t>8065753712</w:t>
      </w:r>
      <w:r>
        <w:rPr>
          <w:rFonts w:hint="default" w:ascii="Times New Roman" w:hAnsi="Times New Roman" w:eastAsia="宋体" w:cs="Times New Roman"/>
          <w:bCs/>
          <w:sz w:val="24"/>
          <w:szCs w:val="24"/>
          <w:highlight w:val="none"/>
          <w:u w:val="single"/>
          <w:lang w:eastAsia="zh-CN"/>
        </w:rPr>
        <w:t xml:space="preserve">  邮箱：</w:t>
      </w:r>
      <w:r>
        <w:rPr>
          <w:rFonts w:hint="eastAsia" w:ascii="Times New Roman" w:hAnsi="Times New Roman" w:cs="Times New Roman"/>
          <w:bCs/>
          <w:sz w:val="24"/>
          <w:szCs w:val="24"/>
          <w:highlight w:val="none"/>
          <w:u w:val="single"/>
          <w:lang w:val="en-US" w:eastAsia="zh-CN"/>
        </w:rPr>
        <w:t>zhz</w:t>
      </w:r>
      <w:r>
        <w:rPr>
          <w:rFonts w:hint="default" w:ascii="Times New Roman" w:hAnsi="Times New Roman" w:eastAsia="宋体" w:cs="Times New Roman"/>
          <w:bCs/>
          <w:sz w:val="24"/>
          <w:szCs w:val="24"/>
          <w:highlight w:val="none"/>
          <w:u w:val="single"/>
          <w:lang w:eastAsia="zh-CN"/>
        </w:rPr>
        <w:t>eng@fhcpec.com.cn</w:t>
      </w:r>
      <w:r>
        <w:rPr>
          <w:rFonts w:hint="default" w:ascii="Times New Roman" w:hAnsi="Times New Roman" w:eastAsia="宋体" w:cs="Times New Roman"/>
          <w:sz w:val="24"/>
          <w:szCs w:val="24"/>
          <w:highlight w:val="none"/>
          <w:lang w:eastAsia="zh-CN"/>
        </w:rPr>
        <w:t>为甲方项目联系人，乙方指定</w:t>
      </w:r>
      <w:r>
        <w:rPr>
          <w:rFonts w:hint="default" w:ascii="Times New Roman" w:hAnsi="Times New Roman" w:eastAsia="宋体" w:cs="Times New Roman"/>
          <w:sz w:val="24"/>
          <w:szCs w:val="24"/>
          <w:highlight w:val="none"/>
          <w:u w:val="single"/>
          <w:lang w:eastAsia="zh-CN"/>
        </w:rPr>
        <w:t xml:space="preserve">  </w:t>
      </w:r>
      <w:r>
        <w:rPr>
          <w:rFonts w:hint="eastAsia" w:ascii="Times New Roman" w:hAnsi="Times New Roman" w:cs="Times New Roman"/>
          <w:sz w:val="24"/>
          <w:szCs w:val="24"/>
          <w:highlight w:val="none"/>
          <w:u w:val="single"/>
          <w:lang w:val="en-US" w:eastAsia="zh-CN"/>
        </w:rPr>
        <w:t xml:space="preserve">         电话：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lang w:eastAsia="zh-CN"/>
        </w:rPr>
        <w:t xml:space="preserve"> </w:t>
      </w:r>
      <w:r>
        <w:rPr>
          <w:rFonts w:hint="default" w:ascii="Times New Roman" w:hAnsi="Times New Roman" w:eastAsia="宋体" w:cs="Times New Roman"/>
          <w:bCs/>
          <w:sz w:val="24"/>
          <w:szCs w:val="24"/>
          <w:highlight w:val="none"/>
          <w:u w:val="single"/>
          <w:lang w:eastAsia="zh-CN"/>
        </w:rPr>
        <w:t xml:space="preserve">邮箱： </w:t>
      </w:r>
      <w:r>
        <w:rPr>
          <w:rFonts w:hint="eastAsia" w:ascii="Times New Roman" w:hAnsi="Times New Roman" w:cs="Times New Roman"/>
          <w:bCs/>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lang w:eastAsia="zh-CN"/>
        </w:rPr>
        <w:t xml:space="preserve"> </w:t>
      </w:r>
      <w:r>
        <w:rPr>
          <w:rFonts w:hint="default" w:ascii="Times New Roman" w:hAnsi="Times New Roman" w:eastAsia="宋体" w:cs="Times New Roman"/>
          <w:sz w:val="24"/>
          <w:szCs w:val="24"/>
          <w:highlight w:val="none"/>
          <w:lang w:eastAsia="zh-CN"/>
        </w:rPr>
        <w:t>为乙方项目联系人。项目联系人承担以下责任：</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11.</w:t>
      </w:r>
      <w:r>
        <w:rPr>
          <w:rFonts w:hint="default" w:ascii="Times New Roman" w:hAnsi="Times New Roman" w:eastAsia="宋体" w:cs="Times New Roman"/>
          <w:sz w:val="24"/>
          <w:szCs w:val="24"/>
          <w:highlight w:val="none"/>
          <w:lang w:eastAsia="zh-CN"/>
        </w:rPr>
        <w:t xml:space="preserve">1 </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 xml:space="preserve">联系具体项目进度并实施。 </w:t>
      </w:r>
    </w:p>
    <w:p>
      <w:pPr>
        <w:pStyle w:val="8"/>
        <w:keepNext w:val="0"/>
        <w:keepLines w:val="0"/>
        <w:pageBreakBefore w:val="0"/>
        <w:kinsoku/>
        <w:wordWrap/>
        <w:overflowPunct/>
        <w:topLinePunct w:val="0"/>
        <w:bidi w:val="0"/>
        <w:spacing w:line="360" w:lineRule="auto"/>
        <w:ind w:left="240" w:hanging="240" w:hangingChars="100"/>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11.</w:t>
      </w:r>
      <w:r>
        <w:rPr>
          <w:rFonts w:hint="default" w:ascii="Times New Roman" w:hAnsi="Times New Roman" w:eastAsia="宋体" w:cs="Times New Roman"/>
          <w:sz w:val="24"/>
          <w:szCs w:val="24"/>
          <w:highlight w:val="none"/>
          <w:lang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一方变更项目联系人的，应当及时以书面形式通知另一方。未及时通知并影响本合同履行或造成损失的，应承担相应的责任。</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第十二条 </w:t>
      </w:r>
      <w:r>
        <w:rPr>
          <w:rFonts w:hint="eastAsia" w:ascii="宋体" w:hAnsi="宋体"/>
          <w:b/>
          <w:bCs/>
          <w:color w:val="000000"/>
          <w:sz w:val="24"/>
          <w:szCs w:val="24"/>
          <w:highlight w:val="none"/>
        </w:rPr>
        <w:t>双方责任与</w:t>
      </w:r>
      <w:r>
        <w:rPr>
          <w:rFonts w:hint="eastAsia" w:ascii="宋体" w:hAnsi="宋体"/>
          <w:b/>
          <w:bCs/>
          <w:color w:val="000000"/>
          <w:sz w:val="24"/>
          <w:szCs w:val="24"/>
          <w:highlight w:val="none"/>
          <w:lang w:val="en-US" w:eastAsia="zh-CN"/>
        </w:rPr>
        <w:t>义务</w:t>
      </w:r>
    </w:p>
    <w:p>
      <w:pPr>
        <w:spacing w:line="360" w:lineRule="auto"/>
        <w:ind w:firstLine="241" w:firstLineChars="100"/>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12</w:t>
      </w:r>
      <w:r>
        <w:rPr>
          <w:rFonts w:hint="eastAsia" w:ascii="宋体" w:hAnsi="宋体"/>
          <w:b/>
          <w:bCs/>
          <w:color w:val="000000"/>
          <w:sz w:val="24"/>
          <w:szCs w:val="24"/>
          <w:highlight w:val="none"/>
        </w:rPr>
        <w:t>.</w:t>
      </w:r>
      <w:r>
        <w:rPr>
          <w:rFonts w:hint="eastAsia" w:ascii="宋体" w:hAnsi="宋体"/>
          <w:b/>
          <w:bCs/>
          <w:color w:val="000000"/>
          <w:sz w:val="24"/>
          <w:szCs w:val="24"/>
          <w:highlight w:val="none"/>
          <w:lang w:val="en-US" w:eastAsia="zh-CN"/>
        </w:rPr>
        <w:t>1 甲方</w:t>
      </w:r>
      <w:r>
        <w:rPr>
          <w:rFonts w:hint="eastAsia" w:ascii="宋体" w:hAnsi="宋体"/>
          <w:b/>
          <w:bCs/>
          <w:color w:val="000000"/>
          <w:sz w:val="24"/>
          <w:szCs w:val="24"/>
          <w:highlight w:val="none"/>
        </w:rPr>
        <w:t>责任：</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.1.1将待</w:t>
      </w:r>
      <w:r>
        <w:rPr>
          <w:rFonts w:hint="eastAsia" w:ascii="宋体" w:hAnsi="宋体"/>
          <w:bCs/>
          <w:sz w:val="24"/>
          <w:szCs w:val="24"/>
          <w:highlight w:val="none"/>
        </w:rPr>
        <w:t>风车式物理分</w:t>
      </w:r>
      <w:r>
        <w:rPr>
          <w:rFonts w:hint="eastAsia" w:ascii="宋体" w:hAnsi="宋体"/>
          <w:sz w:val="24"/>
          <w:szCs w:val="24"/>
          <w:highlight w:val="none"/>
        </w:rPr>
        <w:t>级</w:t>
      </w:r>
      <w:r>
        <w:rPr>
          <w:rFonts w:hint="eastAsia" w:ascii="宋体" w:hAnsi="宋体"/>
          <w:kern w:val="0"/>
          <w:sz w:val="24"/>
          <w:szCs w:val="24"/>
          <w:highlight w:val="none"/>
        </w:rPr>
        <w:t>催化剂运至指定的作业场所，</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与</w:t>
      </w:r>
      <w:r>
        <w:rPr>
          <w:rFonts w:hint="eastAsia" w:ascii="宋体" w:hAnsi="宋体"/>
          <w:kern w:val="0"/>
          <w:sz w:val="24"/>
          <w:szCs w:val="24"/>
          <w:highlight w:val="none"/>
          <w:lang w:val="en-US" w:eastAsia="zh-CN"/>
        </w:rPr>
        <w:t>乙方</w:t>
      </w:r>
      <w:r>
        <w:rPr>
          <w:rFonts w:hint="eastAsia" w:ascii="宋体" w:hAnsi="宋体"/>
          <w:kern w:val="0"/>
          <w:sz w:val="24"/>
          <w:szCs w:val="24"/>
          <w:highlight w:val="none"/>
        </w:rPr>
        <w:t>的技术人员共同进行待分级催化剂的现场采样。</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.1.2</w:t>
      </w:r>
      <w:r>
        <w:rPr>
          <w:rFonts w:hint="eastAsia" w:ascii="宋体" w:hAnsi="宋体"/>
          <w:color w:val="000000"/>
          <w:sz w:val="24"/>
          <w:szCs w:val="24"/>
          <w:highlight w:val="none"/>
        </w:rPr>
        <w:t>对</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作业人员进行三级安全教育，协助</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人员办理进入厂通行证和车辆入厂证</w:t>
      </w:r>
      <w:r>
        <w:rPr>
          <w:rFonts w:hint="eastAsia" w:ascii="宋体" w:hAnsi="宋体"/>
          <w:kern w:val="0"/>
          <w:sz w:val="24"/>
          <w:szCs w:val="24"/>
          <w:highlight w:val="none"/>
        </w:rPr>
        <w:t>。</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.1.3有权根据</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的管理制度对</w:t>
      </w:r>
      <w:r>
        <w:rPr>
          <w:rFonts w:hint="eastAsia" w:ascii="宋体" w:hAnsi="宋体"/>
          <w:kern w:val="0"/>
          <w:sz w:val="24"/>
          <w:szCs w:val="24"/>
          <w:highlight w:val="none"/>
          <w:lang w:val="en-US" w:eastAsia="zh-CN"/>
        </w:rPr>
        <w:t>乙方</w:t>
      </w:r>
      <w:r>
        <w:rPr>
          <w:rFonts w:hint="eastAsia" w:ascii="宋体" w:hAnsi="宋体"/>
          <w:kern w:val="0"/>
          <w:sz w:val="24"/>
          <w:szCs w:val="24"/>
          <w:highlight w:val="none"/>
        </w:rPr>
        <w:t>人员进行现场管理。</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.1.4负责对</w:t>
      </w:r>
      <w:r>
        <w:rPr>
          <w:rFonts w:hint="eastAsia" w:ascii="宋体" w:hAnsi="宋体"/>
          <w:kern w:val="0"/>
          <w:sz w:val="24"/>
          <w:szCs w:val="24"/>
          <w:highlight w:val="none"/>
          <w:lang w:val="en-US" w:eastAsia="zh-CN"/>
        </w:rPr>
        <w:t>乙方</w:t>
      </w:r>
      <w:r>
        <w:rPr>
          <w:rFonts w:hint="eastAsia" w:ascii="宋体" w:hAnsi="宋体"/>
          <w:kern w:val="0"/>
          <w:sz w:val="24"/>
          <w:szCs w:val="24"/>
          <w:highlight w:val="none"/>
        </w:rPr>
        <w:t>的催化剂物理分</w:t>
      </w:r>
      <w:r>
        <w:rPr>
          <w:rFonts w:hint="eastAsia" w:ascii="宋体" w:hAnsi="宋体"/>
          <w:sz w:val="24"/>
          <w:szCs w:val="24"/>
          <w:highlight w:val="none"/>
        </w:rPr>
        <w:t>级</w:t>
      </w:r>
      <w:r>
        <w:rPr>
          <w:rFonts w:hint="eastAsia" w:ascii="宋体" w:hAnsi="宋体"/>
          <w:kern w:val="0"/>
          <w:sz w:val="24"/>
          <w:szCs w:val="24"/>
          <w:highlight w:val="none"/>
        </w:rPr>
        <w:t>过程进行全程监控、监督检查。</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.1.5提供工作地点，确定位置，安装分离设备，装置占地面积大致为50m</w:t>
      </w:r>
      <w:r>
        <w:rPr>
          <w:rFonts w:hint="eastAsia" w:ascii="宋体" w:hAnsi="宋体"/>
          <w:kern w:val="0"/>
          <w:sz w:val="24"/>
          <w:szCs w:val="24"/>
          <w:highlight w:val="none"/>
          <w:vertAlign w:val="superscript"/>
        </w:rPr>
        <w:t>2</w:t>
      </w:r>
      <w:r>
        <w:rPr>
          <w:rFonts w:hint="eastAsia" w:ascii="宋体" w:hAnsi="宋体"/>
          <w:kern w:val="0"/>
          <w:sz w:val="24"/>
          <w:szCs w:val="24"/>
          <w:highlight w:val="none"/>
        </w:rPr>
        <w:t>（仓库优先或户外搭棚）。</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.1.6配合安装该的设备，</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可以协助联系吊车或叉车，但所需费用由</w:t>
      </w:r>
      <w:r>
        <w:rPr>
          <w:rFonts w:hint="eastAsia" w:ascii="宋体" w:hAnsi="宋体"/>
          <w:kern w:val="0"/>
          <w:sz w:val="24"/>
          <w:szCs w:val="24"/>
          <w:highlight w:val="none"/>
          <w:lang w:val="en-US" w:eastAsia="zh-CN"/>
        </w:rPr>
        <w:t>乙方</w:t>
      </w:r>
      <w:r>
        <w:rPr>
          <w:rFonts w:hint="eastAsia" w:ascii="宋体" w:hAnsi="宋体"/>
          <w:kern w:val="0"/>
          <w:sz w:val="24"/>
          <w:szCs w:val="24"/>
          <w:highlight w:val="none"/>
        </w:rPr>
        <w:t>承担。</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.1.7提供15个容器为200升空桶，分级完成后由乙方返还甲方。</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.1.8提供三相四线电源。</w:t>
      </w:r>
    </w:p>
    <w:p>
      <w:pPr>
        <w:adjustRightInd w:val="0"/>
        <w:snapToGrid w:val="0"/>
        <w:spacing w:line="360" w:lineRule="auto"/>
        <w:ind w:left="624" w:leftChars="118" w:hanging="364" w:hangingChars="152"/>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.1.9分级出的低碳催化剂由</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出具测定、分析数据报告，混合催化剂中低碳催化剂的分离效率及物料平衡报告。</w:t>
      </w:r>
    </w:p>
    <w:p>
      <w:pPr>
        <w:spacing w:line="360" w:lineRule="auto"/>
        <w:ind w:firstLine="241" w:firstLineChars="100"/>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12</w:t>
      </w:r>
      <w:r>
        <w:rPr>
          <w:rFonts w:hint="eastAsia" w:ascii="宋体" w:hAnsi="宋体"/>
          <w:b/>
          <w:bCs/>
          <w:color w:val="000000"/>
          <w:sz w:val="24"/>
          <w:szCs w:val="24"/>
          <w:highlight w:val="none"/>
        </w:rPr>
        <w:t>.2</w:t>
      </w:r>
      <w:r>
        <w:rPr>
          <w:rFonts w:hint="eastAsia" w:ascii="宋体" w:hAnsi="宋体"/>
          <w:b/>
          <w:bCs/>
          <w:color w:val="000000"/>
          <w:sz w:val="24"/>
          <w:szCs w:val="24"/>
          <w:highlight w:val="none"/>
          <w:lang w:val="en-US" w:eastAsia="zh-CN"/>
        </w:rPr>
        <w:t xml:space="preserve">  乙方</w:t>
      </w:r>
      <w:r>
        <w:rPr>
          <w:rFonts w:hint="eastAsia" w:ascii="宋体" w:hAnsi="宋体"/>
          <w:b/>
          <w:bCs/>
          <w:color w:val="000000"/>
          <w:sz w:val="24"/>
          <w:szCs w:val="24"/>
          <w:highlight w:val="none"/>
        </w:rPr>
        <w:t>责任：</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w:t>
      </w:r>
      <w:r>
        <w:rPr>
          <w:rFonts w:hint="eastAsia" w:ascii="宋体" w:hAnsi="宋体"/>
          <w:kern w:val="0"/>
          <w:sz w:val="24"/>
          <w:szCs w:val="24"/>
          <w:highlight w:val="none"/>
          <w:lang w:val="en-US" w:eastAsia="zh-CN"/>
        </w:rPr>
        <w:t>2.1</w:t>
      </w:r>
      <w:r>
        <w:rPr>
          <w:rFonts w:hint="eastAsia" w:ascii="宋体" w:hAnsi="宋体"/>
          <w:kern w:val="0"/>
          <w:sz w:val="24"/>
          <w:szCs w:val="24"/>
          <w:highlight w:val="none"/>
        </w:rPr>
        <w:t>在得到</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通知后，48小时内携带相关设备、仪器到达指定现场。</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.2.2根据</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提供催化剂碳含量分析数据，24小时内制定出确保催化剂物理分级效果的最佳方案，提供给</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留存，并保证在整个催化剂物理分级过程中严格遵守该方案，确保保质保量按时完成催化剂物理分级工作。</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.2.3催化剂到指定作业场所后，24小时内制定出催化剂风车式物理分级统筹安排进度表﹙＜10天﹚；负责对待分催化剂进行器外风车式物理分级等工作。</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.2.4会同</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取分级后催化剂作为标准样品保留，以便必要时化验复查，样品至少保存二年。</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.2.5与</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共同负责分级现场的催化剂安保工作，及时向</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通报催化剂物理分级情况。</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.2.6催化剂物理分级处理结束后，由</w:t>
      </w:r>
      <w:r>
        <w:rPr>
          <w:rFonts w:hint="eastAsia" w:ascii="宋体" w:hAnsi="宋体"/>
          <w:kern w:val="0"/>
          <w:sz w:val="24"/>
          <w:szCs w:val="24"/>
          <w:highlight w:val="none"/>
          <w:lang w:val="en-US" w:eastAsia="zh-CN"/>
        </w:rPr>
        <w:t>乙方</w:t>
      </w:r>
      <w:r>
        <w:rPr>
          <w:rFonts w:hint="eastAsia" w:ascii="宋体" w:hAnsi="宋体"/>
          <w:kern w:val="0"/>
          <w:sz w:val="24"/>
          <w:szCs w:val="24"/>
          <w:highlight w:val="none"/>
        </w:rPr>
        <w:t>负责将分级后的场地打扫干净。</w:t>
      </w:r>
    </w:p>
    <w:p>
      <w:pPr>
        <w:adjustRightInd w:val="0"/>
        <w:snapToGrid w:val="0"/>
        <w:spacing w:line="360" w:lineRule="auto"/>
        <w:ind w:left="730" w:leftChars="126" w:hanging="453" w:hangingChars="189"/>
        <w:rPr>
          <w:rFonts w:ascii="宋体" w:hAnsi="宋体"/>
          <w:kern w:val="0"/>
          <w:sz w:val="24"/>
          <w:szCs w:val="24"/>
          <w:highlight w:val="none"/>
        </w:rPr>
      </w:pPr>
      <w:r>
        <w:rPr>
          <w:rFonts w:hint="eastAsia" w:ascii="宋体" w:hAnsi="宋体"/>
          <w:kern w:val="0"/>
          <w:sz w:val="24"/>
          <w:szCs w:val="24"/>
          <w:highlight w:val="none"/>
          <w:lang w:val="en-US" w:eastAsia="zh-CN"/>
        </w:rPr>
        <w:t>12</w:t>
      </w:r>
      <w:r>
        <w:rPr>
          <w:rFonts w:hint="eastAsia" w:ascii="宋体" w:hAnsi="宋体"/>
          <w:kern w:val="0"/>
          <w:sz w:val="24"/>
          <w:szCs w:val="24"/>
          <w:highlight w:val="none"/>
        </w:rPr>
        <w:t>.2.7</w:t>
      </w:r>
      <w:r>
        <w:rPr>
          <w:rFonts w:hint="eastAsia" w:ascii="宋体" w:hAnsi="宋体"/>
          <w:kern w:val="0"/>
          <w:sz w:val="24"/>
          <w:szCs w:val="24"/>
          <w:highlight w:val="none"/>
          <w:lang w:val="en-US" w:eastAsia="zh-CN"/>
        </w:rPr>
        <w:t>乙方</w:t>
      </w:r>
      <w:r>
        <w:rPr>
          <w:rFonts w:hint="eastAsia" w:ascii="宋体" w:hAnsi="宋体"/>
          <w:kern w:val="0"/>
          <w:sz w:val="24"/>
          <w:szCs w:val="24"/>
          <w:highlight w:val="none"/>
        </w:rPr>
        <w:t>人员在现场未经</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许可严禁动用</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设备，并严格遵守</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的各项管理制度。</w:t>
      </w:r>
    </w:p>
    <w:p>
      <w:pPr>
        <w:adjustRightInd w:val="0"/>
        <w:snapToGrid w:val="0"/>
        <w:spacing w:line="360" w:lineRule="auto"/>
        <w:ind w:left="730" w:leftChars="126" w:hanging="453" w:hangingChars="189"/>
        <w:rPr>
          <w:rFonts w:hint="eastAsia"/>
          <w:sz w:val="24"/>
          <w:szCs w:val="24"/>
          <w:highlight w:val="none"/>
        </w:rPr>
      </w:pPr>
      <w:r>
        <w:rPr>
          <w:rFonts w:hint="eastAsia" w:ascii="宋体" w:hAnsi="宋体"/>
          <w:kern w:val="0"/>
          <w:sz w:val="24"/>
          <w:szCs w:val="24"/>
          <w:highlight w:val="none"/>
          <w:lang w:val="en-US" w:eastAsia="zh-CN"/>
        </w:rPr>
        <w:t>12</w:t>
      </w:r>
      <w:r>
        <w:rPr>
          <w:rFonts w:ascii="宋体" w:hAnsi="宋体"/>
          <w:kern w:val="0"/>
          <w:sz w:val="24"/>
          <w:szCs w:val="24"/>
          <w:highlight w:val="none"/>
        </w:rPr>
        <w:t>.2.8</w:t>
      </w:r>
      <w:r>
        <w:rPr>
          <w:rFonts w:hint="eastAsia"/>
          <w:sz w:val="24"/>
          <w:szCs w:val="24"/>
          <w:highlight w:val="none"/>
        </w:rPr>
        <w:t>筛分完成后提供催化剂筛分报告。</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第十三条  </w:t>
      </w:r>
      <w:r>
        <w:rPr>
          <w:rFonts w:hint="eastAsia" w:ascii="宋体" w:hAnsi="宋体"/>
          <w:b/>
          <w:bCs/>
          <w:color w:val="000000"/>
          <w:sz w:val="24"/>
          <w:szCs w:val="24"/>
          <w:highlight w:val="none"/>
        </w:rPr>
        <w:t>违约责任</w:t>
      </w:r>
    </w:p>
    <w:p>
      <w:pPr>
        <w:spacing w:line="360" w:lineRule="auto"/>
        <w:ind w:left="480" w:leftChars="0" w:hanging="480" w:hangingChars="200"/>
        <w:rPr>
          <w:rFonts w:ascii="宋体" w:hAnsi="宋体"/>
          <w:color w:val="000000"/>
          <w:sz w:val="24"/>
          <w:szCs w:val="24"/>
          <w:highlight w:val="none"/>
        </w:rPr>
      </w:pP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.1按照双方约定，</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要在</w:t>
      </w:r>
      <w:r>
        <w:rPr>
          <w:rFonts w:hint="eastAsia" w:ascii="宋体" w:hAnsi="宋体"/>
          <w:color w:val="000000"/>
          <w:sz w:val="24"/>
          <w:szCs w:val="24"/>
          <w:highlight w:val="none"/>
          <w:lang w:val="en-US" w:eastAsia="zh-CN"/>
        </w:rPr>
        <w:t>甲方</w:t>
      </w:r>
      <w:r>
        <w:rPr>
          <w:rFonts w:hint="eastAsia" w:ascii="宋体" w:hAnsi="宋体"/>
          <w:color w:val="000000"/>
          <w:sz w:val="24"/>
          <w:szCs w:val="24"/>
          <w:highlight w:val="none"/>
        </w:rPr>
        <w:t>开始分级催化剂后10日内完成催化剂分级工作，如因</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风车式物理分级工期延长而影响装置开工时间，每超</w:t>
      </w:r>
      <w:r>
        <w:rPr>
          <w:rFonts w:ascii="宋体" w:hAnsi="宋体"/>
          <w:color w:val="000000"/>
          <w:sz w:val="24"/>
          <w:szCs w:val="24"/>
          <w:highlight w:val="none"/>
        </w:rPr>
        <w:t>1</w:t>
      </w:r>
      <w:r>
        <w:rPr>
          <w:rFonts w:hint="eastAsia" w:ascii="宋体" w:hAnsi="宋体"/>
          <w:color w:val="000000"/>
          <w:sz w:val="24"/>
          <w:szCs w:val="24"/>
          <w:highlight w:val="none"/>
        </w:rPr>
        <w:t>天扣除加工费总额的8</w:t>
      </w:r>
      <w:r>
        <w:rPr>
          <w:rFonts w:ascii="宋体" w:hAnsi="宋体"/>
          <w:color w:val="000000"/>
          <w:sz w:val="24"/>
          <w:szCs w:val="24"/>
          <w:highlight w:val="none"/>
        </w:rPr>
        <w:t>%</w:t>
      </w:r>
      <w:r>
        <w:rPr>
          <w:rFonts w:hint="eastAsia" w:ascii="宋体" w:hAnsi="宋体"/>
          <w:color w:val="000000"/>
          <w:sz w:val="24"/>
          <w:szCs w:val="24"/>
          <w:highlight w:val="none"/>
        </w:rPr>
        <w:t>。</w:t>
      </w:r>
    </w:p>
    <w:p>
      <w:pPr>
        <w:spacing w:line="360" w:lineRule="auto"/>
        <w:ind w:left="480" w:leftChars="0" w:hanging="480" w:hangingChars="200"/>
        <w:rPr>
          <w:rFonts w:ascii="宋体" w:hAnsi="宋体"/>
          <w:color w:val="000000"/>
          <w:sz w:val="24"/>
          <w:szCs w:val="24"/>
          <w:highlight w:val="none"/>
        </w:rPr>
      </w:pP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.2若从</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风车式物理分级后的2000颗合格催化剂中选出30颗最黑的小球所测定的碳含量超过6%，扣减8%物理分级费用，该催化剂并进行重新分级。</w:t>
      </w:r>
    </w:p>
    <w:p>
      <w:pPr>
        <w:spacing w:line="360" w:lineRule="auto"/>
        <w:ind w:left="480" w:leftChars="0" w:hanging="480" w:hangingChars="200"/>
        <w:rPr>
          <w:rFonts w:ascii="宋体" w:hAnsi="宋体"/>
          <w:color w:val="000000"/>
          <w:sz w:val="24"/>
          <w:szCs w:val="24"/>
          <w:highlight w:val="none"/>
        </w:rPr>
      </w:pP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.3若从</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风车式物理分级后催化剂颗粒有测定直径小于1.4mm每超5/1000颗扣减8%物理分级费用,如有Φ＜1.2mm为不合格该催化剂并进行重新分级。</w:t>
      </w:r>
    </w:p>
    <w:p>
      <w:pPr>
        <w:spacing w:line="360" w:lineRule="auto"/>
        <w:ind w:left="480" w:leftChars="0" w:hanging="480" w:hangingChars="200"/>
        <w:rPr>
          <w:rFonts w:ascii="宋体" w:hAnsi="宋体"/>
          <w:color w:val="000000"/>
          <w:sz w:val="24"/>
          <w:szCs w:val="24"/>
          <w:highlight w:val="none"/>
        </w:rPr>
      </w:pP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.4</w:t>
      </w:r>
      <w:r>
        <w:rPr>
          <w:rFonts w:hint="eastAsia" w:ascii="宋体" w:hAnsi="宋体"/>
          <w:color w:val="000000"/>
          <w:sz w:val="24"/>
          <w:szCs w:val="24"/>
          <w:highlight w:val="none"/>
          <w:lang w:val="en-US" w:eastAsia="zh-CN"/>
        </w:rPr>
        <w:t>若乙方</w:t>
      </w:r>
      <w:r>
        <w:rPr>
          <w:rFonts w:hint="eastAsia" w:ascii="宋体" w:hAnsi="宋体"/>
          <w:color w:val="000000"/>
          <w:sz w:val="24"/>
          <w:szCs w:val="24"/>
          <w:highlight w:val="none"/>
        </w:rPr>
        <w:t>分级后的高碳催化剂中随取2000颗，然后从中选出30颗目视为最好的小球所测定碳含量不小于8%，每低0.1%，甲方将扣除8%的回收分离费用。</w:t>
      </w:r>
    </w:p>
    <w:p>
      <w:pPr>
        <w:spacing w:line="360" w:lineRule="auto"/>
        <w:ind w:left="480" w:leftChars="0" w:hanging="480" w:hangingChars="200"/>
        <w:rPr>
          <w:rFonts w:ascii="宋体" w:hAnsi="宋体"/>
          <w:color w:val="000000"/>
          <w:sz w:val="24"/>
          <w:szCs w:val="24"/>
          <w:highlight w:val="none"/>
        </w:rPr>
      </w:pP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.5加工损失率超过0.1%，超出部分由</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按现有催化剂价值进行全额赔偿（称误差性除外）。</w:t>
      </w:r>
    </w:p>
    <w:p>
      <w:pPr>
        <w:spacing w:line="360" w:lineRule="auto"/>
        <w:ind w:left="1097" w:leftChars="200" w:hanging="657" w:hangingChars="274"/>
        <w:rPr>
          <w:rFonts w:ascii="宋体" w:hAnsi="宋体"/>
          <w:color w:val="000000"/>
          <w:sz w:val="24"/>
          <w:szCs w:val="24"/>
          <w:highlight w:val="none"/>
        </w:rPr>
      </w:pPr>
      <w:r>
        <w:rPr>
          <w:rFonts w:hint="eastAsia" w:ascii="宋体" w:hAnsi="宋体"/>
          <w:color w:val="000000"/>
          <w:sz w:val="24"/>
          <w:szCs w:val="24"/>
          <w:highlight w:val="none"/>
        </w:rPr>
        <w:t>加工损失率=100%×[W前-（W后1+W后2+W后3）]/W前</w:t>
      </w:r>
    </w:p>
    <w:p>
      <w:pPr>
        <w:spacing w:line="360" w:lineRule="auto"/>
        <w:ind w:left="1097" w:leftChars="200" w:hanging="657" w:hangingChars="274"/>
        <w:rPr>
          <w:rFonts w:ascii="宋体" w:hAnsi="宋体"/>
          <w:color w:val="000000"/>
          <w:sz w:val="24"/>
          <w:szCs w:val="24"/>
          <w:highlight w:val="none"/>
        </w:rPr>
      </w:pPr>
      <w:r>
        <w:rPr>
          <w:rFonts w:hint="eastAsia" w:ascii="宋体" w:hAnsi="宋体"/>
          <w:color w:val="000000"/>
          <w:sz w:val="24"/>
          <w:szCs w:val="24"/>
          <w:highlight w:val="none"/>
        </w:rPr>
        <w:t>其中：W前——回收前催化剂总量（千克）</w:t>
      </w:r>
    </w:p>
    <w:p>
      <w:pPr>
        <w:spacing w:line="360" w:lineRule="auto"/>
        <w:ind w:left="1097" w:leftChars="200" w:hanging="657" w:hangingChars="274"/>
        <w:rPr>
          <w:rFonts w:ascii="宋体" w:hAnsi="宋体"/>
          <w:color w:val="000000"/>
          <w:sz w:val="24"/>
          <w:szCs w:val="24"/>
          <w:highlight w:val="none"/>
        </w:rPr>
      </w:pPr>
      <w:r>
        <w:rPr>
          <w:rFonts w:hint="eastAsia" w:ascii="宋体" w:hAnsi="宋体"/>
          <w:color w:val="000000"/>
          <w:sz w:val="24"/>
          <w:szCs w:val="24"/>
          <w:highlight w:val="none"/>
        </w:rPr>
        <w:t xml:space="preserve">      W后1——回收产生的粉尘及破碎催化剂量（千克）</w:t>
      </w:r>
    </w:p>
    <w:p>
      <w:pPr>
        <w:spacing w:line="360" w:lineRule="auto"/>
        <w:ind w:left="1097" w:leftChars="200" w:hanging="657" w:hangingChars="274"/>
        <w:rPr>
          <w:rFonts w:ascii="宋体" w:hAnsi="宋体"/>
          <w:color w:val="000000"/>
          <w:sz w:val="24"/>
          <w:szCs w:val="24"/>
          <w:highlight w:val="none"/>
        </w:rPr>
      </w:pPr>
      <w:r>
        <w:rPr>
          <w:rFonts w:hint="eastAsia" w:ascii="宋体" w:hAnsi="宋体"/>
          <w:color w:val="000000"/>
          <w:sz w:val="24"/>
          <w:szCs w:val="24"/>
          <w:highlight w:val="none"/>
        </w:rPr>
        <w:t xml:space="preserve">      W后2——回收后低碳催化剂量（千克）</w:t>
      </w:r>
    </w:p>
    <w:p>
      <w:pPr>
        <w:spacing w:line="360" w:lineRule="auto"/>
        <w:ind w:left="1097" w:leftChars="200" w:hanging="657" w:hangingChars="274"/>
        <w:rPr>
          <w:rFonts w:ascii="宋体" w:hAnsi="宋体"/>
          <w:color w:val="000000"/>
          <w:sz w:val="24"/>
          <w:szCs w:val="24"/>
          <w:highlight w:val="none"/>
        </w:rPr>
      </w:pPr>
      <w:r>
        <w:rPr>
          <w:rFonts w:hint="eastAsia" w:ascii="宋体" w:hAnsi="宋体"/>
          <w:color w:val="000000"/>
          <w:sz w:val="24"/>
          <w:szCs w:val="24"/>
          <w:highlight w:val="none"/>
        </w:rPr>
        <w:t xml:space="preserve">      W后3——分离后高碳催化剂量（千克）</w:t>
      </w:r>
    </w:p>
    <w:p>
      <w:pPr>
        <w:spacing w:line="360" w:lineRule="auto"/>
        <w:ind w:left="480" w:leftChars="0" w:hanging="480" w:hanging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.6</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因</w:t>
      </w:r>
      <w:r>
        <w:rPr>
          <w:rFonts w:hint="eastAsia" w:ascii="宋体" w:hAnsi="宋体"/>
          <w:color w:val="000000"/>
          <w:sz w:val="24"/>
          <w:szCs w:val="24"/>
          <w:highlight w:val="none"/>
          <w:lang w:val="en-US" w:eastAsia="zh-CN"/>
        </w:rPr>
        <w:t>甲方</w:t>
      </w:r>
      <w:r>
        <w:rPr>
          <w:rFonts w:hint="eastAsia" w:ascii="宋体" w:hAnsi="宋体"/>
          <w:color w:val="000000"/>
          <w:sz w:val="24"/>
          <w:szCs w:val="24"/>
          <w:highlight w:val="none"/>
        </w:rPr>
        <w:t>的原因造成</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回收催化剂分级工期延长的，</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不负责。</w:t>
      </w:r>
      <w:bookmarkStart w:id="10" w:name="_Toc280104067"/>
    </w:p>
    <w:p>
      <w:pPr>
        <w:spacing w:line="360" w:lineRule="auto"/>
        <w:ind w:left="480" w:leftChars="0" w:hanging="480" w:hanging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3.7</w:t>
      </w:r>
      <w:r>
        <w:rPr>
          <w:rFonts w:hint="eastAsia" w:ascii="宋体" w:hAnsi="宋体"/>
          <w:color w:val="000000"/>
          <w:sz w:val="24"/>
          <w:szCs w:val="24"/>
          <w:highlight w:val="none"/>
        </w:rPr>
        <w:t>乙方</w:t>
      </w:r>
      <w:r>
        <w:rPr>
          <w:rFonts w:hint="eastAsia" w:ascii="宋体" w:hAnsi="宋体"/>
          <w:color w:val="000000"/>
          <w:sz w:val="24"/>
          <w:szCs w:val="24"/>
          <w:highlight w:val="none"/>
          <w:lang w:val="en-US" w:eastAsia="zh-CN"/>
        </w:rPr>
        <w:t>筛选</w:t>
      </w:r>
      <w:r>
        <w:rPr>
          <w:rFonts w:hint="eastAsia" w:ascii="宋体" w:hAnsi="宋体"/>
          <w:color w:val="000000"/>
          <w:sz w:val="24"/>
          <w:szCs w:val="24"/>
          <w:highlight w:val="none"/>
        </w:rPr>
        <w:t>后的催化剂达不到规定的质量标准，按照发包说明的要求扣减再生费用。</w:t>
      </w:r>
    </w:p>
    <w:p>
      <w:pPr>
        <w:spacing w:line="360" w:lineRule="auto"/>
        <w:ind w:left="480" w:leftChars="0" w:hanging="480" w:hanging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13.8</w:t>
      </w:r>
      <w:r>
        <w:rPr>
          <w:rFonts w:hint="eastAsia" w:ascii="宋体" w:hAnsi="宋体"/>
          <w:color w:val="000000"/>
          <w:sz w:val="24"/>
          <w:szCs w:val="24"/>
          <w:highlight w:val="none"/>
        </w:rPr>
        <w:t>乙方未按照双方约定的交货日期</w:t>
      </w:r>
      <w:r>
        <w:rPr>
          <w:rFonts w:hint="eastAsia" w:ascii="宋体" w:hAnsi="宋体"/>
          <w:color w:val="000000"/>
          <w:sz w:val="24"/>
          <w:szCs w:val="24"/>
          <w:highlight w:val="none"/>
          <w:lang w:val="en-US" w:eastAsia="zh-CN"/>
        </w:rPr>
        <w:t>物理筛分</w:t>
      </w:r>
      <w:r>
        <w:rPr>
          <w:rFonts w:hint="eastAsia" w:ascii="宋体" w:hAnsi="宋体"/>
          <w:color w:val="000000"/>
          <w:sz w:val="24"/>
          <w:szCs w:val="24"/>
          <w:highlight w:val="none"/>
        </w:rPr>
        <w:t>催化剂，甲方有权提兑履约保函，不足部分有权依照新催化剂的价值要求乙方给予赔偿。</w:t>
      </w:r>
    </w:p>
    <w:p>
      <w:pPr>
        <w:spacing w:line="360" w:lineRule="auto"/>
        <w:ind w:left="480" w:leftChars="0" w:hanging="480" w:hanging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13.9</w:t>
      </w:r>
      <w:r>
        <w:rPr>
          <w:rFonts w:hint="eastAsia" w:ascii="宋体" w:hAnsi="宋体"/>
          <w:color w:val="000000"/>
          <w:sz w:val="24"/>
          <w:szCs w:val="24"/>
          <w:highlight w:val="none"/>
        </w:rPr>
        <w:t>乙方在接受催化剂后，在运输、储存、回收等过程中发生甲方催化剂发生数量减少或灭失的，或者因储存、加工不得当等导致催化剂损失超过发包方案约定的数值等各种导致甲方损失的情形的，乙方应承担因此给甲方造成的全部损失，按照新鲜的催化剂的价值进行赔偿。</w:t>
      </w:r>
    </w:p>
    <w:p>
      <w:pPr>
        <w:keepNext w:val="0"/>
        <w:keepLines w:val="0"/>
        <w:pageBreakBefore w:val="0"/>
        <w:kinsoku/>
        <w:wordWrap/>
        <w:overflowPunct/>
        <w:topLinePunct w:val="0"/>
        <w:bidi w:val="0"/>
        <w:spacing w:line="360" w:lineRule="auto"/>
        <w:ind w:left="530" w:leftChars="0" w:hanging="530" w:hangingChars="221"/>
        <w:outlineLvl w:val="9"/>
        <w:rPr>
          <w:rStyle w:val="15"/>
          <w:rFonts w:hint="default" w:ascii="Times New Roman" w:hAnsi="Times New Roman" w:eastAsia="宋体" w:cs="Times New Roman"/>
          <w:bCs/>
          <w:i w:val="0"/>
          <w:iCs w:val="0"/>
          <w:sz w:val="24"/>
          <w:szCs w:val="24"/>
          <w:highlight w:val="none"/>
          <w:lang w:eastAsia="zh-CN"/>
        </w:rPr>
      </w:pPr>
      <w:r>
        <w:rPr>
          <w:rStyle w:val="15"/>
          <w:rFonts w:hint="default" w:ascii="Times New Roman" w:hAnsi="Times New Roman" w:eastAsia="宋体" w:cs="Times New Roman"/>
          <w:bCs/>
          <w:i w:val="0"/>
          <w:iCs w:val="0"/>
          <w:color w:val="000000"/>
          <w:sz w:val="24"/>
          <w:szCs w:val="24"/>
          <w:highlight w:val="none"/>
          <w:lang w:eastAsia="zh-CN"/>
        </w:rPr>
        <w:t>1</w:t>
      </w:r>
      <w:r>
        <w:rPr>
          <w:rStyle w:val="15"/>
          <w:rFonts w:hint="eastAsia" w:ascii="Times New Roman" w:hAnsi="Times New Roman" w:cs="Times New Roman"/>
          <w:bCs/>
          <w:i w:val="0"/>
          <w:iCs w:val="0"/>
          <w:color w:val="000000"/>
          <w:sz w:val="24"/>
          <w:szCs w:val="24"/>
          <w:highlight w:val="none"/>
          <w:lang w:val="en-US" w:eastAsia="zh-CN"/>
        </w:rPr>
        <w:t>3</w:t>
      </w:r>
      <w:r>
        <w:rPr>
          <w:rStyle w:val="15"/>
          <w:rFonts w:hint="default" w:ascii="Times New Roman" w:hAnsi="Times New Roman" w:eastAsia="宋体" w:cs="Times New Roman"/>
          <w:bCs/>
          <w:i w:val="0"/>
          <w:iCs w:val="0"/>
          <w:color w:val="000000"/>
          <w:sz w:val="24"/>
          <w:szCs w:val="24"/>
          <w:highlight w:val="none"/>
          <w:lang w:eastAsia="zh-CN"/>
        </w:rPr>
        <w:t>.</w:t>
      </w:r>
      <w:r>
        <w:rPr>
          <w:rStyle w:val="15"/>
          <w:rFonts w:hint="eastAsia" w:ascii="Times New Roman" w:hAnsi="Times New Roman" w:cs="Times New Roman"/>
          <w:bCs/>
          <w:i w:val="0"/>
          <w:iCs w:val="0"/>
          <w:color w:val="000000"/>
          <w:sz w:val="24"/>
          <w:szCs w:val="24"/>
          <w:highlight w:val="none"/>
          <w:lang w:val="en-US" w:eastAsia="zh-CN"/>
        </w:rPr>
        <w:t>10</w:t>
      </w:r>
      <w:r>
        <w:rPr>
          <w:rStyle w:val="15"/>
          <w:rFonts w:hint="default" w:ascii="Times New Roman" w:hAnsi="Times New Roman" w:eastAsia="宋体" w:cs="Times New Roman"/>
          <w:bCs/>
          <w:i w:val="0"/>
          <w:iCs w:val="0"/>
          <w:color w:val="000000"/>
          <w:sz w:val="24"/>
          <w:szCs w:val="24"/>
          <w:highlight w:val="none"/>
          <w:lang w:eastAsia="zh-CN"/>
        </w:rPr>
        <w:t>乙方如若逾期完成，每日应向甲方支付违约金为合同价格的 1 %，逾期超过</w:t>
      </w:r>
      <w:r>
        <w:rPr>
          <w:rFonts w:hint="default" w:ascii="Times New Roman" w:hAnsi="Times New Roman" w:eastAsia="宋体" w:cs="Times New Roman"/>
          <w:bCs/>
          <w:i w:val="0"/>
          <w:iCs w:val="0"/>
          <w:sz w:val="24"/>
          <w:szCs w:val="24"/>
          <w:highlight w:val="none"/>
          <w:u w:val="single"/>
          <w:lang w:eastAsia="zh-CN"/>
        </w:rPr>
        <w:t xml:space="preserve"> 三 </w:t>
      </w:r>
      <w:r>
        <w:rPr>
          <w:rStyle w:val="15"/>
          <w:rFonts w:hint="default" w:ascii="Times New Roman" w:hAnsi="Times New Roman" w:eastAsia="宋体" w:cs="Times New Roman"/>
          <w:bCs/>
          <w:i w:val="0"/>
          <w:iCs w:val="0"/>
          <w:color w:val="000000"/>
          <w:sz w:val="24"/>
          <w:szCs w:val="24"/>
          <w:highlight w:val="none"/>
          <w:lang w:eastAsia="zh-CN"/>
        </w:rPr>
        <w:t>日的，甲方还有权解除本合同并要求乙方退还已经收取的费用及占用期间利息，乙方还需支付甲方合同总</w:t>
      </w:r>
      <w:r>
        <w:rPr>
          <w:rStyle w:val="15"/>
          <w:rFonts w:hint="default" w:ascii="Times New Roman" w:hAnsi="Times New Roman" w:eastAsia="宋体" w:cs="Times New Roman"/>
          <w:bCs/>
          <w:i w:val="0"/>
          <w:iCs w:val="0"/>
          <w:sz w:val="24"/>
          <w:szCs w:val="24"/>
          <w:highlight w:val="none"/>
          <w:lang w:eastAsia="zh-CN"/>
        </w:rPr>
        <w:t>额 5 %的违约金。</w:t>
      </w:r>
    </w:p>
    <w:p>
      <w:pPr>
        <w:pStyle w:val="8"/>
        <w:keepNext w:val="0"/>
        <w:keepLines w:val="0"/>
        <w:pageBreakBefore w:val="0"/>
        <w:kinsoku/>
        <w:wordWrap/>
        <w:overflowPunct/>
        <w:topLinePunct w:val="0"/>
        <w:bidi w:val="0"/>
        <w:spacing w:line="360" w:lineRule="auto"/>
        <w:ind w:left="530" w:leftChars="0" w:hanging="530" w:hangingChars="221"/>
        <w:outlineLvl w:val="9"/>
        <w:rPr>
          <w:rStyle w:val="15"/>
          <w:rFonts w:hint="default" w:ascii="Times New Roman" w:hAnsi="Times New Roman" w:eastAsia="宋体" w:cs="Times New Roman"/>
          <w:bCs/>
          <w:i w:val="0"/>
          <w:iCs w:val="0"/>
          <w:sz w:val="24"/>
          <w:szCs w:val="24"/>
          <w:highlight w:val="none"/>
          <w:lang w:eastAsia="zh-CN"/>
        </w:rPr>
      </w:pPr>
      <w:r>
        <w:rPr>
          <w:rStyle w:val="15"/>
          <w:rFonts w:hint="eastAsia" w:ascii="Times New Roman" w:hAnsi="Times New Roman" w:cs="Times New Roman"/>
          <w:bCs/>
          <w:i w:val="0"/>
          <w:iCs w:val="0"/>
          <w:sz w:val="24"/>
          <w:szCs w:val="24"/>
          <w:highlight w:val="none"/>
          <w:lang w:val="en-US" w:eastAsia="zh-CN"/>
        </w:rPr>
        <w:t>13.11</w:t>
      </w:r>
      <w:r>
        <w:rPr>
          <w:rStyle w:val="15"/>
          <w:rFonts w:hint="default" w:ascii="Times New Roman" w:hAnsi="Times New Roman" w:eastAsia="宋体" w:cs="Times New Roman"/>
          <w:bCs/>
          <w:i w:val="0"/>
          <w:iCs w:val="0"/>
          <w:sz w:val="24"/>
          <w:szCs w:val="24"/>
          <w:highlight w:val="none"/>
          <w:lang w:eastAsia="zh-CN"/>
        </w:rPr>
        <w:t>乙方提交的服务咨询报告不符合合同约定的，应在甲方指定期限内修改完善直至符合合同约定为止，由此造成逾期提交的，按照第1款约定执行。</w:t>
      </w:r>
    </w:p>
    <w:p>
      <w:pPr>
        <w:pStyle w:val="8"/>
        <w:keepNext w:val="0"/>
        <w:keepLines w:val="0"/>
        <w:pageBreakBefore w:val="0"/>
        <w:kinsoku/>
        <w:wordWrap/>
        <w:overflowPunct/>
        <w:topLinePunct w:val="0"/>
        <w:bidi w:val="0"/>
        <w:spacing w:line="360" w:lineRule="auto"/>
        <w:ind w:left="530" w:leftChars="0" w:hanging="530" w:hangingChars="221"/>
        <w:outlineLvl w:val="9"/>
        <w:rPr>
          <w:rStyle w:val="15"/>
          <w:rFonts w:hint="default" w:ascii="Times New Roman" w:hAnsi="Times New Roman" w:eastAsia="宋体" w:cs="Times New Roman"/>
          <w:bCs/>
          <w:i w:val="0"/>
          <w:iCs w:val="0"/>
          <w:sz w:val="24"/>
          <w:szCs w:val="24"/>
          <w:highlight w:val="none"/>
          <w:lang w:eastAsia="zh-CN"/>
        </w:rPr>
      </w:pPr>
      <w:r>
        <w:rPr>
          <w:rStyle w:val="15"/>
          <w:rFonts w:hint="eastAsia" w:ascii="Times New Roman" w:hAnsi="Times New Roman" w:cs="Times New Roman"/>
          <w:bCs/>
          <w:i w:val="0"/>
          <w:iCs w:val="0"/>
          <w:sz w:val="24"/>
          <w:szCs w:val="24"/>
          <w:highlight w:val="none"/>
          <w:lang w:val="en-US" w:eastAsia="zh-CN"/>
        </w:rPr>
        <w:t>13.12</w:t>
      </w:r>
      <w:r>
        <w:rPr>
          <w:rStyle w:val="15"/>
          <w:rFonts w:hint="default" w:ascii="Times New Roman" w:hAnsi="Times New Roman" w:eastAsia="宋体" w:cs="Times New Roman"/>
          <w:bCs/>
          <w:i w:val="0"/>
          <w:iCs w:val="0"/>
          <w:sz w:val="24"/>
          <w:szCs w:val="24"/>
          <w:highlight w:val="none"/>
          <w:lang w:val="en-US" w:eastAsia="zh-CN"/>
        </w:rPr>
        <w:t xml:space="preserve"> </w:t>
      </w:r>
      <w:r>
        <w:rPr>
          <w:rStyle w:val="15"/>
          <w:rFonts w:hint="default" w:ascii="Times New Roman" w:hAnsi="Times New Roman" w:eastAsia="宋体" w:cs="Times New Roman"/>
          <w:bCs/>
          <w:i w:val="0"/>
          <w:iCs w:val="0"/>
          <w:sz w:val="24"/>
          <w:szCs w:val="24"/>
          <w:highlight w:val="none"/>
          <w:lang w:eastAsia="zh-CN"/>
        </w:rPr>
        <w:t>任何一方违反保密义务的，应向对方支付违约金人民币</w:t>
      </w:r>
      <w:r>
        <w:rPr>
          <w:rFonts w:hint="default" w:ascii="Times New Roman" w:hAnsi="Times New Roman" w:eastAsia="宋体" w:cs="Times New Roman"/>
          <w:bCs/>
          <w:i w:val="0"/>
          <w:iCs w:val="0"/>
          <w:sz w:val="24"/>
          <w:szCs w:val="24"/>
          <w:highlight w:val="none"/>
          <w:u w:val="single"/>
          <w:lang w:eastAsia="zh-CN"/>
        </w:rPr>
        <w:t xml:space="preserve"> 壹万 </w:t>
      </w:r>
      <w:r>
        <w:rPr>
          <w:rStyle w:val="15"/>
          <w:rFonts w:hint="default" w:ascii="Times New Roman" w:hAnsi="Times New Roman" w:eastAsia="宋体" w:cs="Times New Roman"/>
          <w:bCs/>
          <w:i w:val="0"/>
          <w:iCs w:val="0"/>
          <w:sz w:val="24"/>
          <w:szCs w:val="24"/>
          <w:highlight w:val="none"/>
          <w:lang w:eastAsia="zh-CN"/>
        </w:rPr>
        <w:t>元；并赔偿由此给对方造成的损失。</w:t>
      </w:r>
    </w:p>
    <w:p>
      <w:pPr>
        <w:pStyle w:val="8"/>
        <w:keepNext w:val="0"/>
        <w:keepLines w:val="0"/>
        <w:pageBreakBefore w:val="0"/>
        <w:kinsoku/>
        <w:wordWrap/>
        <w:overflowPunct/>
        <w:topLinePunct w:val="0"/>
        <w:bidi w:val="0"/>
        <w:spacing w:line="360" w:lineRule="auto"/>
        <w:ind w:left="530" w:leftChars="0" w:hanging="530" w:hangingChars="221"/>
        <w:outlineLvl w:val="9"/>
        <w:rPr>
          <w:rStyle w:val="15"/>
          <w:rFonts w:hint="default" w:ascii="Times New Roman" w:hAnsi="Times New Roman" w:eastAsia="宋体" w:cs="Times New Roman"/>
          <w:bCs/>
          <w:i w:val="0"/>
          <w:iCs w:val="0"/>
          <w:sz w:val="24"/>
          <w:szCs w:val="24"/>
          <w:highlight w:val="none"/>
          <w:lang w:eastAsia="zh-CN"/>
        </w:rPr>
      </w:pPr>
      <w:r>
        <w:rPr>
          <w:rStyle w:val="15"/>
          <w:rFonts w:hint="eastAsia" w:ascii="Times New Roman" w:hAnsi="Times New Roman" w:cs="Times New Roman"/>
          <w:bCs/>
          <w:i w:val="0"/>
          <w:iCs w:val="0"/>
          <w:sz w:val="24"/>
          <w:szCs w:val="24"/>
          <w:highlight w:val="none"/>
          <w:lang w:val="en-US" w:eastAsia="zh-CN"/>
        </w:rPr>
        <w:t>13.13</w:t>
      </w:r>
      <w:r>
        <w:rPr>
          <w:rStyle w:val="15"/>
          <w:rFonts w:hint="default" w:ascii="Times New Roman" w:hAnsi="Times New Roman" w:eastAsia="宋体" w:cs="Times New Roman"/>
          <w:bCs/>
          <w:i w:val="0"/>
          <w:iCs w:val="0"/>
          <w:sz w:val="24"/>
          <w:szCs w:val="24"/>
          <w:highlight w:val="none"/>
          <w:lang w:eastAsia="zh-CN"/>
        </w:rPr>
        <w:t>任何一方无正当理由单方解除合同的，应向对方支付合同总额5%的违约金，并赔偿对方的损失。</w:t>
      </w:r>
    </w:p>
    <w:p>
      <w:pPr>
        <w:pStyle w:val="8"/>
        <w:keepNext w:val="0"/>
        <w:keepLines w:val="0"/>
        <w:pageBreakBefore w:val="0"/>
        <w:kinsoku/>
        <w:wordWrap/>
        <w:overflowPunct/>
        <w:topLinePunct w:val="0"/>
        <w:bidi w:val="0"/>
        <w:spacing w:line="360" w:lineRule="auto"/>
        <w:ind w:left="530" w:leftChars="0" w:hanging="530" w:hangingChars="221"/>
        <w:outlineLvl w:val="9"/>
        <w:rPr>
          <w:rStyle w:val="15"/>
          <w:rFonts w:hint="default" w:ascii="Times New Roman" w:hAnsi="Times New Roman" w:eastAsia="宋体" w:cs="Times New Roman"/>
          <w:bCs/>
          <w:i w:val="0"/>
          <w:iCs w:val="0"/>
          <w:sz w:val="24"/>
          <w:szCs w:val="24"/>
          <w:highlight w:val="none"/>
          <w:lang w:eastAsia="zh-CN"/>
        </w:rPr>
      </w:pPr>
      <w:r>
        <w:rPr>
          <w:rStyle w:val="15"/>
          <w:rFonts w:hint="eastAsia" w:ascii="Times New Roman" w:hAnsi="Times New Roman" w:cs="Times New Roman"/>
          <w:bCs/>
          <w:i w:val="0"/>
          <w:iCs w:val="0"/>
          <w:sz w:val="24"/>
          <w:szCs w:val="24"/>
          <w:highlight w:val="none"/>
          <w:lang w:val="en-US" w:eastAsia="zh-CN"/>
        </w:rPr>
        <w:t>13.14</w:t>
      </w:r>
      <w:r>
        <w:rPr>
          <w:rStyle w:val="15"/>
          <w:rFonts w:hint="default" w:ascii="Times New Roman" w:hAnsi="Times New Roman" w:eastAsia="宋体" w:cs="Times New Roman"/>
          <w:bCs/>
          <w:i w:val="0"/>
          <w:iCs w:val="0"/>
          <w:sz w:val="24"/>
          <w:szCs w:val="24"/>
          <w:highlight w:val="none"/>
          <w:lang w:eastAsia="zh-CN"/>
        </w:rPr>
        <w:t>若乙方在履行合同过程中存在弄虚作假的情形，甲方有权单方解除合同，乙方应退还已收取的费用及占用期间利息，并支付甲方合同总额5%的违约金。</w:t>
      </w:r>
    </w:p>
    <w:p>
      <w:pPr>
        <w:pStyle w:val="8"/>
        <w:keepNext w:val="0"/>
        <w:keepLines w:val="0"/>
        <w:pageBreakBefore w:val="0"/>
        <w:kinsoku/>
        <w:wordWrap/>
        <w:overflowPunct/>
        <w:topLinePunct w:val="0"/>
        <w:bidi w:val="0"/>
        <w:spacing w:line="360" w:lineRule="auto"/>
        <w:ind w:left="530" w:leftChars="0" w:hanging="530" w:hangingChars="221"/>
        <w:outlineLvl w:val="9"/>
        <w:rPr>
          <w:rStyle w:val="15"/>
          <w:rFonts w:hint="default" w:ascii="Times New Roman" w:hAnsi="Times New Roman" w:eastAsia="宋体" w:cs="Times New Roman"/>
          <w:bCs/>
          <w:i w:val="0"/>
          <w:iCs w:val="0"/>
          <w:color w:val="000000"/>
          <w:sz w:val="24"/>
          <w:szCs w:val="24"/>
          <w:highlight w:val="none"/>
          <w:lang w:eastAsia="zh-CN"/>
        </w:rPr>
      </w:pPr>
      <w:r>
        <w:rPr>
          <w:rStyle w:val="15"/>
          <w:rFonts w:hint="eastAsia" w:ascii="Times New Roman" w:hAnsi="Times New Roman" w:cs="Times New Roman"/>
          <w:bCs/>
          <w:i w:val="0"/>
          <w:iCs w:val="0"/>
          <w:sz w:val="24"/>
          <w:szCs w:val="24"/>
          <w:highlight w:val="none"/>
          <w:lang w:val="en-US" w:eastAsia="zh-CN"/>
        </w:rPr>
        <w:t>13.15</w:t>
      </w:r>
      <w:r>
        <w:rPr>
          <w:rStyle w:val="15"/>
          <w:rFonts w:hint="default" w:ascii="Times New Roman" w:hAnsi="Times New Roman" w:eastAsia="宋体" w:cs="Times New Roman"/>
          <w:bCs/>
          <w:i w:val="0"/>
          <w:iCs w:val="0"/>
          <w:sz w:val="24"/>
          <w:szCs w:val="24"/>
          <w:highlight w:val="none"/>
          <w:lang w:eastAsia="zh-CN"/>
        </w:rPr>
        <w:t>乙方进入甲方现场服务期间，因不可归责于甲方的原因造成甲方、</w:t>
      </w:r>
      <w:r>
        <w:rPr>
          <w:rStyle w:val="15"/>
          <w:rFonts w:hint="default" w:ascii="Times New Roman" w:hAnsi="Times New Roman" w:eastAsia="宋体" w:cs="Times New Roman"/>
          <w:bCs/>
          <w:i w:val="0"/>
          <w:iCs w:val="0"/>
          <w:color w:val="000000"/>
          <w:sz w:val="24"/>
          <w:szCs w:val="24"/>
          <w:highlight w:val="none"/>
          <w:lang w:eastAsia="zh-CN"/>
        </w:rPr>
        <w:t>乙方或任何第三方人身财产损失的，由乙方承担全部责任。</w:t>
      </w:r>
    </w:p>
    <w:p>
      <w:pPr>
        <w:pStyle w:val="8"/>
        <w:keepNext w:val="0"/>
        <w:keepLines w:val="0"/>
        <w:pageBreakBefore w:val="0"/>
        <w:kinsoku/>
        <w:wordWrap/>
        <w:overflowPunct/>
        <w:topLinePunct w:val="0"/>
        <w:bidi w:val="0"/>
        <w:spacing w:line="360" w:lineRule="auto"/>
        <w:ind w:left="530" w:leftChars="0" w:hanging="530" w:hangingChars="221"/>
        <w:outlineLvl w:val="9"/>
        <w:rPr>
          <w:rFonts w:hint="eastAsia"/>
          <w:i w:val="0"/>
          <w:iCs w:val="0"/>
          <w:highlight w:val="none"/>
        </w:rPr>
      </w:pPr>
      <w:r>
        <w:rPr>
          <w:rStyle w:val="15"/>
          <w:rFonts w:hint="eastAsia" w:ascii="Times New Roman" w:hAnsi="Times New Roman" w:cs="Times New Roman"/>
          <w:bCs/>
          <w:i w:val="0"/>
          <w:iCs w:val="0"/>
          <w:color w:val="000000"/>
          <w:sz w:val="24"/>
          <w:szCs w:val="24"/>
          <w:highlight w:val="none"/>
          <w:lang w:val="en-US" w:eastAsia="zh-CN"/>
        </w:rPr>
        <w:t>13.16</w:t>
      </w:r>
      <w:r>
        <w:rPr>
          <w:rStyle w:val="15"/>
          <w:rFonts w:hint="default" w:ascii="Times New Roman" w:hAnsi="Times New Roman" w:eastAsia="宋体" w:cs="Times New Roman"/>
          <w:bCs/>
          <w:i w:val="0"/>
          <w:iCs w:val="0"/>
          <w:color w:val="000000"/>
          <w:sz w:val="24"/>
          <w:szCs w:val="24"/>
          <w:highlight w:val="none"/>
          <w:lang w:eastAsia="zh-CN"/>
        </w:rPr>
        <w:t>甲方已就本合同项下涉及乙方重大利害关系的条款向乙方作出详细说明，乙方充分理解上述条款含义，并自愿签订本合同。</w:t>
      </w:r>
    </w:p>
    <w:bookmarkEnd w:id="10"/>
    <w:p>
      <w:pPr>
        <w:keepNext w:val="0"/>
        <w:keepLines w:val="0"/>
        <w:pageBreakBefore w:val="0"/>
        <w:widowControl w:val="0"/>
        <w:numPr>
          <w:ilvl w:val="0"/>
          <w:numId w:val="8"/>
        </w:numPr>
        <w:kinsoku/>
        <w:wordWrap/>
        <w:overflowPunct/>
        <w:topLinePunct w:val="0"/>
        <w:autoSpaceDE w:val="0"/>
        <w:autoSpaceDN w:val="0"/>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b/>
          <w:bCs/>
          <w:highlight w:val="none"/>
        </w:rPr>
      </w:pPr>
      <w:r>
        <w:rPr>
          <w:rFonts w:hint="eastAsia"/>
          <w:b/>
          <w:bCs/>
          <w:highlight w:val="none"/>
          <w:lang w:val="en-US" w:eastAsia="zh-CN"/>
        </w:rPr>
        <w:t xml:space="preserve"> </w:t>
      </w:r>
      <w:r>
        <w:rPr>
          <w:rFonts w:hint="eastAsia"/>
          <w:b/>
          <w:bCs/>
          <w:highlight w:val="none"/>
        </w:rPr>
        <w:t>安全、健康和环境保护</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.1作业人员施工前认真学习安全生产法规，作业人员无条件服从</w:t>
      </w:r>
      <w:r>
        <w:rPr>
          <w:rFonts w:hint="eastAsia"/>
          <w:color w:val="000000"/>
          <w:sz w:val="24"/>
          <w:szCs w:val="24"/>
          <w:highlight w:val="none"/>
          <w:lang w:val="en-US" w:eastAsia="zh-CN"/>
        </w:rPr>
        <w:t>甲方</w:t>
      </w:r>
      <w:r>
        <w:rPr>
          <w:rFonts w:hint="eastAsia" w:ascii="宋体" w:hAnsi="宋体"/>
          <w:color w:val="000000"/>
          <w:sz w:val="24"/>
          <w:szCs w:val="24"/>
          <w:highlight w:val="none"/>
        </w:rPr>
        <w:t>安全检查人员指挥，遵守各项安全规章制度；</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.2作业人员要结合施工特点，开展安全活动，并认真作好记录；危险部位的施工，要坚持班前讲安全；</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.3在施工现场要设立醒目的安全标语牌和设置安全标志；</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.4进入施工现场的所有人员必须戴安全帽，着装应符合有关规定，作业人员应清楚工作内容和防护措施；</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.5合理安排作息时间，考虑施工人员身体承受能力；</w:t>
      </w:r>
    </w:p>
    <w:p>
      <w:pPr>
        <w:spacing w:line="360" w:lineRule="auto"/>
        <w:ind w:left="573" w:leftChars="0" w:hanging="573" w:hangingChars="239"/>
        <w:rPr>
          <w:rFonts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.6应有专职安全技术人员应每天巡视现场，及时发现施工中的不安全隐患和违章行为，及时排除险情，制止违章指挥和违章作业，监督施工中安全技术措施的执行，对发现安全隐患，保证无条件地及时整改；</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.7</w:t>
      </w:r>
      <w:r>
        <w:rPr>
          <w:rFonts w:hint="eastAsia"/>
          <w:color w:val="000000"/>
          <w:sz w:val="24"/>
          <w:szCs w:val="24"/>
          <w:highlight w:val="none"/>
          <w:lang w:val="en-US" w:eastAsia="zh-CN"/>
        </w:rPr>
        <w:t>乙方</w:t>
      </w:r>
      <w:r>
        <w:rPr>
          <w:rFonts w:hint="eastAsia" w:ascii="宋体" w:hAnsi="宋体"/>
          <w:color w:val="000000"/>
          <w:sz w:val="24"/>
          <w:szCs w:val="24"/>
          <w:highlight w:val="none"/>
        </w:rPr>
        <w:t>须与</w:t>
      </w:r>
      <w:r>
        <w:rPr>
          <w:rFonts w:hint="eastAsia"/>
          <w:color w:val="000000"/>
          <w:sz w:val="24"/>
          <w:szCs w:val="24"/>
          <w:highlight w:val="none"/>
          <w:lang w:val="en-US" w:eastAsia="zh-CN"/>
        </w:rPr>
        <w:t>甲方</w:t>
      </w:r>
      <w:r>
        <w:rPr>
          <w:rFonts w:hint="eastAsia" w:ascii="宋体" w:hAnsi="宋体"/>
          <w:color w:val="000000"/>
          <w:sz w:val="24"/>
          <w:szCs w:val="24"/>
          <w:highlight w:val="none"/>
        </w:rPr>
        <w:t>签订安全环保协议作为合同附件。</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4.</w:t>
      </w:r>
      <w:r>
        <w:rPr>
          <w:rFonts w:hint="eastAsia"/>
          <w:color w:val="000000"/>
          <w:sz w:val="24"/>
          <w:szCs w:val="24"/>
          <w:highlight w:val="none"/>
          <w:lang w:val="en-US" w:eastAsia="zh-CN"/>
        </w:rPr>
        <w:t>8</w:t>
      </w:r>
      <w:r>
        <w:rPr>
          <w:rFonts w:hint="eastAsia" w:ascii="宋体" w:hAnsi="宋体"/>
          <w:color w:val="000000"/>
          <w:sz w:val="24"/>
          <w:szCs w:val="24"/>
          <w:highlight w:val="none"/>
        </w:rPr>
        <w:t>甲乙双方应分别保证取得处理产品所需的相关政府许可和执照。</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color w:val="000000"/>
          <w:sz w:val="24"/>
          <w:szCs w:val="24"/>
          <w:highlight w:val="none"/>
          <w:lang w:val="en-US" w:eastAsia="zh-CN"/>
        </w:rPr>
        <w:t>9</w:t>
      </w:r>
      <w:r>
        <w:rPr>
          <w:rFonts w:hint="eastAsia" w:ascii="宋体" w:hAnsi="宋体"/>
          <w:color w:val="000000"/>
          <w:sz w:val="24"/>
          <w:szCs w:val="24"/>
          <w:highlight w:val="none"/>
        </w:rPr>
        <w:t>甲乙双方应分别保证在运输、存储、加工、使用等过程中遵守安全、健康与环境保护等法律法规的有关要求，并承担各自的安全、健康与环境保护责任。</w:t>
      </w:r>
    </w:p>
    <w:p>
      <w:pPr>
        <w:spacing w:line="360" w:lineRule="auto"/>
        <w:ind w:left="573" w:leftChars="0" w:hanging="573" w:hangingChars="23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14</w:t>
      </w:r>
      <w:r>
        <w:rPr>
          <w:rFonts w:hint="eastAsia"/>
          <w:color w:val="000000"/>
          <w:sz w:val="24"/>
          <w:szCs w:val="24"/>
          <w:highlight w:val="none"/>
          <w:lang w:val="en-US" w:eastAsia="zh-CN"/>
        </w:rPr>
        <w:t>.10</w:t>
      </w:r>
      <w:r>
        <w:rPr>
          <w:rFonts w:hint="eastAsia" w:ascii="宋体" w:hAnsi="宋体"/>
          <w:color w:val="000000"/>
          <w:sz w:val="24"/>
          <w:szCs w:val="24"/>
          <w:highlight w:val="none"/>
        </w:rPr>
        <w:t>乙方至甲方工厂</w:t>
      </w:r>
      <w:r>
        <w:rPr>
          <w:rFonts w:hint="eastAsia"/>
          <w:color w:val="000000"/>
          <w:sz w:val="24"/>
          <w:szCs w:val="24"/>
          <w:highlight w:val="none"/>
          <w:lang w:val="en-US" w:eastAsia="zh-CN"/>
        </w:rPr>
        <w:t>作业</w:t>
      </w:r>
      <w:r>
        <w:rPr>
          <w:rFonts w:hint="eastAsia" w:ascii="宋体" w:hAnsi="宋体"/>
          <w:color w:val="000000"/>
          <w:sz w:val="24"/>
          <w:szCs w:val="24"/>
          <w:highlight w:val="none"/>
        </w:rPr>
        <w:t>时必须严格遵守甲方公司的安全规定。</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482" w:leftChars="0" w:right="0" w:rightChars="0" w:hanging="482" w:hangingChars="200"/>
        <w:jc w:val="left"/>
        <w:textAlignment w:val="auto"/>
        <w:outlineLvl w:val="9"/>
        <w:rPr>
          <w:rFonts w:hint="eastAsia" w:ascii="宋体" w:hAnsi="宋体"/>
          <w:color w:val="000000"/>
          <w:sz w:val="24"/>
          <w:szCs w:val="24"/>
          <w:highlight w:val="none"/>
        </w:rPr>
      </w:pPr>
      <w:r>
        <w:rPr>
          <w:rFonts w:hint="eastAsia" w:ascii="宋体" w:hAnsi="宋体"/>
          <w:b/>
          <w:bCs/>
          <w:color w:val="000000"/>
          <w:sz w:val="24"/>
          <w:szCs w:val="24"/>
          <w:highlight w:val="none"/>
        </w:rPr>
        <w:t>第十</w:t>
      </w:r>
      <w:r>
        <w:rPr>
          <w:rFonts w:hint="eastAsia"/>
          <w:b/>
          <w:bCs/>
          <w:color w:val="000000"/>
          <w:sz w:val="24"/>
          <w:szCs w:val="24"/>
          <w:highlight w:val="none"/>
          <w:lang w:val="en-US" w:eastAsia="zh-CN"/>
        </w:rPr>
        <w:t>五</w:t>
      </w:r>
      <w:r>
        <w:rPr>
          <w:rFonts w:hint="eastAsia" w:ascii="宋体" w:hAnsi="宋体"/>
          <w:b/>
          <w:bCs/>
          <w:color w:val="000000"/>
          <w:sz w:val="24"/>
          <w:szCs w:val="24"/>
          <w:highlight w:val="none"/>
        </w:rPr>
        <w:t>条</w:t>
      </w:r>
      <w:r>
        <w:rPr>
          <w:rFonts w:hint="eastAsia"/>
          <w:color w:val="000000"/>
          <w:sz w:val="24"/>
          <w:szCs w:val="24"/>
          <w:highlight w:val="none"/>
          <w:lang w:val="en-US" w:eastAsia="zh-CN"/>
        </w:rPr>
        <w:t xml:space="preserve">  </w:t>
      </w:r>
      <w:r>
        <w:rPr>
          <w:rFonts w:hint="eastAsia" w:ascii="宋体" w:hAnsi="宋体"/>
          <w:color w:val="000000"/>
          <w:sz w:val="24"/>
          <w:szCs w:val="24"/>
          <w:highlight w:val="none"/>
        </w:rPr>
        <w:t>双方因履行本合同而发生的争议，可协商、调解解决，也可直接采取下列第2种方式解决：</w:t>
      </w:r>
    </w:p>
    <w:p>
      <w:pPr>
        <w:spacing w:line="360" w:lineRule="auto"/>
        <w:ind w:left="480" w:leftChars="0" w:hanging="480" w:hangingChars="200"/>
        <w:rPr>
          <w:rFonts w:hint="eastAsia" w:ascii="宋体" w:hAnsi="宋体"/>
          <w:color w:val="000000"/>
          <w:sz w:val="24"/>
          <w:szCs w:val="24"/>
          <w:highlight w:val="none"/>
        </w:rPr>
      </w:pPr>
      <w:r>
        <w:rPr>
          <w:rFonts w:hint="eastAsia"/>
          <w:color w:val="000000"/>
          <w:sz w:val="24"/>
          <w:szCs w:val="24"/>
          <w:highlight w:val="none"/>
          <w:lang w:val="en-US" w:eastAsia="zh-CN"/>
        </w:rPr>
        <w:t>15.</w:t>
      </w:r>
      <w:r>
        <w:rPr>
          <w:rFonts w:hint="eastAsia" w:ascii="宋体" w:hAnsi="宋体"/>
          <w:color w:val="000000"/>
          <w:sz w:val="24"/>
          <w:szCs w:val="24"/>
          <w:highlight w:val="none"/>
        </w:rPr>
        <w:t>1</w:t>
      </w:r>
      <w:r>
        <w:rPr>
          <w:rFonts w:hint="eastAsia"/>
          <w:color w:val="000000"/>
          <w:sz w:val="24"/>
          <w:szCs w:val="24"/>
          <w:highlight w:val="none"/>
          <w:lang w:val="en-US" w:eastAsia="zh-CN"/>
        </w:rPr>
        <w:t xml:space="preserve"> </w:t>
      </w:r>
      <w:r>
        <w:rPr>
          <w:rFonts w:hint="eastAsia" w:ascii="宋体" w:hAnsi="宋体"/>
          <w:color w:val="000000"/>
          <w:sz w:val="24"/>
          <w:szCs w:val="24"/>
          <w:highlight w:val="none"/>
        </w:rPr>
        <w:t>向仲裁委员会申请仲裁；</w:t>
      </w:r>
    </w:p>
    <w:p>
      <w:pPr>
        <w:spacing w:line="360" w:lineRule="auto"/>
        <w:ind w:left="480" w:leftChars="0" w:hanging="480" w:hangingChars="200"/>
        <w:rPr>
          <w:rFonts w:hint="eastAsia" w:ascii="宋体" w:hAnsi="宋体"/>
          <w:color w:val="000000"/>
          <w:sz w:val="24"/>
          <w:szCs w:val="24"/>
          <w:highlight w:val="none"/>
        </w:rPr>
      </w:pPr>
      <w:r>
        <w:rPr>
          <w:rFonts w:hint="eastAsia"/>
          <w:color w:val="000000"/>
          <w:sz w:val="24"/>
          <w:szCs w:val="24"/>
          <w:highlight w:val="none"/>
          <w:lang w:val="en-US" w:eastAsia="zh-CN"/>
        </w:rPr>
        <w:t>15.</w:t>
      </w:r>
      <w:r>
        <w:rPr>
          <w:rFonts w:hint="eastAsia" w:ascii="宋体" w:hAnsi="宋体"/>
          <w:color w:val="000000"/>
          <w:sz w:val="24"/>
          <w:szCs w:val="24"/>
          <w:highlight w:val="none"/>
        </w:rPr>
        <w:t>2</w:t>
      </w:r>
      <w:r>
        <w:rPr>
          <w:rFonts w:hint="eastAsia"/>
          <w:color w:val="000000"/>
          <w:sz w:val="24"/>
          <w:szCs w:val="24"/>
          <w:highlight w:val="none"/>
          <w:lang w:val="en-US" w:eastAsia="zh-CN"/>
        </w:rPr>
        <w:t xml:space="preserve"> </w:t>
      </w:r>
      <w:r>
        <w:rPr>
          <w:rFonts w:hint="eastAsia" w:ascii="宋体" w:hAnsi="宋体"/>
          <w:color w:val="000000"/>
          <w:sz w:val="24"/>
          <w:szCs w:val="24"/>
          <w:highlight w:val="none"/>
        </w:rPr>
        <w:t>向甲方所在地人民法院提起诉讼。</w:t>
      </w:r>
    </w:p>
    <w:p>
      <w:pPr>
        <w:spacing w:line="360" w:lineRule="auto"/>
        <w:ind w:left="482" w:leftChars="0" w:hanging="482" w:hangingChars="200"/>
        <w:rPr>
          <w:rFonts w:hint="eastAsia" w:ascii="宋体" w:hAnsi="宋体"/>
          <w:b/>
          <w:bCs/>
          <w:color w:val="000000"/>
          <w:sz w:val="24"/>
          <w:szCs w:val="24"/>
          <w:highlight w:val="none"/>
        </w:rPr>
      </w:pPr>
      <w:r>
        <w:rPr>
          <w:rFonts w:hint="eastAsia" w:ascii="宋体" w:hAnsi="宋体"/>
          <w:b/>
          <w:bCs/>
          <w:color w:val="000000"/>
          <w:sz w:val="24"/>
          <w:szCs w:val="24"/>
          <w:highlight w:val="none"/>
        </w:rPr>
        <w:t>第十</w:t>
      </w:r>
      <w:r>
        <w:rPr>
          <w:rFonts w:hint="eastAsia"/>
          <w:b/>
          <w:bCs/>
          <w:color w:val="000000"/>
          <w:sz w:val="24"/>
          <w:szCs w:val="24"/>
          <w:highlight w:val="none"/>
          <w:lang w:val="en-US" w:eastAsia="zh-CN"/>
        </w:rPr>
        <w:t>六</w:t>
      </w:r>
      <w:r>
        <w:rPr>
          <w:rFonts w:hint="eastAsia" w:ascii="宋体" w:hAnsi="宋体"/>
          <w:b/>
          <w:bCs/>
          <w:color w:val="000000"/>
          <w:sz w:val="24"/>
          <w:szCs w:val="24"/>
          <w:highlight w:val="none"/>
        </w:rPr>
        <w:t>条</w:t>
      </w:r>
      <w:r>
        <w:rPr>
          <w:rFonts w:hint="eastAsia"/>
          <w:b/>
          <w:bCs/>
          <w:color w:val="000000"/>
          <w:sz w:val="24"/>
          <w:szCs w:val="24"/>
          <w:highlight w:val="none"/>
          <w:lang w:val="en-US" w:eastAsia="zh-CN"/>
        </w:rPr>
        <w:t xml:space="preserve">  </w:t>
      </w:r>
      <w:r>
        <w:rPr>
          <w:rFonts w:hint="eastAsia" w:ascii="宋体" w:hAnsi="宋体"/>
          <w:b/>
          <w:bCs/>
          <w:color w:val="000000"/>
          <w:sz w:val="24"/>
          <w:szCs w:val="24"/>
          <w:highlight w:val="none"/>
        </w:rPr>
        <w:t>其他</w:t>
      </w:r>
    </w:p>
    <w:p>
      <w:pPr>
        <w:spacing w:line="360" w:lineRule="auto"/>
        <w:ind w:left="636" w:leftChars="9" w:hanging="616" w:hangingChars="257"/>
        <w:rPr>
          <w:rFonts w:hint="default" w:ascii="Times New Roman" w:hAnsi="Times New Roman" w:eastAsia="宋体" w:cs="Times New Roman"/>
          <w:sz w:val="24"/>
          <w:szCs w:val="24"/>
          <w:highlight w:val="none"/>
          <w:lang w:eastAsia="zh-CN"/>
        </w:rPr>
      </w:pPr>
      <w:r>
        <w:rPr>
          <w:rFonts w:hint="eastAsia"/>
          <w:color w:val="000000"/>
          <w:sz w:val="24"/>
          <w:szCs w:val="24"/>
          <w:highlight w:val="none"/>
          <w:lang w:val="en-US" w:eastAsia="zh-CN"/>
        </w:rPr>
        <w:t xml:space="preserve">16.1 </w:t>
      </w:r>
      <w:r>
        <w:rPr>
          <w:rFonts w:hint="eastAsia" w:ascii="宋体" w:hAnsi="宋体"/>
          <w:color w:val="000000"/>
          <w:sz w:val="24"/>
          <w:szCs w:val="24"/>
          <w:highlight w:val="none"/>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己经提前签收 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8"/>
        <w:keepNext w:val="0"/>
        <w:keepLines w:val="0"/>
        <w:pageBreakBefore w:val="0"/>
        <w:kinsoku/>
        <w:wordWrap/>
        <w:overflowPunct/>
        <w:topLinePunct w:val="0"/>
        <w:bidi w:val="0"/>
        <w:spacing w:line="360" w:lineRule="auto"/>
        <w:ind w:left="636" w:leftChars="9" w:hanging="616" w:hangingChars="257"/>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16.</w:t>
      </w:r>
      <w:r>
        <w:rPr>
          <w:rFonts w:hint="default" w:ascii="Times New Roman" w:hAnsi="Times New Roman" w:eastAsia="宋体" w:cs="Times New Roman"/>
          <w:sz w:val="24"/>
          <w:szCs w:val="24"/>
          <w:highlight w:val="none"/>
          <w:lang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8"/>
        <w:keepNext w:val="0"/>
        <w:keepLines w:val="0"/>
        <w:pageBreakBefore w:val="0"/>
        <w:kinsoku/>
        <w:wordWrap/>
        <w:overflowPunct/>
        <w:topLinePunct w:val="0"/>
        <w:bidi w:val="0"/>
        <w:spacing w:line="360" w:lineRule="auto"/>
        <w:ind w:left="636" w:leftChars="9" w:hanging="616" w:hangingChars="257"/>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16.</w:t>
      </w:r>
      <w:r>
        <w:rPr>
          <w:rFonts w:hint="default" w:ascii="Times New Roman" w:hAnsi="Times New Roman" w:eastAsia="宋体" w:cs="Times New Roman"/>
          <w:sz w:val="24"/>
          <w:szCs w:val="24"/>
          <w:highlight w:val="none"/>
          <w:lang w:eastAsia="zh-CN"/>
        </w:rPr>
        <w:t>3</w:t>
      </w:r>
      <w:r>
        <w:rPr>
          <w:rFonts w:hint="eastAsia" w:ascii="Times New Roman" w:hAnsi="Times New Roman" w:cs="Times New Roman"/>
          <w:sz w:val="24"/>
          <w:szCs w:val="24"/>
          <w:highlight w:val="none"/>
          <w:lang w:val="en-US" w:eastAsia="zh-CN"/>
        </w:rPr>
        <w:t xml:space="preserve"> </w:t>
      </w:r>
      <w:r>
        <w:rPr>
          <w:rStyle w:val="15"/>
          <w:rFonts w:hint="default" w:ascii="Times New Roman" w:hAnsi="Times New Roman" w:eastAsia="宋体" w:cs="Times New Roman"/>
          <w:color w:val="000000"/>
          <w:sz w:val="24"/>
          <w:szCs w:val="24"/>
          <w:highlight w:val="none"/>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Style w:val="15"/>
          <w:rFonts w:hint="eastAsia" w:ascii="Times New Roman" w:hAnsi="Times New Roman" w:cs="Times New Roman"/>
          <w:color w:val="000000"/>
          <w:sz w:val="24"/>
          <w:szCs w:val="24"/>
          <w:highlight w:val="none"/>
          <w:lang w:val="en-US" w:eastAsia="zh-CN"/>
        </w:rPr>
        <w:t>2</w:t>
      </w:r>
      <w:r>
        <w:rPr>
          <w:rStyle w:val="15"/>
          <w:rFonts w:hint="default" w:ascii="Times New Roman" w:hAnsi="Times New Roman" w:eastAsia="宋体" w:cs="Times New Roman"/>
          <w:color w:val="000000"/>
          <w:sz w:val="24"/>
          <w:szCs w:val="24"/>
          <w:highlight w:val="none"/>
          <w:lang w:eastAsia="zh-CN"/>
        </w:rPr>
        <w:t>《安全环保协议》，作为主合同的附件。</w:t>
      </w:r>
    </w:p>
    <w:p>
      <w:pPr>
        <w:pStyle w:val="8"/>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sz w:val="24"/>
          <w:szCs w:val="24"/>
          <w:highlight w:val="none"/>
          <w:lang w:eastAsia="zh-CN"/>
        </w:rPr>
        <w:t>第十</w:t>
      </w:r>
      <w:r>
        <w:rPr>
          <w:rFonts w:hint="eastAsia" w:ascii="Times New Roman" w:hAnsi="Times New Roman" w:cs="Times New Roman"/>
          <w:b/>
          <w:sz w:val="24"/>
          <w:szCs w:val="24"/>
          <w:highlight w:val="none"/>
          <w:lang w:val="en-US" w:eastAsia="zh-CN"/>
        </w:rPr>
        <w:t>七</w:t>
      </w:r>
      <w:r>
        <w:rPr>
          <w:rFonts w:hint="default" w:ascii="Times New Roman" w:hAnsi="Times New Roman" w:eastAsia="宋体" w:cs="Times New Roman"/>
          <w:b/>
          <w:sz w:val="24"/>
          <w:szCs w:val="24"/>
          <w:highlight w:val="none"/>
          <w:lang w:eastAsia="zh-CN"/>
        </w:rPr>
        <w:t>条</w:t>
      </w:r>
      <w:r>
        <w:rPr>
          <w:rFonts w:hint="default" w:ascii="Times New Roman" w:hAnsi="Times New Roman" w:eastAsia="宋体" w:cs="Times New Roman"/>
          <w:sz w:val="24"/>
          <w:szCs w:val="24"/>
          <w:highlight w:val="none"/>
          <w:lang w:eastAsia="zh-CN"/>
        </w:rPr>
        <w:t xml:space="preserve">  保险</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8"/>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第十</w:t>
      </w:r>
      <w:r>
        <w:rPr>
          <w:rFonts w:hint="eastAsia" w:ascii="Times New Roman" w:hAnsi="Times New Roman" w:cs="Times New Roman"/>
          <w:b/>
          <w:bCs/>
          <w:sz w:val="24"/>
          <w:szCs w:val="24"/>
          <w:highlight w:val="none"/>
          <w:lang w:val="en-US" w:eastAsia="zh-CN"/>
        </w:rPr>
        <w:t>八</w:t>
      </w:r>
      <w:r>
        <w:rPr>
          <w:rFonts w:hint="default" w:ascii="Times New Roman" w:hAnsi="Times New Roman" w:eastAsia="宋体" w:cs="Times New Roman"/>
          <w:b/>
          <w:bCs/>
          <w:sz w:val="24"/>
          <w:szCs w:val="24"/>
          <w:highlight w:val="none"/>
          <w:lang w:eastAsia="zh-CN"/>
        </w:rPr>
        <w:t>条 本合同经双方盖章后生效。本合同一式</w:t>
      </w:r>
      <w:r>
        <w:rPr>
          <w:rFonts w:hint="eastAsia" w:ascii="Times New Roman" w:hAnsi="Times New Roman" w:cs="Times New Roman"/>
          <w:b/>
          <w:bCs/>
          <w:sz w:val="24"/>
          <w:szCs w:val="24"/>
          <w:highlight w:val="none"/>
          <w:u w:val="single"/>
          <w:lang w:val="en-US" w:eastAsia="zh-CN"/>
        </w:rPr>
        <w:t>陆</w:t>
      </w:r>
      <w:r>
        <w:rPr>
          <w:rFonts w:hint="default" w:ascii="Times New Roman" w:hAnsi="Times New Roman" w:eastAsia="宋体" w:cs="Times New Roman"/>
          <w:b/>
          <w:bCs/>
          <w:sz w:val="24"/>
          <w:szCs w:val="24"/>
          <w:highlight w:val="none"/>
          <w:lang w:eastAsia="zh-CN"/>
        </w:rPr>
        <w:t>份，甲方执</w:t>
      </w:r>
      <w:r>
        <w:rPr>
          <w:rFonts w:hint="default" w:ascii="Times New Roman" w:hAnsi="Times New Roman" w:eastAsia="宋体" w:cs="Times New Roman"/>
          <w:b/>
          <w:bCs/>
          <w:sz w:val="24"/>
          <w:szCs w:val="24"/>
          <w:highlight w:val="none"/>
          <w:u w:val="single"/>
          <w:lang w:eastAsia="zh-CN"/>
        </w:rPr>
        <w:t>肆</w:t>
      </w:r>
      <w:r>
        <w:rPr>
          <w:rFonts w:hint="default" w:ascii="Times New Roman" w:hAnsi="Times New Roman" w:eastAsia="宋体" w:cs="Times New Roman"/>
          <w:b/>
          <w:bCs/>
          <w:sz w:val="24"/>
          <w:szCs w:val="24"/>
          <w:highlight w:val="none"/>
          <w:lang w:eastAsia="zh-CN"/>
        </w:rPr>
        <w:t>份，乙方执</w:t>
      </w:r>
      <w:r>
        <w:rPr>
          <w:rFonts w:hint="eastAsia" w:ascii="Times New Roman" w:hAnsi="Times New Roman" w:cs="Times New Roman"/>
          <w:b/>
          <w:bCs/>
          <w:sz w:val="24"/>
          <w:szCs w:val="24"/>
          <w:highlight w:val="none"/>
          <w:u w:val="single"/>
          <w:lang w:val="en-US" w:eastAsia="zh-CN"/>
        </w:rPr>
        <w:t>贰</w:t>
      </w:r>
      <w:r>
        <w:rPr>
          <w:rFonts w:hint="default" w:ascii="Times New Roman" w:hAnsi="Times New Roman" w:eastAsia="宋体" w:cs="Times New Roman"/>
          <w:b/>
          <w:bCs/>
          <w:sz w:val="24"/>
          <w:szCs w:val="24"/>
          <w:highlight w:val="none"/>
          <w:lang w:eastAsia="zh-CN"/>
        </w:rPr>
        <w:t>份，具有同等法律效力。</w:t>
      </w:r>
    </w:p>
    <w:p>
      <w:pPr>
        <w:keepNext w:val="0"/>
        <w:keepLines w:val="0"/>
        <w:pageBreakBefore w:val="0"/>
        <w:widowControl w:val="0"/>
        <w:tabs>
          <w:tab w:val="left" w:pos="2010"/>
        </w:tabs>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sz w:val="24"/>
          <w:szCs w:val="24"/>
          <w:highlight w:val="none"/>
          <w:lang w:eastAsia="zh-CN"/>
        </w:rPr>
        <w:t>第十</w:t>
      </w:r>
      <w:r>
        <w:rPr>
          <w:rFonts w:hint="eastAsia" w:ascii="Times New Roman" w:hAnsi="Times New Roman" w:cs="Times New Roman"/>
          <w:b/>
          <w:sz w:val="24"/>
          <w:szCs w:val="24"/>
          <w:highlight w:val="none"/>
          <w:lang w:val="en-US" w:eastAsia="zh-CN"/>
        </w:rPr>
        <w:t>九</w:t>
      </w:r>
      <w:r>
        <w:rPr>
          <w:rFonts w:hint="default" w:ascii="Times New Roman" w:hAnsi="Times New Roman" w:eastAsia="宋体" w:cs="Times New Roman"/>
          <w:b/>
          <w:sz w:val="24"/>
          <w:szCs w:val="24"/>
          <w:highlight w:val="none"/>
          <w:lang w:eastAsia="zh-CN"/>
        </w:rPr>
        <w:t>条</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附件及双方往来的有效书面文件与合同共同具备法律效力。</w:t>
      </w:r>
    </w:p>
    <w:p>
      <w:pPr>
        <w:keepNext w:val="0"/>
        <w:keepLines w:val="0"/>
        <w:pageBreakBefore w:val="0"/>
        <w:tabs>
          <w:tab w:val="left" w:pos="2010"/>
        </w:tabs>
        <w:kinsoku/>
        <w:wordWrap/>
        <w:overflowPunct/>
        <w:topLinePunct w:val="0"/>
        <w:bidi w:val="0"/>
        <w:spacing w:line="360" w:lineRule="auto"/>
        <w:ind w:firstLine="360" w:firstLineChars="15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本合同未尽事宜，如需更改经双方协商后可另签补充协议。</w:t>
      </w:r>
    </w:p>
    <w:p>
      <w:pPr>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pacing w:line="360" w:lineRule="auto"/>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sz w:val="24"/>
          <w:szCs w:val="24"/>
          <w:highlight w:val="none"/>
          <w:lang w:eastAsia="zh-CN"/>
        </w:rPr>
        <w:t>以下无正文。</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rPr>
      </w:pPr>
    </w:p>
    <w:p>
      <w:pPr>
        <w:pStyle w:val="9"/>
        <w:keepNext w:val="0"/>
        <w:keepLines w:val="0"/>
        <w:pageBreakBefore w:val="0"/>
        <w:widowControl/>
        <w:suppressLineNumbers w:val="0"/>
        <w:kinsoku/>
        <w:wordWrap/>
        <w:overflowPunct/>
        <w:topLinePunct w:val="0"/>
        <w:bidi w:val="0"/>
        <w:spacing w:before="0" w:beforeAutospacing="0" w:after="300" w:afterAutospacing="0" w:line="360" w:lineRule="auto"/>
        <w:ind w:right="-226"/>
        <w:jc w:val="both"/>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eastAsia="zh-CN"/>
        </w:rPr>
        <w:t>甲</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方:</w:t>
      </w:r>
      <w:r>
        <w:rPr>
          <w:rFonts w:hint="eastAsia" w:ascii="Times New Roman" w:hAnsi="Times New Roman" w:cs="Times New Roman"/>
          <w:b/>
          <w:bCs/>
          <w:sz w:val="24"/>
          <w:szCs w:val="24"/>
          <w:highlight w:val="none"/>
          <w:lang w:val="en-US" w:eastAsia="zh-CN"/>
        </w:rPr>
        <w:t>腾龙芳烃</w:t>
      </w:r>
      <w:r>
        <w:rPr>
          <w:rFonts w:hint="default" w:ascii="Times New Roman" w:hAnsi="Times New Roman" w:eastAsia="宋体" w:cs="Times New Roman"/>
          <w:b/>
          <w:bCs/>
          <w:sz w:val="24"/>
          <w:szCs w:val="24"/>
          <w:highlight w:val="none"/>
          <w:lang w:eastAsia="zh-CN"/>
        </w:rPr>
        <w:t xml:space="preserve">（漳州）有限公司   </w:t>
      </w:r>
      <w:r>
        <w:rPr>
          <w:rFonts w:hint="default" w:ascii="Times New Roman" w:hAnsi="Times New Roman" w:eastAsia="宋体" w:cs="Times New Roman"/>
          <w:b/>
          <w:bCs/>
          <w:sz w:val="24"/>
          <w:szCs w:val="24"/>
          <w:highlight w:val="none"/>
          <w:lang w:val="en-US" w:eastAsia="zh-CN"/>
        </w:rPr>
        <w:t xml:space="preserve"> </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乙  方：</w:t>
      </w:r>
    </w:p>
    <w:p>
      <w:pPr>
        <w:keepNext w:val="0"/>
        <w:keepLines w:val="0"/>
        <w:pageBreakBefore w:val="0"/>
        <w:widowControl/>
        <w:kinsoku/>
        <w:wordWrap/>
        <w:overflowPunct/>
        <w:topLinePunct w:val="0"/>
        <w:bidi w:val="0"/>
        <w:spacing w:line="360" w:lineRule="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lang w:eastAsia="zh-CN"/>
        </w:rPr>
        <w:t>账  号：</w:t>
      </w:r>
      <w:r>
        <w:rPr>
          <w:rFonts w:hint="default" w:ascii="Times New Roman" w:hAnsi="Times New Roman" w:eastAsia="宋体" w:cs="Times New Roman"/>
          <w:b/>
          <w:color w:val="auto"/>
          <w:sz w:val="24"/>
          <w:szCs w:val="24"/>
          <w:highlight w:val="none"/>
        </w:rPr>
        <w:t>162070100100021071</w:t>
      </w:r>
      <w:r>
        <w:rPr>
          <w:rFonts w:hint="default" w:ascii="Times New Roman" w:hAnsi="Times New Roman" w:eastAsia="宋体" w:cs="Times New Roman"/>
          <w:b/>
          <w:sz w:val="24"/>
          <w:szCs w:val="24"/>
          <w:highlight w:val="none"/>
          <w:lang w:eastAsia="zh-CN"/>
        </w:rPr>
        <w:t xml:space="preserve">               </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lang w:eastAsia="zh-CN"/>
        </w:rPr>
        <w:t xml:space="preserve"> 账   号：</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开户行：</w:t>
      </w:r>
      <w:r>
        <w:rPr>
          <w:rFonts w:hint="default" w:ascii="Times New Roman" w:hAnsi="Times New Roman" w:eastAsia="宋体" w:cs="Times New Roman"/>
          <w:b/>
          <w:color w:val="auto"/>
          <w:sz w:val="24"/>
          <w:szCs w:val="24"/>
          <w:highlight w:val="none"/>
          <w:lang w:eastAsia="zh-CN"/>
        </w:rPr>
        <w:t>兴业银行漳州古雷支行</w:t>
      </w:r>
      <w:r>
        <w:rPr>
          <w:rFonts w:hint="default" w:ascii="Times New Roman" w:hAnsi="Times New Roman" w:eastAsia="宋体" w:cs="Times New Roman"/>
          <w:b/>
          <w:sz w:val="24"/>
          <w:szCs w:val="24"/>
          <w:highlight w:val="none"/>
        </w:rPr>
        <w:t xml:space="preserve">  </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rPr>
        <w:t xml:space="preserve">         </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rPr>
        <w:t xml:space="preserve">   开户行：</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 xml:space="preserve"> </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 xml:space="preserve">签订日期：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 xml:space="preserve">年    月    日       </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签订日期：</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 xml:space="preserve">    年    月    日</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附件</w:t>
      </w:r>
      <w:r>
        <w:rPr>
          <w:rFonts w:hint="eastAsia" w:ascii="Times New Roman" w:hAnsi="Times New Roman" w:cs="Times New Roman"/>
          <w:sz w:val="24"/>
          <w:szCs w:val="24"/>
          <w:highlight w:val="none"/>
          <w:lang w:val="en-US" w:eastAsia="zh-CN"/>
        </w:rPr>
        <w:t>1</w:t>
      </w:r>
    </w:p>
    <w:p>
      <w:pPr>
        <w:jc w:val="center"/>
        <w:rPr>
          <w:rFonts w:hint="eastAsia" w:ascii="PMingLiU" w:hAnsi="PMingLiU"/>
          <w:b/>
          <w:sz w:val="28"/>
          <w:szCs w:val="28"/>
          <w:highlight w:val="none"/>
        </w:rPr>
      </w:pPr>
    </w:p>
    <w:p>
      <w:pPr>
        <w:jc w:val="center"/>
        <w:rPr>
          <w:rFonts w:hint="eastAsia" w:ascii="PMingLiU" w:hAnsi="PMingLiU"/>
          <w:b/>
          <w:color w:val="000000"/>
          <w:sz w:val="28"/>
          <w:szCs w:val="28"/>
          <w:highlight w:val="none"/>
        </w:rPr>
      </w:pPr>
    </w:p>
    <w:p>
      <w:pPr>
        <w:jc w:val="center"/>
        <w:rPr>
          <w:rFonts w:hint="eastAsia" w:ascii="PMingLiU" w:hAnsi="PMingLiU"/>
          <w:b/>
          <w:color w:val="000000"/>
          <w:sz w:val="30"/>
          <w:szCs w:val="30"/>
          <w:highlight w:val="none"/>
        </w:rPr>
      </w:pPr>
      <w:r>
        <w:rPr>
          <w:rFonts w:hint="eastAsia" w:ascii="PMingLiU" w:hAnsi="PMingLiU"/>
          <w:b/>
          <w:color w:val="000000"/>
          <w:sz w:val="30"/>
          <w:szCs w:val="30"/>
          <w:highlight w:val="none"/>
        </w:rPr>
        <w:t>福建福海创石油化工有限公司</w:t>
      </w:r>
    </w:p>
    <w:p>
      <w:pPr>
        <w:jc w:val="center"/>
        <w:rPr>
          <w:rFonts w:hint="eastAsia" w:ascii="PMingLiU" w:hAnsi="PMingLiU"/>
          <w:b/>
          <w:color w:val="000000"/>
          <w:sz w:val="28"/>
          <w:szCs w:val="28"/>
          <w:highlight w:val="none"/>
        </w:rPr>
      </w:pPr>
    </w:p>
    <w:p>
      <w:pPr>
        <w:jc w:val="center"/>
        <w:rPr>
          <w:rFonts w:hint="eastAsia" w:ascii="PMingLiU" w:hAnsi="PMingLiU"/>
          <w:b/>
          <w:color w:val="000000"/>
          <w:sz w:val="30"/>
          <w:szCs w:val="30"/>
          <w:highlight w:val="none"/>
        </w:rPr>
      </w:pPr>
    </w:p>
    <w:p>
      <w:pPr>
        <w:spacing w:line="240" w:lineRule="atLeast"/>
        <w:jc w:val="center"/>
        <w:rPr>
          <w:rFonts w:ascii="PMingLiU" w:hAnsi="PMingLiU"/>
          <w:b/>
          <w:color w:val="000000"/>
          <w:sz w:val="32"/>
          <w:szCs w:val="32"/>
          <w:highlight w:val="none"/>
        </w:rPr>
      </w:pPr>
      <w:r>
        <w:rPr>
          <w:rFonts w:hint="eastAsia" w:ascii="PMingLiU" w:hAnsi="PMingLiU"/>
          <w:b/>
          <w:color w:val="000000"/>
          <w:sz w:val="32"/>
          <w:szCs w:val="32"/>
          <w:highlight w:val="none"/>
        </w:rPr>
        <w:t>芳烃团队重整装置催化剂筛分</w:t>
      </w:r>
    </w:p>
    <w:p>
      <w:pPr>
        <w:spacing w:line="240" w:lineRule="atLeast"/>
        <w:ind w:firstLine="4337" w:firstLineChars="1350"/>
        <w:rPr>
          <w:rFonts w:hint="eastAsia" w:ascii="PMingLiU" w:hAnsi="PMingLiU"/>
          <w:b/>
          <w:color w:val="000000"/>
          <w:sz w:val="32"/>
          <w:szCs w:val="32"/>
          <w:highlight w:val="none"/>
        </w:rPr>
      </w:pPr>
      <w:r>
        <w:rPr>
          <w:rFonts w:hint="eastAsia" w:ascii="PMingLiU" w:hAnsi="PMingLiU"/>
          <w:b/>
          <w:color w:val="000000"/>
          <w:sz w:val="32"/>
          <w:szCs w:val="32"/>
          <w:highlight w:val="none"/>
        </w:rPr>
        <w:t>发包说明</w:t>
      </w:r>
    </w:p>
    <w:p>
      <w:pPr>
        <w:jc w:val="center"/>
        <w:rPr>
          <w:rFonts w:hint="eastAsia" w:ascii="PMingLiU" w:hAnsi="PMingLiU"/>
          <w:b/>
          <w:color w:val="000000"/>
          <w:sz w:val="28"/>
          <w:szCs w:val="28"/>
          <w:highlight w:val="none"/>
        </w:rPr>
      </w:pPr>
    </w:p>
    <w:p>
      <w:pPr>
        <w:jc w:val="center"/>
        <w:rPr>
          <w:rFonts w:hint="eastAsia" w:ascii="PMingLiU" w:hAnsi="PMingLiU"/>
          <w:b/>
          <w:color w:val="000000"/>
          <w:sz w:val="28"/>
          <w:szCs w:val="28"/>
          <w:highlight w:val="none"/>
        </w:rPr>
      </w:pPr>
    </w:p>
    <w:p>
      <w:pPr>
        <w:jc w:val="center"/>
        <w:rPr>
          <w:rFonts w:hint="eastAsia" w:ascii="PMingLiU" w:hAnsi="PMingLiU"/>
          <w:b/>
          <w:color w:val="000000"/>
          <w:sz w:val="28"/>
          <w:szCs w:val="28"/>
          <w:highlight w:val="none"/>
        </w:rPr>
      </w:pPr>
    </w:p>
    <w:p>
      <w:pPr>
        <w:jc w:val="center"/>
        <w:rPr>
          <w:rFonts w:hint="eastAsia" w:ascii="PMingLiU" w:hAnsi="PMingLiU"/>
          <w:b/>
          <w:color w:val="000000"/>
          <w:sz w:val="28"/>
          <w:szCs w:val="28"/>
          <w:highlight w:val="none"/>
        </w:rPr>
      </w:pPr>
    </w:p>
    <w:p>
      <w:pPr>
        <w:ind w:firstLine="3241" w:firstLineChars="1153"/>
        <w:rPr>
          <w:rFonts w:hint="eastAsia" w:ascii="PMingLiU" w:hAnsi="PMingLiU"/>
          <w:b/>
          <w:color w:val="000000"/>
          <w:sz w:val="28"/>
          <w:szCs w:val="28"/>
          <w:highlight w:val="none"/>
          <w:u w:val="single"/>
        </w:rPr>
      </w:pPr>
    </w:p>
    <w:p>
      <w:pPr>
        <w:jc w:val="center"/>
        <w:rPr>
          <w:rFonts w:hint="eastAsia" w:ascii="PMingLiU" w:hAnsi="PMingLiU"/>
          <w:b/>
          <w:color w:val="000000"/>
          <w:sz w:val="28"/>
          <w:szCs w:val="28"/>
          <w:highlight w:val="none"/>
        </w:rPr>
      </w:pPr>
    </w:p>
    <w:p>
      <w:pPr>
        <w:jc w:val="center"/>
        <w:rPr>
          <w:rFonts w:hint="eastAsia" w:ascii="PMingLiU" w:hAnsi="PMingLiU"/>
          <w:b/>
          <w:color w:val="000000"/>
          <w:sz w:val="28"/>
          <w:szCs w:val="28"/>
          <w:highlight w:val="none"/>
        </w:rPr>
      </w:pPr>
    </w:p>
    <w:p>
      <w:pPr>
        <w:rPr>
          <w:rFonts w:ascii="PMingLiU" w:hAnsi="PMingLiU"/>
          <w:b/>
          <w:color w:val="000000"/>
          <w:sz w:val="28"/>
          <w:szCs w:val="28"/>
          <w:highlight w:val="none"/>
        </w:rPr>
      </w:pPr>
    </w:p>
    <w:p>
      <w:pPr>
        <w:jc w:val="center"/>
        <w:rPr>
          <w:rFonts w:hint="eastAsia" w:ascii="PMingLiU" w:hAnsi="PMingLiU"/>
          <w:b/>
          <w:color w:val="000000"/>
          <w:sz w:val="28"/>
          <w:szCs w:val="28"/>
          <w:highlight w:val="none"/>
        </w:rPr>
      </w:pPr>
    </w:p>
    <w:p>
      <w:pPr>
        <w:jc w:val="center"/>
        <w:rPr>
          <w:rFonts w:hint="eastAsia" w:ascii="PMingLiU" w:hAnsi="PMingLiU"/>
          <w:b/>
          <w:color w:val="000000"/>
          <w:sz w:val="28"/>
          <w:szCs w:val="28"/>
          <w:highlight w:val="none"/>
        </w:rPr>
      </w:pPr>
      <w:r>
        <w:rPr>
          <w:rFonts w:ascii="PMingLiU" w:hAnsi="PMingLiU"/>
          <w:b/>
          <w:color w:val="000000"/>
          <w:sz w:val="28"/>
          <w:szCs w:val="28"/>
          <w:highlight w:val="none"/>
        </w:rPr>
        <w:br w:type="textWrapping"/>
      </w:r>
      <w:r>
        <w:rPr>
          <w:rFonts w:ascii="PMingLiU" w:hAnsi="PMingLiU"/>
          <w:b/>
          <w:color w:val="000000"/>
          <w:sz w:val="28"/>
          <w:szCs w:val="28"/>
          <w:highlight w:val="none"/>
        </w:rPr>
        <w:t>2022年</w:t>
      </w:r>
      <w:r>
        <w:rPr>
          <w:rFonts w:hint="eastAsia" w:ascii="PMingLiU" w:hAnsi="PMingLiU"/>
          <w:b/>
          <w:color w:val="000000"/>
          <w:sz w:val="28"/>
          <w:szCs w:val="28"/>
          <w:highlight w:val="none"/>
          <w:lang w:val="en-US" w:eastAsia="zh-CN"/>
        </w:rPr>
        <w:t>5</w:t>
      </w:r>
      <w:r>
        <w:rPr>
          <w:rFonts w:ascii="PMingLiU" w:hAnsi="PMingLiU"/>
          <w:b/>
          <w:color w:val="000000"/>
          <w:sz w:val="28"/>
          <w:szCs w:val="28"/>
          <w:highlight w:val="none"/>
        </w:rPr>
        <w:t>月25日</w:t>
      </w:r>
    </w:p>
    <w:p>
      <w:pPr>
        <w:jc w:val="center"/>
        <w:rPr>
          <w:rFonts w:ascii="PMingLiU" w:hAnsi="PMingLiU"/>
          <w:b/>
          <w:color w:val="000000"/>
          <w:sz w:val="28"/>
          <w:szCs w:val="28"/>
          <w:highlight w:val="none"/>
        </w:rPr>
      </w:pPr>
    </w:p>
    <w:p>
      <w:pPr>
        <w:jc w:val="center"/>
        <w:rPr>
          <w:rFonts w:hint="eastAsia" w:ascii="PMingLiU" w:hAnsi="PMingLiU"/>
          <w:b/>
          <w:color w:val="000000"/>
          <w:sz w:val="32"/>
          <w:szCs w:val="32"/>
          <w:highlight w:val="none"/>
        </w:rPr>
      </w:pPr>
    </w:p>
    <w:p>
      <w:pPr>
        <w:jc w:val="center"/>
        <w:rPr>
          <w:rFonts w:hint="eastAsia" w:ascii="PMingLiU" w:hAnsi="PMingLiU"/>
          <w:b/>
          <w:color w:val="000000"/>
          <w:sz w:val="44"/>
          <w:szCs w:val="44"/>
          <w:highlight w:val="none"/>
        </w:rPr>
      </w:pPr>
    </w:p>
    <w:p>
      <w:pPr>
        <w:jc w:val="center"/>
        <w:rPr>
          <w:rFonts w:hint="eastAsia" w:ascii="PMingLiU" w:hAnsi="PMingLiU"/>
          <w:b/>
          <w:color w:val="000000"/>
          <w:sz w:val="44"/>
          <w:szCs w:val="44"/>
          <w:highlight w:val="none"/>
        </w:rPr>
      </w:pPr>
    </w:p>
    <w:p>
      <w:pPr>
        <w:jc w:val="center"/>
        <w:rPr>
          <w:rFonts w:hint="eastAsia" w:ascii="PMingLiU" w:hAnsi="PMingLiU"/>
          <w:b/>
          <w:color w:val="000000"/>
          <w:sz w:val="44"/>
          <w:szCs w:val="44"/>
          <w:highlight w:val="none"/>
        </w:rPr>
      </w:pPr>
      <w:r>
        <w:rPr>
          <w:rFonts w:hint="eastAsia" w:ascii="PMingLiU" w:hAnsi="PMingLiU"/>
          <w:b/>
          <w:color w:val="000000"/>
          <w:sz w:val="44"/>
          <w:szCs w:val="44"/>
          <w:highlight w:val="none"/>
        </w:rPr>
        <w:t>目   录</w:t>
      </w:r>
    </w:p>
    <w:p>
      <w:pPr>
        <w:jc w:val="center"/>
        <w:rPr>
          <w:rFonts w:hint="eastAsia" w:ascii="PMingLiU" w:hAnsi="PMingLiU"/>
          <w:b/>
          <w:color w:val="000000"/>
          <w:sz w:val="32"/>
          <w:szCs w:val="32"/>
          <w:highlight w:val="none"/>
        </w:rPr>
      </w:pPr>
    </w:p>
    <w:p>
      <w:pPr>
        <w:spacing w:line="720" w:lineRule="auto"/>
        <w:ind w:firstLine="900" w:firstLineChars="300"/>
        <w:rPr>
          <w:rFonts w:hint="eastAsia" w:ascii="PMingLiU" w:hAnsi="PMingLiU" w:eastAsia="PMingLiU"/>
          <w:color w:val="000000"/>
          <w:sz w:val="30"/>
          <w:szCs w:val="30"/>
          <w:highlight w:val="none"/>
          <w:lang w:eastAsia="zh-TW"/>
        </w:rPr>
      </w:pPr>
      <w:r>
        <w:rPr>
          <w:rFonts w:hint="eastAsia" w:ascii="PMingLiU" w:hAnsi="PMingLiU" w:eastAsia="PMingLiU"/>
          <w:color w:val="000000"/>
          <w:sz w:val="30"/>
          <w:szCs w:val="30"/>
          <w:highlight w:val="none"/>
          <w:lang w:eastAsia="zh-TW"/>
        </w:rPr>
        <w:t>1、工程说明</w:t>
      </w:r>
    </w:p>
    <w:p>
      <w:pPr>
        <w:spacing w:line="720" w:lineRule="auto"/>
        <w:ind w:firstLine="900" w:firstLineChars="300"/>
        <w:rPr>
          <w:rFonts w:ascii="PMingLiU" w:hAnsi="PMingLiU" w:eastAsia="PMingLiU"/>
          <w:color w:val="000000"/>
          <w:sz w:val="30"/>
          <w:szCs w:val="30"/>
          <w:highlight w:val="none"/>
          <w:lang w:eastAsia="zh-TW"/>
        </w:rPr>
      </w:pPr>
      <w:r>
        <w:rPr>
          <w:rFonts w:hint="eastAsia" w:ascii="PMingLiU" w:hAnsi="PMingLiU" w:eastAsia="PMingLiU"/>
          <w:color w:val="000000"/>
          <w:sz w:val="30"/>
          <w:szCs w:val="30"/>
          <w:highlight w:val="none"/>
          <w:lang w:eastAsia="zh-TW"/>
        </w:rPr>
        <w:t>2、工程范围及数量</w:t>
      </w:r>
    </w:p>
    <w:p>
      <w:pPr>
        <w:spacing w:line="720" w:lineRule="auto"/>
        <w:ind w:firstLine="900" w:firstLineChars="300"/>
        <w:rPr>
          <w:rFonts w:hint="eastAsia" w:ascii="PMingLiU" w:hAnsi="PMingLiU" w:eastAsia="PMingLiU"/>
          <w:color w:val="000000"/>
          <w:sz w:val="30"/>
          <w:szCs w:val="30"/>
          <w:highlight w:val="none"/>
          <w:lang w:eastAsia="zh-TW"/>
        </w:rPr>
      </w:pPr>
      <w:r>
        <w:rPr>
          <w:rFonts w:ascii="PMingLiU" w:hAnsi="PMingLiU" w:eastAsia="PMingLiU"/>
          <w:color w:val="000000"/>
          <w:sz w:val="30"/>
          <w:szCs w:val="30"/>
          <w:highlight w:val="none"/>
          <w:lang w:eastAsia="zh-TW"/>
        </w:rPr>
        <w:t>3、</w:t>
      </w:r>
      <w:r>
        <w:rPr>
          <w:rFonts w:hint="eastAsia" w:ascii="PMingLiU" w:hAnsi="PMingLiU" w:eastAsia="PMingLiU"/>
          <w:color w:val="000000"/>
          <w:sz w:val="30"/>
          <w:szCs w:val="30"/>
          <w:highlight w:val="none"/>
          <w:lang w:eastAsia="zh-TW"/>
        </w:rPr>
        <w:t>风车式物理分离</w:t>
      </w:r>
    </w:p>
    <w:p>
      <w:pPr>
        <w:spacing w:line="720" w:lineRule="auto"/>
        <w:ind w:firstLine="900" w:firstLineChars="300"/>
        <w:rPr>
          <w:rFonts w:hint="eastAsia" w:ascii="PMingLiU" w:hAnsi="PMingLiU" w:eastAsia="PMingLiU"/>
          <w:color w:val="000000"/>
          <w:sz w:val="30"/>
          <w:szCs w:val="30"/>
          <w:highlight w:val="none"/>
          <w:lang w:eastAsia="zh-TW"/>
        </w:rPr>
      </w:pPr>
      <w:r>
        <w:rPr>
          <w:rFonts w:hint="eastAsia" w:ascii="PMingLiU" w:hAnsi="PMingLiU" w:eastAsia="PMingLiU"/>
          <w:color w:val="000000"/>
          <w:sz w:val="30"/>
          <w:szCs w:val="30"/>
          <w:highlight w:val="none"/>
          <w:lang w:eastAsia="zh-TW"/>
        </w:rPr>
        <w:t>4、验收标准</w:t>
      </w:r>
    </w:p>
    <w:p>
      <w:pPr>
        <w:spacing w:line="720" w:lineRule="auto"/>
        <w:ind w:firstLine="900" w:firstLineChars="300"/>
        <w:rPr>
          <w:rFonts w:ascii="PMingLiU" w:hAnsi="PMingLiU" w:eastAsia="PMingLiU"/>
          <w:color w:val="000000"/>
          <w:sz w:val="30"/>
          <w:szCs w:val="30"/>
          <w:highlight w:val="none"/>
          <w:lang w:eastAsia="zh-TW"/>
        </w:rPr>
      </w:pPr>
      <w:r>
        <w:rPr>
          <w:rFonts w:hint="eastAsia" w:ascii="PMingLiU" w:hAnsi="PMingLiU" w:eastAsia="PMingLiU"/>
          <w:color w:val="000000"/>
          <w:sz w:val="30"/>
          <w:szCs w:val="30"/>
          <w:highlight w:val="none"/>
          <w:lang w:eastAsia="zh-TW"/>
        </w:rPr>
        <w:t>5、验收方法</w:t>
      </w:r>
    </w:p>
    <w:p>
      <w:pPr>
        <w:spacing w:line="720" w:lineRule="auto"/>
        <w:ind w:firstLine="900" w:firstLineChars="300"/>
        <w:rPr>
          <w:rFonts w:ascii="PMingLiU" w:hAnsi="PMingLiU" w:eastAsia="PMingLiU"/>
          <w:color w:val="000000"/>
          <w:sz w:val="30"/>
          <w:szCs w:val="30"/>
          <w:highlight w:val="none"/>
          <w:lang w:eastAsia="zh-TW"/>
        </w:rPr>
      </w:pPr>
      <w:r>
        <w:rPr>
          <w:rFonts w:ascii="PMingLiU" w:hAnsi="PMingLiU" w:eastAsia="PMingLiU"/>
          <w:color w:val="000000"/>
          <w:sz w:val="30"/>
          <w:szCs w:val="30"/>
          <w:highlight w:val="none"/>
          <w:lang w:eastAsia="zh-TW"/>
        </w:rPr>
        <w:t>6、</w:t>
      </w:r>
      <w:r>
        <w:rPr>
          <w:rFonts w:hint="eastAsia" w:ascii="PMingLiU" w:hAnsi="PMingLiU" w:eastAsia="PMingLiU"/>
          <w:color w:val="000000"/>
          <w:sz w:val="30"/>
          <w:szCs w:val="30"/>
          <w:highlight w:val="none"/>
          <w:lang w:eastAsia="zh-TW"/>
        </w:rPr>
        <w:t>双方责任与协调</w:t>
      </w:r>
    </w:p>
    <w:p>
      <w:pPr>
        <w:spacing w:line="720" w:lineRule="auto"/>
        <w:ind w:firstLine="900" w:firstLineChars="300"/>
        <w:rPr>
          <w:rFonts w:hint="eastAsia" w:ascii="PMingLiU" w:hAnsi="PMingLiU" w:eastAsia="PMingLiU"/>
          <w:color w:val="000000"/>
          <w:sz w:val="30"/>
          <w:szCs w:val="30"/>
          <w:highlight w:val="none"/>
          <w:lang w:eastAsia="zh-TW"/>
        </w:rPr>
      </w:pPr>
      <w:r>
        <w:rPr>
          <w:rFonts w:ascii="PMingLiU" w:hAnsi="PMingLiU" w:eastAsia="PMingLiU"/>
          <w:color w:val="000000"/>
          <w:sz w:val="30"/>
          <w:szCs w:val="30"/>
          <w:highlight w:val="none"/>
          <w:lang w:eastAsia="zh-TW"/>
        </w:rPr>
        <w:t>7、</w:t>
      </w:r>
      <w:r>
        <w:rPr>
          <w:rFonts w:hint="eastAsia" w:ascii="宋体" w:hAnsi="宋体"/>
          <w:color w:val="000000"/>
          <w:sz w:val="30"/>
          <w:szCs w:val="30"/>
          <w:highlight w:val="none"/>
        </w:rPr>
        <w:t>违约责任</w:t>
      </w:r>
    </w:p>
    <w:p>
      <w:pPr>
        <w:spacing w:line="720" w:lineRule="auto"/>
        <w:ind w:firstLine="900" w:firstLineChars="300"/>
        <w:rPr>
          <w:rFonts w:hint="eastAsia" w:ascii="PMingLiU" w:hAnsi="PMingLiU" w:eastAsia="PMingLiU"/>
          <w:color w:val="000000"/>
          <w:sz w:val="30"/>
          <w:szCs w:val="30"/>
          <w:highlight w:val="none"/>
          <w:lang w:eastAsia="zh-TW"/>
        </w:rPr>
      </w:pPr>
      <w:r>
        <w:rPr>
          <w:rFonts w:hint="eastAsia" w:ascii="PMingLiU" w:hAnsi="PMingLiU" w:eastAsia="PMingLiU"/>
          <w:color w:val="000000"/>
          <w:sz w:val="30"/>
          <w:szCs w:val="30"/>
          <w:highlight w:val="none"/>
          <w:lang w:eastAsia="zh-TW"/>
        </w:rPr>
        <w:t>8、承包商资质</w:t>
      </w:r>
    </w:p>
    <w:p>
      <w:pPr>
        <w:spacing w:line="720" w:lineRule="auto"/>
        <w:ind w:firstLine="900" w:firstLineChars="300"/>
        <w:rPr>
          <w:rFonts w:hint="eastAsia" w:ascii="PMingLiU" w:hAnsi="PMingLiU" w:eastAsia="PMingLiU"/>
          <w:color w:val="000000"/>
          <w:sz w:val="30"/>
          <w:szCs w:val="30"/>
          <w:highlight w:val="none"/>
          <w:lang w:eastAsia="zh-TW"/>
        </w:rPr>
      </w:pPr>
      <w:r>
        <w:rPr>
          <w:rFonts w:hint="eastAsia" w:ascii="PMingLiU" w:hAnsi="PMingLiU" w:eastAsia="PMingLiU"/>
          <w:color w:val="000000"/>
          <w:sz w:val="30"/>
          <w:szCs w:val="30"/>
          <w:highlight w:val="none"/>
          <w:lang w:eastAsia="zh-TW"/>
        </w:rPr>
        <w:t>9、安全要求</w:t>
      </w:r>
    </w:p>
    <w:p>
      <w:pPr>
        <w:rPr>
          <w:rFonts w:hint="eastAsia" w:ascii="PMingLiU" w:hAnsi="PMingLiU"/>
          <w:color w:val="000000"/>
          <w:sz w:val="28"/>
          <w:szCs w:val="28"/>
          <w:highlight w:val="none"/>
        </w:rPr>
      </w:pPr>
    </w:p>
    <w:p>
      <w:pPr>
        <w:rPr>
          <w:rFonts w:hint="eastAsia" w:ascii="PMingLiU" w:hAnsi="PMingLiU"/>
          <w:b/>
          <w:color w:val="000000"/>
          <w:sz w:val="28"/>
          <w:szCs w:val="28"/>
          <w:highlight w:val="none"/>
        </w:rPr>
      </w:pPr>
    </w:p>
    <w:p>
      <w:pPr>
        <w:rPr>
          <w:rFonts w:hint="eastAsia" w:ascii="PMingLiU" w:hAnsi="PMingLiU"/>
          <w:b/>
          <w:color w:val="000000"/>
          <w:sz w:val="28"/>
          <w:szCs w:val="28"/>
          <w:highlight w:val="none"/>
        </w:rPr>
      </w:pPr>
    </w:p>
    <w:p>
      <w:pPr>
        <w:rPr>
          <w:rFonts w:hint="eastAsia" w:ascii="PMingLiU" w:hAnsi="PMingLiU"/>
          <w:b/>
          <w:color w:val="000000"/>
          <w:sz w:val="28"/>
          <w:szCs w:val="28"/>
          <w:highlight w:val="none"/>
        </w:rPr>
      </w:pPr>
    </w:p>
    <w:p>
      <w:pPr>
        <w:pStyle w:val="2"/>
        <w:rPr>
          <w:rFonts w:hint="eastAsia" w:ascii="PMingLiU" w:hAnsi="PMingLiU"/>
          <w:b/>
          <w:color w:val="000000"/>
          <w:sz w:val="28"/>
          <w:szCs w:val="28"/>
          <w:highlight w:val="none"/>
        </w:rPr>
      </w:pPr>
    </w:p>
    <w:p>
      <w:pPr>
        <w:pStyle w:val="2"/>
        <w:rPr>
          <w:rFonts w:hint="eastAsia" w:ascii="PMingLiU" w:hAnsi="PMingLiU"/>
          <w:b/>
          <w:color w:val="000000"/>
          <w:sz w:val="28"/>
          <w:szCs w:val="28"/>
          <w:highlight w:val="none"/>
        </w:rPr>
      </w:pPr>
    </w:p>
    <w:p>
      <w:pPr>
        <w:spacing w:line="360" w:lineRule="auto"/>
        <w:rPr>
          <w:rFonts w:hint="eastAsia" w:ascii="PMingLiU" w:hAnsi="PMingLiU"/>
          <w:b/>
          <w:bCs/>
          <w:color w:val="000000"/>
          <w:sz w:val="24"/>
          <w:szCs w:val="24"/>
          <w:highlight w:val="none"/>
        </w:rPr>
      </w:pPr>
      <w:r>
        <w:rPr>
          <w:rFonts w:hint="eastAsia" w:ascii="PMingLiU" w:hAnsi="PMingLiU"/>
          <w:b/>
          <w:bCs/>
          <w:color w:val="000000"/>
          <w:sz w:val="24"/>
          <w:szCs w:val="24"/>
          <w:highlight w:val="none"/>
          <w:lang w:val="en-US" w:eastAsia="zh-CN"/>
        </w:rPr>
        <w:t>1</w:t>
      </w:r>
      <w:r>
        <w:rPr>
          <w:rFonts w:hint="eastAsia" w:ascii="PMingLiU" w:hAnsi="PMingLiU"/>
          <w:b/>
          <w:bCs/>
          <w:color w:val="000000"/>
          <w:sz w:val="24"/>
          <w:szCs w:val="24"/>
          <w:highlight w:val="none"/>
        </w:rPr>
        <w:t>、工程说明：</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1.1 工程名称  重整催化剂筛分工程</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1.2 工程地点  福建福海创芳烃团队现场</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1.3 工程概述</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福建福海创芳烃团队计划于2022年7月份270万</w:t>
      </w:r>
      <w:r>
        <w:rPr>
          <w:rFonts w:hint="eastAsia" w:ascii="宋体" w:hAnsi="宋体"/>
          <w:sz w:val="24"/>
          <w:szCs w:val="24"/>
          <w:highlight w:val="none"/>
        </w:rPr>
        <w:t>吨/年</w:t>
      </w:r>
      <w:r>
        <w:rPr>
          <w:rFonts w:hint="eastAsia" w:ascii="宋体" w:hAnsi="宋体"/>
          <w:bCs/>
          <w:sz w:val="24"/>
          <w:szCs w:val="24"/>
          <w:highlight w:val="none"/>
        </w:rPr>
        <w:t>连续重整</w:t>
      </w:r>
      <w:r>
        <w:rPr>
          <w:rFonts w:hint="eastAsia" w:ascii="宋体" w:hAnsi="宋体"/>
          <w:sz w:val="24"/>
          <w:szCs w:val="24"/>
          <w:highlight w:val="none"/>
        </w:rPr>
        <w:t>装置停工消缺。</w:t>
      </w:r>
      <w:r>
        <w:rPr>
          <w:rFonts w:hint="eastAsia" w:ascii="宋体" w:hAnsi="宋体"/>
          <w:bCs/>
          <w:sz w:val="24"/>
          <w:szCs w:val="24"/>
          <w:highlight w:val="none"/>
        </w:rPr>
        <w:t>重整</w:t>
      </w:r>
      <w:r>
        <w:rPr>
          <w:rFonts w:hint="eastAsia" w:ascii="宋体" w:hAnsi="宋体"/>
          <w:sz w:val="24"/>
          <w:szCs w:val="24"/>
          <w:highlight w:val="none"/>
        </w:rPr>
        <w:t>反应器32-R-101、32-R-102、32-R-103、32-R-104和再生器33-R-101内卸下的混合</w:t>
      </w:r>
      <w:r>
        <w:rPr>
          <w:rFonts w:hint="eastAsia" w:ascii="宋体" w:hAnsi="宋体"/>
          <w:bCs/>
          <w:sz w:val="24"/>
          <w:szCs w:val="24"/>
          <w:highlight w:val="none"/>
        </w:rPr>
        <w:t>催化剂约185吨，这部分催化剂含有亮黑剂、侏儒球 及粉尘等。这些不合格催化剂不利于装置运行需要进行催化剂筛分处理。</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2、工程范围及数量：</w:t>
      </w:r>
    </w:p>
    <w:p>
      <w:pPr>
        <w:spacing w:line="360" w:lineRule="auto"/>
        <w:rPr>
          <w:rFonts w:ascii="宋体" w:hAnsi="宋体"/>
          <w:color w:val="000000"/>
          <w:sz w:val="24"/>
          <w:szCs w:val="24"/>
          <w:highlight w:val="none"/>
        </w:rPr>
      </w:pPr>
      <w:r>
        <w:rPr>
          <w:sz w:val="24"/>
          <w:szCs w:val="24"/>
          <w:highlight w:val="none"/>
        </w:rPr>
        <w:t xml:space="preserve">2.1  </w:t>
      </w:r>
      <w:r>
        <w:rPr>
          <w:rFonts w:hint="eastAsia" w:ascii="宋体" w:hAnsi="宋体"/>
          <w:color w:val="000000"/>
          <w:sz w:val="24"/>
          <w:szCs w:val="24"/>
          <w:highlight w:val="none"/>
        </w:rPr>
        <w:t>催化剂预估工程量如下</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358"/>
        <w:gridCol w:w="1399"/>
        <w:gridCol w:w="1204"/>
        <w:gridCol w:w="2284"/>
        <w:gridCol w:w="121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450" w:hRule="atLeast"/>
        </w:trPr>
        <w:tc>
          <w:tcPr>
            <w:tcW w:w="1358" w:type="dxa"/>
            <w:tcBorders>
              <w:top w:val="single" w:color="auto" w:sz="4" w:space="0"/>
              <w:left w:val="single" w:color="auto" w:sz="4"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装置</w:t>
            </w:r>
          </w:p>
        </w:tc>
        <w:tc>
          <w:tcPr>
            <w:tcW w:w="1399"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催化剂名称</w:t>
            </w:r>
          </w:p>
        </w:tc>
        <w:tc>
          <w:tcPr>
            <w:tcW w:w="1204"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数量（吨）</w:t>
            </w:r>
          </w:p>
        </w:tc>
        <w:tc>
          <w:tcPr>
            <w:tcW w:w="2284" w:type="dxa"/>
            <w:tcBorders>
              <w:top w:val="single" w:color="auto" w:sz="4" w:space="0"/>
              <w:left w:val="single" w:color="auto" w:sz="6" w:space="0"/>
              <w:bottom w:val="single" w:color="auto" w:sz="4" w:space="0"/>
              <w:right w:val="single" w:color="auto" w:sz="4" w:space="0"/>
            </w:tcBorders>
            <w:vAlign w:val="center"/>
          </w:tcPr>
          <w:p>
            <w:pPr>
              <w:widowControl/>
              <w:jc w:val="center"/>
              <w:rPr>
                <w:rFonts w:ascii="仿宋_GB2312" w:eastAsia="仿宋_GB2312"/>
                <w:b/>
                <w:kern w:val="0"/>
                <w:szCs w:val="21"/>
                <w:highlight w:val="none"/>
              </w:rPr>
            </w:pPr>
            <w:r>
              <w:rPr>
                <w:rFonts w:hint="eastAsia" w:ascii="仿宋_GB2312" w:hAnsi="宋体" w:eastAsia="仿宋_GB2312"/>
                <w:b/>
                <w:kern w:val="0"/>
                <w:szCs w:val="21"/>
                <w:highlight w:val="none"/>
              </w:rPr>
              <w:t>要求</w:t>
            </w:r>
          </w:p>
        </w:tc>
        <w:tc>
          <w:tcPr>
            <w:tcW w:w="121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b/>
                <w:bCs/>
                <w:kern w:val="0"/>
                <w:szCs w:val="21"/>
                <w:highlight w:val="none"/>
              </w:rPr>
            </w:pPr>
            <w:r>
              <w:rPr>
                <w:rFonts w:hint="eastAsia" w:ascii="仿宋_GB2312" w:hAnsi="宋体" w:eastAsia="仿宋_GB2312"/>
                <w:b/>
                <w:kern w:val="0"/>
                <w:szCs w:val="21"/>
                <w:highlight w:val="none"/>
              </w:rPr>
              <w:t>分级</w:t>
            </w:r>
            <w:r>
              <w:rPr>
                <w:rFonts w:hint="eastAsia" w:ascii="仿宋_GB2312" w:eastAsia="仿宋_GB2312"/>
                <w:b/>
                <w:bCs/>
                <w:kern w:val="0"/>
                <w:szCs w:val="21"/>
                <w:highlight w:val="none"/>
              </w:rPr>
              <w:t>时间</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Cs w:val="21"/>
                <w:highlight w:val="none"/>
              </w:rPr>
            </w:pPr>
            <w:r>
              <w:rPr>
                <w:rFonts w:hint="eastAsia" w:ascii="仿宋_GB2312" w:hAnsi="宋体" w:eastAsia="仿宋_GB2312"/>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450" w:hRule="atLeast"/>
        </w:trPr>
        <w:tc>
          <w:tcPr>
            <w:tcW w:w="1358" w:type="dxa"/>
            <w:tcBorders>
              <w:top w:val="single" w:color="auto" w:sz="4" w:space="0"/>
              <w:left w:val="single" w:color="auto" w:sz="4" w:space="0"/>
              <w:bottom w:val="single" w:color="auto" w:sz="4" w:space="0"/>
              <w:right w:val="single" w:color="auto" w:sz="6" w:space="0"/>
            </w:tcBorders>
            <w:vAlign w:val="center"/>
          </w:tcPr>
          <w:p>
            <w:pPr>
              <w:widowControl/>
              <w:jc w:val="center"/>
              <w:rPr>
                <w:rFonts w:ascii="仿宋_GB2312" w:hAnsi="宋体" w:eastAsia="仿宋_GB2312"/>
                <w:bCs/>
                <w:kern w:val="0"/>
                <w:szCs w:val="21"/>
                <w:highlight w:val="none"/>
              </w:rPr>
            </w:pPr>
            <w:r>
              <w:rPr>
                <w:rFonts w:hint="eastAsia" w:ascii="仿宋_GB2312" w:hAnsi="宋体" w:eastAsia="仿宋_GB2312"/>
                <w:bCs/>
                <w:kern w:val="0"/>
                <w:szCs w:val="21"/>
                <w:highlight w:val="none"/>
              </w:rPr>
              <w:t>连续重整</w:t>
            </w:r>
          </w:p>
        </w:tc>
        <w:tc>
          <w:tcPr>
            <w:tcW w:w="1399"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宋体" w:eastAsia="仿宋_GB2312"/>
                <w:bCs/>
                <w:color w:val="FF0000"/>
                <w:kern w:val="0"/>
                <w:szCs w:val="21"/>
                <w:highlight w:val="none"/>
              </w:rPr>
            </w:pPr>
            <w:r>
              <w:rPr>
                <w:rFonts w:hint="eastAsia" w:ascii="仿宋_GB2312" w:hAnsi="宋体" w:eastAsia="仿宋_GB2312" w:cs="Arial"/>
                <w:bCs/>
                <w:color w:val="000000"/>
                <w:kern w:val="0"/>
                <w:sz w:val="24"/>
                <w:highlight w:val="none"/>
              </w:rPr>
              <w:t>AR701</w:t>
            </w:r>
          </w:p>
        </w:tc>
        <w:tc>
          <w:tcPr>
            <w:tcW w:w="1204" w:type="dxa"/>
            <w:tcBorders>
              <w:top w:val="single" w:color="auto" w:sz="4" w:space="0"/>
              <w:left w:val="single" w:color="auto" w:sz="6" w:space="0"/>
              <w:bottom w:val="single" w:color="auto" w:sz="4" w:space="0"/>
              <w:right w:val="single" w:color="auto" w:sz="6" w:space="0"/>
            </w:tcBorders>
            <w:vAlign w:val="center"/>
          </w:tcPr>
          <w:p>
            <w:pPr>
              <w:widowControl/>
              <w:rPr>
                <w:rFonts w:ascii="仿宋_GB2312" w:hAnsi="宋体" w:eastAsia="仿宋_GB2312"/>
                <w:bCs/>
                <w:color w:val="000000"/>
                <w:kern w:val="0"/>
                <w:szCs w:val="21"/>
                <w:highlight w:val="none"/>
              </w:rPr>
            </w:pPr>
            <w:r>
              <w:rPr>
                <w:rFonts w:hint="eastAsia" w:ascii="仿宋_GB2312" w:hAnsi="宋体" w:eastAsia="仿宋_GB2312"/>
                <w:bCs/>
                <w:color w:val="FF0000"/>
                <w:kern w:val="0"/>
                <w:szCs w:val="21"/>
                <w:highlight w:val="none"/>
              </w:rPr>
              <w:t xml:space="preserve"> </w:t>
            </w:r>
            <w:r>
              <w:rPr>
                <w:rFonts w:hint="eastAsia" w:ascii="仿宋_GB2312" w:hAnsi="宋体" w:eastAsia="仿宋_GB2312"/>
                <w:bCs/>
                <w:color w:val="000000"/>
                <w:kern w:val="0"/>
                <w:szCs w:val="21"/>
                <w:highlight w:val="none"/>
              </w:rPr>
              <w:t xml:space="preserve">185    </w:t>
            </w:r>
          </w:p>
        </w:tc>
        <w:tc>
          <w:tcPr>
            <w:tcW w:w="2284" w:type="dxa"/>
            <w:tcBorders>
              <w:top w:val="single" w:color="auto" w:sz="4" w:space="0"/>
              <w:left w:val="single" w:color="auto" w:sz="6" w:space="0"/>
              <w:bottom w:val="single" w:color="auto" w:sz="4" w:space="0"/>
              <w:right w:val="single" w:color="auto" w:sz="4" w:space="0"/>
            </w:tcBorders>
            <w:vAlign w:val="center"/>
          </w:tcPr>
          <w:p>
            <w:pPr>
              <w:widowControl/>
              <w:jc w:val="center"/>
              <w:rPr>
                <w:rFonts w:ascii="仿宋_GB2312" w:hAnsi="宋体" w:eastAsia="仿宋_GB2312"/>
                <w:kern w:val="0"/>
                <w:szCs w:val="21"/>
                <w:highlight w:val="none"/>
              </w:rPr>
            </w:pPr>
            <w:r>
              <w:rPr>
                <w:rFonts w:hint="eastAsia" w:ascii="仿宋_GB2312" w:hAnsi="宋体" w:eastAsia="仿宋_GB2312"/>
                <w:kern w:val="0"/>
                <w:szCs w:val="21"/>
                <w:highlight w:val="none"/>
              </w:rPr>
              <w:t>风车式物理分级</w:t>
            </w:r>
          </w:p>
        </w:tc>
        <w:tc>
          <w:tcPr>
            <w:tcW w:w="1218"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bCs/>
                <w:kern w:val="0"/>
                <w:szCs w:val="21"/>
                <w:highlight w:val="none"/>
              </w:rPr>
            </w:pPr>
            <w:r>
              <w:rPr>
                <w:rFonts w:hint="eastAsia" w:ascii="仿宋_GB2312" w:eastAsia="仿宋_GB2312"/>
                <w:bCs/>
                <w:color w:val="000000"/>
                <w:kern w:val="0"/>
                <w:szCs w:val="21"/>
                <w:highlight w:val="none"/>
              </w:rPr>
              <w:t xml:space="preserve"> 10  </w:t>
            </w:r>
            <w:r>
              <w:rPr>
                <w:rFonts w:hint="eastAsia" w:ascii="仿宋_GB2312" w:eastAsia="仿宋_GB2312"/>
                <w:bCs/>
                <w:kern w:val="0"/>
                <w:szCs w:val="21"/>
                <w:highlight w:val="none"/>
              </w:rPr>
              <w:t>天</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kern w:val="0"/>
                <w:szCs w:val="21"/>
                <w:highlight w:val="none"/>
              </w:rPr>
            </w:pPr>
            <w:r>
              <w:rPr>
                <w:rFonts w:hint="eastAsia" w:ascii="仿宋_GB2312" w:hAnsi="宋体" w:eastAsia="仿宋_GB2312"/>
                <w:kern w:val="0"/>
                <w:szCs w:val="21"/>
                <w:highlight w:val="none"/>
              </w:rPr>
              <w:t>现场作业</w:t>
            </w:r>
          </w:p>
        </w:tc>
      </w:tr>
    </w:tbl>
    <w:p>
      <w:pPr>
        <w:spacing w:line="360" w:lineRule="auto"/>
        <w:rPr>
          <w:sz w:val="24"/>
          <w:szCs w:val="24"/>
          <w:highlight w:val="none"/>
        </w:rPr>
      </w:pPr>
      <w:r>
        <w:rPr>
          <w:rFonts w:hint="eastAsia"/>
          <w:sz w:val="24"/>
          <w:szCs w:val="24"/>
          <w:highlight w:val="none"/>
        </w:rPr>
        <w:t>注：1.</w:t>
      </w:r>
      <w:r>
        <w:rPr>
          <w:sz w:val="24"/>
          <w:szCs w:val="24"/>
          <w:highlight w:val="none"/>
        </w:rPr>
        <w:t xml:space="preserve"> </w:t>
      </w:r>
      <w:r>
        <w:rPr>
          <w:rFonts w:hint="eastAsia"/>
          <w:sz w:val="24"/>
          <w:szCs w:val="24"/>
          <w:highlight w:val="none"/>
        </w:rPr>
        <w:t>结算筛分量以实际确认量为准。</w:t>
      </w:r>
    </w:p>
    <w:p>
      <w:pPr>
        <w:spacing w:line="360" w:lineRule="auto"/>
        <w:rPr>
          <w:rFonts w:hint="eastAsia"/>
          <w:sz w:val="24"/>
          <w:szCs w:val="24"/>
          <w:highlight w:val="none"/>
        </w:rPr>
      </w:pPr>
      <w:r>
        <w:rPr>
          <w:rFonts w:hint="eastAsia"/>
          <w:sz w:val="24"/>
          <w:szCs w:val="24"/>
          <w:highlight w:val="none"/>
        </w:rPr>
        <w:t xml:space="preserve"> </w:t>
      </w:r>
      <w:r>
        <w:rPr>
          <w:sz w:val="24"/>
          <w:szCs w:val="24"/>
          <w:highlight w:val="none"/>
        </w:rPr>
        <w:t xml:space="preserve">   2.</w:t>
      </w:r>
      <w:r>
        <w:rPr>
          <w:rFonts w:hint="eastAsia"/>
          <w:sz w:val="24"/>
          <w:szCs w:val="24"/>
          <w:highlight w:val="none"/>
        </w:rPr>
        <w:t xml:space="preserve"> 催化剂分级时间是指分级第一桶催化剂至分级完最后一桶催化剂。</w:t>
      </w:r>
    </w:p>
    <w:p>
      <w:pPr>
        <w:spacing w:line="360" w:lineRule="auto"/>
        <w:rPr>
          <w:rFonts w:ascii="宋体" w:hAnsi="宋体"/>
          <w:b/>
          <w:bCs/>
          <w:color w:val="000000"/>
          <w:sz w:val="24"/>
          <w:szCs w:val="24"/>
          <w:highlight w:val="none"/>
        </w:rPr>
      </w:pPr>
      <w:r>
        <w:rPr>
          <w:rFonts w:ascii="宋体" w:hAnsi="宋体"/>
          <w:b/>
          <w:bCs/>
          <w:color w:val="000000"/>
          <w:sz w:val="24"/>
          <w:szCs w:val="24"/>
          <w:highlight w:val="none"/>
        </w:rPr>
        <w:t>3、</w:t>
      </w:r>
      <w:r>
        <w:rPr>
          <w:rFonts w:hint="eastAsia" w:ascii="宋体" w:hAnsi="宋体"/>
          <w:b/>
          <w:bCs/>
          <w:color w:val="000000"/>
          <w:sz w:val="24"/>
          <w:szCs w:val="24"/>
          <w:highlight w:val="none"/>
        </w:rPr>
        <w:t>风车式物理分离</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3.1风车式物理分级分类要求</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3.1.1</w:t>
      </w:r>
      <w:r>
        <w:rPr>
          <w:rFonts w:hint="eastAsia" w:ascii="宋体" w:hAnsi="宋体"/>
          <w:sz w:val="24"/>
          <w:szCs w:val="24"/>
          <w:highlight w:val="none"/>
        </w:rPr>
        <w:t>催化剂中含有一定量的粉尘分离出来并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3.1.2</w:t>
      </w:r>
      <w:r>
        <w:rPr>
          <w:rFonts w:hint="eastAsia" w:ascii="宋体" w:hAnsi="宋体"/>
          <w:sz w:val="24"/>
          <w:szCs w:val="24"/>
          <w:highlight w:val="none"/>
        </w:rPr>
        <w:t>同体积，密度不相同的催化剂──含炭高的催化剂分离出来并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3.1.3</w:t>
      </w:r>
      <w:r>
        <w:rPr>
          <w:rFonts w:hint="eastAsia" w:ascii="宋体" w:hAnsi="宋体"/>
          <w:sz w:val="24"/>
          <w:szCs w:val="24"/>
          <w:highlight w:val="none"/>
        </w:rPr>
        <w:t>同重量，体积不相等的催化剂──Φ≦1.2mm灰白色侏儒球全部分离出来并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3.1.4</w:t>
      </w:r>
      <w:r>
        <w:rPr>
          <w:rFonts w:hint="eastAsia" w:ascii="宋体" w:hAnsi="宋体"/>
          <w:sz w:val="24"/>
          <w:szCs w:val="24"/>
          <w:highlight w:val="none"/>
        </w:rPr>
        <w:t>同密度，体积、重量不等的催化剂──Φ＜1.4mm以下的</w:t>
      </w:r>
      <w:r>
        <w:rPr>
          <w:rFonts w:hint="eastAsia" w:ascii="宋体" w:hAnsi="宋体"/>
          <w:color w:val="000000"/>
          <w:sz w:val="24"/>
          <w:szCs w:val="24"/>
          <w:highlight w:val="none"/>
        </w:rPr>
        <w:t>低</w:t>
      </w:r>
      <w:r>
        <w:rPr>
          <w:rFonts w:hint="eastAsia" w:ascii="宋体" w:hAnsi="宋体"/>
          <w:sz w:val="24"/>
          <w:szCs w:val="24"/>
          <w:highlight w:val="none"/>
        </w:rPr>
        <w:t>炭催化剂分离出来并</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3.1.5</w:t>
      </w:r>
      <w:r>
        <w:rPr>
          <w:rFonts w:hint="eastAsia" w:ascii="宋体" w:hAnsi="宋体"/>
          <w:sz w:val="24"/>
          <w:szCs w:val="24"/>
          <w:highlight w:val="none"/>
        </w:rPr>
        <w:t>可回装颗粒Φ＞1.4mm的低炭催化剂详细</w:t>
      </w:r>
      <w:r>
        <w:rPr>
          <w:rFonts w:hint="eastAsia" w:ascii="宋体" w:hAnsi="宋体"/>
          <w:kern w:val="0"/>
          <w:sz w:val="24"/>
          <w:szCs w:val="24"/>
          <w:highlight w:val="none"/>
        </w:rPr>
        <w:t>标明标牌号</w:t>
      </w:r>
      <w:r>
        <w:rPr>
          <w:rFonts w:hint="eastAsia"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3.2风车式物理分级指标</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3.2.1可回</w:t>
      </w:r>
      <w:r>
        <w:rPr>
          <w:rFonts w:hint="eastAsia"/>
          <w:sz w:val="24"/>
          <w:szCs w:val="24"/>
          <w:highlight w:val="none"/>
        </w:rPr>
        <w:t>装</w:t>
      </w:r>
      <w:r>
        <w:rPr>
          <w:rFonts w:hint="eastAsia" w:ascii="宋体" w:hAnsi="宋体"/>
          <w:color w:val="000000"/>
          <w:sz w:val="24"/>
          <w:szCs w:val="24"/>
          <w:highlight w:val="none"/>
        </w:rPr>
        <w:t>催化剂无亮黑及黑黑剂：</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3.2.2可回</w:t>
      </w:r>
      <w:r>
        <w:rPr>
          <w:rFonts w:hint="eastAsia"/>
          <w:sz w:val="24"/>
          <w:szCs w:val="24"/>
          <w:highlight w:val="none"/>
        </w:rPr>
        <w:t>装</w:t>
      </w:r>
      <w:r>
        <w:rPr>
          <w:rFonts w:hint="eastAsia" w:ascii="宋体" w:hAnsi="宋体"/>
          <w:color w:val="000000"/>
          <w:sz w:val="24"/>
          <w:szCs w:val="24"/>
          <w:highlight w:val="none"/>
        </w:rPr>
        <w:t>催化剂</w:t>
      </w:r>
      <w:r>
        <w:rPr>
          <w:rFonts w:hint="eastAsia" w:ascii="宋体" w:hAnsi="宋体"/>
          <w:sz w:val="24"/>
          <w:szCs w:val="24"/>
          <w:highlight w:val="none"/>
        </w:rPr>
        <w:t>颗粒</w:t>
      </w:r>
      <w:r>
        <w:rPr>
          <w:rFonts w:hint="eastAsia" w:ascii="宋体" w:hAnsi="宋体"/>
          <w:color w:val="000000"/>
          <w:sz w:val="24"/>
          <w:szCs w:val="24"/>
          <w:highlight w:val="none"/>
        </w:rPr>
        <w:t>直径应大于</w:t>
      </w:r>
      <w:r>
        <w:rPr>
          <w:rFonts w:hint="eastAsia" w:ascii="宋体" w:hAnsi="宋体"/>
          <w:sz w:val="24"/>
          <w:szCs w:val="24"/>
          <w:highlight w:val="none"/>
        </w:rPr>
        <w:t>＞1.4mm</w:t>
      </w:r>
      <w:r>
        <w:rPr>
          <w:rFonts w:hint="eastAsia" w:ascii="宋体" w:hAnsi="宋体"/>
          <w:color w:val="000000"/>
          <w:sz w:val="24"/>
          <w:szCs w:val="24"/>
          <w:highlight w:val="none"/>
        </w:rPr>
        <w:t>。</w:t>
      </w:r>
    </w:p>
    <w:p>
      <w:pPr>
        <w:spacing w:line="360" w:lineRule="auto"/>
        <w:rPr>
          <w:sz w:val="24"/>
          <w:szCs w:val="24"/>
          <w:highlight w:val="none"/>
        </w:rPr>
      </w:pPr>
      <w:r>
        <w:rPr>
          <w:rFonts w:hint="eastAsia" w:ascii="宋体" w:hAnsi="宋体"/>
          <w:color w:val="000000"/>
          <w:sz w:val="24"/>
          <w:szCs w:val="24"/>
          <w:highlight w:val="none"/>
        </w:rPr>
        <w:t>3.2.3</w:t>
      </w:r>
      <w:r>
        <w:rPr>
          <w:rFonts w:hint="eastAsia" w:ascii="宋体" w:hAnsi="宋体"/>
          <w:kern w:val="0"/>
          <w:sz w:val="24"/>
          <w:szCs w:val="24"/>
          <w:highlight w:val="none"/>
        </w:rPr>
        <w:t>进行分级的重整催化剂损耗率</w:t>
      </w:r>
      <w:r>
        <w:rPr>
          <w:rFonts w:hint="eastAsia" w:ascii="宋体" w:hAnsi="宋体"/>
          <w:color w:val="000000"/>
          <w:sz w:val="24"/>
          <w:szCs w:val="24"/>
          <w:highlight w:val="none"/>
        </w:rPr>
        <w:t>应</w:t>
      </w:r>
      <w:r>
        <w:rPr>
          <w:rFonts w:hint="eastAsia" w:ascii="宋体" w:hAnsi="宋体"/>
          <w:kern w:val="0"/>
          <w:sz w:val="24"/>
          <w:szCs w:val="24"/>
          <w:highlight w:val="none"/>
        </w:rPr>
        <w:t>＜0.1%</w:t>
      </w:r>
      <w:r>
        <w:rPr>
          <w:rFonts w:hint="eastAsia"/>
          <w:sz w:val="24"/>
          <w:szCs w:val="24"/>
          <w:highlight w:val="none"/>
        </w:rPr>
        <w:t>。</w:t>
      </w:r>
    </w:p>
    <w:p>
      <w:pPr>
        <w:spacing w:line="360" w:lineRule="auto"/>
        <w:rPr>
          <w:rFonts w:hint="eastAsia" w:ascii="宋体" w:hAnsi="宋体"/>
          <w:color w:val="000000"/>
          <w:sz w:val="24"/>
          <w:szCs w:val="24"/>
          <w:highlight w:val="none"/>
        </w:rPr>
      </w:pPr>
      <w:r>
        <w:rPr>
          <w:rFonts w:ascii="宋体" w:hAnsi="宋体"/>
          <w:color w:val="000000"/>
          <w:sz w:val="24"/>
          <w:szCs w:val="24"/>
          <w:highlight w:val="none"/>
        </w:rPr>
        <w:t>3.2.4</w:t>
      </w:r>
      <w:r>
        <w:rPr>
          <w:rFonts w:hint="eastAsia" w:ascii="宋体" w:hAnsi="宋体"/>
          <w:color w:val="000000"/>
          <w:sz w:val="24"/>
          <w:szCs w:val="24"/>
          <w:highlight w:val="none"/>
        </w:rPr>
        <w:t>重整催化剂物理分级处理时间＜ 10天。</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4、验收标准</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业主/团队负责将待分级催化剂分为4个批次，由业主/团队与承包商双方共同取样（催化剂按每批取1份样品，经混合后作为标准样品保留），混合样分成三份。业主/团队与承包商双方各执一份，第三份作为发生纠纷时仲裁的依据。</w:t>
      </w:r>
    </w:p>
    <w:p>
      <w:pPr>
        <w:spacing w:line="360" w:lineRule="auto"/>
        <w:rPr>
          <w:rFonts w:ascii="宋体" w:hAnsi="宋体"/>
          <w:color w:val="000000"/>
          <w:sz w:val="24"/>
          <w:szCs w:val="24"/>
          <w:highlight w:val="none"/>
        </w:rPr>
      </w:pPr>
      <w:r>
        <w:rPr>
          <w:rFonts w:hint="eastAsia" w:ascii="宋体" w:hAnsi="宋体"/>
          <w:kern w:val="0"/>
          <w:sz w:val="24"/>
          <w:szCs w:val="24"/>
          <w:highlight w:val="none"/>
        </w:rPr>
        <w:t>催化剂物理分</w:t>
      </w:r>
      <w:r>
        <w:rPr>
          <w:rFonts w:hint="eastAsia" w:ascii="宋体" w:hAnsi="宋体"/>
          <w:sz w:val="24"/>
          <w:szCs w:val="24"/>
          <w:highlight w:val="none"/>
        </w:rPr>
        <w:t>级</w:t>
      </w:r>
      <w:r>
        <w:rPr>
          <w:rFonts w:hint="eastAsia" w:ascii="宋体" w:hAnsi="宋体"/>
          <w:kern w:val="0"/>
          <w:sz w:val="24"/>
          <w:szCs w:val="24"/>
          <w:highlight w:val="none"/>
        </w:rPr>
        <w:t>效果由业主/团队质检部进行评价。有争议时，委托有分析</w:t>
      </w:r>
      <w:r>
        <w:rPr>
          <w:rFonts w:hint="eastAsia" w:ascii="宋体" w:hAnsi="宋体"/>
          <w:color w:val="000000"/>
          <w:sz w:val="24"/>
          <w:szCs w:val="24"/>
          <w:highlight w:val="none"/>
        </w:rPr>
        <w:t>资质的第三方进行评价。</w:t>
      </w:r>
    </w:p>
    <w:p>
      <w:pPr>
        <w:spacing w:line="360" w:lineRule="auto"/>
        <w:ind w:left="398" w:leftChars="0" w:hanging="398" w:hangingChars="166"/>
        <w:rPr>
          <w:rFonts w:ascii="宋体" w:hAnsi="宋体"/>
          <w:color w:val="000000"/>
          <w:sz w:val="24"/>
          <w:szCs w:val="24"/>
          <w:highlight w:val="none"/>
        </w:rPr>
      </w:pPr>
      <w:r>
        <w:rPr>
          <w:rFonts w:hint="eastAsia" w:ascii="宋体" w:hAnsi="宋体"/>
          <w:color w:val="000000"/>
          <w:sz w:val="24"/>
          <w:szCs w:val="24"/>
          <w:highlight w:val="none"/>
        </w:rPr>
        <w:t>4.1分级后的催化剂分类包装标准：密封性好、防水、防潮，外观要清晰标明标牌号、批号、净重、日期等。</w:t>
      </w:r>
    </w:p>
    <w:p>
      <w:pPr>
        <w:spacing w:line="360" w:lineRule="auto"/>
        <w:ind w:left="398" w:leftChars="0" w:hanging="398" w:hangingChars="166"/>
        <w:rPr>
          <w:rFonts w:ascii="宋体" w:hAnsi="宋体"/>
          <w:color w:val="000000"/>
          <w:sz w:val="24"/>
          <w:szCs w:val="24"/>
          <w:highlight w:val="none"/>
        </w:rPr>
      </w:pPr>
      <w:r>
        <w:rPr>
          <w:rFonts w:hint="eastAsia" w:ascii="宋体" w:hAnsi="宋体"/>
          <w:color w:val="000000"/>
          <w:sz w:val="24"/>
          <w:szCs w:val="24"/>
          <w:highlight w:val="none"/>
        </w:rPr>
        <w:t>4.2被回收的低碳催化剂标准：颗粒直径＞1.4mm、含碳量≤7%，并标明标牌号。</w:t>
      </w:r>
    </w:p>
    <w:p>
      <w:pPr>
        <w:spacing w:line="360" w:lineRule="auto"/>
        <w:rPr>
          <w:rFonts w:ascii="宋体" w:hAnsi="宋体"/>
          <w:color w:val="000000"/>
          <w:sz w:val="24"/>
          <w:szCs w:val="24"/>
          <w:highlight w:val="none"/>
        </w:rPr>
      </w:pPr>
      <w:r>
        <w:rPr>
          <w:rFonts w:hint="eastAsia" w:ascii="宋体" w:hAnsi="宋体"/>
          <w:b/>
          <w:bCs/>
          <w:color w:val="000000"/>
          <w:sz w:val="24"/>
          <w:szCs w:val="24"/>
          <w:highlight w:val="none"/>
        </w:rPr>
        <w:t>5、验收方法：</w:t>
      </w:r>
      <w:r>
        <w:rPr>
          <w:rFonts w:hint="eastAsia" w:ascii="宋体" w:hAnsi="宋体"/>
          <w:color w:val="000000"/>
          <w:sz w:val="24"/>
          <w:szCs w:val="24"/>
          <w:highlight w:val="none"/>
        </w:rPr>
        <w:t xml:space="preserve"> </w:t>
      </w:r>
    </w:p>
    <w:p>
      <w:pPr>
        <w:spacing w:line="360" w:lineRule="auto"/>
        <w:ind w:left="360" w:leftChars="0" w:hanging="360" w:hangingChars="150"/>
        <w:rPr>
          <w:rFonts w:ascii="宋体" w:hAnsi="宋体"/>
          <w:color w:val="000000"/>
          <w:sz w:val="24"/>
          <w:szCs w:val="24"/>
          <w:highlight w:val="none"/>
        </w:rPr>
      </w:pPr>
      <w:r>
        <w:rPr>
          <w:rFonts w:hint="eastAsia" w:ascii="宋体" w:hAnsi="宋体"/>
          <w:color w:val="000000"/>
          <w:sz w:val="24"/>
          <w:szCs w:val="24"/>
          <w:highlight w:val="none"/>
        </w:rPr>
        <w:t>5.1风车式物理分级指标3.1.1的验收方法：最高碳含量是当催化剂分级处理完毕后，双方在场，由</w:t>
      </w:r>
      <w:r>
        <w:rPr>
          <w:rFonts w:hint="eastAsia" w:ascii="宋体" w:hAnsi="宋体"/>
          <w:kern w:val="0"/>
          <w:sz w:val="24"/>
          <w:szCs w:val="24"/>
          <w:highlight w:val="none"/>
        </w:rPr>
        <w:t>业主/团队</w:t>
      </w:r>
      <w:r>
        <w:rPr>
          <w:rFonts w:hint="eastAsia" w:ascii="宋体" w:hAnsi="宋体"/>
          <w:color w:val="000000"/>
          <w:sz w:val="24"/>
          <w:szCs w:val="24"/>
          <w:highlight w:val="none"/>
        </w:rPr>
        <w:t>取出2000颗催化剂，在其中选出催化剂30颗最黑的（小球）催化剂交</w:t>
      </w:r>
      <w:r>
        <w:rPr>
          <w:rFonts w:hint="eastAsia" w:ascii="宋体" w:hAnsi="宋体"/>
          <w:kern w:val="0"/>
          <w:sz w:val="24"/>
          <w:szCs w:val="24"/>
          <w:highlight w:val="none"/>
        </w:rPr>
        <w:t>业主/团队</w:t>
      </w:r>
      <w:r>
        <w:rPr>
          <w:rFonts w:hint="eastAsia" w:ascii="宋体" w:hAnsi="宋体"/>
          <w:color w:val="000000"/>
          <w:sz w:val="24"/>
          <w:szCs w:val="24"/>
          <w:highlight w:val="none"/>
        </w:rPr>
        <w:t>的质量技术中心进行碳含量测定，并以此分析数据作为验收数据。</w:t>
      </w:r>
    </w:p>
    <w:p>
      <w:pPr>
        <w:spacing w:line="360" w:lineRule="auto"/>
        <w:ind w:left="360" w:leftChars="0" w:hanging="360" w:hangingChars="150"/>
        <w:rPr>
          <w:rFonts w:ascii="宋体" w:hAnsi="宋体"/>
          <w:color w:val="000000"/>
          <w:sz w:val="24"/>
          <w:szCs w:val="24"/>
          <w:highlight w:val="none"/>
        </w:rPr>
      </w:pPr>
      <w:r>
        <w:rPr>
          <w:rFonts w:hint="eastAsia" w:ascii="宋体" w:hAnsi="宋体"/>
          <w:color w:val="000000"/>
          <w:sz w:val="24"/>
          <w:szCs w:val="24"/>
          <w:highlight w:val="none"/>
        </w:rPr>
        <w:t>5.2风车式物理分级指标3.1.2的验收方法：催化剂分级后可回装低炭催化剂中，双方在场，由</w:t>
      </w:r>
      <w:r>
        <w:rPr>
          <w:rFonts w:hint="eastAsia" w:ascii="宋体" w:hAnsi="宋体"/>
          <w:kern w:val="0"/>
          <w:sz w:val="24"/>
          <w:szCs w:val="24"/>
          <w:highlight w:val="none"/>
        </w:rPr>
        <w:t>业主/团队</w:t>
      </w:r>
      <w:r>
        <w:rPr>
          <w:rFonts w:hint="eastAsia" w:ascii="宋体" w:hAnsi="宋体"/>
          <w:color w:val="000000"/>
          <w:sz w:val="24"/>
          <w:szCs w:val="24"/>
          <w:highlight w:val="none"/>
        </w:rPr>
        <w:t>取出2000颗催化剂，在其中选出最小的催化剂用千分尺测试，若直径大于1.4mm为合格，允许1.4mm＞Φ＞1.2mm两颗，小于1.2mm匀为不合格。</w:t>
      </w:r>
    </w:p>
    <w:p>
      <w:pPr>
        <w:spacing w:line="360" w:lineRule="auto"/>
        <w:ind w:left="360" w:leftChars="0" w:hanging="360" w:hangingChars="150"/>
        <w:rPr>
          <w:rFonts w:ascii="宋体" w:hAnsi="宋体"/>
          <w:color w:val="000000"/>
          <w:sz w:val="24"/>
          <w:szCs w:val="24"/>
          <w:highlight w:val="none"/>
        </w:rPr>
      </w:pPr>
      <w:r>
        <w:rPr>
          <w:rFonts w:hint="eastAsia" w:ascii="宋体" w:hAnsi="宋体"/>
          <w:color w:val="000000"/>
          <w:sz w:val="24"/>
          <w:szCs w:val="24"/>
          <w:highlight w:val="none"/>
        </w:rPr>
        <w:t>5.3风车式物理分级指标3.1.3的验收方法：重整催化剂物理分级前后分别在</w:t>
      </w:r>
      <w:r>
        <w:rPr>
          <w:rFonts w:hint="eastAsia" w:ascii="宋体" w:hAnsi="宋体"/>
          <w:kern w:val="0"/>
          <w:sz w:val="24"/>
          <w:szCs w:val="24"/>
          <w:highlight w:val="none"/>
        </w:rPr>
        <w:t>业主/团队</w:t>
      </w:r>
      <w:r>
        <w:rPr>
          <w:rFonts w:hint="eastAsia" w:ascii="宋体" w:hAnsi="宋体"/>
          <w:color w:val="000000"/>
          <w:sz w:val="24"/>
          <w:szCs w:val="24"/>
          <w:highlight w:val="none"/>
        </w:rPr>
        <w:t>现场</w:t>
      </w:r>
      <w:r>
        <w:rPr>
          <w:rFonts w:ascii="宋体" w:hAnsi="宋体"/>
          <w:color w:val="000000"/>
          <w:sz w:val="24"/>
          <w:szCs w:val="24"/>
          <w:highlight w:val="none"/>
        </w:rPr>
        <w:t>称重认可</w:t>
      </w:r>
      <w:r>
        <w:rPr>
          <w:rFonts w:hint="eastAsia" w:ascii="宋体" w:hAnsi="宋体"/>
          <w:color w:val="000000"/>
          <w:sz w:val="24"/>
          <w:szCs w:val="24"/>
          <w:highlight w:val="none"/>
        </w:rPr>
        <w:t>，分级前后催化剂的重量差值与催化剂密度分级前的重量比值作为重整催化剂损耗率。</w:t>
      </w:r>
    </w:p>
    <w:p>
      <w:pPr>
        <w:spacing w:line="360" w:lineRule="auto"/>
        <w:ind w:left="360" w:leftChars="0" w:hanging="360" w:hangingChars="150"/>
        <w:rPr>
          <w:rFonts w:ascii="宋体" w:hAnsi="宋体"/>
          <w:color w:val="000000"/>
          <w:sz w:val="24"/>
          <w:szCs w:val="24"/>
          <w:highlight w:val="none"/>
        </w:rPr>
      </w:pPr>
      <w:r>
        <w:rPr>
          <w:rFonts w:hint="eastAsia" w:ascii="宋体" w:hAnsi="宋体"/>
          <w:color w:val="000000"/>
          <w:sz w:val="24"/>
          <w:szCs w:val="24"/>
          <w:highlight w:val="none"/>
        </w:rPr>
        <w:t>5.4风车式物理分级指标3.1.4的验收方法：重整催化剂物理分级处理时间以承包商签收</w:t>
      </w:r>
      <w:r>
        <w:rPr>
          <w:rFonts w:hint="eastAsia" w:ascii="宋体" w:hAnsi="宋体"/>
          <w:kern w:val="0"/>
          <w:sz w:val="24"/>
          <w:szCs w:val="24"/>
          <w:highlight w:val="none"/>
        </w:rPr>
        <w:t>业主/团队</w:t>
      </w:r>
      <w:r>
        <w:rPr>
          <w:rFonts w:hint="eastAsia" w:ascii="宋体" w:hAnsi="宋体"/>
          <w:color w:val="000000"/>
          <w:sz w:val="24"/>
          <w:szCs w:val="24"/>
          <w:highlight w:val="none"/>
        </w:rPr>
        <w:t>的第一批催化剂开始计时，到物理分级处理完毕</w:t>
      </w:r>
      <w:r>
        <w:rPr>
          <w:rFonts w:hint="eastAsia" w:ascii="宋体" w:hAnsi="宋体"/>
          <w:kern w:val="0"/>
          <w:sz w:val="24"/>
          <w:szCs w:val="24"/>
          <w:highlight w:val="none"/>
        </w:rPr>
        <w:t>业主/团队</w:t>
      </w:r>
      <w:r>
        <w:rPr>
          <w:rFonts w:hint="eastAsia" w:ascii="宋体" w:hAnsi="宋体"/>
          <w:color w:val="000000"/>
          <w:sz w:val="24"/>
          <w:szCs w:val="24"/>
          <w:highlight w:val="none"/>
        </w:rPr>
        <w:t>签收承包商交回的最后一批催化剂结束计时（户外除外）。</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6、双方责任与协调</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6.1业主/团队责任：</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6.1.1将待</w:t>
      </w:r>
      <w:r>
        <w:rPr>
          <w:rFonts w:hint="eastAsia" w:ascii="宋体" w:hAnsi="宋体"/>
          <w:bCs/>
          <w:sz w:val="24"/>
          <w:szCs w:val="24"/>
          <w:highlight w:val="none"/>
        </w:rPr>
        <w:t>风车式物理分</w:t>
      </w:r>
      <w:r>
        <w:rPr>
          <w:rFonts w:hint="eastAsia" w:ascii="宋体" w:hAnsi="宋体"/>
          <w:sz w:val="24"/>
          <w:szCs w:val="24"/>
          <w:highlight w:val="none"/>
        </w:rPr>
        <w:t>级</w:t>
      </w:r>
      <w:r>
        <w:rPr>
          <w:rFonts w:hint="eastAsia" w:ascii="宋体" w:hAnsi="宋体"/>
          <w:kern w:val="0"/>
          <w:sz w:val="24"/>
          <w:szCs w:val="24"/>
          <w:highlight w:val="none"/>
        </w:rPr>
        <w:t>催化剂运至指定的作业场所，业主/团队与承包商的技术人员共同进行待分级催化剂的现场采样。</w:t>
      </w:r>
    </w:p>
    <w:p>
      <w:pPr>
        <w:adjustRightInd w:val="0"/>
        <w:snapToGrid w:val="0"/>
        <w:spacing w:line="360" w:lineRule="auto"/>
        <w:ind w:firstLine="475" w:firstLineChars="198"/>
        <w:rPr>
          <w:rFonts w:ascii="宋体" w:hAnsi="宋体"/>
          <w:kern w:val="0"/>
          <w:sz w:val="24"/>
          <w:szCs w:val="24"/>
          <w:highlight w:val="none"/>
        </w:rPr>
      </w:pPr>
      <w:r>
        <w:rPr>
          <w:rFonts w:hint="eastAsia" w:ascii="宋体" w:hAnsi="宋体"/>
          <w:kern w:val="0"/>
          <w:sz w:val="24"/>
          <w:szCs w:val="24"/>
          <w:highlight w:val="none"/>
        </w:rPr>
        <w:t>6.1.2</w:t>
      </w:r>
      <w:r>
        <w:rPr>
          <w:rFonts w:hint="eastAsia" w:ascii="宋体" w:hAnsi="宋体"/>
          <w:color w:val="000000"/>
          <w:sz w:val="24"/>
          <w:szCs w:val="24"/>
          <w:highlight w:val="none"/>
        </w:rPr>
        <w:t>对承包商作业人员进行三级安全教育，协助承包商人员办理进入厂通行证和车辆入厂证</w:t>
      </w:r>
      <w:r>
        <w:rPr>
          <w:rFonts w:hint="eastAsia" w:ascii="宋体" w:hAnsi="宋体"/>
          <w:kern w:val="0"/>
          <w:sz w:val="24"/>
          <w:szCs w:val="24"/>
          <w:highlight w:val="none"/>
        </w:rPr>
        <w:t>。</w:t>
      </w:r>
    </w:p>
    <w:p>
      <w:pPr>
        <w:adjustRightInd w:val="0"/>
        <w:snapToGrid w:val="0"/>
        <w:spacing w:line="360" w:lineRule="auto"/>
        <w:ind w:firstLine="475" w:firstLineChars="198"/>
        <w:rPr>
          <w:rFonts w:ascii="宋体" w:hAnsi="宋体"/>
          <w:kern w:val="0"/>
          <w:sz w:val="24"/>
          <w:szCs w:val="24"/>
          <w:highlight w:val="none"/>
        </w:rPr>
      </w:pPr>
      <w:r>
        <w:rPr>
          <w:rFonts w:hint="eastAsia" w:ascii="宋体" w:hAnsi="宋体"/>
          <w:kern w:val="0"/>
          <w:sz w:val="24"/>
          <w:szCs w:val="24"/>
          <w:highlight w:val="none"/>
        </w:rPr>
        <w:t>6.1.3有权根据业主/团队的管理制度对承包商人员进行现场管理。</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6.1.4负责对承包商的催化剂物理分</w:t>
      </w:r>
      <w:r>
        <w:rPr>
          <w:rFonts w:hint="eastAsia" w:ascii="宋体" w:hAnsi="宋体"/>
          <w:sz w:val="24"/>
          <w:szCs w:val="24"/>
          <w:highlight w:val="none"/>
        </w:rPr>
        <w:t>级</w:t>
      </w:r>
      <w:r>
        <w:rPr>
          <w:rFonts w:hint="eastAsia" w:ascii="宋体" w:hAnsi="宋体"/>
          <w:kern w:val="0"/>
          <w:sz w:val="24"/>
          <w:szCs w:val="24"/>
          <w:highlight w:val="none"/>
        </w:rPr>
        <w:t>过程进行全程监控、监督检查。</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6.1.5提供工作地点，确定位置，安装分离设备，装置占地面积大致为50m</w:t>
      </w:r>
      <w:r>
        <w:rPr>
          <w:rFonts w:hint="eastAsia" w:ascii="宋体" w:hAnsi="宋体"/>
          <w:kern w:val="0"/>
          <w:sz w:val="24"/>
          <w:szCs w:val="24"/>
          <w:highlight w:val="none"/>
          <w:vertAlign w:val="superscript"/>
        </w:rPr>
        <w:t>2</w:t>
      </w:r>
      <w:r>
        <w:rPr>
          <w:rFonts w:hint="eastAsia" w:ascii="宋体" w:hAnsi="宋体"/>
          <w:kern w:val="0"/>
          <w:sz w:val="24"/>
          <w:szCs w:val="24"/>
          <w:highlight w:val="none"/>
        </w:rPr>
        <w:t>（仓库优先或户外搭棚）。</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6.1.6配合安装该的设备，业主/团队可以协助联系吊车或叉车，但所需费用由承包商承担。</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6.1.7、提供15个容器为200升空桶，分级完成后由乙方返还甲方。</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6.1.8、提供三相四线电源。</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6.1.9、分级出的低碳催化剂由业主/团队出具测定、分析数据报告，混合催化剂中低碳催化剂的分离效率及物料平衡报告。</w:t>
      </w:r>
    </w:p>
    <w:p>
      <w:pPr>
        <w:spacing w:line="360" w:lineRule="auto"/>
        <w:ind w:firstLine="240" w:firstLineChars="100"/>
        <w:rPr>
          <w:rFonts w:ascii="宋体" w:hAnsi="宋体"/>
          <w:color w:val="000000"/>
          <w:sz w:val="24"/>
          <w:szCs w:val="24"/>
          <w:highlight w:val="none"/>
        </w:rPr>
      </w:pPr>
      <w:r>
        <w:rPr>
          <w:rFonts w:hint="eastAsia" w:ascii="宋体" w:hAnsi="宋体"/>
          <w:color w:val="000000"/>
          <w:sz w:val="24"/>
          <w:szCs w:val="24"/>
          <w:highlight w:val="none"/>
        </w:rPr>
        <w:t>6.2承包商责任：</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6.2.1在得到业主/团队通知后，48小时内携带相关设备、仪器到达指定现场。</w:t>
      </w:r>
    </w:p>
    <w:p>
      <w:pPr>
        <w:adjustRightInd w:val="0"/>
        <w:snapToGrid w:val="0"/>
        <w:spacing w:line="360" w:lineRule="auto"/>
        <w:ind w:left="976" w:leftChars="218" w:hanging="496" w:hangingChars="207"/>
        <w:rPr>
          <w:rFonts w:ascii="宋体" w:hAnsi="宋体"/>
          <w:kern w:val="0"/>
          <w:sz w:val="24"/>
          <w:szCs w:val="24"/>
          <w:highlight w:val="none"/>
        </w:rPr>
      </w:pPr>
      <w:r>
        <w:rPr>
          <w:rFonts w:hint="eastAsia" w:ascii="宋体" w:hAnsi="宋体"/>
          <w:kern w:val="0"/>
          <w:sz w:val="24"/>
          <w:szCs w:val="24"/>
          <w:highlight w:val="none"/>
        </w:rPr>
        <w:t>6.2.2根据业主/团队提供催化剂碳含量分析数据，24小时内制定出确保催化剂物理分级效果的最佳方案，提供给业主/团队留存，并保证在整个催化剂物理分级过程中严格遵守该方案，确保保质保量按时完成催化剂物理分级工作。</w:t>
      </w:r>
    </w:p>
    <w:p>
      <w:pPr>
        <w:adjustRightInd w:val="0"/>
        <w:snapToGrid w:val="0"/>
        <w:spacing w:line="360" w:lineRule="auto"/>
        <w:ind w:left="976" w:leftChars="218" w:hanging="496" w:hangingChars="207"/>
        <w:rPr>
          <w:rFonts w:ascii="宋体" w:hAnsi="宋体"/>
          <w:kern w:val="0"/>
          <w:sz w:val="24"/>
          <w:szCs w:val="24"/>
          <w:highlight w:val="none"/>
        </w:rPr>
      </w:pPr>
      <w:r>
        <w:rPr>
          <w:rFonts w:hint="eastAsia" w:ascii="宋体" w:hAnsi="宋体"/>
          <w:kern w:val="0"/>
          <w:sz w:val="24"/>
          <w:szCs w:val="24"/>
          <w:highlight w:val="none"/>
        </w:rPr>
        <w:t>6.2.3催化剂到指定作业场所后，24小时内制定出催化剂风车式物理分级统筹安排进度表﹙＜10天﹚；负责对待分催化剂进行器外风车式物理分级等工作。</w:t>
      </w:r>
    </w:p>
    <w:p>
      <w:pPr>
        <w:adjustRightInd w:val="0"/>
        <w:snapToGrid w:val="0"/>
        <w:spacing w:line="360" w:lineRule="auto"/>
        <w:ind w:left="976" w:leftChars="218" w:hanging="496" w:hangingChars="207"/>
        <w:rPr>
          <w:rFonts w:ascii="宋体" w:hAnsi="宋体"/>
          <w:kern w:val="0"/>
          <w:sz w:val="24"/>
          <w:szCs w:val="24"/>
          <w:highlight w:val="none"/>
        </w:rPr>
      </w:pPr>
      <w:r>
        <w:rPr>
          <w:rFonts w:hint="eastAsia" w:ascii="宋体" w:hAnsi="宋体"/>
          <w:kern w:val="0"/>
          <w:sz w:val="24"/>
          <w:szCs w:val="24"/>
          <w:highlight w:val="none"/>
        </w:rPr>
        <w:t>6.2.4会同业主/团队取分级后催化剂作为标准样品保留，以便必要时化验复查，样品至少保存二年。</w:t>
      </w:r>
    </w:p>
    <w:p>
      <w:pPr>
        <w:adjustRightInd w:val="0"/>
        <w:snapToGrid w:val="0"/>
        <w:spacing w:line="360" w:lineRule="auto"/>
        <w:ind w:left="976" w:leftChars="218" w:hanging="496" w:hangingChars="207"/>
        <w:rPr>
          <w:rFonts w:ascii="宋体" w:hAnsi="宋体"/>
          <w:kern w:val="0"/>
          <w:sz w:val="24"/>
          <w:szCs w:val="24"/>
          <w:highlight w:val="none"/>
        </w:rPr>
      </w:pPr>
      <w:r>
        <w:rPr>
          <w:rFonts w:hint="eastAsia" w:ascii="宋体" w:hAnsi="宋体"/>
          <w:kern w:val="0"/>
          <w:sz w:val="24"/>
          <w:szCs w:val="24"/>
          <w:highlight w:val="none"/>
        </w:rPr>
        <w:t>6.2.5与业主/团队共同负责分级现场的催化剂安保工作，及时向业主/团队通报催化剂物理分级情况。</w:t>
      </w:r>
    </w:p>
    <w:p>
      <w:pPr>
        <w:adjustRightInd w:val="0"/>
        <w:snapToGrid w:val="0"/>
        <w:spacing w:line="360" w:lineRule="auto"/>
        <w:ind w:firstLine="460" w:firstLineChars="192"/>
        <w:rPr>
          <w:rFonts w:ascii="宋体" w:hAnsi="宋体"/>
          <w:kern w:val="0"/>
          <w:sz w:val="24"/>
          <w:szCs w:val="24"/>
          <w:highlight w:val="none"/>
        </w:rPr>
      </w:pPr>
      <w:r>
        <w:rPr>
          <w:rFonts w:hint="eastAsia" w:ascii="宋体" w:hAnsi="宋体"/>
          <w:kern w:val="0"/>
          <w:sz w:val="24"/>
          <w:szCs w:val="24"/>
          <w:highlight w:val="none"/>
        </w:rPr>
        <w:t>6.2.6催化剂物理分级处理结束后，由承包商负责将分级后的场地打扫干净。</w:t>
      </w:r>
    </w:p>
    <w:p>
      <w:pPr>
        <w:adjustRightInd w:val="0"/>
        <w:snapToGrid w:val="0"/>
        <w:spacing w:line="360" w:lineRule="auto"/>
        <w:ind w:left="976" w:leftChars="218" w:hanging="496" w:hangingChars="207"/>
        <w:rPr>
          <w:rFonts w:ascii="宋体" w:hAnsi="宋体"/>
          <w:kern w:val="0"/>
          <w:sz w:val="24"/>
          <w:szCs w:val="24"/>
          <w:highlight w:val="none"/>
        </w:rPr>
      </w:pPr>
      <w:r>
        <w:rPr>
          <w:rFonts w:hint="eastAsia" w:ascii="宋体" w:hAnsi="宋体"/>
          <w:kern w:val="0"/>
          <w:sz w:val="24"/>
          <w:szCs w:val="24"/>
          <w:highlight w:val="none"/>
        </w:rPr>
        <w:t>6.2.7承包商人员在现场未经业主/团队许可严禁动用业主/团队设备，并严格遵守</w:t>
      </w:r>
      <w:r>
        <w:rPr>
          <w:rFonts w:hint="eastAsia" w:ascii="宋体" w:hAnsi="宋体"/>
          <w:kern w:val="0"/>
          <w:sz w:val="24"/>
          <w:szCs w:val="24"/>
          <w:highlight w:val="none"/>
          <w:lang w:val="en-US" w:eastAsia="zh-CN"/>
        </w:rPr>
        <w:t>甲方</w:t>
      </w:r>
      <w:r>
        <w:rPr>
          <w:rFonts w:hint="eastAsia" w:ascii="宋体" w:hAnsi="宋体"/>
          <w:kern w:val="0"/>
          <w:sz w:val="24"/>
          <w:szCs w:val="24"/>
          <w:highlight w:val="none"/>
        </w:rPr>
        <w:t>的各项管理制度。</w:t>
      </w:r>
    </w:p>
    <w:p>
      <w:pPr>
        <w:adjustRightInd w:val="0"/>
        <w:snapToGrid w:val="0"/>
        <w:spacing w:line="360" w:lineRule="auto"/>
        <w:ind w:firstLine="460" w:firstLineChars="192"/>
        <w:rPr>
          <w:rFonts w:hint="eastAsia" w:ascii="宋体" w:hAnsi="宋体"/>
          <w:kern w:val="0"/>
          <w:sz w:val="24"/>
          <w:szCs w:val="24"/>
          <w:highlight w:val="none"/>
        </w:rPr>
      </w:pPr>
      <w:r>
        <w:rPr>
          <w:rFonts w:ascii="宋体" w:hAnsi="宋体"/>
          <w:kern w:val="0"/>
          <w:sz w:val="24"/>
          <w:szCs w:val="24"/>
          <w:highlight w:val="none"/>
        </w:rPr>
        <w:t>6.2.8</w:t>
      </w:r>
      <w:r>
        <w:rPr>
          <w:rFonts w:hint="eastAsia"/>
          <w:sz w:val="24"/>
          <w:szCs w:val="24"/>
          <w:highlight w:val="none"/>
        </w:rPr>
        <w:t>筛分完成后提供催化剂筛分报告。</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7、违约责任</w:t>
      </w:r>
    </w:p>
    <w:p>
      <w:pPr>
        <w:spacing w:line="360" w:lineRule="auto"/>
        <w:ind w:left="338" w:leftChars="0" w:hanging="338" w:hangingChars="141"/>
        <w:rPr>
          <w:rFonts w:ascii="宋体" w:hAnsi="宋体"/>
          <w:color w:val="000000"/>
          <w:sz w:val="24"/>
          <w:szCs w:val="24"/>
          <w:highlight w:val="none"/>
        </w:rPr>
      </w:pPr>
      <w:r>
        <w:rPr>
          <w:rFonts w:hint="eastAsia" w:ascii="宋体" w:hAnsi="宋体"/>
          <w:color w:val="000000"/>
          <w:sz w:val="24"/>
          <w:szCs w:val="24"/>
          <w:highlight w:val="none"/>
        </w:rPr>
        <w:t>7.1按照双方约定，承包商要在业主/团队开始分级催化剂后10日内完成催化剂分级工作，如因承包商风车式物理分级工期延长而影响装置开工时间，每超</w:t>
      </w:r>
      <w:r>
        <w:rPr>
          <w:rFonts w:ascii="宋体" w:hAnsi="宋体"/>
          <w:color w:val="000000"/>
          <w:sz w:val="24"/>
          <w:szCs w:val="24"/>
          <w:highlight w:val="none"/>
        </w:rPr>
        <w:t>1</w:t>
      </w:r>
      <w:r>
        <w:rPr>
          <w:rFonts w:hint="eastAsia" w:ascii="宋体" w:hAnsi="宋体"/>
          <w:color w:val="000000"/>
          <w:sz w:val="24"/>
          <w:szCs w:val="24"/>
          <w:highlight w:val="none"/>
        </w:rPr>
        <w:t>天扣除加工费总额的8</w:t>
      </w:r>
      <w:r>
        <w:rPr>
          <w:rFonts w:ascii="宋体" w:hAnsi="宋体"/>
          <w:color w:val="000000"/>
          <w:sz w:val="24"/>
          <w:szCs w:val="24"/>
          <w:highlight w:val="none"/>
        </w:rPr>
        <w:t>%</w:t>
      </w:r>
      <w:r>
        <w:rPr>
          <w:rFonts w:hint="eastAsia" w:ascii="宋体" w:hAnsi="宋体"/>
          <w:color w:val="000000"/>
          <w:sz w:val="24"/>
          <w:szCs w:val="24"/>
          <w:highlight w:val="none"/>
        </w:rPr>
        <w:t>。</w:t>
      </w:r>
    </w:p>
    <w:p>
      <w:pPr>
        <w:spacing w:line="360" w:lineRule="auto"/>
        <w:ind w:left="338" w:leftChars="0" w:hanging="338" w:hangingChars="141"/>
        <w:rPr>
          <w:rFonts w:ascii="宋体" w:hAnsi="宋体"/>
          <w:color w:val="000000"/>
          <w:sz w:val="24"/>
          <w:szCs w:val="24"/>
          <w:highlight w:val="none"/>
        </w:rPr>
      </w:pPr>
      <w:r>
        <w:rPr>
          <w:rFonts w:hint="eastAsia" w:ascii="宋体" w:hAnsi="宋体"/>
          <w:color w:val="000000"/>
          <w:sz w:val="24"/>
          <w:szCs w:val="24"/>
          <w:highlight w:val="none"/>
        </w:rPr>
        <w:t>7.2若从承包商风车式物理分级后的2000颗合格催化剂中选出30颗最黑的小球所测定的碳含量超过6%，扣减8%物理分级费用，该催化剂并进行重新分级。</w:t>
      </w:r>
    </w:p>
    <w:p>
      <w:pPr>
        <w:spacing w:line="360" w:lineRule="auto"/>
        <w:ind w:left="338" w:leftChars="0" w:hanging="338" w:hangingChars="141"/>
        <w:rPr>
          <w:rFonts w:ascii="宋体" w:hAnsi="宋体"/>
          <w:color w:val="000000"/>
          <w:sz w:val="24"/>
          <w:szCs w:val="24"/>
          <w:highlight w:val="none"/>
        </w:rPr>
      </w:pPr>
      <w:r>
        <w:rPr>
          <w:rFonts w:hint="eastAsia" w:ascii="宋体" w:hAnsi="宋体"/>
          <w:color w:val="000000"/>
          <w:sz w:val="24"/>
          <w:szCs w:val="24"/>
          <w:highlight w:val="none"/>
        </w:rPr>
        <w:t>7.3若从承包商风车式物理分级后催化剂颗粒有测定直径小于1.4mm每超5/1000颗扣减8%物理分级费用,如有Φ＜1.2mm为不合格该催化剂并进行重新分级。</w:t>
      </w:r>
    </w:p>
    <w:p>
      <w:pPr>
        <w:spacing w:line="360" w:lineRule="auto"/>
        <w:ind w:left="338" w:leftChars="0" w:hanging="338" w:hangingChars="141"/>
        <w:rPr>
          <w:rFonts w:ascii="宋体" w:hAnsi="宋体"/>
          <w:color w:val="000000"/>
          <w:sz w:val="24"/>
          <w:szCs w:val="24"/>
          <w:highlight w:val="none"/>
        </w:rPr>
      </w:pPr>
      <w:r>
        <w:rPr>
          <w:rFonts w:hint="eastAsia" w:ascii="宋体" w:hAnsi="宋体"/>
          <w:color w:val="000000"/>
          <w:sz w:val="24"/>
          <w:szCs w:val="24"/>
          <w:highlight w:val="none"/>
        </w:rPr>
        <w:t>7.4若承包商分级后的高碳催化剂中随取2000颗，然后从中选出30颗目视为最好的小球所测定碳含量不小于8%，每低0.1%，甲方将扣除8%的回收分离费用。</w:t>
      </w:r>
    </w:p>
    <w:p>
      <w:pPr>
        <w:spacing w:line="360" w:lineRule="auto"/>
        <w:ind w:left="338" w:leftChars="0" w:hanging="338" w:hangingChars="141"/>
        <w:rPr>
          <w:rFonts w:ascii="宋体" w:hAnsi="宋体"/>
          <w:color w:val="000000"/>
          <w:sz w:val="24"/>
          <w:szCs w:val="24"/>
          <w:highlight w:val="none"/>
        </w:rPr>
      </w:pPr>
      <w:r>
        <w:rPr>
          <w:rFonts w:hint="eastAsia" w:ascii="宋体" w:hAnsi="宋体"/>
          <w:color w:val="000000"/>
          <w:sz w:val="24"/>
          <w:szCs w:val="24"/>
          <w:highlight w:val="none"/>
        </w:rPr>
        <w:t>7.5加工损失率超过0.1%，超出部分由承包商按现有催化剂价值进行全额赔偿（称误差性除外）。</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加工损失率=100%×[W前-（W后1+W后2+W后3）]/W前</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其中：W前——回收前催化剂总量（千克）</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 xml:space="preserve">      W后1——回收产生的粉尘及破碎催化剂量（千克）</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 xml:space="preserve">      W后2——回收后低碳催化剂量（千克）</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 xml:space="preserve">      W后3——分离后高碳催化剂量（千克）</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7.6因业主/团队的原因造成承包商回收催化剂分级工期延长的，承包商不负责。</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8、承包商资质：</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8.1 承包商要求</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8.1.1 具备有效的质量管理体系认证证书；职业健康安全管理体系认证证书；环境管理体系认证证书。</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8.1.2</w:t>
      </w:r>
      <w:r>
        <w:rPr>
          <w:rFonts w:ascii="宋体" w:hAnsi="宋体"/>
          <w:color w:val="000000"/>
          <w:sz w:val="24"/>
          <w:szCs w:val="24"/>
          <w:highlight w:val="none"/>
        </w:rPr>
        <w:t xml:space="preserve"> </w:t>
      </w:r>
      <w:r>
        <w:rPr>
          <w:color w:val="111111"/>
          <w:sz w:val="24"/>
          <w:szCs w:val="24"/>
          <w:highlight w:val="none"/>
          <w:shd w:val="clear" w:color="auto" w:fill="FFFFFF"/>
        </w:rPr>
        <w:t>2015年1月1日至今，具有</w:t>
      </w:r>
      <w:r>
        <w:rPr>
          <w:rFonts w:hint="eastAsia"/>
          <w:color w:val="111111"/>
          <w:sz w:val="24"/>
          <w:szCs w:val="24"/>
          <w:highlight w:val="none"/>
          <w:shd w:val="clear" w:color="auto" w:fill="FFFFFF"/>
        </w:rPr>
        <w:t>不少于</w:t>
      </w:r>
      <w:r>
        <w:rPr>
          <w:color w:val="111111"/>
          <w:sz w:val="24"/>
          <w:szCs w:val="24"/>
          <w:highlight w:val="none"/>
          <w:shd w:val="clear" w:color="auto" w:fill="FFFFFF"/>
        </w:rPr>
        <w:t>1</w:t>
      </w:r>
      <w:r>
        <w:rPr>
          <w:rFonts w:hint="eastAsia"/>
          <w:color w:val="111111"/>
          <w:sz w:val="24"/>
          <w:szCs w:val="24"/>
          <w:highlight w:val="none"/>
          <w:shd w:val="clear" w:color="auto" w:fill="FFFFFF"/>
        </w:rPr>
        <w:t>个重整装置重整催化剂器外筛分成功业绩且单次器外筛分量在100吨及以上（需提供合同及对应的结算签认资料与发票复印件）</w:t>
      </w:r>
      <w:r>
        <w:rPr>
          <w:rFonts w:hint="eastAsia"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ascii="宋体" w:hAnsi="宋体"/>
          <w:color w:val="000000"/>
          <w:sz w:val="24"/>
          <w:szCs w:val="24"/>
          <w:highlight w:val="none"/>
        </w:rPr>
        <w:t>8.1.3</w:t>
      </w:r>
      <w:r>
        <w:rPr>
          <w:color w:val="111111"/>
          <w:sz w:val="24"/>
          <w:szCs w:val="24"/>
          <w:highlight w:val="none"/>
          <w:shd w:val="clear" w:color="auto" w:fill="FFFFFF"/>
        </w:rPr>
        <w:t>在中华人民共和国境内注册，具有独立</w:t>
      </w:r>
      <w:r>
        <w:rPr>
          <w:rFonts w:hint="eastAsia"/>
          <w:color w:val="111111"/>
          <w:sz w:val="24"/>
          <w:szCs w:val="24"/>
          <w:highlight w:val="none"/>
          <w:shd w:val="clear" w:color="auto" w:fill="FFFFFF"/>
        </w:rPr>
        <w:t>企业</w:t>
      </w:r>
      <w:r>
        <w:rPr>
          <w:color w:val="111111"/>
          <w:sz w:val="24"/>
          <w:szCs w:val="24"/>
          <w:highlight w:val="none"/>
          <w:shd w:val="clear" w:color="auto" w:fill="FFFFFF"/>
        </w:rPr>
        <w:t>法人资格。</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8.2报价要求：</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8.2.1 包商报价时应将风险包干费计入综合单价</w:t>
      </w:r>
      <w:r>
        <w:rPr>
          <w:rFonts w:ascii="宋体" w:hAnsi="宋体"/>
          <w:color w:val="000000"/>
          <w:sz w:val="24"/>
          <w:szCs w:val="24"/>
          <w:highlight w:val="none"/>
        </w:rPr>
        <w:t xml:space="preserve">。 </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8.2.2合同价款中所包含的风险范围包含：</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a.因工程项目清单有错、漏，导致工程报价不准确;</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b.因市场变化、政策性调整导致人工、机械和材料价格变化；</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c.按合同工期完工所采取的赶工措施</w:t>
      </w:r>
      <w:r>
        <w:rPr>
          <w:rFonts w:ascii="宋体" w:hAnsi="宋体"/>
          <w:color w:val="000000"/>
          <w:sz w:val="24"/>
          <w:szCs w:val="24"/>
          <w:highlight w:val="none"/>
        </w:rPr>
        <w:t>。</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8.2.3报价包括但不限于工安费用、管理费用、税金等。</w:t>
      </w:r>
    </w:p>
    <w:p>
      <w:pPr>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9、安全要求</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9.1作业人员施工前认真学习安全生产法规，作业人员无条件服从业主/团队安全检查人员指挥，遵守各项安全规章制度；</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9.2作业人员要结合施工特点，开展安全活动，并认真作好记录；危险部位的施工，要坚持班前讲安全；</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9.3在施工现场要设立醒目的安全标语牌和设置安全标志；</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9.4进入施工现场的所有人员必须戴安全帽，着装应符合有关规定，作业人员应清楚工作内容和防护措施；</w:t>
      </w: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9.5合理安排作息时间，考虑施工人员身体承受能力；</w:t>
      </w:r>
    </w:p>
    <w:p>
      <w:pPr>
        <w:spacing w:line="360" w:lineRule="auto"/>
        <w:rPr>
          <w:rFonts w:ascii="宋体" w:hAnsi="宋体"/>
          <w:color w:val="000000"/>
          <w:sz w:val="24"/>
          <w:szCs w:val="24"/>
          <w:highlight w:val="none"/>
        </w:rPr>
      </w:pPr>
      <w:r>
        <w:rPr>
          <w:rFonts w:hint="eastAsia" w:ascii="宋体" w:hAnsi="宋体"/>
          <w:color w:val="000000"/>
          <w:sz w:val="24"/>
          <w:szCs w:val="24"/>
          <w:highlight w:val="none"/>
        </w:rPr>
        <w:t>9.6应有专职安全技术人员应每天巡视现场，及时发现施工中的不安全隐患和违章行为，及时排除险情，制止违章指挥和违章作业，监督施工中安全技术措施的执行，对发现安全隐患，保证无条件地及时整改；</w:t>
      </w:r>
    </w:p>
    <w:p>
      <w:pPr>
        <w:spacing w:line="360" w:lineRule="auto"/>
        <w:rPr>
          <w:rFonts w:hint="default" w:ascii="Times New Roman" w:hAnsi="Times New Roman" w:eastAsia="宋体" w:cs="Times New Roman"/>
          <w:b/>
          <w:bCs/>
          <w:sz w:val="24"/>
          <w:szCs w:val="24"/>
          <w:highlight w:val="none"/>
          <w:lang w:eastAsia="zh-CN"/>
        </w:rPr>
      </w:pPr>
      <w:r>
        <w:rPr>
          <w:rFonts w:hint="eastAsia" w:ascii="宋体" w:hAnsi="宋体"/>
          <w:color w:val="000000"/>
          <w:sz w:val="24"/>
          <w:szCs w:val="24"/>
          <w:highlight w:val="none"/>
        </w:rPr>
        <w:t>9.7中</w:t>
      </w:r>
      <w:r>
        <w:rPr>
          <w:rFonts w:hint="eastAsia" w:ascii="宋体" w:hAnsi="宋体"/>
          <w:color w:val="000000"/>
          <w:sz w:val="24"/>
          <w:szCs w:val="24"/>
          <w:highlight w:val="none"/>
          <w:lang w:val="en-US" w:eastAsia="zh-CN"/>
        </w:rPr>
        <w:t>选</w:t>
      </w:r>
      <w:r>
        <w:rPr>
          <w:rFonts w:hint="eastAsia" w:ascii="宋体" w:hAnsi="宋体"/>
          <w:color w:val="000000"/>
          <w:sz w:val="24"/>
          <w:szCs w:val="24"/>
          <w:highlight w:val="none"/>
        </w:rPr>
        <w:t>商须与福海创签订安全环保协议作为合同附件。</w:t>
      </w: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default" w:ascii="Times New Roman" w:hAnsi="Times New Roman" w:eastAsia="宋体" w:cs="Times New Roman"/>
          <w:b/>
          <w:bCs/>
          <w:sz w:val="24"/>
          <w:szCs w:val="24"/>
          <w:highlight w:val="none"/>
          <w:lang w:eastAsia="zh-CN"/>
        </w:rPr>
      </w:pPr>
    </w:p>
    <w:p>
      <w:pPr>
        <w:keepNext w:val="0"/>
        <w:keepLines w:val="0"/>
        <w:pageBreakBefore w:val="0"/>
        <w:widowControl/>
        <w:kinsoku/>
        <w:wordWrap/>
        <w:overflowPunct/>
        <w:topLinePunct w:val="0"/>
        <w:autoSpaceDE/>
        <w:autoSpaceDN/>
        <w:bidi w:val="0"/>
        <w:spacing w:line="360" w:lineRule="auto"/>
        <w:jc w:val="both"/>
        <w:outlineLvl w:val="9"/>
        <w:rPr>
          <w:rFonts w:hint="eastAsia" w:ascii="Times New Roman" w:hAnsi="Times New Roman" w:cs="Times New Roman"/>
          <w:b/>
          <w:bCs/>
          <w:sz w:val="24"/>
          <w:szCs w:val="24"/>
          <w:highlight w:val="none"/>
          <w:lang w:val="en-US" w:eastAsia="zh-CN"/>
        </w:rPr>
      </w:pPr>
      <w:r>
        <w:rPr>
          <w:rFonts w:hint="default" w:ascii="Times New Roman" w:hAnsi="Times New Roman" w:eastAsia="宋体" w:cs="Times New Roman"/>
          <w:b/>
          <w:bCs/>
          <w:sz w:val="24"/>
          <w:szCs w:val="24"/>
          <w:highlight w:val="none"/>
          <w:lang w:eastAsia="zh-CN"/>
        </w:rPr>
        <w:t>附件</w:t>
      </w:r>
      <w:r>
        <w:rPr>
          <w:rFonts w:hint="eastAsia" w:ascii="Times New Roman" w:hAnsi="Times New Roman" w:cs="Times New Roman"/>
          <w:b/>
          <w:bCs/>
          <w:sz w:val="24"/>
          <w:szCs w:val="24"/>
          <w:highlight w:val="none"/>
          <w:lang w:val="en-US" w:eastAsia="zh-CN"/>
        </w:rPr>
        <w:t xml:space="preserve">2                                       </w:t>
      </w:r>
    </w:p>
    <w:p>
      <w:pPr>
        <w:keepNext w:val="0"/>
        <w:keepLines w:val="0"/>
        <w:pageBreakBefore w:val="0"/>
        <w:widowControl/>
        <w:kinsoku/>
        <w:wordWrap/>
        <w:overflowPunct/>
        <w:topLinePunct w:val="0"/>
        <w:autoSpaceDE/>
        <w:autoSpaceDN/>
        <w:bidi w:val="0"/>
        <w:spacing w:line="360" w:lineRule="auto"/>
        <w:ind w:left="0" w:leftChars="0" w:firstLine="3752" w:firstLineChars="1168"/>
        <w:jc w:val="both"/>
        <w:outlineLvl w:val="9"/>
        <w:rPr>
          <w:rFonts w:hint="default" w:ascii="Times New Roman" w:hAnsi="Times New Roman" w:eastAsia="宋体" w:cs="Times New Roman"/>
          <w:b/>
          <w:bCs/>
          <w:sz w:val="32"/>
          <w:szCs w:val="32"/>
          <w:highlight w:val="none"/>
          <w:lang w:eastAsia="zh-CN"/>
        </w:rPr>
      </w:pPr>
      <w:r>
        <w:rPr>
          <w:rFonts w:hint="default" w:ascii="Times New Roman" w:hAnsi="Times New Roman" w:eastAsia="宋体" w:cs="Times New Roman"/>
          <w:b/>
          <w:bCs/>
          <w:sz w:val="32"/>
          <w:szCs w:val="32"/>
          <w:highlight w:val="none"/>
          <w:lang w:eastAsia="zh-CN"/>
        </w:rPr>
        <w:t>安全环保协议书</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甲方（委托方）：</w:t>
      </w:r>
      <w:r>
        <w:rPr>
          <w:rFonts w:hint="eastAsia" w:ascii="Times New Roman" w:hAnsi="Times New Roman" w:cs="Times New Roman"/>
          <w:sz w:val="24"/>
          <w:szCs w:val="24"/>
          <w:highlight w:val="none"/>
          <w:lang w:val="en-US" w:eastAsia="zh-CN"/>
        </w:rPr>
        <w:t>腾龙芳烃</w:t>
      </w:r>
      <w:r>
        <w:rPr>
          <w:rFonts w:hint="default" w:ascii="Times New Roman" w:hAnsi="Times New Roman" w:eastAsia="宋体" w:cs="Times New Roman"/>
          <w:sz w:val="24"/>
          <w:szCs w:val="24"/>
          <w:highlight w:val="none"/>
          <w:lang w:eastAsia="zh-CN"/>
        </w:rPr>
        <w:t xml:space="preserve">（漳州）有限公司                 </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乙方（受托方）：</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                      </w:t>
      </w:r>
    </w:p>
    <w:p>
      <w:pPr>
        <w:keepNext w:val="0"/>
        <w:keepLines w:val="0"/>
        <w:pageBreakBefore w:val="0"/>
        <w:kinsoku/>
        <w:wordWrap/>
        <w:overflowPunct/>
        <w:topLinePunct w:val="0"/>
        <w:bidi w:val="0"/>
        <w:spacing w:line="360" w:lineRule="auto"/>
        <w:ind w:firstLine="360" w:firstLineChars="15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  甲乙双方就</w:t>
      </w:r>
      <w:r>
        <w:rPr>
          <w:rFonts w:hint="default" w:ascii="Times New Roman" w:hAnsi="Times New Roman" w:eastAsia="宋体" w:cs="Times New Roman"/>
          <w:sz w:val="24"/>
          <w:szCs w:val="24"/>
          <w:highlight w:val="none"/>
          <w:u w:val="single"/>
          <w:lang w:eastAsia="zh-CN"/>
        </w:rPr>
        <w:t xml:space="preserve"> </w:t>
      </w:r>
      <w:r>
        <w:rPr>
          <w:rFonts w:hint="eastAsia" w:ascii="Times New Roman" w:hAnsi="Times New Roman" w:eastAsia="宋体" w:cs="Times New Roman"/>
          <w:sz w:val="24"/>
          <w:szCs w:val="24"/>
          <w:highlight w:val="none"/>
          <w:u w:val="single"/>
          <w:lang w:eastAsia="zh-CN"/>
        </w:rPr>
        <w:t>芳烃团队重整装置催化剂筛分</w:t>
      </w:r>
      <w:r>
        <w:rPr>
          <w:rFonts w:hint="default" w:ascii="Times New Roman" w:hAnsi="Times New Roman" w:eastAsia="宋体" w:cs="Times New Roman"/>
          <w:sz w:val="24"/>
          <w:szCs w:val="24"/>
          <w:highlight w:val="none"/>
          <w:lang w:eastAsia="zh-CN"/>
        </w:rPr>
        <w:t>工程/项目签订了</w:t>
      </w:r>
      <w:r>
        <w:rPr>
          <w:rFonts w:hint="default" w:ascii="Times New Roman" w:hAnsi="Times New Roman" w:eastAsia="宋体" w:cs="Times New Roman"/>
          <w:sz w:val="24"/>
          <w:szCs w:val="24"/>
          <w:highlight w:val="none"/>
          <w:u w:val="single"/>
          <w:lang w:eastAsia="zh-CN"/>
        </w:rPr>
        <w:t>技术服务合同</w:t>
      </w:r>
      <w:r>
        <w:rPr>
          <w:rFonts w:hint="default" w:ascii="Times New Roman" w:hAnsi="Times New Roman" w:eastAsia="宋体" w:cs="Times New Roman"/>
          <w:sz w:val="24"/>
          <w:szCs w:val="24"/>
          <w:highlight w:val="none"/>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sz w:val="24"/>
          <w:szCs w:val="24"/>
          <w:highlight w:val="none"/>
          <w:lang w:eastAsia="zh-CN"/>
        </w:rPr>
        <w:t>一、甲方的权利和义务：</w:t>
      </w:r>
    </w:p>
    <w:p>
      <w:pPr>
        <w:pStyle w:val="14"/>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1、甲方有权对乙方的资质进行审查，确认其符合且具备进厂条件，方可进厂施工。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2、甲方有权要求乙方维护好甲方相关的安全环保设施、设备和器材。</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5、甲方有权对乙方不服从管理和严重违章者，驱除施工现场。</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6、甲方负责对乙方进行厂级和部门级安全培训教育和考核，考核合格方可办理入厂手续。</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7、甲方负责各装置的工艺处理、退料、置换、吹扫及盲板隔离工作，为本项目提供安全的施工条件。</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8、甲方应乙方要求，向乙方提供与乙方作业相关的甲方有毒有害、易燃易爆物品的数据。</w:t>
      </w:r>
    </w:p>
    <w:p>
      <w:pPr>
        <w:keepNext w:val="0"/>
        <w:keepLines w:val="0"/>
        <w:pageBreakBefore w:val="0"/>
        <w:tabs>
          <w:tab w:val="left" w:pos="360"/>
          <w:tab w:val="left" w:pos="840"/>
        </w:tabs>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9、甲方在开工前必须对乙方进行全面的安全技术及文明施工交底。</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二、乙方的权利和义务：</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2、乙方有权对甲方安全管理工作提出合理化建议或改进措施。</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3、乙方对甲方管理人员违章指挥、强令冒险作业、有权拒绝执行。对打击和报复行为有权向上级和有关部门汇报。 </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4、乙方对危及生命安全和身体健康的施工作业条件和环境，有权提出整改建议或拒绝施工作业。</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5、乙方施工过程中在发生严重危及作业人员生命安全的不可抗拒紧急情况时，有权采取必要的避险措施，并立即向管理部门报告。</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6、乙方有权要求甲方提供相关的安全资料。</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sz w:val="24"/>
          <w:szCs w:val="24"/>
          <w:highlight w:val="none"/>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11、乙方应按《中华人民共和国劳动法》等法律、法规、规定用工，严禁使用未成年工和有职业禁忌的人员进行施工作业。 </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13、乙方需建立安全检查制度，指定专人负责现场安全监督检查工作，认真开展安全检查，发现作业过程中不安全行为、隐患、重大险情，应采取有效措施及时处理并报告甲方。</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14、发生事故时，乙方必须及时向甲方报告。同时根据指令迅速组织实施现场人员疏散和抢救工作、采取相应的措施保护好现场，并要积极配合甲方或上级有关部门对事故的调查和现场勘查。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15、乙方进入现场的施工人员，严禁动用装置区机泵、容器、塔、加热炉等任何部位阀门，防止误开误关，造成意外事故。如确实需用，经与装置有关人员联系，同意后，由操作人员启闭阀门。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17、</w:t>
      </w:r>
      <w:r>
        <w:rPr>
          <w:rFonts w:hint="default" w:ascii="Times New Roman" w:hAnsi="Times New Roman" w:eastAsia="宋体" w:cs="Times New Roman"/>
          <w:bCs/>
          <w:sz w:val="24"/>
          <w:szCs w:val="24"/>
          <w:highlight w:val="none"/>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Cs/>
          <w:sz w:val="24"/>
          <w:szCs w:val="24"/>
          <w:highlight w:val="none"/>
          <w:lang w:eastAsia="zh-CN"/>
        </w:rPr>
      </w:pPr>
      <w:r>
        <w:rPr>
          <w:rFonts w:hint="default" w:ascii="Times New Roman" w:hAnsi="Times New Roman" w:eastAsia="宋体" w:cs="Times New Roman"/>
          <w:bCs/>
          <w:sz w:val="24"/>
          <w:szCs w:val="24"/>
          <w:highlight w:val="none"/>
          <w:lang w:eastAsia="zh-CN"/>
        </w:rPr>
        <w:t>18、</w:t>
      </w:r>
      <w:r>
        <w:rPr>
          <w:rFonts w:hint="default" w:ascii="Times New Roman" w:hAnsi="Times New Roman" w:eastAsia="宋体" w:cs="Times New Roman"/>
          <w:sz w:val="24"/>
          <w:szCs w:val="24"/>
          <w:highlight w:val="none"/>
          <w:lang w:eastAsia="zh-CN"/>
        </w:rPr>
        <w:t>乙方</w:t>
      </w:r>
      <w:r>
        <w:rPr>
          <w:rFonts w:hint="default" w:ascii="Times New Roman" w:hAnsi="Times New Roman" w:eastAsia="宋体" w:cs="Times New Roman"/>
          <w:bCs/>
          <w:sz w:val="24"/>
          <w:szCs w:val="24"/>
          <w:highlight w:val="none"/>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sz w:val="24"/>
          <w:szCs w:val="24"/>
          <w:highlight w:val="none"/>
          <w:lang w:eastAsia="zh-CN"/>
        </w:rPr>
        <w:t>GB 2894-2008）</w:t>
      </w:r>
      <w:r>
        <w:rPr>
          <w:rFonts w:hint="default" w:ascii="Times New Roman" w:hAnsi="Times New Roman" w:eastAsia="宋体" w:cs="Times New Roman"/>
          <w:bCs/>
          <w:sz w:val="24"/>
          <w:szCs w:val="24"/>
          <w:highlight w:val="none"/>
          <w:lang w:eastAsia="zh-CN"/>
        </w:rPr>
        <w:t>的规定。</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Cs/>
          <w:sz w:val="24"/>
          <w:szCs w:val="24"/>
          <w:highlight w:val="none"/>
          <w:lang w:eastAsia="zh-CN"/>
        </w:rPr>
        <w:t>19、</w:t>
      </w:r>
      <w:r>
        <w:rPr>
          <w:rFonts w:hint="default" w:ascii="Times New Roman" w:hAnsi="Times New Roman" w:eastAsia="宋体" w:cs="Times New Roman"/>
          <w:sz w:val="24"/>
          <w:szCs w:val="24"/>
          <w:highlight w:val="none"/>
          <w:lang w:eastAsia="zh-CN"/>
        </w:rPr>
        <w:t>乙方</w:t>
      </w:r>
      <w:r>
        <w:rPr>
          <w:rFonts w:hint="default" w:ascii="Times New Roman" w:hAnsi="Times New Roman" w:eastAsia="宋体" w:cs="Times New Roman"/>
          <w:bCs/>
          <w:sz w:val="24"/>
          <w:szCs w:val="24"/>
          <w:highlight w:val="none"/>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20、乙方施工产生的</w:t>
      </w:r>
      <w:r>
        <w:rPr>
          <w:rFonts w:hint="default" w:ascii="Times New Roman" w:hAnsi="Times New Roman" w:eastAsia="宋体" w:cs="Times New Roman"/>
          <w:bCs/>
          <w:sz w:val="24"/>
          <w:szCs w:val="24"/>
          <w:highlight w:val="none"/>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 w:val="24"/>
          <w:szCs w:val="24"/>
          <w:highlight w:val="none"/>
          <w:lang w:eastAsia="zh-CN"/>
        </w:rPr>
        <w:t>产生的废物应进行鉴别，一般固废和危险废物应妥善包装、分类堆放，并及时清理。不能任意排放和丢弃。不依法合规处置固体废物，在厂外随意丢弃的，直接解除合同，清除出厂。</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22、</w:t>
      </w:r>
      <w:r>
        <w:rPr>
          <w:rFonts w:hint="default" w:ascii="Times New Roman" w:hAnsi="Times New Roman" w:eastAsia="宋体" w:cs="Times New Roman"/>
          <w:bCs/>
          <w:sz w:val="24"/>
          <w:szCs w:val="24"/>
          <w:highlight w:val="none"/>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三、违约责任及处理</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1、乙方不得转包、违法分包及挂靠等违法行为；未经福海创许可，不得将工程分包。</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2、发生安全事故时，甲乙双方均有抢险、救灾的义务，所发生的费用由责任方承担。</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4、甲方违约造成的事故，甲方承担全部责任，并按规定追究有关人员责任及上报。</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四、 不可抗力：</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 由于不可抗力造成合同项目施工作业事故及产生的损失，甲乙双方各自承担相应的损失。</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五、本协议书经双方盖章后生效。</w:t>
      </w:r>
    </w:p>
    <w:p>
      <w:pPr>
        <w:keepNext w:val="0"/>
        <w:keepLines w:val="0"/>
        <w:pageBreakBefore w:val="0"/>
        <w:kinsoku/>
        <w:wordWrap/>
        <w:overflowPunct/>
        <w:topLinePunct w:val="0"/>
        <w:bidi w:val="0"/>
        <w:spacing w:line="360" w:lineRule="auto"/>
        <w:ind w:left="0" w:leftChars="0" w:firstLine="0" w:firstLineChars="0"/>
        <w:outlineLvl w:val="9"/>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六、协议期限：</w:t>
      </w:r>
    </w:p>
    <w:p>
      <w:pPr>
        <w:keepNext w:val="0"/>
        <w:keepLines w:val="0"/>
        <w:pageBreakBefore w:val="0"/>
        <w:kinsoku/>
        <w:wordWrap/>
        <w:overflowPunct/>
        <w:topLinePunct w:val="0"/>
        <w:bidi w:val="0"/>
        <w:spacing w:line="360" w:lineRule="auto"/>
        <w:ind w:left="0" w:leftChars="0" w:firstLine="480" w:firstLineChars="200"/>
        <w:outlineLvl w:val="9"/>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sz w:val="24"/>
          <w:szCs w:val="24"/>
          <w:highlight w:val="none"/>
          <w:lang w:eastAsia="zh-CN"/>
        </w:rPr>
        <w:t>本协议期限应与主合同期限一致。如果主合同因故需要变更期限，本合同应与主同变更至相同期限。</w:t>
      </w:r>
    </w:p>
    <w:p>
      <w:pPr>
        <w:keepNext w:val="0"/>
        <w:keepLines w:val="0"/>
        <w:pageBreakBefore w:val="0"/>
        <w:kinsoku/>
        <w:wordWrap/>
        <w:overflowPunct/>
        <w:topLinePunct w:val="0"/>
        <w:bidi w:val="0"/>
        <w:spacing w:line="360" w:lineRule="auto"/>
        <w:ind w:left="0" w:leftChars="0" w:firstLine="723" w:firstLineChars="300"/>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以下无正文，为合同盖章页。</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p>
    <w:p>
      <w:pPr>
        <w:pStyle w:val="9"/>
        <w:keepNext w:val="0"/>
        <w:keepLines w:val="0"/>
        <w:pageBreakBefore w:val="0"/>
        <w:widowControl/>
        <w:suppressLineNumbers w:val="0"/>
        <w:kinsoku/>
        <w:wordWrap/>
        <w:overflowPunct/>
        <w:topLinePunct w:val="0"/>
        <w:bidi w:val="0"/>
        <w:spacing w:before="0" w:beforeAutospacing="0" w:after="300" w:afterAutospacing="0" w:line="360" w:lineRule="auto"/>
        <w:ind w:right="-226"/>
        <w:jc w:val="both"/>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eastAsia="zh-CN"/>
        </w:rPr>
        <w:t>甲</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方:</w:t>
      </w:r>
      <w:r>
        <w:rPr>
          <w:rFonts w:hint="eastAsia" w:ascii="Times New Roman" w:hAnsi="Times New Roman" w:cs="Times New Roman"/>
          <w:b/>
          <w:bCs/>
          <w:sz w:val="24"/>
          <w:szCs w:val="24"/>
          <w:highlight w:val="none"/>
          <w:lang w:val="en-US" w:eastAsia="zh-CN"/>
        </w:rPr>
        <w:t>腾龙芳烃</w:t>
      </w:r>
      <w:r>
        <w:rPr>
          <w:rFonts w:hint="default" w:ascii="Times New Roman" w:hAnsi="Times New Roman" w:eastAsia="宋体" w:cs="Times New Roman"/>
          <w:b/>
          <w:bCs/>
          <w:sz w:val="24"/>
          <w:szCs w:val="24"/>
          <w:highlight w:val="none"/>
          <w:lang w:eastAsia="zh-CN"/>
        </w:rPr>
        <w:t xml:space="preserve">（漳州）有限公司   </w:t>
      </w:r>
      <w:r>
        <w:rPr>
          <w:rFonts w:hint="default" w:ascii="Times New Roman" w:hAnsi="Times New Roman" w:eastAsia="宋体" w:cs="Times New Roman"/>
          <w:b/>
          <w:bCs/>
          <w:sz w:val="24"/>
          <w:szCs w:val="24"/>
          <w:highlight w:val="none"/>
          <w:lang w:val="en-US" w:eastAsia="zh-CN"/>
        </w:rPr>
        <w:t xml:space="preserve"> </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eastAsia="zh-CN"/>
        </w:rPr>
        <w:t>乙  方：</w:t>
      </w:r>
    </w:p>
    <w:p>
      <w:pPr>
        <w:keepNext w:val="0"/>
        <w:keepLines w:val="0"/>
        <w:pageBreakBefore w:val="0"/>
        <w:widowControl/>
        <w:kinsoku/>
        <w:wordWrap/>
        <w:overflowPunct/>
        <w:topLinePunct w:val="0"/>
        <w:bidi w:val="0"/>
        <w:spacing w:line="360" w:lineRule="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lang w:eastAsia="zh-CN"/>
        </w:rPr>
        <w:t>账  号：</w:t>
      </w:r>
      <w:r>
        <w:rPr>
          <w:rFonts w:hint="default" w:ascii="Times New Roman" w:hAnsi="Times New Roman" w:eastAsia="宋体" w:cs="Times New Roman"/>
          <w:b/>
          <w:color w:val="auto"/>
          <w:sz w:val="24"/>
          <w:szCs w:val="24"/>
          <w:highlight w:val="none"/>
        </w:rPr>
        <w:t>162070100100021071</w:t>
      </w:r>
      <w:r>
        <w:rPr>
          <w:rFonts w:hint="default" w:ascii="Times New Roman" w:hAnsi="Times New Roman" w:eastAsia="宋体" w:cs="Times New Roman"/>
          <w:b/>
          <w:sz w:val="24"/>
          <w:szCs w:val="24"/>
          <w:highlight w:val="none"/>
          <w:lang w:eastAsia="zh-CN"/>
        </w:rPr>
        <w:t xml:space="preserve">               </w:t>
      </w:r>
      <w:r>
        <w:rPr>
          <w:rFonts w:hint="default" w:ascii="Times New Roman" w:hAnsi="Times New Roman" w:eastAsia="宋体"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lang w:eastAsia="zh-CN"/>
        </w:rPr>
        <w:t xml:space="preserve"> 账   号：</w:t>
      </w:r>
    </w:p>
    <w:p>
      <w:pPr>
        <w:pStyle w:val="2"/>
        <w:keepNext w:val="0"/>
        <w:keepLines w:val="0"/>
        <w:pageBreakBefore w:val="0"/>
        <w:kinsoku/>
        <w:wordWrap/>
        <w:overflowPunct/>
        <w:topLinePunct w:val="0"/>
        <w:bidi w:val="0"/>
        <w:spacing w:line="360" w:lineRule="auto"/>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开户行：</w:t>
      </w:r>
      <w:r>
        <w:rPr>
          <w:rFonts w:hint="default" w:ascii="Times New Roman" w:hAnsi="Times New Roman" w:eastAsia="宋体" w:cs="Times New Roman"/>
          <w:b/>
          <w:color w:val="auto"/>
          <w:sz w:val="24"/>
          <w:szCs w:val="24"/>
          <w:highlight w:val="none"/>
          <w:lang w:eastAsia="zh-CN"/>
        </w:rPr>
        <w:t>兴业银行漳州古雷支行</w:t>
      </w:r>
      <w:r>
        <w:rPr>
          <w:rFonts w:hint="default" w:ascii="Times New Roman" w:hAnsi="Times New Roman" w:eastAsia="宋体" w:cs="Times New Roman"/>
          <w:b/>
          <w:sz w:val="24"/>
          <w:szCs w:val="24"/>
          <w:highlight w:val="none"/>
        </w:rPr>
        <w:t xml:space="preserve">  </w:t>
      </w:r>
      <w:r>
        <w:rPr>
          <w:rFonts w:hint="eastAsia" w:ascii="Times New Roman" w:hAnsi="Times New Roman"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rPr>
        <w:t xml:space="preserve">            开户行：</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 xml:space="preserve"> </w:t>
      </w:r>
    </w:p>
    <w:p>
      <w:pPr>
        <w:pStyle w:val="8"/>
        <w:keepNext w:val="0"/>
        <w:keepLines w:val="0"/>
        <w:pageBreakBefore w:val="0"/>
        <w:kinsoku/>
        <w:wordWrap/>
        <w:overflowPunct/>
        <w:topLinePunct w:val="0"/>
        <w:bidi w:val="0"/>
        <w:spacing w:line="360" w:lineRule="auto"/>
        <w:outlineLvl w:val="9"/>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签订日期：</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 xml:space="preserve">年    月    日       </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签订日期： </w:t>
      </w:r>
      <w:r>
        <w:rPr>
          <w:rFonts w:hint="default" w:ascii="Times New Roman" w:hAnsi="Times New Roman" w:eastAsia="宋体" w:cs="Times New Roman"/>
          <w:sz w:val="24"/>
          <w:szCs w:val="24"/>
          <w:highlight w:val="none"/>
          <w:lang w:eastAsia="zh-CN"/>
        </w:rPr>
        <w:t xml:space="preserve">    年    月    日</w:t>
      </w:r>
    </w:p>
    <w:p>
      <w:pPr>
        <w:rPr>
          <w:highlight w:val="none"/>
        </w:rPr>
      </w:pPr>
    </w:p>
    <w:p>
      <w:pPr>
        <w:jc w:val="center"/>
        <w:rPr>
          <w:rFonts w:asciiTheme="minorEastAsia" w:hAnsiTheme="minorEastAsia" w:eastAsiaTheme="minorEastAsia"/>
        </w:rPr>
      </w:pPr>
      <w:r>
        <w:rPr>
          <w:rFonts w:asciiTheme="minorEastAsia" w:hAnsiTheme="minorEastAsia" w:eastAsiaTheme="minorEastAsia"/>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40" w:lineRule="atLeast"/>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w:t>
      </w:r>
      <w:r>
        <w:rPr>
          <w:rFonts w:hint="eastAsia" w:asciiTheme="minorEastAsia" w:hAnsiTheme="minorEastAsia" w:eastAsiaTheme="minorEastAsia"/>
          <w:bCs/>
          <w:sz w:val="24"/>
          <w:szCs w:val="24"/>
          <w:u w:val="single"/>
          <w:lang w:eastAsia="zh-CN"/>
        </w:rPr>
        <w:t>加</w:t>
      </w:r>
      <w:r>
        <w:rPr>
          <w:rFonts w:hint="eastAsia" w:asciiTheme="minorEastAsia" w:hAnsiTheme="minorEastAsia" w:eastAsiaTheme="minorEastAsia"/>
          <w:bCs/>
          <w:sz w:val="24"/>
          <w:szCs w:val="24"/>
          <w:u w:val="single"/>
          <w:lang w:val="en-US" w:eastAsia="zh-CN"/>
        </w:rPr>
        <w:t>芳烃团队</w:t>
      </w:r>
      <w:r>
        <w:rPr>
          <w:rFonts w:hint="eastAsia" w:asciiTheme="minorEastAsia" w:hAnsiTheme="minorEastAsia" w:eastAsiaTheme="minorEastAsia"/>
          <w:bCs/>
          <w:sz w:val="24"/>
          <w:szCs w:val="24"/>
          <w:u w:val="single"/>
          <w:lang w:eastAsia="zh-CN"/>
        </w:rPr>
        <w:t>重整装置催化剂筛</w:t>
      </w:r>
      <w:r>
        <w:rPr>
          <w:rFonts w:hint="eastAsia" w:asciiTheme="minorEastAsia" w:hAnsiTheme="minorEastAsia" w:eastAsiaTheme="minorEastAsia"/>
          <w:bCs/>
          <w:sz w:val="24"/>
          <w:szCs w:val="24"/>
          <w:u w:val="single"/>
          <w:lang w:val="en-US" w:eastAsia="zh-CN"/>
        </w:rPr>
        <w:t>分</w:t>
      </w:r>
      <w:r>
        <w:rPr>
          <w:rFonts w:hint="eastAsia" w:asciiTheme="minorEastAsia" w:hAnsiTheme="minorEastAsia" w:eastAsiaTheme="minorEastAsia"/>
          <w:bCs/>
          <w:sz w:val="24"/>
          <w:szCs w:val="24"/>
          <w:u w:val="single"/>
          <w:lang w:eastAsia="zh-CN"/>
        </w:rPr>
        <w:t>项目（项目编号：FHC-PTCG20220526005</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hint="eastAsia"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pStyle w:val="2"/>
        <w:rPr>
          <w:lang w:eastAsia="zh-CN"/>
        </w:rPr>
      </w:pPr>
    </w:p>
    <w:p>
      <w:pPr>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ind w:firstLine="560" w:firstLineChars="200"/>
        <w:rPr>
          <w:rFonts w:asciiTheme="minorEastAsia" w:hAnsiTheme="minorEastAsia" w:eastAsiaTheme="minorEastAsia"/>
          <w:sz w:val="28"/>
          <w:szCs w:val="28"/>
          <w:lang w:eastAsia="zh-CN"/>
        </w:rPr>
      </w:pPr>
    </w:p>
    <w:p>
      <w:pPr>
        <w:ind w:left="0" w:leftChars="0" w:firstLine="0" w:firstLineChars="0"/>
        <w:rPr>
          <w:rFonts w:hint="eastAsia" w:cs="宋体"/>
          <w:bCs/>
          <w:sz w:val="24"/>
          <w:szCs w:val="24"/>
          <w:u w:val="single"/>
          <w:lang w:eastAsia="zh-CN"/>
        </w:rPr>
      </w:pPr>
      <w:r>
        <w:rPr>
          <w:rFonts w:hint="eastAsia" w:ascii="宋体" w:hAnsi="宋体" w:eastAsia="宋体" w:cs="宋体"/>
          <w:sz w:val="24"/>
          <w:szCs w:val="24"/>
          <w:lang w:eastAsia="zh-CN"/>
        </w:rPr>
        <w:t>项目名称</w:t>
      </w:r>
      <w:r>
        <w:rPr>
          <w:rFonts w:hint="eastAsia" w:asciiTheme="minorEastAsia" w:hAnsiTheme="minorEastAsia" w:eastAsiaTheme="minorEastAsia"/>
          <w:bCs/>
          <w:sz w:val="24"/>
          <w:szCs w:val="24"/>
          <w:u w:val="single"/>
          <w:lang w:eastAsia="zh-CN"/>
        </w:rPr>
        <w:t>： 重整装置催化剂筛</w:t>
      </w:r>
      <w:r>
        <w:rPr>
          <w:rFonts w:hint="eastAsia" w:asciiTheme="minorEastAsia" w:hAnsiTheme="minorEastAsia" w:eastAsiaTheme="minorEastAsia"/>
          <w:bCs/>
          <w:sz w:val="24"/>
          <w:szCs w:val="24"/>
          <w:u w:val="single"/>
          <w:lang w:val="en-US" w:eastAsia="zh-CN"/>
        </w:rPr>
        <w:t>分工程</w:t>
      </w:r>
      <w:r>
        <w:rPr>
          <w:rFonts w:hint="eastAsia" w:asciiTheme="minorEastAsia" w:hAnsiTheme="minorEastAsia" w:eastAsiaTheme="minorEastAsia"/>
          <w:bCs/>
          <w:sz w:val="24"/>
          <w:szCs w:val="24"/>
          <w:u w:val="single"/>
          <w:lang w:eastAsia="zh-CN"/>
        </w:rPr>
        <w:t>（项目编号：</w:t>
      </w:r>
      <w:r>
        <w:rPr>
          <w:rFonts w:hint="eastAsia" w:asciiTheme="minorEastAsia" w:hAnsiTheme="minorEastAsia" w:eastAsiaTheme="minorEastAsia"/>
          <w:bCs/>
          <w:sz w:val="24"/>
          <w:szCs w:val="24"/>
          <w:u w:val="single"/>
          <w:lang w:val="en-US" w:eastAsia="zh-CN"/>
        </w:rPr>
        <w:t>FHC-PTCG20220526005)</w:t>
      </w:r>
    </w:p>
    <w:p>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pStyle w:val="2"/>
        <w:ind w:firstLine="675"/>
        <w:rPr>
          <w:rFonts w:hint="eastAsia" w:ascii="宋体" w:hAnsi="宋体" w:eastAsia="宋体" w:cs="宋体"/>
          <w:b/>
          <w:sz w:val="24"/>
          <w:szCs w:val="24"/>
        </w:rPr>
      </w:pPr>
      <w:r>
        <w:rPr>
          <w:rFonts w:hint="eastAsia" w:ascii="宋体" w:hAnsi="宋体" w:eastAsia="宋体" w:cs="宋体"/>
          <w:sz w:val="24"/>
          <w:szCs w:val="24"/>
        </w:rPr>
        <w:t>具体报价清单：</w:t>
      </w:r>
      <w:r>
        <w:rPr>
          <w:rFonts w:hint="eastAsia" w:ascii="宋体" w:hAnsi="宋体" w:eastAsia="宋体" w:cs="宋体"/>
          <w:b/>
          <w:sz w:val="24"/>
          <w:szCs w:val="24"/>
        </w:rPr>
        <w:tab/>
      </w:r>
    </w:p>
    <w:p>
      <w:pPr>
        <w:pStyle w:val="2"/>
        <w:ind w:firstLine="675"/>
        <w:rPr>
          <w:rFonts w:hint="eastAsia" w:ascii="宋体" w:hAnsi="宋体" w:eastAsia="宋体" w:cs="宋体"/>
          <w:b/>
          <w:sz w:val="24"/>
          <w:szCs w:val="24"/>
        </w:rPr>
      </w:pPr>
    </w:p>
    <w:tbl>
      <w:tblPr>
        <w:tblStyle w:val="12"/>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159"/>
        <w:gridCol w:w="1377"/>
        <w:gridCol w:w="1786"/>
        <w:gridCol w:w="860"/>
        <w:gridCol w:w="941"/>
        <w:gridCol w:w="137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488" w:hRule="atLeast"/>
        </w:trPr>
        <w:tc>
          <w:tcPr>
            <w:tcW w:w="1159" w:type="dxa"/>
            <w:tcBorders>
              <w:top w:val="single" w:color="auto" w:sz="4" w:space="0"/>
              <w:left w:val="single" w:color="auto" w:sz="4"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装置</w:t>
            </w:r>
          </w:p>
        </w:tc>
        <w:tc>
          <w:tcPr>
            <w:tcW w:w="137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hAnsi="宋体" w:eastAsia="仿宋_GB2312"/>
                <w:b/>
                <w:bCs/>
                <w:kern w:val="0"/>
                <w:szCs w:val="21"/>
                <w:highlight w:val="none"/>
              </w:rPr>
              <w:t>催化剂名称</w:t>
            </w:r>
          </w:p>
        </w:tc>
        <w:tc>
          <w:tcPr>
            <w:tcW w:w="1786"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eastAsia="仿宋_GB2312"/>
                <w:b/>
                <w:bCs/>
                <w:kern w:val="0"/>
                <w:szCs w:val="21"/>
                <w:highlight w:val="none"/>
              </w:rPr>
            </w:pPr>
            <w:r>
              <w:rPr>
                <w:rFonts w:hint="eastAsia" w:ascii="仿宋_GB2312" w:eastAsia="仿宋_GB2312"/>
                <w:b/>
                <w:kern w:val="0"/>
                <w:szCs w:val="21"/>
                <w:highlight w:val="none"/>
                <w:lang w:val="en-US" w:eastAsia="zh-CN"/>
              </w:rPr>
              <w:t>技术</w:t>
            </w:r>
            <w:r>
              <w:rPr>
                <w:rFonts w:hint="eastAsia" w:ascii="仿宋_GB2312" w:hAnsi="宋体" w:eastAsia="仿宋_GB2312"/>
                <w:b/>
                <w:kern w:val="0"/>
                <w:szCs w:val="21"/>
                <w:highlight w:val="none"/>
              </w:rPr>
              <w:t>要求</w:t>
            </w:r>
          </w:p>
        </w:tc>
        <w:tc>
          <w:tcPr>
            <w:tcW w:w="860"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_GB2312" w:hAnsi="宋体" w:eastAsia="仿宋_GB2312"/>
                <w:b/>
                <w:bCs/>
                <w:kern w:val="0"/>
                <w:szCs w:val="21"/>
                <w:highlight w:val="none"/>
                <w:lang w:val="en-US" w:eastAsia="zh-CN"/>
              </w:rPr>
            </w:pPr>
            <w:r>
              <w:rPr>
                <w:rFonts w:hint="eastAsia" w:ascii="仿宋_GB2312" w:hAnsi="宋体" w:eastAsia="仿宋_GB2312"/>
                <w:b/>
                <w:bCs/>
                <w:kern w:val="0"/>
                <w:szCs w:val="21"/>
                <w:highlight w:val="none"/>
                <w:lang w:val="en-US" w:eastAsia="zh-CN"/>
              </w:rPr>
              <w:t>计量</w:t>
            </w:r>
          </w:p>
          <w:p>
            <w:pPr>
              <w:widowControl/>
              <w:jc w:val="center"/>
              <w:rPr>
                <w:highlight w:val="none"/>
              </w:rPr>
            </w:pPr>
            <w:r>
              <w:rPr>
                <w:rFonts w:hint="eastAsia" w:ascii="仿宋_GB2312" w:hAnsi="宋体" w:eastAsia="仿宋_GB2312"/>
                <w:b/>
                <w:bCs/>
                <w:kern w:val="0"/>
                <w:szCs w:val="21"/>
                <w:highlight w:val="none"/>
                <w:lang w:val="en-US" w:eastAsia="zh-CN"/>
              </w:rPr>
              <w:t>单位</w:t>
            </w:r>
          </w:p>
        </w:tc>
        <w:tc>
          <w:tcPr>
            <w:tcW w:w="941" w:type="dxa"/>
            <w:tcBorders>
              <w:top w:val="single" w:color="auto" w:sz="4" w:space="0"/>
              <w:left w:val="single" w:color="auto" w:sz="6" w:space="0"/>
              <w:bottom w:val="single" w:color="auto" w:sz="4" w:space="0"/>
              <w:right w:val="single" w:color="auto" w:sz="4" w:space="0"/>
            </w:tcBorders>
            <w:vAlign w:val="center"/>
          </w:tcPr>
          <w:p>
            <w:pPr>
              <w:widowControl/>
              <w:jc w:val="center"/>
              <w:rPr>
                <w:rFonts w:hint="eastAsia" w:ascii="仿宋_GB2312" w:eastAsia="仿宋_GB2312"/>
                <w:b/>
                <w:bCs/>
                <w:kern w:val="0"/>
                <w:szCs w:val="21"/>
                <w:highlight w:val="none"/>
                <w:lang w:val="en-US" w:eastAsia="zh-CN"/>
              </w:rPr>
            </w:pPr>
            <w:r>
              <w:rPr>
                <w:rFonts w:hint="eastAsia" w:ascii="仿宋_GB2312" w:eastAsia="仿宋_GB2312"/>
                <w:b/>
                <w:bCs/>
                <w:kern w:val="0"/>
                <w:szCs w:val="21"/>
                <w:highlight w:val="none"/>
                <w:lang w:val="en-US" w:eastAsia="zh-CN"/>
              </w:rPr>
              <w:t>预估</w:t>
            </w:r>
          </w:p>
          <w:p>
            <w:pPr>
              <w:widowControl/>
              <w:jc w:val="center"/>
              <w:rPr>
                <w:rFonts w:ascii="仿宋_GB2312" w:eastAsia="仿宋_GB2312"/>
                <w:b/>
                <w:kern w:val="0"/>
                <w:szCs w:val="21"/>
                <w:highlight w:val="none"/>
              </w:rPr>
            </w:pPr>
            <w:r>
              <w:rPr>
                <w:rFonts w:hint="eastAsia" w:ascii="仿宋_GB2312" w:hAnsi="宋体" w:eastAsia="仿宋_GB2312"/>
                <w:b/>
                <w:bCs/>
                <w:kern w:val="0"/>
                <w:szCs w:val="21"/>
                <w:highlight w:val="none"/>
              </w:rPr>
              <w:t>数量</w:t>
            </w:r>
          </w:p>
        </w:tc>
        <w:tc>
          <w:tcPr>
            <w:tcW w:w="1377"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b/>
                <w:bCs/>
                <w:kern w:val="0"/>
                <w:szCs w:val="21"/>
                <w:highlight w:val="none"/>
              </w:rPr>
            </w:pPr>
            <w:r>
              <w:rPr>
                <w:rFonts w:hint="eastAsia" w:ascii="宋体" w:hAnsi="宋体" w:eastAsia="宋体" w:cs="宋体"/>
                <w:color w:val="000000"/>
                <w:sz w:val="24"/>
                <w:szCs w:val="24"/>
                <w:lang w:val="en-US" w:eastAsia="zh-CN"/>
              </w:rPr>
              <w:t>包干</w:t>
            </w:r>
            <w:r>
              <w:rPr>
                <w:rFonts w:hint="eastAsia" w:ascii="宋体" w:hAnsi="宋体" w:eastAsia="宋体" w:cs="宋体"/>
                <w:color w:val="000000"/>
                <w:sz w:val="24"/>
                <w:szCs w:val="24"/>
              </w:rPr>
              <w:t>单价</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kern w:val="0"/>
                <w:szCs w:val="21"/>
                <w:highlight w:val="none"/>
              </w:rPr>
            </w:pPr>
            <w:r>
              <w:rPr>
                <w:rFonts w:hint="eastAsia" w:ascii="仿宋_GB2312" w:hAnsi="宋体" w:eastAsia="仿宋_GB2312"/>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683" w:hRule="atLeast"/>
        </w:trPr>
        <w:tc>
          <w:tcPr>
            <w:tcW w:w="1159" w:type="dxa"/>
            <w:tcBorders>
              <w:top w:val="single" w:color="auto" w:sz="4" w:space="0"/>
              <w:left w:val="single" w:color="auto" w:sz="4" w:space="0"/>
              <w:bottom w:val="single" w:color="auto" w:sz="4" w:space="0"/>
              <w:right w:val="single" w:color="auto" w:sz="6" w:space="0"/>
            </w:tcBorders>
            <w:vAlign w:val="center"/>
          </w:tcPr>
          <w:p>
            <w:pPr>
              <w:widowControl/>
              <w:jc w:val="center"/>
              <w:rPr>
                <w:rFonts w:ascii="仿宋_GB2312" w:hAnsi="宋体" w:eastAsia="仿宋_GB2312"/>
                <w:bCs/>
                <w:kern w:val="0"/>
                <w:szCs w:val="21"/>
                <w:highlight w:val="none"/>
              </w:rPr>
            </w:pPr>
            <w:r>
              <w:rPr>
                <w:rFonts w:hint="eastAsia" w:ascii="仿宋_GB2312" w:hAnsi="宋体" w:eastAsia="仿宋_GB2312"/>
                <w:bCs/>
                <w:kern w:val="0"/>
                <w:szCs w:val="21"/>
                <w:highlight w:val="none"/>
              </w:rPr>
              <w:t>连续重整</w:t>
            </w:r>
          </w:p>
        </w:tc>
        <w:tc>
          <w:tcPr>
            <w:tcW w:w="1377"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宋体" w:eastAsia="仿宋_GB2312"/>
                <w:bCs/>
                <w:color w:val="FF0000"/>
                <w:kern w:val="0"/>
                <w:szCs w:val="21"/>
                <w:highlight w:val="none"/>
              </w:rPr>
            </w:pPr>
            <w:r>
              <w:rPr>
                <w:rFonts w:hint="eastAsia" w:ascii="仿宋_GB2312" w:hAnsi="宋体" w:eastAsia="仿宋_GB2312" w:cs="Arial"/>
                <w:bCs/>
                <w:color w:val="000000"/>
                <w:kern w:val="0"/>
                <w:sz w:val="24"/>
                <w:highlight w:val="none"/>
              </w:rPr>
              <w:t>AR701</w:t>
            </w:r>
          </w:p>
        </w:tc>
        <w:tc>
          <w:tcPr>
            <w:tcW w:w="1786"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宋体" w:eastAsia="仿宋_GB2312"/>
                <w:bCs/>
                <w:color w:val="000000"/>
                <w:kern w:val="0"/>
                <w:szCs w:val="21"/>
                <w:highlight w:val="none"/>
              </w:rPr>
            </w:pPr>
            <w:r>
              <w:rPr>
                <w:rFonts w:hint="eastAsia" w:ascii="仿宋_GB2312" w:hAnsi="宋体" w:eastAsia="仿宋_GB2312"/>
                <w:kern w:val="0"/>
                <w:szCs w:val="21"/>
                <w:highlight w:val="none"/>
              </w:rPr>
              <w:t>风车式物理分级</w:t>
            </w:r>
          </w:p>
        </w:tc>
        <w:tc>
          <w:tcPr>
            <w:tcW w:w="860" w:type="dxa"/>
            <w:tcBorders>
              <w:top w:val="single" w:color="auto" w:sz="4" w:space="0"/>
              <w:left w:val="single" w:color="auto" w:sz="6" w:space="0"/>
              <w:bottom w:val="single" w:color="auto" w:sz="4" w:space="0"/>
              <w:right w:val="single" w:color="auto" w:sz="6" w:space="0"/>
            </w:tcBorders>
            <w:vAlign w:val="center"/>
          </w:tcPr>
          <w:p>
            <w:pPr>
              <w:widowControl/>
              <w:jc w:val="center"/>
              <w:rPr>
                <w:highlight w:val="none"/>
              </w:rPr>
            </w:pPr>
            <w:r>
              <w:rPr>
                <w:rFonts w:hint="eastAsia" w:ascii="仿宋_GB2312" w:hAnsi="宋体" w:eastAsia="仿宋_GB2312"/>
                <w:b/>
                <w:bCs/>
                <w:kern w:val="0"/>
                <w:szCs w:val="21"/>
                <w:highlight w:val="none"/>
              </w:rPr>
              <w:t>吨</w:t>
            </w:r>
          </w:p>
        </w:tc>
        <w:tc>
          <w:tcPr>
            <w:tcW w:w="941" w:type="dxa"/>
            <w:tcBorders>
              <w:top w:val="single" w:color="auto" w:sz="4" w:space="0"/>
              <w:left w:val="single" w:color="auto" w:sz="6" w:space="0"/>
              <w:bottom w:val="single" w:color="auto" w:sz="4" w:space="0"/>
              <w:right w:val="single" w:color="auto" w:sz="4" w:space="0"/>
            </w:tcBorders>
            <w:vAlign w:val="center"/>
          </w:tcPr>
          <w:p>
            <w:pPr>
              <w:widowControl/>
              <w:jc w:val="center"/>
              <w:rPr>
                <w:rFonts w:ascii="仿宋_GB2312" w:hAnsi="宋体" w:eastAsia="仿宋_GB2312"/>
                <w:kern w:val="0"/>
                <w:szCs w:val="21"/>
                <w:highlight w:val="none"/>
              </w:rPr>
            </w:pPr>
            <w:r>
              <w:rPr>
                <w:rFonts w:hint="eastAsia" w:ascii="仿宋_GB2312" w:hAnsi="宋体" w:eastAsia="仿宋_GB2312"/>
                <w:bCs/>
                <w:color w:val="000000"/>
                <w:kern w:val="0"/>
                <w:szCs w:val="21"/>
                <w:highlight w:val="none"/>
              </w:rPr>
              <w:t>185</w:t>
            </w:r>
          </w:p>
        </w:tc>
        <w:tc>
          <w:tcPr>
            <w:tcW w:w="1377"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eastAsia="仿宋_GB2312"/>
                <w:bCs/>
                <w:kern w:val="0"/>
                <w:szCs w:val="21"/>
                <w:highlight w:val="none"/>
              </w:rPr>
            </w:pP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kern w:val="0"/>
                <w:szCs w:val="21"/>
                <w:highlight w:val="none"/>
              </w:rPr>
            </w:pPr>
            <w:r>
              <w:rPr>
                <w:rFonts w:hint="eastAsia" w:ascii="仿宋_GB2312" w:hAnsi="宋体" w:eastAsia="仿宋_GB2312"/>
                <w:kern w:val="0"/>
                <w:szCs w:val="21"/>
                <w:highlight w:val="none"/>
              </w:rPr>
              <w:t>现场作业</w:t>
            </w:r>
            <w:r>
              <w:rPr>
                <w:rFonts w:hint="eastAsia" w:ascii="仿宋_GB2312" w:hAnsi="宋体" w:eastAsia="仿宋_GB2312"/>
                <w:kern w:val="0"/>
                <w:szCs w:val="21"/>
                <w:highlight w:val="none"/>
                <w:lang w:eastAsia="zh-CN"/>
              </w:rPr>
              <w:t>，</w:t>
            </w:r>
            <w:r>
              <w:rPr>
                <w:rFonts w:hint="eastAsia" w:ascii="仿宋_GB2312" w:hAnsi="宋体" w:eastAsia="仿宋_GB2312"/>
                <w:kern w:val="0"/>
                <w:szCs w:val="21"/>
                <w:highlight w:val="none"/>
                <w:lang w:val="en-US" w:eastAsia="zh-CN"/>
              </w:rPr>
              <w:t>具体要求详见附件发包说明</w:t>
            </w:r>
            <w:r>
              <w:rPr>
                <w:rFonts w:hint="eastAsia" w:ascii="仿宋_GB2312" w:eastAsia="仿宋_GB2312"/>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683" w:hRule="atLeast"/>
        </w:trPr>
        <w:tc>
          <w:tcPr>
            <w:tcW w:w="979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left="15"/>
              <w:outlineLvl w:val="0"/>
              <w:rPr>
                <w:rFonts w:hint="eastAsia" w:ascii="宋体" w:hAnsi="宋体" w:eastAsia="宋体" w:cs="宋体"/>
                <w:sz w:val="24"/>
                <w:szCs w:val="24"/>
              </w:rPr>
            </w:pPr>
            <w:r>
              <w:rPr>
                <w:rFonts w:hint="eastAsia" w:ascii="宋体" w:hAnsi="宋体" w:eastAsia="宋体" w:cs="宋体"/>
                <w:sz w:val="24"/>
                <w:szCs w:val="24"/>
              </w:rPr>
              <w:t>说明：</w:t>
            </w:r>
          </w:p>
          <w:p>
            <w:pPr>
              <w:widowControl/>
              <w:numPr>
                <w:ilvl w:val="0"/>
                <w:numId w:val="0"/>
              </w:numPr>
              <w:autoSpaceDE/>
              <w:autoSpaceDN/>
              <w:ind w:leftChars="0"/>
              <w:rPr>
                <w:rFonts w:hint="eastAsia" w:ascii="宋体" w:hAnsi="宋体" w:eastAsia="宋体" w:cs="宋体"/>
                <w:sz w:val="24"/>
                <w:szCs w:val="24"/>
                <w:lang w:eastAsia="zh-CN"/>
              </w:rPr>
            </w:pPr>
            <w:r>
              <w:rPr>
                <w:rFonts w:hint="eastAsia" w:cs="宋体"/>
                <w:sz w:val="24"/>
                <w:szCs w:val="24"/>
                <w:lang w:val="en-US" w:eastAsia="zh-CN"/>
              </w:rPr>
              <w:t xml:space="preserve">1. </w:t>
            </w:r>
            <w:r>
              <w:rPr>
                <w:rFonts w:hint="eastAsia" w:ascii="宋体" w:hAnsi="宋体" w:eastAsia="宋体" w:cs="宋体"/>
                <w:sz w:val="24"/>
                <w:szCs w:val="24"/>
                <w:lang w:eastAsia="zh-CN"/>
              </w:rPr>
              <w:t>项目地点：福建省漳州市古雷经济开发区腾龙路84号。</w:t>
            </w:r>
          </w:p>
          <w:p>
            <w:pPr>
              <w:spacing w:line="360" w:lineRule="auto"/>
              <w:rPr>
                <w:sz w:val="24"/>
                <w:szCs w:val="24"/>
                <w:highlight w:val="none"/>
              </w:rPr>
            </w:pPr>
            <w:r>
              <w:rPr>
                <w:rFonts w:hint="eastAsia"/>
                <w:sz w:val="24"/>
                <w:szCs w:val="24"/>
                <w:highlight w:val="none"/>
                <w:lang w:val="en-US" w:eastAsia="zh-CN"/>
              </w:rPr>
              <w:t>2.</w:t>
            </w:r>
            <w:r>
              <w:rPr>
                <w:sz w:val="24"/>
                <w:szCs w:val="24"/>
                <w:highlight w:val="none"/>
              </w:rPr>
              <w:t xml:space="preserve"> </w:t>
            </w:r>
            <w:r>
              <w:rPr>
                <w:rFonts w:hint="eastAsia"/>
                <w:sz w:val="24"/>
                <w:szCs w:val="24"/>
                <w:highlight w:val="none"/>
              </w:rPr>
              <w:t>结算筛分量以实际确认量为准。</w:t>
            </w:r>
          </w:p>
          <w:p>
            <w:pPr>
              <w:jc w:val="both"/>
              <w:rPr>
                <w:rFonts w:hint="eastAsia" w:ascii="仿宋_GB2312" w:hAnsi="宋体" w:eastAsia="仿宋_GB2312"/>
                <w:kern w:val="0"/>
                <w:szCs w:val="21"/>
                <w:highlight w:val="none"/>
              </w:rPr>
            </w:pPr>
            <w:r>
              <w:rPr>
                <w:rFonts w:hint="eastAsia"/>
                <w:sz w:val="24"/>
                <w:szCs w:val="24"/>
                <w:highlight w:val="none"/>
                <w:lang w:val="en-US" w:eastAsia="zh-CN"/>
              </w:rPr>
              <w:t>3.</w:t>
            </w:r>
            <w:r>
              <w:rPr>
                <w:rFonts w:hint="eastAsia"/>
                <w:sz w:val="24"/>
                <w:szCs w:val="24"/>
                <w:highlight w:val="none"/>
              </w:rPr>
              <w:t xml:space="preserve"> 催化剂分级时间是指分级第一桶催化剂至分级完最后一桶催化剂。</w:t>
            </w:r>
          </w:p>
        </w:tc>
      </w:tr>
    </w:tbl>
    <w:p>
      <w:pPr>
        <w:pStyle w:val="2"/>
        <w:ind w:firstLine="675"/>
        <w:rPr>
          <w:rFonts w:hint="eastAsia" w:ascii="宋体" w:hAnsi="宋体" w:eastAsia="宋体" w:cs="宋体"/>
          <w:b/>
          <w:sz w:val="24"/>
          <w:szCs w:val="24"/>
        </w:rPr>
      </w:pPr>
    </w:p>
    <w:p>
      <w:pPr>
        <w:pStyle w:val="2"/>
        <w:ind w:firstLine="675"/>
        <w:rPr>
          <w:rFonts w:hint="eastAsia" w:ascii="宋体" w:hAnsi="宋体" w:eastAsia="宋体" w:cs="宋体"/>
          <w:b/>
          <w:sz w:val="24"/>
          <w:szCs w:val="24"/>
        </w:rPr>
      </w:pPr>
    </w:p>
    <w:p>
      <w:pPr>
        <w:pStyle w:val="2"/>
        <w:ind w:firstLine="675"/>
        <w:rPr>
          <w:rFonts w:hint="eastAsia" w:ascii="宋体" w:hAnsi="宋体" w:eastAsia="宋体" w:cs="宋体"/>
          <w:b/>
          <w:sz w:val="24"/>
          <w:szCs w:val="24"/>
        </w:rPr>
      </w:pPr>
    </w:p>
    <w:p>
      <w:pPr>
        <w:ind w:firstLine="555"/>
        <w:rPr>
          <w:rFonts w:hint="eastAsia" w:asciiTheme="minorEastAsia" w:hAnsiTheme="minorEastAsia" w:eastAsiaTheme="minorEastAsia"/>
          <w:sz w:val="28"/>
          <w:szCs w:val="28"/>
          <w:lang w:eastAsia="zh-CN"/>
        </w:rPr>
      </w:pPr>
    </w:p>
    <w:p>
      <w:pPr>
        <w:ind w:firstLine="555"/>
        <w:rPr>
          <w:rFonts w:hint="eastAsia"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lang w:eastAsia="zh-CN"/>
        </w:rPr>
        <w:t>月</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lang w:eastAsia="zh-CN"/>
        </w:rPr>
        <w:t xml:space="preserve">   日    </w:t>
      </w:r>
    </w:p>
    <w:p>
      <w:pPr>
        <w:pStyle w:val="2"/>
      </w:pPr>
    </w:p>
    <w:p>
      <w:pPr>
        <w:pStyle w:val="2"/>
      </w:pP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imes New Roman" w:hAnsi="Times New Roman" w:eastAsia="宋体" w:cs="Times New Roman"/>
          <w:sz w:val="24"/>
          <w:szCs w:val="24"/>
          <w:highlight w:val="none"/>
          <w:u w:val="single"/>
          <w:lang w:eastAsia="zh-CN"/>
        </w:rPr>
        <w:t>重整装置催化剂筛</w:t>
      </w:r>
      <w:r>
        <w:rPr>
          <w:rFonts w:hint="eastAsia" w:ascii="Times New Roman" w:hAnsi="Times New Roman" w:eastAsia="宋体" w:cs="Times New Roman"/>
          <w:sz w:val="24"/>
          <w:szCs w:val="24"/>
          <w:highlight w:val="none"/>
          <w:u w:val="single"/>
          <w:lang w:val="en-US" w:eastAsia="zh-CN"/>
        </w:rPr>
        <w:t>分工程</w:t>
      </w:r>
      <w:r>
        <w:rPr>
          <w:rFonts w:hint="eastAsia" w:asciiTheme="minorEastAsia" w:hAnsiTheme="minorEastAsia" w:eastAsiaTheme="minorEastAsia"/>
          <w:bCs/>
          <w:sz w:val="24"/>
          <w:szCs w:val="24"/>
          <w:u w:val="single"/>
          <w:lang w:eastAsia="zh-CN"/>
        </w:rPr>
        <w:t>（项目编号：</w:t>
      </w:r>
      <w:r>
        <w:rPr>
          <w:rFonts w:hint="eastAsia" w:ascii="宋体" w:hAnsi="宋体" w:eastAsia="宋体" w:cs="宋体"/>
          <w:i w:val="0"/>
          <w:iCs w:val="0"/>
          <w:sz w:val="24"/>
          <w:szCs w:val="24"/>
          <w:u w:val="single"/>
          <w:lang w:val="en-US" w:eastAsia="zh-CN"/>
        </w:rPr>
        <w:t>FHC-PTCG20220</w:t>
      </w:r>
      <w:r>
        <w:rPr>
          <w:rFonts w:hint="eastAsia" w:cs="宋体"/>
          <w:i w:val="0"/>
          <w:iCs w:val="0"/>
          <w:sz w:val="24"/>
          <w:szCs w:val="24"/>
          <w:u w:val="single"/>
          <w:lang w:val="en-US" w:eastAsia="zh-CN"/>
        </w:rPr>
        <w:t>0526005）</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imes New Roman" w:hAnsi="Times New Roman" w:eastAsia="宋体" w:cs="Times New Roman"/>
          <w:sz w:val="24"/>
          <w:szCs w:val="24"/>
          <w:highlight w:val="none"/>
          <w:u w:val="single"/>
          <w:lang w:eastAsia="zh-CN"/>
        </w:rPr>
        <w:t>重整装置催化剂筛</w:t>
      </w:r>
      <w:r>
        <w:rPr>
          <w:rFonts w:hint="eastAsia" w:ascii="Times New Roman" w:hAnsi="Times New Roman" w:eastAsia="宋体" w:cs="Times New Roman"/>
          <w:sz w:val="24"/>
          <w:szCs w:val="24"/>
          <w:highlight w:val="none"/>
          <w:u w:val="single"/>
          <w:lang w:val="en-US" w:eastAsia="zh-CN"/>
        </w:rPr>
        <w:t>分工程</w:t>
      </w:r>
      <w:r>
        <w:rPr>
          <w:rFonts w:hint="eastAsia" w:asciiTheme="minorEastAsia" w:hAnsiTheme="minorEastAsia" w:eastAsiaTheme="minorEastAsia"/>
          <w:bCs/>
          <w:sz w:val="24"/>
          <w:szCs w:val="24"/>
          <w:u w:val="single"/>
          <w:lang w:eastAsia="zh-CN"/>
        </w:rPr>
        <w:t>（项目编号：</w:t>
      </w:r>
      <w:r>
        <w:rPr>
          <w:rFonts w:hint="eastAsia" w:ascii="宋体" w:hAnsi="宋体" w:eastAsia="宋体" w:cs="宋体"/>
          <w:i w:val="0"/>
          <w:iCs w:val="0"/>
          <w:sz w:val="24"/>
          <w:szCs w:val="24"/>
          <w:u w:val="single"/>
          <w:lang w:val="en-US" w:eastAsia="zh-CN"/>
        </w:rPr>
        <w:t>FHC-PTCG20220</w:t>
      </w:r>
      <w:r>
        <w:rPr>
          <w:rFonts w:hint="eastAsia" w:cs="宋体"/>
          <w:i w:val="0"/>
          <w:iCs w:val="0"/>
          <w:sz w:val="24"/>
          <w:szCs w:val="24"/>
          <w:u w:val="single"/>
          <w:lang w:val="en-US" w:eastAsia="zh-CN"/>
        </w:rPr>
        <w:t>0526005）</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16"/>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E039542"/>
    <w:multiLevelType w:val="singleLevel"/>
    <w:tmpl w:val="1E039542"/>
    <w:lvl w:ilvl="0" w:tentative="0">
      <w:start w:val="3"/>
      <w:numFmt w:val="decimal"/>
      <w:suff w:val="space"/>
      <w:lvlText w:val="%1."/>
      <w:lvlJc w:val="left"/>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26A3ADE"/>
    <w:multiLevelType w:val="singleLevel"/>
    <w:tmpl w:val="626A3ADE"/>
    <w:lvl w:ilvl="0" w:tentative="0">
      <w:start w:val="4"/>
      <w:numFmt w:val="chineseCounting"/>
      <w:suff w:val="nothing"/>
      <w:lvlText w:val="%1、"/>
      <w:lvlJc w:val="left"/>
    </w:lvl>
  </w:abstractNum>
  <w:abstractNum w:abstractNumId="6">
    <w:nsid w:val="62A1943C"/>
    <w:multiLevelType w:val="singleLevel"/>
    <w:tmpl w:val="62A1943C"/>
    <w:lvl w:ilvl="0" w:tentative="0">
      <w:start w:val="14"/>
      <w:numFmt w:val="chineseCounting"/>
      <w:suff w:val="space"/>
      <w:lvlText w:val="第%1条"/>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7"/>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5005"/>
    <w:rsid w:val="03F57DFA"/>
    <w:rsid w:val="073A7FDD"/>
    <w:rsid w:val="0E363241"/>
    <w:rsid w:val="151614D2"/>
    <w:rsid w:val="27C550BD"/>
    <w:rsid w:val="35461788"/>
    <w:rsid w:val="416E6972"/>
    <w:rsid w:val="465C2D8E"/>
    <w:rsid w:val="57B424CF"/>
    <w:rsid w:val="66A805A1"/>
    <w:rsid w:val="6A3C58CB"/>
    <w:rsid w:val="6A3F194D"/>
    <w:rsid w:val="6BB45005"/>
    <w:rsid w:val="6D300287"/>
    <w:rsid w:val="6D865790"/>
    <w:rsid w:val="73B3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uiPriority w:val="0"/>
    <w:rPr>
      <w:sz w:val="24"/>
      <w:szCs w:val="24"/>
    </w:rPr>
  </w:style>
  <w:style w:type="paragraph" w:styleId="7">
    <w:name w:val="Body Text Indent"/>
    <w:basedOn w:val="1"/>
    <w:qFormat/>
    <w:uiPriority w:val="0"/>
    <w:pPr>
      <w:spacing w:after="120"/>
      <w:ind w:left="420" w:leftChars="200"/>
    </w:pPr>
  </w:style>
  <w:style w:type="paragraph" w:styleId="8">
    <w:name w:val="Plain Text"/>
    <w:basedOn w:val="1"/>
    <w:uiPriority w:val="0"/>
    <w:rPr>
      <w:rFonts w:hAnsi="Courier New" w:cs="Courier New"/>
      <w:szCs w:val="21"/>
    </w:rPr>
  </w:style>
  <w:style w:type="paragraph" w:styleId="9">
    <w:name w:val="Normal (Web)"/>
    <w:basedOn w:val="1"/>
    <w:qFormat/>
    <w:uiPriority w:val="0"/>
    <w:pPr>
      <w:widowControl/>
      <w:autoSpaceDE/>
      <w:autoSpaceDN/>
      <w:spacing w:before="100" w:beforeAutospacing="1" w:after="100" w:afterAutospacing="1"/>
    </w:pPr>
    <w:rPr>
      <w:sz w:val="24"/>
      <w:szCs w:val="24"/>
      <w:lang w:eastAsia="zh-CN"/>
    </w:rPr>
  </w:style>
  <w:style w:type="character" w:styleId="11">
    <w:name w:val="Hyperlink"/>
    <w:basedOn w:val="10"/>
    <w:qFormat/>
    <w:uiPriority w:val="0"/>
    <w:rPr>
      <w:color w:val="0000FF"/>
      <w:u w:val="single"/>
    </w:rPr>
  </w:style>
  <w:style w:type="table" w:styleId="13">
    <w:name w:val="Table Grid"/>
    <w:basedOn w:val="1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List Paragraph"/>
    <w:basedOn w:val="1"/>
    <w:qFormat/>
    <w:uiPriority w:val="34"/>
    <w:pPr>
      <w:spacing w:before="206"/>
      <w:ind w:left="959" w:hanging="361"/>
    </w:pPr>
  </w:style>
  <w:style w:type="character" w:customStyle="1" w:styleId="15">
    <w:name w:val="apple-converted-space"/>
    <w:basedOn w:val="10"/>
    <w:qFormat/>
    <w:uiPriority w:val="0"/>
  </w:style>
  <w:style w:type="paragraph" w:customStyle="1" w:styleId="16">
    <w:name w:val="文档正文"/>
    <w:basedOn w:val="1"/>
    <w:qFormat/>
    <w:uiPriority w:val="0"/>
    <w:pPr>
      <w:spacing w:beforeLines="50" w:afterLines="50" w:line="360" w:lineRule="auto"/>
      <w:ind w:firstLine="560" w:firstLineChars="200"/>
    </w:pPr>
    <w:rPr>
      <w:rFonts w:cs="Arial"/>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26</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2022-06-09T01:12:00Z</dcterms:created>
  <dc:creator>mqhuang</dc:creator>
  <cp:lastModifiedBy>mqhuang</cp:lastModifiedBy>
  <dcterms:modified xsi:type="dcterms:W3CDTF">2022-06-10T06:38:52Z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