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spacing w:line="360" w:lineRule="auto"/>
        <w:ind w:firstLine="2168" w:firstLineChars="450"/>
        <w:jc w:val="both"/>
        <w:rPr>
          <w:rFonts w:hint="eastAsia" w:ascii="黑体" w:hAnsi="黑体" w:eastAsia="黑体"/>
          <w:b/>
          <w:sz w:val="48"/>
          <w:szCs w:val="48"/>
          <w:lang w:eastAsia="zh-CN"/>
        </w:rPr>
      </w:pPr>
      <w:r>
        <w:rPr>
          <w:rFonts w:hint="eastAsia" w:ascii="黑体" w:hAnsi="黑体" w:eastAsia="黑体"/>
          <w:b/>
          <w:sz w:val="48"/>
          <w:szCs w:val="48"/>
          <w:lang w:eastAsia="zh-CN"/>
        </w:rPr>
        <w:t>废包装袋销售</w:t>
      </w:r>
      <w:r>
        <w:rPr>
          <w:rFonts w:ascii="黑体" w:hAnsi="黑体" w:eastAsia="黑体"/>
          <w:b/>
          <w:sz w:val="48"/>
          <w:szCs w:val="48"/>
          <w:lang w:eastAsia="zh-CN"/>
        </w:rPr>
        <w:t>处置</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ascii="微软雅黑" w:hAnsi="微软雅黑" w:eastAsia="微软雅黑"/>
          <w:b/>
          <w:color w:val="000000" w:themeColor="text1"/>
          <w:sz w:val="32"/>
          <w:szCs w:val="32"/>
          <w:shd w:val="clear" w:color="auto" w:fill="FFFFFF"/>
        </w:rPr>
        <w:t>FHC-PT</w:t>
      </w:r>
      <w:r>
        <w:rPr>
          <w:rFonts w:hint="eastAsia" w:ascii="微软雅黑" w:hAnsi="微软雅黑" w:eastAsia="微软雅黑"/>
          <w:b/>
          <w:color w:val="000000" w:themeColor="text1"/>
          <w:sz w:val="32"/>
          <w:szCs w:val="32"/>
          <w:shd w:val="clear" w:color="auto" w:fill="FFFFFF"/>
        </w:rPr>
        <w:t>XS</w:t>
      </w:r>
      <w:r>
        <w:rPr>
          <w:rFonts w:ascii="微软雅黑" w:hAnsi="微软雅黑" w:eastAsia="微软雅黑"/>
          <w:b/>
          <w:color w:val="000000" w:themeColor="text1"/>
          <w:sz w:val="32"/>
          <w:szCs w:val="32"/>
          <w:shd w:val="clear" w:color="auto" w:fill="FFFFFF"/>
        </w:rPr>
        <w:t>20220</w:t>
      </w:r>
      <w:r>
        <w:rPr>
          <w:rFonts w:hint="eastAsia" w:ascii="微软雅黑" w:hAnsi="微软雅黑" w:eastAsia="微软雅黑"/>
          <w:b/>
          <w:color w:val="000000" w:themeColor="text1"/>
          <w:sz w:val="32"/>
          <w:szCs w:val="32"/>
          <w:shd w:val="clear" w:color="auto" w:fill="FFFFFF"/>
        </w:rPr>
        <w:t>425001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二〇二二年四月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附件四：废包装袋销售说明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“废包装袋销售</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asciiTheme="minorEastAsia" w:hAnsiTheme="minorEastAsia" w:eastAsiaTheme="minorEastAsia"/>
          <w:color w:val="000000" w:themeColor="text1"/>
          <w:sz w:val="24"/>
          <w:szCs w:val="24"/>
          <w:highlight w:val="yellow"/>
          <w:shd w:val="clear" w:color="auto" w:fill="FFFFFF"/>
          <w:lang w:eastAsia="zh-CN"/>
        </w:rPr>
        <w:t>FHC-PT</w:t>
      </w:r>
      <w:r>
        <w:rPr>
          <w:rFonts w:hint="eastAsia" w:asciiTheme="minorEastAsia" w:hAnsiTheme="minorEastAsia" w:eastAsiaTheme="minorEastAsia"/>
          <w:color w:val="000000" w:themeColor="text1"/>
          <w:sz w:val="24"/>
          <w:szCs w:val="24"/>
          <w:highlight w:val="yellow"/>
          <w:shd w:val="clear" w:color="auto" w:fill="FFFFFF"/>
          <w:lang w:eastAsia="zh-CN"/>
        </w:rPr>
        <w:t>XS</w:t>
      </w:r>
      <w:r>
        <w:rPr>
          <w:rFonts w:asciiTheme="minorEastAsia" w:hAnsiTheme="minorEastAsia" w:eastAsiaTheme="minorEastAsia"/>
          <w:color w:val="000000" w:themeColor="text1"/>
          <w:sz w:val="24"/>
          <w:szCs w:val="24"/>
          <w:highlight w:val="yellow"/>
          <w:shd w:val="clear" w:color="auto" w:fill="FFFFFF"/>
          <w:lang w:eastAsia="zh-CN"/>
        </w:rPr>
        <w:t>20220</w:t>
      </w:r>
      <w:r>
        <w:rPr>
          <w:rFonts w:hint="eastAsia" w:asciiTheme="minorEastAsia" w:hAnsiTheme="minorEastAsia" w:eastAsiaTheme="minorEastAsia"/>
          <w:color w:val="000000" w:themeColor="text1"/>
          <w:sz w:val="24"/>
          <w:szCs w:val="24"/>
          <w:highlight w:val="yellow"/>
          <w:shd w:val="clear" w:color="auto" w:fill="FFFFFF"/>
          <w:lang w:eastAsia="zh-CN"/>
        </w:rPr>
        <w:t>425001”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1.项目名称：废包装袋销售；</w:t>
      </w:r>
    </w:p>
    <w:p>
      <w:pPr>
        <w:pStyle w:val="90"/>
        <w:autoSpaceDE/>
        <w:autoSpaceDN/>
        <w:spacing w:before="0" w:line="360" w:lineRule="auto"/>
        <w:ind w:left="0" w:firstLine="480" w:firstLineChars="200"/>
        <w:jc w:val="both"/>
        <w:rPr>
          <w:sz w:val="24"/>
          <w:lang w:eastAsia="zh-CN"/>
        </w:rPr>
      </w:pPr>
      <w:r>
        <w:rPr>
          <w:rFonts w:hint="eastAsia"/>
          <w:sz w:val="24"/>
          <w:lang w:eastAsia="zh-CN"/>
        </w:rPr>
        <w:t>2.预估数量：</w:t>
      </w:r>
      <w:r>
        <w:rPr>
          <w:rFonts w:hint="eastAsia"/>
          <w:spacing w:val="8"/>
          <w:sz w:val="24"/>
          <w:szCs w:val="24"/>
          <w:lang w:eastAsia="zh-CN"/>
        </w:rPr>
        <w:t>10吨</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pacing w:val="8"/>
          <w:sz w:val="24"/>
          <w:szCs w:val="24"/>
          <w:lang w:eastAsia="zh-CN"/>
        </w:rPr>
        <w:t>自签约之日起30个工作日内清运完毕；</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2"/>
        <w:spacing w:line="360" w:lineRule="auto"/>
        <w:ind w:left="845" w:leftChars="275" w:hanging="240" w:hangingChars="100"/>
        <w:rPr>
          <w:sz w:val="24"/>
          <w:szCs w:val="24"/>
        </w:rPr>
      </w:pPr>
      <w:r>
        <w:rPr>
          <w:rFonts w:hint="eastAsia"/>
          <w:sz w:val="24"/>
          <w:szCs w:val="24"/>
        </w:rPr>
        <w:t>5.参选人具备石油化工企业废旧物资收购二年业绩（提供合同及发票复印件，原件备查）；</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日14:00（共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2.递交截止时间：</w:t>
      </w:r>
      <w:r>
        <w:rPr>
          <w:rFonts w:hint="eastAsia"/>
          <w:color w:val="000000" w:themeColor="text1"/>
        </w:rPr>
        <w:t>参选文件递交截止时间（以送达时间为准）：202</w:t>
      </w:r>
      <w:r>
        <w:rPr>
          <w:color w:val="000000" w:themeColor="text1"/>
        </w:rPr>
        <w:t>2</w:t>
      </w:r>
      <w:r>
        <w:rPr>
          <w:rFonts w:hint="eastAsia"/>
          <w:color w:val="000000" w:themeColor="text1"/>
        </w:rPr>
        <w:t>年</w:t>
      </w:r>
      <w:r>
        <w:rPr>
          <w:rFonts w:hint="eastAsia"/>
          <w:color w:val="auto"/>
          <w:lang w:val="en-US" w:eastAsia="zh-CN"/>
        </w:rPr>
        <w:t>6</w:t>
      </w:r>
      <w:r>
        <w:rPr>
          <w:rFonts w:hint="eastAsia"/>
          <w:color w:val="auto"/>
        </w:rPr>
        <w:t>月</w:t>
      </w:r>
      <w:r>
        <w:rPr>
          <w:rFonts w:hint="eastAsia"/>
          <w:color w:val="auto"/>
          <w:lang w:val="en-US" w:eastAsia="zh-CN"/>
        </w:rPr>
        <w:t>7</w:t>
      </w:r>
      <w:r>
        <w:rPr>
          <w:rFonts w:hint="eastAsia"/>
          <w:color w:val="000000" w:themeColor="text1"/>
        </w:rPr>
        <w:t>日14时00分。</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rPr>
        <w:t>现场联系人：冯顺新  电话：19959614198</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：废包装袋销售。</w:t>
      </w:r>
    </w:p>
    <w:p>
      <w:pPr>
        <w:pStyle w:val="17"/>
        <w:spacing w:line="360" w:lineRule="auto"/>
        <w:ind w:left="363" w:leftChars="165" w:right="121"/>
        <w:jc w:val="both"/>
        <w:rPr>
          <w:rFonts w:asciiTheme="minorEastAsia" w:hAnsiTheme="minorEastAsia" w:eastAsiaTheme="minorEastAsia"/>
          <w:lang w:eastAsia="zh-CN"/>
        </w:rPr>
      </w:pPr>
      <w:r>
        <w:rPr>
          <w:rFonts w:hint="eastAsia"/>
          <w:lang w:eastAsia="zh-CN"/>
        </w:rPr>
        <w:t>2、</w:t>
      </w:r>
      <w:r>
        <w:rPr>
          <w:lang w:eastAsia="zh-CN"/>
        </w:rPr>
        <w:t>发</w:t>
      </w:r>
      <w:r>
        <w:rPr>
          <w:rFonts w:hint="eastAsia"/>
          <w:lang w:eastAsia="zh-CN"/>
        </w:rPr>
        <w:t>包方式：合同期限内销售（数量为预估量，结算以实际过磅重为准）。</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eastAsia="zh-CN"/>
        </w:rPr>
        <w:t>3、项目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eastAsia="zh-CN"/>
        </w:rPr>
        <w:t>5、参选人具备石油化工企业废旧物资收购业绩（提供合同及发票复印件，原件备查）</w:t>
      </w:r>
    </w:p>
    <w:p>
      <w:pPr>
        <w:pStyle w:val="17"/>
        <w:spacing w:line="360" w:lineRule="auto"/>
        <w:ind w:left="484" w:leftChars="220" w:right="121"/>
        <w:jc w:val="both"/>
        <w:rPr>
          <w:rFonts w:hint="eastAsia" w:cs="Times New Roman"/>
          <w:lang w:eastAsia="zh-CN"/>
        </w:rPr>
      </w:pPr>
      <w:r>
        <w:rPr>
          <w:rFonts w:hint="eastAsia" w:cs="Times New Roman"/>
          <w:lang w:val="en-US" w:eastAsia="zh-CN"/>
        </w:rPr>
        <w:t>6、</w:t>
      </w:r>
      <w:r>
        <w:rPr>
          <w:rFonts w:hint="eastAsia" w:cs="Times New Roman"/>
          <w:lang w:eastAsia="zh-CN"/>
        </w:rPr>
        <w:t>投标人必须是法人代表参加，不得以代表人参加投标。投标必须明确各配置人员社医保情况。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Pr>
          <w:rFonts w:hint="eastAsia"/>
          <w:color w:val="000000" w:themeColor="text1"/>
          <w:lang w:val="en-US" w:eastAsia="zh-CN"/>
        </w:rPr>
        <w:t>6</w:t>
      </w:r>
      <w:r>
        <w:rPr>
          <w:rFonts w:hint="eastAsia"/>
          <w:color w:val="000000" w:themeColor="text1"/>
          <w:lang w:eastAsia="zh-CN"/>
        </w:rPr>
        <w:t>月</w:t>
      </w:r>
      <w:r>
        <w:rPr>
          <w:rFonts w:hint="eastAsia"/>
          <w:color w:val="000000" w:themeColor="text1"/>
          <w:lang w:val="en-US" w:eastAsia="zh-CN"/>
        </w:rPr>
        <w:t>7</w:t>
      </w:r>
      <w:r>
        <w:rPr>
          <w:rFonts w:hint="eastAsia"/>
          <w:color w:val="000000" w:themeColor="text1"/>
          <w:lang w:eastAsia="zh-CN"/>
        </w:rPr>
        <w:t>日14时00分前</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firstLine="482" w:firstLineChars="200"/>
        <w:rPr>
          <w:color w:val="auto"/>
          <w:sz w:val="24"/>
        </w:rPr>
      </w:pPr>
      <w:r>
        <w:rPr>
          <w:rFonts w:hint="eastAsia" w:hAnsi="宋体" w:cs="宋体"/>
          <w:b/>
          <w:color w:val="auto"/>
          <w:sz w:val="24"/>
          <w:szCs w:val="24"/>
        </w:rPr>
        <w:t>评选工作小组将对通过资格审查合格参选人的报价进行评选，以暂定总价最高者作为中选单位。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ascii="Times New Roman"/>
          <w:b/>
          <w:bCs/>
          <w:lang w:eastAsia="zh-CN"/>
        </w:rPr>
      </w:pPr>
      <w:r>
        <w:rPr>
          <w:rFonts w:hint="eastAsia" w:ascii="Times New Roman"/>
          <w:b/>
          <w:bCs/>
          <w:lang w:eastAsia="zh-CN"/>
        </w:rPr>
        <w:t>附件一、合同格式书</w:t>
      </w:r>
    </w:p>
    <w:p>
      <w:pPr>
        <w:pStyle w:val="17"/>
        <w:rPr>
          <w:rFonts w:ascii="Times New Roman"/>
          <w:b/>
          <w:bCs/>
          <w:lang w:eastAsia="zh-CN"/>
        </w:rPr>
      </w:pPr>
    </w:p>
    <w:p>
      <w:pPr>
        <w:spacing w:line="480" w:lineRule="exact"/>
        <w:jc w:val="center"/>
        <w:rPr>
          <w:sz w:val="28"/>
          <w:szCs w:val="28"/>
          <w:lang w:eastAsia="zh-CN"/>
        </w:rPr>
      </w:pPr>
      <w:r>
        <w:rPr>
          <w:rFonts w:hint="eastAsia"/>
          <w:sz w:val="28"/>
          <w:szCs w:val="28"/>
          <w:lang w:eastAsia="zh-CN"/>
        </w:rPr>
        <w:t>一般固废物资销售合同</w:t>
      </w:r>
    </w:p>
    <w:tbl>
      <w:tblPr>
        <w:tblStyle w:val="58"/>
        <w:tblW w:w="382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rPr>
              <w:t>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ind w:firstLine="720" w:firstLineChars="300"/>
        <w:rPr>
          <w:lang w:eastAsia="zh-CN"/>
        </w:rPr>
      </w:pPr>
      <w:r>
        <w:rPr>
          <w:rFonts w:hint="eastAsia"/>
          <w:sz w:val="24"/>
          <w:szCs w:val="24"/>
          <w:lang w:eastAsia="zh-CN"/>
        </w:rPr>
        <w:t>翔鹭码头投资管理（漳州）有限公司</w:t>
      </w:r>
      <w:r>
        <w:rPr>
          <w:rFonts w:hint="eastAsia"/>
          <w:lang w:eastAsia="zh-CN"/>
        </w:rPr>
        <w:t xml:space="preserve"> </w:t>
      </w:r>
    </w:p>
    <w:p>
      <w:pPr>
        <w:spacing w:line="480" w:lineRule="exact"/>
        <w:ind w:firstLine="720" w:firstLineChars="300"/>
        <w:rPr>
          <w:sz w:val="24"/>
          <w:szCs w:val="24"/>
          <w:lang w:eastAsia="zh-CN"/>
        </w:rPr>
      </w:pPr>
      <w:r>
        <w:rPr>
          <w:rFonts w:hint="eastAsia"/>
          <w:sz w:val="24"/>
          <w:szCs w:val="24"/>
          <w:lang w:eastAsia="zh-CN"/>
        </w:rPr>
        <w:t xml:space="preserve">腾龙芳烃（漳州）有限公司   </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依照《中华人民共和国民法典》及其他有关法律、法规，遵循平等、自愿、公平和诚实信用原则，双方就</w:t>
      </w:r>
      <w:r>
        <w:rPr>
          <w:rFonts w:hint="eastAsia"/>
          <w:sz w:val="24"/>
          <w:szCs w:val="24"/>
          <w:u w:val="single"/>
          <w:lang w:eastAsia="zh-CN"/>
        </w:rPr>
        <w:t>一般固废物资销售</w:t>
      </w:r>
      <w:r>
        <w:rPr>
          <w:rFonts w:hint="eastAsia"/>
          <w:sz w:val="24"/>
          <w:szCs w:val="24"/>
          <w:lang w:eastAsia="zh-CN"/>
        </w:rPr>
        <w:t>事项，经协商一致，订立本合同。</w:t>
      </w:r>
    </w:p>
    <w:p>
      <w:pPr>
        <w:pStyle w:val="90"/>
        <w:numPr>
          <w:ilvl w:val="0"/>
          <w:numId w:val="3"/>
        </w:numPr>
        <w:spacing w:line="480" w:lineRule="exact"/>
        <w:rPr>
          <w:sz w:val="24"/>
          <w:szCs w:val="24"/>
          <w:lang w:eastAsia="zh-CN"/>
        </w:rPr>
      </w:pPr>
      <w:r>
        <w:rPr>
          <w:rFonts w:hint="eastAsia"/>
          <w:sz w:val="24"/>
          <w:szCs w:val="24"/>
          <w:lang w:eastAsia="zh-CN"/>
        </w:rPr>
        <w:t>废旧物资名称,销售价格：</w:t>
      </w:r>
    </w:p>
    <w:tbl>
      <w:tblPr>
        <w:tblStyle w:val="57"/>
        <w:tblW w:w="9380" w:type="dxa"/>
        <w:tblInd w:w="93" w:type="dxa"/>
        <w:tblLayout w:type="fixed"/>
        <w:tblCellMar>
          <w:top w:w="0" w:type="dxa"/>
          <w:left w:w="108" w:type="dxa"/>
          <w:bottom w:w="0" w:type="dxa"/>
          <w:right w:w="108" w:type="dxa"/>
        </w:tblCellMar>
      </w:tblPr>
      <w:tblGrid>
        <w:gridCol w:w="880"/>
        <w:gridCol w:w="2112"/>
        <w:gridCol w:w="1276"/>
        <w:gridCol w:w="850"/>
        <w:gridCol w:w="1134"/>
        <w:gridCol w:w="1843"/>
        <w:gridCol w:w="1285"/>
      </w:tblGrid>
      <w:tr>
        <w:tblPrEx>
          <w:tblLayout w:type="fixed"/>
          <w:tblCellMar>
            <w:top w:w="0" w:type="dxa"/>
            <w:left w:w="108" w:type="dxa"/>
            <w:bottom w:w="0" w:type="dxa"/>
            <w:right w:w="108" w:type="dxa"/>
          </w:tblCellMar>
        </w:tblPrEx>
        <w:trPr>
          <w:trHeight w:val="42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2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285" w:type="dxa"/>
            <w:tcBorders>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bl>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w:t>
      </w:r>
    </w:p>
    <w:p>
      <w:pPr>
        <w:spacing w:line="480" w:lineRule="exact"/>
        <w:ind w:firstLine="480" w:firstLineChars="200"/>
        <w:rPr>
          <w:sz w:val="24"/>
          <w:szCs w:val="24"/>
          <w:lang w:eastAsia="zh-CN"/>
        </w:rPr>
      </w:pPr>
      <w:r>
        <w:rPr>
          <w:rFonts w:hint="eastAsia"/>
          <w:sz w:val="24"/>
          <w:szCs w:val="24"/>
          <w:lang w:eastAsia="zh-CN"/>
        </w:rPr>
        <w:t>2、合同期限内分批次销售；</w:t>
      </w:r>
    </w:p>
    <w:p>
      <w:pPr>
        <w:spacing w:line="480" w:lineRule="exact"/>
        <w:ind w:firstLine="480" w:firstLineChars="200"/>
        <w:rPr>
          <w:sz w:val="24"/>
          <w:szCs w:val="24"/>
          <w:lang w:eastAsia="zh-CN"/>
        </w:rPr>
      </w:pPr>
      <w:r>
        <w:rPr>
          <w:rFonts w:hint="eastAsia"/>
          <w:sz w:val="24"/>
          <w:szCs w:val="24"/>
          <w:lang w:eastAsia="zh-CN"/>
        </w:rPr>
        <w:t>3、工期：合同签订之日起30个工作日内清运完本合同约定范围内的全部物资。</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eastAsia="zh-CN"/>
        </w:rPr>
        <w:t>1、乙方应在收到中选通知书后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2、乙方提货时如超出预估量数量，</w:t>
      </w:r>
      <w:r>
        <w:rPr>
          <w:sz w:val="24"/>
          <w:szCs w:val="24"/>
          <w:lang w:eastAsia="zh-CN"/>
        </w:rPr>
        <w:t>需先支付超出量的货款方能申请出厂，如清理完毕提货后仍不足预估量</w:t>
      </w:r>
      <w:r>
        <w:rPr>
          <w:rFonts w:hint="eastAsia"/>
          <w:sz w:val="24"/>
          <w:szCs w:val="24"/>
          <w:lang w:eastAsia="zh-CN"/>
        </w:rPr>
        <w:t>数量</w:t>
      </w:r>
      <w:r>
        <w:rPr>
          <w:sz w:val="24"/>
          <w:szCs w:val="24"/>
          <w:lang w:eastAsia="zh-CN"/>
        </w:rPr>
        <w:t>可申请退还多余货款。</w:t>
      </w:r>
    </w:p>
    <w:p>
      <w:pPr>
        <w:spacing w:line="480" w:lineRule="exact"/>
        <w:ind w:firstLine="480" w:firstLineChars="200"/>
        <w:rPr>
          <w:color w:val="FF0000"/>
          <w:sz w:val="24"/>
          <w:szCs w:val="24"/>
          <w:lang w:eastAsia="zh-CN"/>
        </w:rPr>
      </w:pPr>
      <w:r>
        <w:rPr>
          <w:rFonts w:hint="eastAsia"/>
          <w:color w:val="FF0000"/>
          <w:sz w:val="24"/>
          <w:szCs w:val="24"/>
          <w:lang w:eastAsia="zh-CN"/>
        </w:rPr>
        <w:t>3、根据实际销售数量，甲方提供</w:t>
      </w:r>
      <w:r>
        <w:rPr>
          <w:rFonts w:hint="eastAsia" w:ascii="Arial" w:cs="Arial"/>
          <w:color w:val="FF0000"/>
          <w:sz w:val="24"/>
          <w:lang w:eastAsia="zh-CN"/>
        </w:rPr>
        <w:t xml:space="preserve">   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1、乙方按照本合同约定支付货款后，应根据甲方的提货通知及时提取货物（合同签订后30工作日内全部清运）。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 xml:space="preserve">壹仟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1000</w:t>
      </w:r>
      <w:r>
        <w:rPr>
          <w:rFonts w:hint="eastAsia"/>
          <w:sz w:val="24"/>
          <w:szCs w:val="24"/>
          <w:lang w:eastAsia="zh-CN"/>
        </w:rPr>
        <w:t>元），违约金从乙方缴纳的预付货款中扣除；情节特别严重的，如提货不及时造成甲方仓库满溢或乙方多次违约拒不改正等，甲方有权视情况提前解除合同，并没收乙方已经支付的货款。</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三</w:t>
      </w:r>
      <w:r>
        <w:rPr>
          <w:rFonts w:hint="eastAsia"/>
          <w:sz w:val="24"/>
          <w:szCs w:val="24"/>
          <w:lang w:eastAsia="zh-CN"/>
        </w:rPr>
        <w:t>）乙方无故未按约定提货，甲方连续两次联系乙方无结果，甲方有权提前解除本合同，并没收乙方已经支付的货款。</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ind w:firstLine="465"/>
        <w:rPr>
          <w:sz w:val="24"/>
          <w:szCs w:val="24"/>
          <w:lang w:eastAsia="zh-CN"/>
        </w:rPr>
      </w:pPr>
      <w:r>
        <w:rPr>
          <w:rFonts w:hint="eastAsia"/>
          <w:sz w:val="24"/>
          <w:szCs w:val="24"/>
          <w:lang w:eastAsia="zh-CN"/>
        </w:rPr>
        <w:t>1、本合同书；</w:t>
      </w:r>
    </w:p>
    <w:p>
      <w:pPr>
        <w:spacing w:line="480" w:lineRule="exact"/>
        <w:ind w:firstLine="465"/>
        <w:rPr>
          <w:sz w:val="24"/>
          <w:szCs w:val="24"/>
          <w:lang w:eastAsia="zh-CN"/>
        </w:rPr>
      </w:pPr>
      <w:r>
        <w:rPr>
          <w:rFonts w:hint="eastAsia"/>
          <w:sz w:val="24"/>
          <w:szCs w:val="24"/>
          <w:lang w:eastAsia="zh-CN"/>
        </w:rPr>
        <w:t>2、安全环保协议书</w:t>
      </w:r>
    </w:p>
    <w:p>
      <w:pPr>
        <w:spacing w:line="480" w:lineRule="exact"/>
        <w:rPr>
          <w:sz w:val="24"/>
          <w:szCs w:val="24"/>
          <w:lang w:eastAsia="zh-CN"/>
        </w:rPr>
      </w:pPr>
      <w:r>
        <w:rPr>
          <w:rFonts w:hint="eastAsia"/>
          <w:sz w:val="24"/>
          <w:szCs w:val="24"/>
          <w:lang w:eastAsia="zh-CN"/>
        </w:rPr>
        <w:t xml:space="preserve">    3、中标通知书及乙方投标文件；</w:t>
      </w:r>
    </w:p>
    <w:p>
      <w:pPr>
        <w:spacing w:line="480" w:lineRule="exact"/>
        <w:rPr>
          <w:sz w:val="24"/>
          <w:szCs w:val="24"/>
          <w:lang w:eastAsia="zh-CN"/>
        </w:rPr>
      </w:pPr>
      <w:r>
        <w:rPr>
          <w:sz w:val="24"/>
          <w:szCs w:val="24"/>
          <w:lang w:eastAsia="zh-CN"/>
        </w:rPr>
        <w:t xml:space="preserve"> </w:t>
      </w:r>
      <w:r>
        <w:rPr>
          <w:rFonts w:hint="eastAsia"/>
          <w:sz w:val="24"/>
          <w:szCs w:val="24"/>
          <w:lang w:eastAsia="zh-CN"/>
        </w:rPr>
        <w:t>甲方：翔鹭石化（漳州）有限公司</w:t>
      </w:r>
    </w:p>
    <w:p>
      <w:pPr>
        <w:spacing w:line="480" w:lineRule="exact"/>
        <w:ind w:firstLine="720" w:firstLineChars="300"/>
        <w:rPr>
          <w:sz w:val="24"/>
          <w:szCs w:val="24"/>
          <w:lang w:eastAsia="zh-CN"/>
        </w:rPr>
      </w:pPr>
      <w:r>
        <w:rPr>
          <w:rFonts w:hint="eastAsia"/>
          <w:sz w:val="24"/>
          <w:szCs w:val="24"/>
          <w:lang w:eastAsia="zh-CN"/>
        </w:rPr>
        <w:t xml:space="preserve">翔鹭码头投资管理（漳州）有限公司 </w:t>
      </w:r>
    </w:p>
    <w:p>
      <w:pPr>
        <w:spacing w:line="480" w:lineRule="exact"/>
        <w:ind w:firstLine="720" w:firstLineChars="300"/>
        <w:rPr>
          <w:sz w:val="24"/>
          <w:szCs w:val="24"/>
          <w:lang w:eastAsia="zh-CN"/>
        </w:rPr>
      </w:pPr>
      <w:r>
        <w:rPr>
          <w:rFonts w:hint="eastAsia"/>
          <w:sz w:val="24"/>
          <w:szCs w:val="24"/>
          <w:lang w:eastAsia="zh-CN"/>
        </w:rPr>
        <w:t xml:space="preserve">腾龙芳烃（漳州）有限公司            </w:t>
      </w:r>
      <w:r>
        <w:rPr>
          <w:sz w:val="24"/>
          <w:szCs w:val="24"/>
          <w:lang w:eastAsia="zh-CN"/>
        </w:rPr>
        <w:t xml:space="preserve"> </w:t>
      </w:r>
      <w:r>
        <w:rPr>
          <w:rFonts w:hint="eastAsia"/>
          <w:sz w:val="24"/>
          <w:szCs w:val="24"/>
          <w:lang w:eastAsia="zh-CN"/>
        </w:rPr>
        <w:t xml:space="preserve">乙方： </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联系地址： </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 xml:space="preserve">                      </w:t>
      </w:r>
      <w:r>
        <w:rPr>
          <w:sz w:val="24"/>
          <w:lang w:eastAsia="zh-CN"/>
        </w:rPr>
        <w:t xml:space="preserve">  </w:t>
      </w:r>
      <w:r>
        <w:rPr>
          <w:rFonts w:hint="eastAsia"/>
          <w:sz w:val="24"/>
          <w:lang w:eastAsia="zh-CN"/>
        </w:rPr>
        <w:t xml:space="preserve">         开户银行：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 xml:space="preserve">                  </w:t>
      </w:r>
      <w:r>
        <w:rPr>
          <w:sz w:val="24"/>
          <w:lang w:eastAsia="zh-CN"/>
        </w:rPr>
        <w:t xml:space="preserve">              </w:t>
      </w:r>
      <w:r>
        <w:rPr>
          <w:rFonts w:hint="eastAsia"/>
          <w:sz w:val="24"/>
          <w:lang w:eastAsia="zh-CN"/>
        </w:rPr>
        <w:t xml:space="preserve">     账号：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废包装袋销售发包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废包装袋销售</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废包装袋销售</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本项目暂定总价为：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2112"/>
        <w:gridCol w:w="851"/>
        <w:gridCol w:w="708"/>
        <w:gridCol w:w="1418"/>
        <w:gridCol w:w="1559"/>
        <w:gridCol w:w="1852"/>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8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交货时间：合同签订后30工作日内全部清运。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发票：报价为含税价；销售方出具 </w:t>
            </w:r>
            <w:r>
              <w:rPr>
                <w:rFonts w:hint="eastAsia" w:cs="Arial" w:asciiTheme="minorEastAsia" w:hAnsiTheme="minorEastAsia" w:eastAsiaTheme="minorEastAsia"/>
                <w:sz w:val="24"/>
                <w:szCs w:val="24"/>
                <w:lang w:val="en-US" w:eastAsia="zh-CN"/>
              </w:rPr>
              <w:t xml:space="preserve"> </w:t>
            </w:r>
            <w:bookmarkStart w:id="1" w:name="_GoBack"/>
            <w:bookmarkEnd w:id="1"/>
            <w:r>
              <w:rPr>
                <w:rFonts w:hint="eastAsia" w:cs="Arial" w:asciiTheme="minorEastAsia" w:hAnsiTheme="minorEastAsia" w:eastAsiaTheme="minorEastAsia"/>
                <w:sz w:val="24"/>
                <w:szCs w:val="24"/>
                <w:lang w:eastAsia="zh-CN"/>
              </w:rPr>
              <w:t>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付款条件：收到中标通知后，3天内预付报价总价100%货款，结款以实际重量多退少补。重量依据（销售方过磅室过磅单为准）</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4B10B1"/>
    <w:multiLevelType w:val="multilevel"/>
    <w:tmpl w:val="714B10B1"/>
    <w:lvl w:ilvl="0" w:tentative="0">
      <w:start w:val="1"/>
      <w:numFmt w:val="japaneseCounting"/>
      <w:lvlText w:val="%1、"/>
      <w:lvlJc w:val="left"/>
      <w:pPr>
        <w:ind w:left="963" w:hanging="48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377544F"/>
    <w:rsid w:val="05872243"/>
    <w:rsid w:val="09976431"/>
    <w:rsid w:val="0AB0031F"/>
    <w:rsid w:val="0D807E63"/>
    <w:rsid w:val="0DB539BD"/>
    <w:rsid w:val="11444B30"/>
    <w:rsid w:val="13277FC2"/>
    <w:rsid w:val="15644BD9"/>
    <w:rsid w:val="17FF534C"/>
    <w:rsid w:val="1D9A588C"/>
    <w:rsid w:val="211E52E5"/>
    <w:rsid w:val="21982EC2"/>
    <w:rsid w:val="256C102C"/>
    <w:rsid w:val="294D0126"/>
    <w:rsid w:val="2B5B06BF"/>
    <w:rsid w:val="2B7A381A"/>
    <w:rsid w:val="2C6D7039"/>
    <w:rsid w:val="2D1F37E0"/>
    <w:rsid w:val="2F1472D4"/>
    <w:rsid w:val="2F7119A7"/>
    <w:rsid w:val="33937241"/>
    <w:rsid w:val="35332B89"/>
    <w:rsid w:val="364A3B8B"/>
    <w:rsid w:val="36501712"/>
    <w:rsid w:val="36D760B5"/>
    <w:rsid w:val="3AA82CA6"/>
    <w:rsid w:val="3C2D6D57"/>
    <w:rsid w:val="4426585F"/>
    <w:rsid w:val="475D0154"/>
    <w:rsid w:val="49161E6C"/>
    <w:rsid w:val="4BB95558"/>
    <w:rsid w:val="51D50390"/>
    <w:rsid w:val="547B4BEE"/>
    <w:rsid w:val="5873407A"/>
    <w:rsid w:val="58B75AF0"/>
    <w:rsid w:val="5C417AEF"/>
    <w:rsid w:val="6CAF4C0A"/>
    <w:rsid w:val="6D4F4F4E"/>
    <w:rsid w:val="70F63F84"/>
    <w:rsid w:val="71376EE4"/>
    <w:rsid w:val="754810F4"/>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uiPriority w:val="0"/>
    <w:pPr>
      <w:autoSpaceDE/>
      <w:autoSpaceDN/>
      <w:jc w:val="both"/>
    </w:pPr>
    <w:rPr>
      <w:rFonts w:cs="Times New Roman"/>
      <w:b/>
      <w:bCs/>
      <w:kern w:val="2"/>
      <w:sz w:val="28"/>
      <w:szCs w:val="20"/>
      <w:lang w:eastAsia="zh-CN"/>
    </w:rPr>
  </w:style>
  <w:style w:type="paragraph" w:customStyle="1" w:styleId="180">
    <w:name w:val="标题2(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outlineLvl w:val="3"/>
    </w:pPr>
  </w:style>
  <w:style w:type="paragraph" w:customStyle="1" w:styleId="189">
    <w:name w:val="大纲5"/>
    <w:basedOn w:val="188"/>
    <w:uiPriority w:val="0"/>
    <w:pPr>
      <w:tabs>
        <w:tab w:val="left" w:pos="360"/>
      </w:tabs>
      <w:outlineLvl w:val="4"/>
    </w:pPr>
    <w:rPr>
      <w:b w:val="0"/>
      <w:szCs w:val="36"/>
    </w:rPr>
  </w:style>
  <w:style w:type="paragraph" w:customStyle="1" w:styleId="190">
    <w:name w:val="大纲6"/>
    <w:basedOn w:val="189"/>
    <w:uiPriority w:val="0"/>
    <w:pPr>
      <w:outlineLvl w:val="5"/>
    </w:pPr>
    <w:rPr>
      <w:rFonts w:ascii="宋体"/>
      <w:szCs w:val="24"/>
    </w:rPr>
  </w:style>
  <w:style w:type="paragraph" w:customStyle="1" w:styleId="191">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6">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1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uiPriority w:val="0"/>
  </w:style>
  <w:style w:type="character" w:customStyle="1" w:styleId="208">
    <w:name w:val="xdrichtextbox3"/>
    <w:basedOn w:val="46"/>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44</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2022-05-24T01:15:15Z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