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rFonts w:hint="default" w:eastAsia="宋体"/>
          <w:color w:val="auto"/>
          <w:szCs w:val="21"/>
          <w:lang w:val="en-US" w:eastAsia="zh-CN"/>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盐酸</w:t>
      </w:r>
    </w:p>
    <w:p>
      <w:pPr>
        <w:widowControl/>
        <w:shd w:val="clear" w:color="auto" w:fill="FFFFFF"/>
        <w:jc w:val="center"/>
        <w:rPr>
          <w:rFonts w:hint="default" w:eastAsia="宋体"/>
          <w:color w:val="auto"/>
          <w:sz w:val="36"/>
          <w:szCs w:val="36"/>
          <w:lang w:val="en-US" w:eastAsia="zh-CN"/>
        </w:rPr>
      </w:pPr>
      <w:r>
        <w:rPr>
          <w:color w:val="auto"/>
          <w:kern w:val="0"/>
          <w:sz w:val="52"/>
          <w:szCs w:val="52"/>
          <w:shd w:val="clear" w:color="auto" w:fill="FFFFFF"/>
        </w:rPr>
        <w:t> </w:t>
      </w: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FHC</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盐酸</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0517</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right"/>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腾龙芳烃(漳州)有限公司/翔鹭石化(漳州)有限公司</w:t>
      </w:r>
    </w:p>
    <w:p>
      <w:pPr>
        <w:widowControl/>
        <w:shd w:val="clear" w:color="auto" w:fill="FFFFFF"/>
        <w:jc w:val="right"/>
        <w:rPr>
          <w:color w:val="auto"/>
          <w:szCs w:val="21"/>
        </w:rPr>
      </w:pPr>
      <w:r>
        <w:rPr>
          <w:color w:val="auto"/>
          <w:kern w:val="0"/>
          <w:sz w:val="28"/>
          <w:szCs w:val="28"/>
          <w:shd w:val="clear" w:color="auto" w:fill="FFFFFF"/>
        </w:rPr>
        <w:t> </w:t>
      </w:r>
    </w:p>
    <w:p>
      <w:pPr>
        <w:widowControl/>
        <w:shd w:val="clear" w:color="auto" w:fill="FFFFFF"/>
        <w:ind w:right="560"/>
        <w:jc w:val="right"/>
        <w:rPr>
          <w:rFonts w:hint="eastAsia" w:eastAsiaTheme="minorEastAsia"/>
          <w:color w:val="auto"/>
          <w:szCs w:val="21"/>
          <w:lang w:eastAsia="zh-CN"/>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w:t>
      </w:r>
      <w:r>
        <w:rPr>
          <w:rFonts w:hint="eastAsia" w:asciiTheme="minorEastAsia" w:hAnsiTheme="minorEastAsia" w:eastAsiaTheme="minorEastAsia" w:cstheme="minorEastAsia"/>
          <w:color w:val="auto"/>
          <w:kern w:val="0"/>
          <w:sz w:val="28"/>
          <w:szCs w:val="28"/>
          <w:shd w:val="clear" w:color="auto" w:fill="FFFFFF"/>
          <w:lang w:eastAsia="zh-CN"/>
        </w:rPr>
        <w:t>022年05月17日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spacing w:line="336" w:lineRule="auto"/>
        <w:jc w:val="center"/>
        <w:rPr>
          <w:bCs/>
          <w:color w:val="auto"/>
          <w:szCs w:val="21"/>
        </w:rPr>
      </w:pPr>
      <w:r>
        <w:rPr>
          <w:rFonts w:hint="eastAsia" w:ascii="宋体" w:hAnsi="宋体" w:cs="宋体"/>
          <w:b/>
          <w:bCs/>
          <w:color w:val="auto"/>
          <w:sz w:val="32"/>
          <w:szCs w:val="32"/>
          <w:lang w:val="en-US" w:eastAsia="zh-CN"/>
        </w:rPr>
        <w:t>腾龙芳烃(漳州)有限公司/翔鹭石化(漳州)有限公司</w:t>
      </w:r>
      <w:r>
        <w:rPr>
          <w:rFonts w:hint="eastAsia"/>
          <w:b/>
          <w:bCs/>
          <w:color w:val="auto"/>
          <w:sz w:val="32"/>
          <w:lang w:val="en-US" w:eastAsia="zh-CN"/>
        </w:rPr>
        <w:t>盐酸</w:t>
      </w:r>
      <w:r>
        <w:rPr>
          <w:b/>
          <w:bCs/>
          <w:color w:val="auto"/>
          <w:sz w:val="32"/>
        </w:rPr>
        <w:t>采购</w:t>
      </w:r>
      <w:r>
        <w:rPr>
          <w:rFonts w:hint="eastAsia"/>
          <w:b/>
          <w:bCs/>
          <w:color w:val="auto"/>
          <w:sz w:val="32"/>
        </w:rPr>
        <w:t>比选公告</w:t>
      </w:r>
    </w:p>
    <w:p>
      <w:pPr>
        <w:spacing w:before="100" w:beforeAutospacing="1" w:after="100" w:afterAutospacing="1" w:line="336" w:lineRule="auto"/>
        <w:ind w:firstLine="600" w:firstLineChars="250"/>
        <w:rPr>
          <w:rFonts w:asciiTheme="minorEastAsia" w:hAnsiTheme="minorEastAsia" w:eastAsiaTheme="minorEastAsia"/>
          <w:bCs/>
          <w:color w:val="auto"/>
          <w:sz w:val="24"/>
        </w:rPr>
      </w:pPr>
      <w:r>
        <w:rPr>
          <w:rFonts w:hint="eastAsia" w:ascii="宋体" w:hAnsi="宋体" w:cs="宋体"/>
          <w:color w:val="auto"/>
          <w:sz w:val="24"/>
          <w:szCs w:val="24"/>
          <w:lang w:val="en-US" w:eastAsia="zh-CN"/>
        </w:rPr>
        <w:t>腾龙芳烃(漳州)有限公司/翔鹭石化(漳州)有限公司</w:t>
      </w:r>
      <w:r>
        <w:rPr>
          <w:rFonts w:hint="eastAsia" w:ascii="宋体" w:hAnsi="宋体" w:eastAsia="宋体" w:cs="宋体"/>
          <w:bCs/>
          <w:color w:val="auto"/>
          <w:sz w:val="24"/>
          <w:szCs w:val="24"/>
        </w:rPr>
        <w:t>就</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盐酸</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rPr>
        <w:t>项目编号：</w:t>
      </w:r>
      <w:r>
        <w:rPr>
          <w:rFonts w:hint="eastAsia" w:ascii="宋体" w:hAnsi="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2</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FHC</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盐酸</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0517</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项目名称：</w:t>
      </w:r>
      <w:r>
        <w:rPr>
          <w:rFonts w:hint="eastAsia" w:ascii="宋体" w:hAnsi="宋体" w:cs="宋体" w:eastAsiaTheme="minorEastAsia"/>
          <w:color w:val="auto"/>
          <w:sz w:val="24"/>
          <w:lang w:val="en-US" w:eastAsia="zh-CN"/>
        </w:rPr>
        <w:t>盐酸</w:t>
      </w:r>
      <w:r>
        <w:rPr>
          <w:rFonts w:hint="eastAsia" w:ascii="宋体" w:hAnsi="宋体" w:cs="宋体"/>
          <w:color w:val="auto"/>
          <w:sz w:val="24"/>
          <w:lang w:val="en-US" w:eastAsia="zh-CN"/>
        </w:rPr>
        <w:t>。</w:t>
      </w:r>
    </w:p>
    <w:p>
      <w:pPr>
        <w:pStyle w:val="11"/>
        <w:numPr>
          <w:ilvl w:val="0"/>
          <w:numId w:val="2"/>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盐酸</w:t>
      </w:r>
      <w:r>
        <w:rPr>
          <w:rFonts w:hint="eastAsia" w:asciiTheme="minorEastAsia" w:hAnsiTheme="minorEastAsia" w:eastAsiaTheme="minorEastAsia"/>
          <w:bCs/>
          <w:color w:val="auto"/>
          <w:sz w:val="24"/>
        </w:rPr>
        <w:t>采购数量、质量、货期等要求详见比选文件。</w:t>
      </w:r>
    </w:p>
    <w:p>
      <w:pPr>
        <w:pStyle w:val="11"/>
        <w:numPr>
          <w:ilvl w:val="0"/>
          <w:numId w:val="1"/>
        </w:numPr>
        <w:spacing w:before="100" w:beforeAutospacing="1" w:after="100" w:afterAutospacing="1" w:line="336"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lang w:val="en-US" w:eastAsia="zh-CN"/>
        </w:rPr>
        <w:t>及相关经营资质（</w:t>
      </w:r>
      <w:r>
        <w:rPr>
          <w:rFonts w:hint="eastAsia" w:asciiTheme="minorEastAsia" w:hAnsiTheme="minorEastAsia" w:eastAsiaTheme="minorEastAsia"/>
          <w:bCs/>
          <w:color w:val="auto"/>
          <w:sz w:val="24"/>
        </w:rPr>
        <w:t>年经营量不低于1万吨</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rPr>
        <w:t>。</w:t>
      </w:r>
      <w:bookmarkStart w:id="2" w:name="_GoBack"/>
      <w:bookmarkEnd w:id="2"/>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1"/>
        <w:numPr>
          <w:ilvl w:val="0"/>
          <w:numId w:val="3"/>
        </w:numPr>
        <w:spacing w:before="100" w:beforeAutospacing="1" w:after="100" w:afterAutospacing="1" w:line="336" w:lineRule="auto"/>
        <w:ind w:hanging="361"/>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与比选人无诉讼纠纷。</w:t>
      </w:r>
    </w:p>
    <w:p>
      <w:pPr>
        <w:pStyle w:val="11"/>
        <w:numPr>
          <w:ilvl w:val="0"/>
          <w:numId w:val="3"/>
        </w:numPr>
        <w:spacing w:before="100" w:beforeAutospacing="1" w:after="100" w:afterAutospacing="1"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叁万元整</w:t>
      </w:r>
      <w:r>
        <w:rPr>
          <w:rFonts w:hint="eastAsia" w:asciiTheme="minorEastAsia" w:hAnsiTheme="minorEastAsia" w:eastAsiaTheme="minorEastAsia"/>
          <w:bCs/>
          <w:color w:val="auto"/>
          <w:sz w:val="24"/>
        </w:rPr>
        <w:t>。</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三、</w:t>
      </w:r>
      <w:r>
        <w:rPr>
          <w:rFonts w:hint="eastAsia" w:asciiTheme="minorEastAsia" w:hAnsiTheme="minorEastAsia" w:eastAsiaTheme="minorEastAsia"/>
          <w:b/>
          <w:bCs/>
          <w:color w:val="auto"/>
          <w:sz w:val="24"/>
        </w:rPr>
        <w:t>获取比选文件</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w:t>
      </w:r>
      <w:r>
        <w:rPr>
          <w:rFonts w:hint="eastAsia" w:asciiTheme="majorEastAsia" w:hAnsiTheme="majorEastAsia" w:eastAsiaTheme="majorEastAsia"/>
          <w:color w:val="auto"/>
          <w:sz w:val="24"/>
          <w:lang w:val="en-US" w:eastAsia="zh-CN"/>
        </w:rPr>
        <w:t>05</w:t>
      </w:r>
      <w:r>
        <w:rPr>
          <w:rFonts w:hint="eastAsia" w:asciiTheme="majorEastAsia" w:hAnsiTheme="majorEastAsia" w:eastAsiaTheme="majorEastAsia"/>
          <w:color w:val="auto"/>
          <w:sz w:val="24"/>
        </w:rPr>
        <w:t>月</w:t>
      </w:r>
      <w:r>
        <w:rPr>
          <w:rFonts w:hint="eastAsia" w:asciiTheme="majorEastAsia" w:hAnsiTheme="majorEastAsia" w:eastAsiaTheme="majorEastAsia"/>
          <w:color w:val="auto"/>
          <w:sz w:val="24"/>
          <w:lang w:val="en-US" w:eastAsia="zh-CN"/>
        </w:rPr>
        <w:t>29</w:t>
      </w:r>
      <w:r>
        <w:rPr>
          <w:rFonts w:hint="eastAsia" w:asciiTheme="majorEastAsia" w:hAnsiTheme="majorEastAsia" w:eastAsiaTheme="majorEastAsia"/>
          <w:color w:val="auto"/>
          <w:sz w:val="24"/>
        </w:rPr>
        <w:t>日（含当日）</w:t>
      </w:r>
    </w:p>
    <w:p>
      <w:pPr>
        <w:pStyle w:val="11"/>
        <w:numPr>
          <w:ilvl w:val="255"/>
          <w:numId w:val="0"/>
        </w:numPr>
        <w:spacing w:before="0" w:line="336" w:lineRule="auto"/>
        <w:ind w:left="832"/>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（2）</w:t>
      </w:r>
      <w:r>
        <w:rPr>
          <w:rFonts w:hint="eastAsia" w:asciiTheme="minorEastAsia" w:hAnsiTheme="minorEastAsia" w:eastAsiaTheme="minorEastAsia"/>
          <w:bCs/>
          <w:color w:val="auto"/>
          <w:sz w:val="24"/>
        </w:rPr>
        <w:t>证件：</w:t>
      </w:r>
      <w:r>
        <w:rPr>
          <w:rFonts w:asciiTheme="minorEastAsia" w:hAnsiTheme="minorEastAsia" w:eastAsiaTheme="minorEastAsia"/>
          <w:bCs/>
          <w:color w:val="auto"/>
          <w:sz w:val="24"/>
        </w:rPr>
        <w:t>营业执照</w:t>
      </w:r>
      <w:r>
        <w:rPr>
          <w:rFonts w:hint="eastAsia" w:asciiTheme="minorEastAsia" w:hAnsiTheme="minorEastAsia" w:eastAsiaTheme="minorEastAsia"/>
          <w:bCs/>
          <w:color w:val="auto"/>
          <w:sz w:val="24"/>
        </w:rPr>
        <w:t>、开户许可证</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包含盐酸的易制毒经营许可证及盐酸的业绩</w:t>
      </w:r>
      <w:r>
        <w:rPr>
          <w:rFonts w:hint="eastAsia" w:asciiTheme="minorEastAsia" w:hAnsiTheme="minorEastAsia" w:eastAsiaTheme="minorEastAsia"/>
          <w:bCs/>
          <w:color w:val="auto"/>
          <w:sz w:val="24"/>
        </w:rPr>
        <w:t>等证件</w:t>
      </w:r>
      <w:r>
        <w:rPr>
          <w:rFonts w:asciiTheme="minorEastAsia" w:hAnsiTheme="minorEastAsia" w:eastAsiaTheme="minorEastAsia"/>
          <w:bCs/>
          <w:color w:val="auto"/>
          <w:sz w:val="24"/>
        </w:rPr>
        <w:t>（加盖单位公章的复印件）</w:t>
      </w:r>
      <w:r>
        <w:rPr>
          <w:rFonts w:hint="eastAsia" w:asciiTheme="minorEastAsia" w:hAnsiTheme="minorEastAsia" w:eastAsiaTheme="minorEastAsia"/>
          <w:bCs/>
          <w:color w:val="auto"/>
          <w:sz w:val="24"/>
        </w:rPr>
        <w:t>；</w:t>
      </w:r>
    </w:p>
    <w:p>
      <w:pPr>
        <w:pStyle w:val="11"/>
        <w:spacing w:before="0" w:line="336" w:lineRule="auto"/>
        <w:ind w:left="832" w:firstLine="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3</w:t>
      </w:r>
      <w:r>
        <w:rPr>
          <w:rFonts w:hint="eastAsia" w:asciiTheme="minorEastAsia" w:hAnsiTheme="minorEastAsia" w:eastAsiaTheme="minorEastAsia"/>
          <w:bCs/>
          <w:color w:val="auto"/>
          <w:sz w:val="24"/>
        </w:rPr>
        <w:t>）保证金汇款银行水单：投标单位需缴纳投标保证金：</w:t>
      </w:r>
      <w:r>
        <w:rPr>
          <w:rFonts w:hint="eastAsia" w:asciiTheme="minorEastAsia" w:hAnsiTheme="minorEastAsia" w:eastAsiaTheme="minorEastAsia"/>
          <w:bCs/>
          <w:color w:val="auto"/>
          <w:sz w:val="24"/>
          <w:lang w:val="en-US" w:eastAsia="zh-CN"/>
        </w:rPr>
        <w:t>叁万元整</w:t>
      </w:r>
      <w:r>
        <w:rPr>
          <w:rFonts w:hint="eastAsia" w:asciiTheme="minorEastAsia" w:hAnsiTheme="minorEastAsia" w:eastAsiaTheme="minorEastAsia"/>
          <w:bCs/>
          <w:color w:val="auto"/>
          <w:sz w:val="24"/>
        </w:rPr>
        <w:t>，如中选、该保证金转为履约保证金，如不中选，在比选结束后请联系商务联系人办理无息等额退款。</w:t>
      </w:r>
    </w:p>
    <w:p>
      <w:pPr>
        <w:ind w:firstLine="1200" w:firstLineChars="500"/>
        <w:jc w:val="both"/>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统一汇款至以下公司账号）</w:t>
      </w:r>
      <w:r>
        <w:rPr>
          <w:rFonts w:hint="eastAsia" w:asciiTheme="minorEastAsia" w:hAnsiTheme="minorEastAsia" w:eastAsiaTheme="minorEastAsia"/>
          <w:bCs/>
          <w:color w:val="auto"/>
          <w:sz w:val="24"/>
        </w:rPr>
        <w:t>：</w:t>
      </w:r>
    </w:p>
    <w:p>
      <w:pPr>
        <w:keepNext w:val="0"/>
        <w:keepLines w:val="0"/>
        <w:pageBreakBefore w:val="0"/>
        <w:widowControl w:val="0"/>
        <w:kinsoku/>
        <w:wordWrap/>
        <w:overflowPunct/>
        <w:topLinePunct w:val="0"/>
        <w:autoSpaceDE/>
        <w:autoSpaceDN/>
        <w:bidi w:val="0"/>
        <w:adjustRightInd/>
        <w:snapToGrid/>
        <w:spacing w:line="336" w:lineRule="auto"/>
        <w:ind w:firstLine="1200" w:firstLineChars="5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w:t>
      </w:r>
      <w:r>
        <w:rPr>
          <w:rFonts w:hint="eastAsia" w:ascii="宋体" w:hAnsi="宋体" w:cs="宋体"/>
          <w:color w:val="auto"/>
          <w:sz w:val="24"/>
          <w:szCs w:val="24"/>
          <w:lang w:val="en-US" w:eastAsia="zh-CN"/>
        </w:rPr>
        <w:t>腾龙芳烃(漳州)有限公司</w:t>
      </w:r>
    </w:p>
    <w:p>
      <w:pPr>
        <w:pStyle w:val="11"/>
        <w:keepNext w:val="0"/>
        <w:keepLines w:val="0"/>
        <w:pageBreakBefore w:val="0"/>
        <w:widowControl w:val="0"/>
        <w:kinsoku/>
        <w:wordWrap/>
        <w:overflowPunct/>
        <w:topLinePunct w:val="0"/>
        <w:autoSpaceDE/>
        <w:autoSpaceDN/>
        <w:bidi w:val="0"/>
        <w:adjustRightInd/>
        <w:snapToGrid/>
        <w:spacing w:line="336" w:lineRule="auto"/>
        <w:ind w:left="0" w:firstLine="1200" w:firstLineChars="500"/>
        <w:textAlignment w:val="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开户银行：兴业银行漳州古雷支行</w:t>
      </w:r>
    </w:p>
    <w:p>
      <w:pPr>
        <w:pStyle w:val="11"/>
        <w:keepNext w:val="0"/>
        <w:keepLines w:val="0"/>
        <w:pageBreakBefore w:val="0"/>
        <w:widowControl w:val="0"/>
        <w:kinsoku/>
        <w:wordWrap/>
        <w:overflowPunct/>
        <w:topLinePunct w:val="0"/>
        <w:autoSpaceDE/>
        <w:autoSpaceDN/>
        <w:bidi w:val="0"/>
        <w:adjustRightInd/>
        <w:snapToGrid/>
        <w:spacing w:line="336" w:lineRule="auto"/>
        <w:ind w:left="958" w:leftChars="456" w:firstLine="307" w:firstLineChars="128"/>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rPr>
        <w:t>账    号：1620701001000</w:t>
      </w:r>
      <w:r>
        <w:rPr>
          <w:rFonts w:hint="eastAsia" w:asciiTheme="minorEastAsia" w:hAnsiTheme="minorEastAsia" w:eastAsiaTheme="minorEastAsia"/>
          <w:bCs/>
          <w:color w:val="auto"/>
          <w:sz w:val="24"/>
          <w:lang w:val="en-US" w:eastAsia="zh-CN"/>
        </w:rPr>
        <w:t>21071</w:t>
      </w:r>
    </w:p>
    <w:p>
      <w:pPr>
        <w:pStyle w:val="11"/>
        <w:numPr>
          <w:ilvl w:val="0"/>
          <w:numId w:val="4"/>
        </w:numPr>
        <w:spacing w:before="0" w:line="336"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spacing w:line="336" w:lineRule="auto"/>
        <w:ind w:firstLine="472" w:firstLineChars="196"/>
        <w:rPr>
          <w:rFonts w:asciiTheme="minorEastAsia" w:hAnsiTheme="minorEastAsia" w:eastAsiaTheme="minorEastAsia"/>
          <w:b/>
          <w:bCs/>
          <w:color w:val="auto"/>
          <w:sz w:val="24"/>
        </w:rPr>
      </w:pPr>
      <w:r>
        <w:rPr>
          <w:rFonts w:hint="eastAsia"/>
          <w:b/>
          <w:bCs/>
          <w:color w:val="auto"/>
          <w:sz w:val="24"/>
        </w:rPr>
        <w:t>四、参选文件递交要求</w:t>
      </w:r>
    </w:p>
    <w:p>
      <w:pPr>
        <w:pStyle w:val="11"/>
        <w:numPr>
          <w:ilvl w:val="0"/>
          <w:numId w:val="0"/>
        </w:numPr>
        <w:spacing w:before="100" w:beforeAutospacing="1" w:after="100" w:afterAutospacing="1" w:line="336" w:lineRule="auto"/>
        <w:ind w:left="832" w:leftChars="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1、参选文件递交形式：通过加密邮件形式发送至wzcgb@fjpec.com.cn。</w:t>
      </w:r>
    </w:p>
    <w:p>
      <w:pPr>
        <w:pStyle w:val="11"/>
        <w:numPr>
          <w:ilvl w:val="0"/>
          <w:numId w:val="0"/>
        </w:numPr>
        <w:spacing w:before="100" w:beforeAutospacing="1" w:after="100" w:afterAutospacing="1" w:line="336" w:lineRule="auto"/>
        <w:ind w:left="832" w:leftChars="0"/>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2、递交截止时间：报名截止时间延后2个工作日</w:t>
      </w:r>
    </w:p>
    <w:p>
      <w:pPr>
        <w:pStyle w:val="11"/>
        <w:numPr>
          <w:ilvl w:val="0"/>
          <w:numId w:val="0"/>
        </w:numPr>
        <w:spacing w:before="100" w:beforeAutospacing="1" w:after="100" w:afterAutospacing="1" w:line="336" w:lineRule="auto"/>
        <w:ind w:left="832" w:leftChars="0"/>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3、特别声明：（1）参选人必须对全部物资进行参选，不得部分参选，否则其比选文件将被拒绝。（2）未进行登记报名的参选人，其递交的参选文件将被拒收。</w:t>
      </w:r>
    </w:p>
    <w:p>
      <w:pPr>
        <w:pStyle w:val="11"/>
        <w:spacing w:before="100" w:beforeAutospacing="1" w:after="100" w:afterAutospacing="1" w:line="336"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pStyle w:val="2"/>
        <w:snapToGrid w:val="0"/>
        <w:spacing w:before="100" w:beforeAutospacing="1" w:after="100" w:afterAutospacing="1" w:line="336" w:lineRule="auto"/>
        <w:ind w:left="412" w:firstLine="480" w:firstLineChars="200"/>
        <w:rPr>
          <w:rFonts w:cs="宋体" w:asciiTheme="minorEastAsia" w:hAnsiTheme="minorEastAsia"/>
          <w:bCs/>
          <w:color w:val="auto"/>
          <w:sz w:val="24"/>
        </w:rPr>
      </w:pPr>
      <w:r>
        <w:rPr>
          <w:rFonts w:hint="eastAsia" w:cs="宋体" w:asciiTheme="minorEastAsia" w:hAnsiTheme="minorEastAsia"/>
          <w:bCs/>
          <w:color w:val="auto"/>
          <w:sz w:val="24"/>
        </w:rPr>
        <w:t>商务联系人：</w:t>
      </w:r>
      <w:r>
        <w:rPr>
          <w:rFonts w:hint="eastAsia" w:cs="宋体" w:asciiTheme="minorEastAsia" w:hAnsiTheme="minorEastAsia"/>
          <w:bCs/>
          <w:color w:val="auto"/>
          <w:sz w:val="24"/>
          <w:lang w:val="en-US" w:eastAsia="zh-CN"/>
        </w:rPr>
        <w:t>许智敏</w:t>
      </w:r>
      <w:r>
        <w:rPr>
          <w:rFonts w:hint="eastAsia" w:cs="宋体" w:asciiTheme="minorEastAsia" w:hAnsiTheme="minorEastAsia"/>
          <w:bCs/>
          <w:color w:val="auto"/>
          <w:sz w:val="24"/>
        </w:rPr>
        <w:t xml:space="preserve">  电话：1</w:t>
      </w:r>
      <w:r>
        <w:rPr>
          <w:rFonts w:hint="eastAsia" w:cs="宋体" w:asciiTheme="minorEastAsia" w:hAnsiTheme="minorEastAsia"/>
          <w:bCs/>
          <w:color w:val="auto"/>
          <w:sz w:val="24"/>
          <w:lang w:val="en-US" w:eastAsia="zh-CN"/>
        </w:rPr>
        <w:t>3655990097</w:t>
      </w:r>
      <w:r>
        <w:rPr>
          <w:rFonts w:hint="eastAsia" w:cs="宋体" w:asciiTheme="minorEastAsia" w:hAnsiTheme="minorEastAsia"/>
          <w:bCs/>
          <w:color w:val="auto"/>
          <w:sz w:val="24"/>
        </w:rPr>
        <w:tab/>
      </w:r>
      <w:r>
        <w:rPr>
          <w:rFonts w:hint="eastAsia" w:cs="宋体" w:asciiTheme="minorEastAsia" w:hAnsiTheme="minorEastAsia"/>
          <w:bCs/>
          <w:color w:val="auto"/>
          <w:sz w:val="24"/>
        </w:rPr>
        <w:t xml:space="preserve">  邮箱：</w:t>
      </w:r>
      <w:r>
        <w:rPr>
          <w:rFonts w:hint="eastAsia" w:asciiTheme="minorEastAsia" w:hAnsiTheme="minorEastAsia"/>
          <w:color w:val="auto"/>
          <w:sz w:val="24"/>
        </w:rPr>
        <w:t>wzcgb</w:t>
      </w:r>
      <w:r>
        <w:rPr>
          <w:rStyle w:val="12"/>
          <w:rFonts w:hint="eastAsia" w:ascii="Times New Roman" w:hAnsi="Times New Roman" w:eastAsia="宋体" w:cs="Times New Roman"/>
          <w:color w:val="auto"/>
        </w:rPr>
        <w:t>@fjpec.com.cn</w:t>
      </w:r>
    </w:p>
    <w:p>
      <w:pPr>
        <w:pStyle w:val="2"/>
        <w:snapToGrid w:val="0"/>
        <w:spacing w:before="100" w:beforeAutospacing="1" w:after="100" w:afterAutospacing="1" w:line="336" w:lineRule="auto"/>
        <w:ind w:left="412" w:firstLine="480" w:firstLineChars="200"/>
        <w:rPr>
          <w:rFonts w:ascii="Arial" w:hAnsi="Arial" w:eastAsia="宋体" w:cs="Arial"/>
          <w:color w:val="auto"/>
          <w:sz w:val="18"/>
          <w:szCs w:val="18"/>
        </w:rPr>
      </w:pPr>
      <w:r>
        <w:rPr>
          <w:rFonts w:hint="eastAsia" w:cs="宋体" w:asciiTheme="minorEastAsia" w:hAnsiTheme="minorEastAsia"/>
          <w:bCs/>
          <w:color w:val="auto"/>
          <w:sz w:val="24"/>
        </w:rPr>
        <w:t>技术联系人：</w:t>
      </w:r>
      <w:r>
        <w:rPr>
          <w:rFonts w:hint="eastAsia" w:cs="宋体" w:asciiTheme="minorEastAsia" w:hAnsiTheme="minorEastAsia"/>
          <w:bCs/>
          <w:color w:val="auto"/>
          <w:sz w:val="24"/>
          <w:lang w:val="en-US" w:eastAsia="zh-CN"/>
        </w:rPr>
        <w:t>周建华</w:t>
      </w:r>
      <w:r>
        <w:rPr>
          <w:rFonts w:hint="eastAsia" w:cs="宋体" w:asciiTheme="minorEastAsia" w:hAnsiTheme="minorEastAsia"/>
          <w:bCs/>
          <w:color w:val="auto"/>
          <w:sz w:val="24"/>
        </w:rPr>
        <w:t xml:space="preserve"> 电话：</w:t>
      </w:r>
      <w:r>
        <w:rPr>
          <w:rFonts w:hint="eastAsia" w:cs="宋体" w:asciiTheme="minorEastAsia" w:hAnsiTheme="minorEastAsia"/>
          <w:bCs/>
          <w:color w:val="auto"/>
          <w:sz w:val="24"/>
          <w:lang w:val="en-US" w:eastAsia="zh-CN"/>
        </w:rPr>
        <w:t>13313854017</w:t>
      </w:r>
      <w:r>
        <w:rPr>
          <w:rFonts w:hint="eastAsia" w:cs="宋体" w:asciiTheme="minorEastAsia" w:hAnsiTheme="minorEastAsia"/>
          <w:bCs/>
          <w:color w:val="auto"/>
          <w:sz w:val="24"/>
        </w:rPr>
        <w:t xml:space="preserve">  邮箱：</w:t>
      </w:r>
      <w:r>
        <w:rPr>
          <w:rFonts w:ascii="Arial" w:hAnsi="Arial" w:eastAsia="宋体" w:cs="Arial"/>
          <w:color w:val="auto"/>
          <w:sz w:val="18"/>
          <w:szCs w:val="18"/>
        </w:rPr>
        <w:fldChar w:fldCharType="begin"/>
      </w:r>
      <w:r>
        <w:rPr>
          <w:rFonts w:ascii="Arial" w:hAnsi="Arial" w:eastAsia="宋体" w:cs="Arial"/>
          <w:color w:val="auto"/>
          <w:sz w:val="18"/>
          <w:szCs w:val="18"/>
        </w:rPr>
        <w:instrText xml:space="preserve"> HYPERLINK "mailto:jhzhou@fhcpec.com.cn" </w:instrText>
      </w:r>
      <w:r>
        <w:rPr>
          <w:rFonts w:ascii="Arial" w:hAnsi="Arial" w:eastAsia="宋体" w:cs="Arial"/>
          <w:color w:val="auto"/>
          <w:sz w:val="18"/>
          <w:szCs w:val="18"/>
        </w:rPr>
        <w:fldChar w:fldCharType="separate"/>
      </w:r>
      <w:r>
        <w:rPr>
          <w:rStyle w:val="9"/>
          <w:rFonts w:ascii="Arial" w:hAnsi="Arial" w:eastAsia="宋体" w:cs="Arial"/>
          <w:color w:val="auto"/>
          <w:sz w:val="18"/>
          <w:szCs w:val="18"/>
        </w:rPr>
        <w:t>jhzhou@fhcpec.com.cn</w:t>
      </w:r>
      <w:r>
        <w:rPr>
          <w:rFonts w:ascii="Arial" w:hAnsi="Arial" w:eastAsia="宋体" w:cs="Arial"/>
          <w:color w:val="auto"/>
          <w:sz w:val="18"/>
          <w:szCs w:val="18"/>
        </w:rPr>
        <w:fldChar w:fldCharType="end"/>
      </w:r>
    </w:p>
    <w:p>
      <w:pPr>
        <w:pStyle w:val="2"/>
        <w:snapToGrid w:val="0"/>
        <w:spacing w:before="100" w:beforeAutospacing="1" w:after="100" w:afterAutospacing="1" w:line="336" w:lineRule="auto"/>
        <w:ind w:firstLine="2160" w:firstLineChars="900"/>
        <w:rPr>
          <w:rFonts w:cs="宋体" w:asciiTheme="minorEastAsia" w:hAnsiTheme="minorEastAsia"/>
          <w:bCs/>
          <w:color w:val="auto"/>
          <w:sz w:val="24"/>
        </w:rPr>
      </w:pPr>
      <w:r>
        <w:rPr>
          <w:rFonts w:hint="eastAsia" w:cs="宋体" w:asciiTheme="minorEastAsia" w:hAnsiTheme="minorEastAsia"/>
          <w:bCs/>
          <w:color w:val="auto"/>
          <w:sz w:val="24"/>
        </w:rPr>
        <w:t>陈海伟 电话：13616007156  邮箱：</w:t>
      </w:r>
      <w:r>
        <w:rPr>
          <w:rFonts w:ascii="Arial" w:hAnsi="Arial" w:eastAsia="宋体" w:cs="Arial"/>
          <w:color w:val="auto"/>
          <w:sz w:val="18"/>
          <w:szCs w:val="18"/>
        </w:rPr>
        <w:t>hwchen@fhcpec.com.cn     </w:t>
      </w:r>
    </w:p>
    <w:p>
      <w:pPr>
        <w:pStyle w:val="2"/>
        <w:snapToGrid w:val="0"/>
        <w:spacing w:before="100" w:beforeAutospacing="1" w:after="100" w:afterAutospacing="1" w:line="336" w:lineRule="auto"/>
        <w:ind w:left="412" w:firstLine="480" w:firstLineChars="200"/>
        <w:rPr>
          <w:rFonts w:cs="宋体" w:asciiTheme="minorEastAsia" w:hAnsiTheme="minorEastAsia"/>
          <w:b/>
          <w:bCs/>
          <w:color w:val="auto"/>
          <w:sz w:val="24"/>
        </w:rPr>
      </w:pPr>
      <w:r>
        <w:rPr>
          <w:rFonts w:hint="eastAsia" w:cs="宋体" w:asciiTheme="minorEastAsia" w:hAnsiTheme="minorEastAsia"/>
          <w:bCs/>
          <w:color w:val="auto"/>
          <w:sz w:val="24"/>
        </w:rPr>
        <w:t>纪检监察室电话：0596-6311774  邮箱：</w:t>
      </w:r>
      <w:r>
        <w:rPr>
          <w:rFonts w:hint="eastAsia" w:cs="Helvetica" w:asciiTheme="minorEastAsia" w:hAnsiTheme="minorEastAsia"/>
          <w:color w:val="auto"/>
        </w:rPr>
        <w:t>：</w:t>
      </w:r>
      <w:r>
        <w:rPr>
          <w:color w:val="auto"/>
        </w:rPr>
        <w:t>fhcjc@fhcpec.com.cn</w:t>
      </w:r>
    </w:p>
    <w:p>
      <w:pPr>
        <w:pStyle w:val="2"/>
        <w:snapToGrid w:val="0"/>
        <w:spacing w:before="100" w:beforeAutospacing="1" w:after="100" w:afterAutospacing="1" w:line="336" w:lineRule="auto"/>
        <w:ind w:left="412" w:firstLine="480" w:firstLineChars="200"/>
        <w:rPr>
          <w:rFonts w:asciiTheme="minorEastAsia" w:hAnsiTheme="minorEastAsia"/>
          <w:bCs/>
          <w:color w:val="auto"/>
          <w:sz w:val="24"/>
        </w:rPr>
      </w:pPr>
      <w:r>
        <w:rPr>
          <w:rFonts w:hint="eastAsia" w:cs="宋体" w:asciiTheme="minorEastAsia" w:hAnsiTheme="minorEastAsia"/>
          <w:bCs/>
          <w:color w:val="auto"/>
          <w:sz w:val="24"/>
        </w:rPr>
        <w:t>联系地址：</w:t>
      </w:r>
      <w:r>
        <w:rPr>
          <w:rFonts w:hint="eastAsia" w:asciiTheme="minorEastAsia" w:hAnsiTheme="minorEastAsia"/>
          <w:bCs/>
          <w:color w:val="auto"/>
          <w:sz w:val="24"/>
        </w:rPr>
        <w:t>厦门市思明区莲前街道领事馆路16号银领中心B栋4楼</w:t>
      </w:r>
    </w:p>
    <w:p>
      <w:pPr>
        <w:pStyle w:val="2"/>
        <w:snapToGrid w:val="0"/>
        <w:spacing w:before="100" w:beforeAutospacing="1" w:after="100" w:afterAutospacing="1" w:line="336" w:lineRule="auto"/>
        <w:ind w:left="412" w:firstLine="480" w:firstLineChars="200"/>
        <w:rPr>
          <w:rFonts w:ascii="Arial" w:hAnsi="Arial" w:eastAsia="宋体" w:cs="Arial"/>
          <w:color w:val="auto"/>
          <w:sz w:val="24"/>
          <w:shd w:val="clear" w:color="auto" w:fill="FFFFFF"/>
        </w:rPr>
      </w:pPr>
      <w:r>
        <w:rPr>
          <w:rFonts w:hint="eastAsia" w:cs="宋体" w:asciiTheme="minorEastAsia" w:hAnsiTheme="minorEastAsia"/>
          <w:bCs/>
          <w:color w:val="auto"/>
          <w:sz w:val="24"/>
        </w:rPr>
        <w:t>邮    编：</w:t>
      </w:r>
      <w:r>
        <w:rPr>
          <w:rFonts w:ascii="Arial" w:hAnsi="Arial" w:eastAsia="宋体" w:cs="Arial"/>
          <w:color w:val="auto"/>
          <w:sz w:val="24"/>
          <w:shd w:val="clear" w:color="auto" w:fill="FFFFFF"/>
        </w:rPr>
        <w:t>361001</w:t>
      </w:r>
    </w:p>
    <w:p>
      <w:pPr>
        <w:pStyle w:val="2"/>
        <w:snapToGrid w:val="0"/>
        <w:spacing w:before="100" w:beforeAutospacing="1" w:after="100" w:afterAutospacing="1" w:line="336" w:lineRule="auto"/>
        <w:ind w:left="412" w:firstLine="480" w:firstLineChars="200"/>
        <w:jc w:val="right"/>
        <w:rPr>
          <w:rFonts w:asciiTheme="minorEastAsia" w:hAnsiTheme="minorEastAsia"/>
          <w:color w:val="auto"/>
          <w:sz w:val="24"/>
        </w:rPr>
      </w:pPr>
      <w:r>
        <w:rPr>
          <w:rFonts w:hint="eastAsia" w:ascii="宋体" w:hAnsi="宋体" w:eastAsia="宋体" w:cs="宋体"/>
          <w:color w:val="auto"/>
          <w:sz w:val="24"/>
          <w:szCs w:val="24"/>
          <w:lang w:val="en-US" w:eastAsia="zh-CN"/>
        </w:rPr>
        <w:t>腾龙芳烃(漳州)有限公司/翔鹭石化(漳州)有限公司</w:t>
      </w:r>
      <w:r>
        <w:rPr>
          <w:rFonts w:hint="eastAsia" w:asciiTheme="minorEastAsia" w:hAnsiTheme="minorEastAsia"/>
          <w:color w:val="auto"/>
          <w:sz w:val="24"/>
        </w:rPr>
        <w:t xml:space="preserve"> </w:t>
      </w:r>
    </w:p>
    <w:p>
      <w:pPr>
        <w:spacing w:before="100" w:beforeAutospacing="1" w:after="100" w:afterAutospacing="1" w:line="336" w:lineRule="auto"/>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 xml:space="preserve">                                                2</w:t>
      </w:r>
      <w:r>
        <w:rPr>
          <w:rFonts w:hint="eastAsia" w:asciiTheme="minorEastAsia" w:hAnsiTheme="minorEastAsia" w:eastAsiaTheme="minorEastAsia"/>
          <w:color w:val="auto"/>
          <w:sz w:val="24"/>
          <w:lang w:eastAsia="zh-CN"/>
        </w:rPr>
        <w:t>022年05月17日</w:t>
      </w: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盐酸</w:t>
      </w:r>
      <w:r>
        <w:rPr>
          <w:rFonts w:hint="eastAsia" w:ascii="宋体" w:hAnsi="宋体"/>
          <w:color w:val="auto"/>
          <w:sz w:val="18"/>
          <w:szCs w:val="18"/>
          <w:u w:val="single"/>
        </w:rPr>
        <w:t>。</w:t>
      </w:r>
    </w:p>
    <w:p>
      <w:pPr>
        <w:pStyle w:val="14"/>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hAnsi="宋体"/>
          <w:color w:val="auto"/>
          <w:sz w:val="18"/>
          <w:szCs w:val="18"/>
        </w:rPr>
      </w:pPr>
      <w:r>
        <w:rPr>
          <w:rFonts w:hint="eastAsia" w:ascii="宋体"/>
          <w:color w:val="auto"/>
          <w:sz w:val="18"/>
          <w:szCs w:val="18"/>
        </w:rPr>
        <w:t>（4）与比选人无诉讼纠纷。</w:t>
      </w:r>
    </w:p>
    <w:p>
      <w:pPr>
        <w:spacing w:line="320" w:lineRule="exact"/>
        <w:rPr>
          <w:rFonts w:hint="eastAsia" w:ascii="宋体" w:hAnsi="宋体"/>
          <w:color w:val="auto"/>
          <w:sz w:val="18"/>
          <w:szCs w:val="18"/>
        </w:rPr>
      </w:pPr>
      <w:r>
        <w:rPr>
          <w:rFonts w:hint="eastAsia" w:ascii="宋体" w:hAnsi="宋体"/>
          <w:color w:val="auto"/>
          <w:sz w:val="18"/>
          <w:szCs w:val="18"/>
        </w:rPr>
        <w:t>（</w:t>
      </w:r>
      <w:r>
        <w:rPr>
          <w:rFonts w:hint="eastAsia" w:ascii="宋体" w:hAnsi="宋体"/>
          <w:color w:val="auto"/>
          <w:sz w:val="18"/>
          <w:szCs w:val="18"/>
          <w:lang w:val="en-US" w:eastAsia="zh-CN"/>
        </w:rPr>
        <w:t>5</w:t>
      </w:r>
      <w:r>
        <w:rPr>
          <w:rFonts w:hint="eastAsia" w:ascii="宋体" w:hAnsi="宋体"/>
          <w:color w:val="auto"/>
          <w:sz w:val="18"/>
          <w:szCs w:val="18"/>
        </w:rPr>
        <w:t>）参选保证金：</w:t>
      </w:r>
      <w:r>
        <w:rPr>
          <w:rFonts w:hint="eastAsia" w:ascii="宋体" w:hAnsi="宋体"/>
          <w:color w:val="auto"/>
          <w:sz w:val="18"/>
          <w:szCs w:val="18"/>
          <w:lang w:val="en-US" w:eastAsia="zh-CN"/>
        </w:rPr>
        <w:t>叁万元整</w:t>
      </w:r>
      <w:r>
        <w:rPr>
          <w:rFonts w:hint="eastAsia" w:ascii="宋体" w:hAnsi="宋体"/>
          <w:color w:val="auto"/>
          <w:sz w:val="18"/>
          <w:szCs w:val="18"/>
        </w:rPr>
        <w:t>。</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hint="eastAsia" w:ascii="宋体" w:hAnsi="宋体"/>
          <w:color w:val="auto"/>
          <w:sz w:val="18"/>
          <w:szCs w:val="18"/>
        </w:rPr>
      </w:pPr>
      <w:r>
        <w:rPr>
          <w:rFonts w:hint="eastAsia" w:ascii="宋体" w:hAnsi="宋体"/>
          <w:color w:val="auto"/>
          <w:sz w:val="18"/>
          <w:szCs w:val="18"/>
        </w:rPr>
        <w:t>5.以下材料，称为“参选文件”逐页盖公章采用加密邮件形式递交报价，包括：</w:t>
      </w:r>
    </w:p>
    <w:p>
      <w:pPr>
        <w:spacing w:line="320" w:lineRule="exact"/>
        <w:rPr>
          <w:rFonts w:hint="eastAsia" w:ascii="宋体" w:hAnsi="宋体"/>
          <w:color w:val="auto"/>
          <w:sz w:val="18"/>
          <w:szCs w:val="18"/>
        </w:rPr>
      </w:pPr>
      <w:r>
        <w:rPr>
          <w:rFonts w:hint="eastAsia" w:ascii="宋体" w:hAnsi="宋体"/>
          <w:color w:val="auto"/>
          <w:sz w:val="18"/>
          <w:szCs w:val="18"/>
        </w:rPr>
        <w:t>（1）比选公告</w:t>
      </w:r>
    </w:p>
    <w:p>
      <w:pPr>
        <w:spacing w:line="320" w:lineRule="exact"/>
        <w:rPr>
          <w:rFonts w:hint="eastAsia" w:ascii="宋体" w:hAnsi="宋体"/>
          <w:color w:val="auto"/>
          <w:sz w:val="18"/>
          <w:szCs w:val="18"/>
        </w:rPr>
      </w:pPr>
      <w:r>
        <w:rPr>
          <w:rFonts w:hint="eastAsia" w:ascii="宋体" w:hAnsi="宋体"/>
          <w:color w:val="auto"/>
          <w:sz w:val="18"/>
          <w:szCs w:val="18"/>
        </w:rPr>
        <w:t>（2）参选规定及说明</w:t>
      </w:r>
    </w:p>
    <w:p>
      <w:pPr>
        <w:spacing w:line="320" w:lineRule="exact"/>
        <w:rPr>
          <w:rFonts w:hint="eastAsia" w:ascii="宋体" w:hAnsi="宋体"/>
          <w:color w:val="auto"/>
          <w:sz w:val="18"/>
          <w:szCs w:val="18"/>
        </w:rPr>
      </w:pPr>
      <w:r>
        <w:rPr>
          <w:rFonts w:hint="eastAsia" w:ascii="宋体" w:hAnsi="宋体"/>
          <w:color w:val="auto"/>
          <w:sz w:val="18"/>
          <w:szCs w:val="18"/>
        </w:rPr>
        <w:t>（3）公开比选文件</w:t>
      </w:r>
    </w:p>
    <w:p>
      <w:pPr>
        <w:spacing w:line="320" w:lineRule="exact"/>
        <w:rPr>
          <w:rFonts w:hint="eastAsia" w:ascii="宋体" w:hAnsi="宋体"/>
          <w:color w:val="auto"/>
          <w:sz w:val="18"/>
          <w:szCs w:val="18"/>
        </w:rPr>
      </w:pPr>
      <w:r>
        <w:rPr>
          <w:rFonts w:hint="eastAsia" w:ascii="宋体" w:hAnsi="宋体"/>
          <w:color w:val="auto"/>
          <w:sz w:val="18"/>
          <w:szCs w:val="18"/>
        </w:rPr>
        <w:t>（4）参选书</w:t>
      </w:r>
    </w:p>
    <w:p>
      <w:pPr>
        <w:spacing w:line="320" w:lineRule="exact"/>
        <w:rPr>
          <w:rFonts w:hint="eastAsia"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hint="eastAsia" w:ascii="宋体" w:hAnsi="宋体"/>
          <w:color w:val="auto"/>
          <w:sz w:val="18"/>
          <w:szCs w:val="18"/>
          <w:lang w:val="en-US" w:eastAsia="zh-CN"/>
        </w:rPr>
        <w:t>12</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hint="eastAsia" w:ascii="宋体" w:hAnsi="宋体"/>
          <w:color w:val="auto"/>
          <w:sz w:val="18"/>
          <w:szCs w:val="18"/>
          <w:lang w:val="en-US" w:eastAsia="zh-CN"/>
        </w:rPr>
        <w:t>12</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盐酸</w:t>
      </w:r>
      <w:r>
        <w:rPr>
          <w:rFonts w:hint="eastAsia" w:ascii="宋体" w:hAnsi="宋体"/>
          <w:color w:val="auto"/>
          <w:sz w:val="18"/>
          <w:szCs w:val="18"/>
          <w:u w:val="single"/>
        </w:rPr>
        <w:t>的</w:t>
      </w:r>
      <w:r>
        <w:rPr>
          <w:rFonts w:hint="eastAsia" w:ascii="宋体" w:hAnsi="宋体"/>
          <w:color w:val="auto"/>
          <w:sz w:val="18"/>
          <w:szCs w:val="18"/>
        </w:rPr>
        <w:t>采购指导价格。比选会议确定指导价格之后：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1.公开比选会议期间，确定价格后，愿意以确定的价格供货的报价人立即或会后邮件扫描或传真《公开比选确认单》至我司，由采购部成员办理随后的工贸公司订单送审手续。比选数量为总数量，订单签署上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asci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bCs/>
          <w:color w:val="auto"/>
          <w:sz w:val="24"/>
          <w:szCs w:val="24"/>
          <w:lang w:val="en-US" w:eastAsia="zh-CN"/>
        </w:rPr>
        <w:t>腾龙芳烃(漳州)有限公司/翔鹭石化(漳州)有限公司</w:t>
      </w:r>
      <w:r>
        <w:rPr>
          <w:rFonts w:hint="eastAsia" w:ascii="宋体" w:hAnsi="宋体" w:cs="宋体"/>
          <w:b/>
          <w:color w:val="auto"/>
          <w:kern w:val="0"/>
          <w:sz w:val="24"/>
        </w:rPr>
        <w:t>有权选择废选。</w:t>
      </w:r>
    </w:p>
    <w:p>
      <w:pPr>
        <w:spacing w:line="500" w:lineRule="exact"/>
        <w:jc w:val="center"/>
        <w:rPr>
          <w:rFonts w:hint="eastAsia" w:ascii="宋体" w:hAnsi="宋体"/>
          <w:b/>
          <w:bCs/>
          <w:color w:val="auto"/>
          <w:sz w:val="36"/>
          <w:szCs w:val="36"/>
        </w:rPr>
      </w:pP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eastAsia" w:ascii="宋体" w:eastAsiaTheme="minorEastAsia"/>
          <w:b/>
          <w:bCs/>
          <w:color w:val="auto"/>
          <w:sz w:val="24"/>
          <w:lang w:eastAsia="zh-CN"/>
        </w:rPr>
      </w:pPr>
      <w:r>
        <w:rPr>
          <w:rFonts w:hint="eastAsia" w:ascii="宋体" w:hAnsi="宋体"/>
          <w:color w:val="auto"/>
          <w:sz w:val="24"/>
        </w:rPr>
        <w:t>编号：</w:t>
      </w:r>
      <w:r>
        <w:rPr>
          <w:rFonts w:hint="eastAsia" w:ascii="宋体" w:hAnsi="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2</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FHC</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盐酸</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0517</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盐酸</w:t>
      </w:r>
      <w:r>
        <w:rPr>
          <w:rFonts w:hint="eastAsia" w:ascii="宋体" w:hAnsi="宋体"/>
          <w:color w:val="auto"/>
          <w:sz w:val="28"/>
          <w:szCs w:val="28"/>
        </w:rPr>
        <w:t>，具体要求如下：</w:t>
      </w:r>
      <w:r>
        <w:rPr>
          <w:rFonts w:ascii="宋体"/>
          <w:color w:val="auto"/>
          <w:sz w:val="28"/>
          <w:szCs w:val="28"/>
        </w:rPr>
        <w:tab/>
      </w:r>
    </w:p>
    <w:p>
      <w:pPr>
        <w:numPr>
          <w:ilvl w:val="0"/>
          <w:numId w:val="5"/>
        </w:numPr>
        <w:spacing w:line="360" w:lineRule="exact"/>
        <w:jc w:val="left"/>
        <w:rPr>
          <w:rFonts w:ascii="宋体" w:hAnsi="宋体" w:cs="宋体"/>
          <w:color w:val="auto"/>
          <w:sz w:val="24"/>
        </w:rPr>
      </w:pPr>
      <w:r>
        <w:rPr>
          <w:rFonts w:hint="eastAsia" w:ascii="宋体" w:cs="宋体"/>
          <w:color w:val="auto"/>
          <w:sz w:val="24"/>
        </w:rPr>
        <w:t>采购数量：</w:t>
      </w:r>
      <w:r>
        <w:rPr>
          <w:rFonts w:hint="eastAsia" w:ascii="宋体" w:cs="宋体"/>
          <w:color w:val="auto"/>
          <w:sz w:val="24"/>
          <w:lang w:val="en-US" w:eastAsia="zh-CN"/>
        </w:rPr>
        <w:t>2400吨</w:t>
      </w:r>
      <w:r>
        <w:rPr>
          <w:rFonts w:hint="eastAsia" w:ascii="宋体" w:cs="宋体"/>
          <w:color w:val="auto"/>
          <w:sz w:val="24"/>
        </w:rPr>
        <w:t>（数量为</w:t>
      </w:r>
      <w:r>
        <w:rPr>
          <w:rFonts w:hint="eastAsia" w:ascii="宋体" w:cs="宋体"/>
          <w:color w:val="auto"/>
          <w:sz w:val="24"/>
          <w:lang w:val="en-US" w:eastAsia="zh-CN"/>
        </w:rPr>
        <w:t>2022年7月-10月</w:t>
      </w:r>
      <w:r>
        <w:rPr>
          <w:rFonts w:hint="eastAsia" w:ascii="宋体" w:cs="宋体"/>
          <w:color w:val="auto"/>
          <w:sz w:val="24"/>
        </w:rPr>
        <w:t>预估量，以实际发生量为准）。</w:t>
      </w:r>
    </w:p>
    <w:p>
      <w:pPr>
        <w:numPr>
          <w:ilvl w:val="0"/>
          <w:numId w:val="5"/>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rPr>
        <w:t>技术参数指标</w:t>
      </w:r>
    </w:p>
    <w:tbl>
      <w:tblPr>
        <w:tblStyle w:val="6"/>
        <w:tblpPr w:leftFromText="180" w:rightFromText="180" w:vertAnchor="text" w:horzAnchor="page" w:tblpX="2197" w:tblpY="248"/>
        <w:tblOverlap w:val="never"/>
        <w:tblW w:w="8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6"/>
        <w:gridCol w:w="3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66" w:type="dxa"/>
          </w:tcPr>
          <w:p>
            <w:pPr>
              <w:spacing w:line="220" w:lineRule="exact"/>
              <w:jc w:val="center"/>
              <w:rPr>
                <w:color w:val="000000"/>
                <w:sz w:val="18"/>
                <w:szCs w:val="18"/>
              </w:rPr>
            </w:pPr>
            <w:r>
              <w:rPr>
                <w:rFonts w:hint="eastAsia"/>
                <w:lang w:val="en-US" w:eastAsia="zh-CN"/>
              </w:rPr>
              <w:t>氯化氢</w:t>
            </w:r>
            <w:r>
              <w:rPr>
                <w:rFonts w:hint="eastAsia" w:ascii="宋体" w:hAnsi="宋体" w:cs="宋体"/>
                <w:szCs w:val="21"/>
              </w:rPr>
              <w:t>≥</w:t>
            </w:r>
          </w:p>
        </w:tc>
        <w:tc>
          <w:tcPr>
            <w:tcW w:w="3844" w:type="dxa"/>
          </w:tcPr>
          <w:p>
            <w:pPr>
              <w:spacing w:line="220" w:lineRule="exact"/>
              <w:jc w:val="center"/>
              <w:rPr>
                <w:color w:val="000000"/>
                <w:sz w:val="18"/>
                <w:szCs w:val="18"/>
              </w:rPr>
            </w:pPr>
            <w:r>
              <w:rPr>
                <w:rFonts w:hint="eastAsia"/>
                <w:lang w:val="en-US" w:eastAsia="zh-CN"/>
              </w:rPr>
              <w:t>31</w:t>
            </w:r>
            <w:r>
              <w:rPr>
                <w:rFonts w:hint="eastAsia"/>
              </w:rPr>
              <w:t>.0%以上</w:t>
            </w:r>
          </w:p>
        </w:tc>
      </w:tr>
    </w:tbl>
    <w:p>
      <w:pPr>
        <w:numPr>
          <w:ilvl w:val="0"/>
          <w:numId w:val="0"/>
        </w:numPr>
        <w:spacing w:line="360" w:lineRule="exact"/>
        <w:ind w:leftChars="0"/>
        <w:jc w:val="left"/>
        <w:rPr>
          <w:rFonts w:hint="eastAsia" w:ascii="宋体" w:hAnsi="宋体" w:cs="宋体"/>
          <w:color w:val="auto"/>
          <w:sz w:val="24"/>
        </w:rPr>
      </w:pPr>
      <w:r>
        <w:rPr>
          <w:rFonts w:hint="eastAsia" w:ascii="宋体" w:hAnsi="宋体" w:cs="宋体"/>
          <w:sz w:val="24"/>
          <w:lang w:val="en-US" w:eastAsia="zh-CN"/>
        </w:rPr>
        <w:t>具体其他指标详见附件</w:t>
      </w:r>
    </w:p>
    <w:p>
      <w:pPr>
        <w:numPr>
          <w:ilvl w:val="0"/>
          <w:numId w:val="0"/>
        </w:numPr>
        <w:spacing w:line="360" w:lineRule="exact"/>
        <w:ind w:leftChars="0"/>
        <w:jc w:val="left"/>
        <w:rPr>
          <w:rFonts w:ascii="宋体" w:cs="宋体"/>
          <w:color w:val="auto"/>
          <w:sz w:val="24"/>
        </w:rPr>
      </w:pPr>
      <w:r>
        <w:rPr>
          <w:rFonts w:hint="eastAsia" w:ascii="宋体" w:hAnsi="宋体" w:cs="宋体"/>
          <w:color w:val="auto"/>
          <w:sz w:val="24"/>
        </w:rPr>
        <w:t>3.</w:t>
      </w:r>
      <w:r>
        <w:rPr>
          <w:rFonts w:hint="eastAsia" w:ascii="宋体" w:hAnsi="宋体"/>
          <w:color w:val="auto"/>
          <w:sz w:val="24"/>
        </w:rPr>
        <w:t>到货时间：</w:t>
      </w:r>
      <w:r>
        <w:rPr>
          <w:rFonts w:hint="eastAsia" w:ascii="宋体" w:hAnsi="宋体"/>
          <w:color w:val="auto"/>
          <w:sz w:val="24"/>
          <w:lang w:val="en-US" w:eastAsia="zh-CN"/>
        </w:rPr>
        <w:t>2022年7月1日-2022年10月31日，</w:t>
      </w:r>
      <w:r>
        <w:rPr>
          <w:rFonts w:hint="eastAsia" w:ascii="宋体" w:hAnsi="宋体"/>
          <w:color w:val="auto"/>
          <w:sz w:val="24"/>
        </w:rPr>
        <w:t>具体以需方通知为准。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rPr>
        <w:t>4.报价须知：</w:t>
      </w:r>
      <w:r>
        <w:rPr>
          <w:rFonts w:hint="eastAsia" w:asciiTheme="minorEastAsia" w:hAnsiTheme="minorEastAsia" w:eastAsiaTheme="minorEastAsia"/>
          <w:bCs/>
          <w:color w:val="auto"/>
          <w:kern w:val="0"/>
          <w:sz w:val="24"/>
          <w:lang w:val="en-US" w:eastAsia="zh-CN"/>
        </w:rPr>
        <w:t>盐酸</w:t>
      </w:r>
      <w:r>
        <w:rPr>
          <w:rFonts w:hint="eastAsia" w:ascii="宋体" w:hAnsi="宋体" w:cs="宋体"/>
          <w:color w:val="auto"/>
          <w:sz w:val="24"/>
        </w:rPr>
        <w:t>含税送到价。参选人需对全部比选数量进行报价。</w:t>
      </w:r>
    </w:p>
    <w:p>
      <w:pPr>
        <w:spacing w:line="360" w:lineRule="exact"/>
        <w:jc w:val="left"/>
        <w:rPr>
          <w:rFonts w:ascii="宋体" w:cs="宋体"/>
          <w:color w:val="auto"/>
          <w:sz w:val="24"/>
        </w:rPr>
      </w:pPr>
      <w:r>
        <w:rPr>
          <w:rFonts w:hint="eastAsia" w:ascii="宋体" w:hAnsi="宋体" w:cs="宋体"/>
          <w:color w:val="auto"/>
          <w:sz w:val="24"/>
        </w:rPr>
        <w:t>5.其他要求按双方签订的合同执行，关键条款重申如下：</w:t>
      </w:r>
    </w:p>
    <w:p>
      <w:pPr>
        <w:spacing w:line="350" w:lineRule="exact"/>
        <w:jc w:val="left"/>
        <w:rPr>
          <w:rFonts w:ascii="宋体" w:hAnsi="宋体" w:cs="宋体"/>
          <w:color w:val="auto"/>
          <w:sz w:val="24"/>
        </w:rPr>
      </w:pPr>
      <w:r>
        <w:rPr>
          <w:rFonts w:hint="eastAsia" w:ascii="宋体" w:hAnsi="宋体" w:cs="宋体"/>
          <w:color w:val="auto"/>
          <w:sz w:val="24"/>
        </w:rPr>
        <w:t>5</w:t>
      </w:r>
      <w:r>
        <w:rPr>
          <w:rFonts w:ascii="宋体" w:hAnsi="宋体" w:cs="宋体"/>
          <w:color w:val="auto"/>
          <w:sz w:val="24"/>
        </w:rPr>
        <w:t>.1</w:t>
      </w:r>
      <w:r>
        <w:rPr>
          <w:rFonts w:hint="eastAsia" w:ascii="宋体" w:hAnsi="宋体" w:cs="宋体"/>
          <w:color w:val="auto"/>
          <w:sz w:val="24"/>
        </w:rPr>
        <w:t>付款方式：分批到货分批付款，现汇支付。每批到货后，需方依据本合同约定的质量、数量标准验收合格后，供方提供增值税专用发票以及结算所需的各类清单，需方收到并确认无误后支付货款供方。</w:t>
      </w:r>
    </w:p>
    <w:p>
      <w:pPr>
        <w:spacing w:line="350" w:lineRule="exact"/>
        <w:jc w:val="left"/>
        <w:rPr>
          <w:rFonts w:ascii="宋体" w:hAnsi="宋体" w:cs="宋体"/>
          <w:color w:val="auto"/>
          <w:sz w:val="24"/>
        </w:rPr>
      </w:pPr>
      <w:r>
        <w:rPr>
          <w:rFonts w:hint="eastAsia" w:ascii="宋体" w:hAnsi="宋体" w:cs="宋体"/>
          <w:color w:val="auto"/>
          <w:sz w:val="24"/>
        </w:rPr>
        <w:t>5.2数量验收：以需方使用单位验收为准。</w:t>
      </w:r>
    </w:p>
    <w:p>
      <w:pPr>
        <w:numPr>
          <w:ilvl w:val="0"/>
          <w:numId w:val="6"/>
        </w:numPr>
        <w:spacing w:line="350" w:lineRule="exact"/>
        <w:jc w:val="left"/>
        <w:rPr>
          <w:rFonts w:asciiTheme="minorEastAsia" w:hAnsiTheme="minorEastAsia" w:eastAsiaTheme="minorEastAsia"/>
          <w:color w:val="auto"/>
          <w:kern w:val="0"/>
          <w:sz w:val="24"/>
        </w:rPr>
      </w:pP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.参选文件的递交</w:t>
      </w:r>
    </w:p>
    <w:p>
      <w:pPr>
        <w:spacing w:line="360" w:lineRule="exact"/>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.1本次报价采取加密邮件报价形式，参选文件包含比选公告、参选规定及说明、公开比选文件、参选书、法定代表人授权书、报价单，采购指标上述七项文件逐页盖公章。</w:t>
      </w:r>
    </w:p>
    <w:p>
      <w:pPr>
        <w:spacing w:line="360" w:lineRule="exact"/>
        <w:jc w:val="left"/>
        <w:rPr>
          <w:rFonts w:hint="eastAsia"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.2参选文件发送至wzcgb@fjpec.com.cn进行邮件加密报价，开选时请告知邮件密码。</w:t>
      </w:r>
    </w:p>
    <w:p>
      <w:pPr>
        <w:spacing w:line="360" w:lineRule="exact"/>
        <w:jc w:val="left"/>
        <w:rPr>
          <w:rFonts w:ascii="宋体" w:hAnsi="宋体" w:cs="宋体"/>
          <w:color w:val="auto"/>
          <w:sz w:val="24"/>
        </w:rPr>
      </w:pPr>
      <w:r>
        <w:rPr>
          <w:rFonts w:hint="eastAsia" w:ascii="宋体" w:hAnsi="宋体" w:cs="宋体"/>
          <w:color w:val="auto"/>
          <w:sz w:val="24"/>
          <w:lang w:val="en-US" w:eastAsia="zh-CN"/>
        </w:rPr>
        <w:t>7</w:t>
      </w:r>
      <w:r>
        <w:rPr>
          <w:rFonts w:hint="eastAsia" w:ascii="宋体" w:hAnsi="宋体" w:cs="宋体"/>
          <w:color w:val="auto"/>
          <w:sz w:val="24"/>
        </w:rPr>
        <w:t>.3参选文件递交截止时间：见比选公告。</w:t>
      </w:r>
    </w:p>
    <w:p>
      <w:pPr>
        <w:spacing w:line="360" w:lineRule="exact"/>
        <w:jc w:val="left"/>
        <w:rPr>
          <w:rFonts w:hint="default" w:ascii="宋体" w:eastAsia="宋体"/>
          <w:color w:val="auto"/>
          <w:sz w:val="24"/>
          <w:u w:val="single"/>
          <w:lang w:val="en-US" w:eastAsia="zh-CN"/>
        </w:rPr>
      </w:pPr>
      <w:r>
        <w:rPr>
          <w:rFonts w:hint="eastAsia" w:ascii="宋体" w:hAnsi="宋体" w:cs="宋体"/>
          <w:color w:val="auto"/>
          <w:sz w:val="24"/>
        </w:rPr>
        <w:t>联系人：</w:t>
      </w:r>
      <w:r>
        <w:rPr>
          <w:rFonts w:hint="eastAsia" w:ascii="宋体" w:hAnsi="宋体" w:cs="宋体"/>
          <w:color w:val="auto"/>
          <w:sz w:val="24"/>
          <w:lang w:val="en-US" w:eastAsia="zh-CN"/>
        </w:rPr>
        <w:t>许智敏</w:t>
      </w:r>
      <w:r>
        <w:rPr>
          <w:rFonts w:hint="eastAsia" w:ascii="宋体" w:hAnsi="宋体" w:cs="宋体"/>
          <w:color w:val="auto"/>
          <w:sz w:val="24"/>
        </w:rPr>
        <w:t xml:space="preserve">  手机：</w:t>
      </w:r>
      <w:r>
        <w:rPr>
          <w:rFonts w:hint="eastAsia" w:ascii="宋体" w:hAnsi="宋体" w:cs="宋体"/>
          <w:color w:val="auto"/>
          <w:sz w:val="24"/>
          <w:lang w:val="en-US" w:eastAsia="zh-CN"/>
        </w:rPr>
        <w:t>13655990097</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ascii="宋体"/>
          <w:color w:val="auto"/>
          <w:sz w:val="24"/>
        </w:rPr>
      </w:pPr>
      <w:r>
        <w:rPr>
          <w:rFonts w:hint="eastAsia" w:ascii="宋体" w:hAnsi="宋体"/>
          <w:color w:val="auto"/>
          <w:sz w:val="24"/>
        </w:rPr>
        <w:t>致：</w:t>
      </w:r>
      <w:r>
        <w:rPr>
          <w:rFonts w:hint="eastAsia" w:ascii="宋体" w:hAnsi="宋体"/>
          <w:color w:val="auto"/>
          <w:sz w:val="24"/>
          <w:szCs w:val="24"/>
          <w:lang w:val="en-US" w:eastAsia="zh-CN"/>
        </w:rPr>
        <w:t>腾龙芳烃(漳州)有限公司/翔鹭石化(漳州)有限公司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宋体" w:hAnsi="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2</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FHC</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盐酸</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0517</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7"/>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宋体" w:hAnsi="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2</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FHC</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盐酸</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0517</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致：</w:t>
      </w:r>
      <w:r>
        <w:rPr>
          <w:rFonts w:hint="eastAsia" w:ascii="宋体" w:hAnsi="宋体"/>
          <w:color w:val="auto"/>
          <w:sz w:val="28"/>
          <w:szCs w:val="28"/>
          <w:lang w:val="en-US" w:eastAsia="zh-CN"/>
        </w:rPr>
        <w:t>腾龙芳烃(漳州)有限公司/翔鹭石化(漳州)有限公司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宋体" w:hAnsi="宋体" w:cs="宋体"/>
          <w:color w:val="auto"/>
          <w:kern w:val="0"/>
          <w:sz w:val="24"/>
          <w:szCs w:val="24"/>
          <w:u w:val="single"/>
          <w:shd w:val="clear" w:color="auto" w:fill="FFFFFF"/>
        </w:rPr>
        <w:t>202</w:t>
      </w:r>
      <w:r>
        <w:rPr>
          <w:rFonts w:hint="eastAsia" w:ascii="宋体" w:hAnsi="宋体" w:cs="宋体"/>
          <w:color w:val="auto"/>
          <w:kern w:val="0"/>
          <w:sz w:val="24"/>
          <w:szCs w:val="24"/>
          <w:u w:val="single"/>
          <w:shd w:val="clear" w:color="auto" w:fill="FFFFFF"/>
          <w:lang w:val="en-US" w:eastAsia="zh-CN"/>
        </w:rPr>
        <w:t>2</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FHC</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盐酸</w:t>
      </w:r>
      <w:r>
        <w:rPr>
          <w:rFonts w:hint="eastAsia" w:ascii="宋体" w:hAnsi="宋体" w:cs="宋体"/>
          <w:color w:val="auto"/>
          <w:kern w:val="0"/>
          <w:sz w:val="24"/>
          <w:szCs w:val="24"/>
          <w:u w:val="single"/>
          <w:shd w:val="clear" w:color="auto" w:fill="FFFFFF"/>
        </w:rPr>
        <w:t>-</w:t>
      </w:r>
      <w:r>
        <w:rPr>
          <w:rFonts w:hint="eastAsia" w:ascii="宋体" w:hAnsi="宋体" w:cs="宋体"/>
          <w:color w:val="auto"/>
          <w:kern w:val="0"/>
          <w:sz w:val="24"/>
          <w:szCs w:val="24"/>
          <w:u w:val="single"/>
          <w:shd w:val="clear" w:color="auto" w:fill="FFFFFF"/>
          <w:lang w:val="en-US" w:eastAsia="zh-CN"/>
        </w:rPr>
        <w:t>0517</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盐酸</w:t>
      </w:r>
      <w:r>
        <w:rPr>
          <w:rFonts w:hint="eastAsia" w:ascii="宋体" w:hAnsi="宋体"/>
          <w:color w:val="auto"/>
          <w:sz w:val="24"/>
        </w:rPr>
        <w:t>：</w:t>
      </w:r>
    </w:p>
    <w:p>
      <w:pPr>
        <w:spacing w:line="500" w:lineRule="exact"/>
        <w:rPr>
          <w:rFonts w:ascii="宋体" w:hAnsi="宋体"/>
          <w:color w:val="auto"/>
          <w:sz w:val="24"/>
          <w:u w:val="single"/>
        </w:rPr>
      </w:pPr>
      <w:r>
        <w:rPr>
          <w:rFonts w:hint="eastAsia" w:ascii="宋体" w:hAnsi="宋体"/>
          <w:color w:val="auto"/>
          <w:sz w:val="24"/>
        </w:rPr>
        <w:t xml:space="preserve">  数量：</w:t>
      </w:r>
      <w:r>
        <w:rPr>
          <w:rFonts w:hint="eastAsia" w:ascii="宋体" w:hAnsi="宋体"/>
          <w:color w:val="auto"/>
          <w:sz w:val="24"/>
          <w:u w:val="single"/>
          <w:lang w:val="en-US" w:eastAsia="zh-CN"/>
        </w:rPr>
        <w:t>2400</w:t>
      </w:r>
      <w:r>
        <w:rPr>
          <w:rFonts w:hint="eastAsia" w:ascii="宋体" w:cs="宋体"/>
          <w:color w:val="auto"/>
          <w:sz w:val="24"/>
          <w:u w:val="single"/>
        </w:rPr>
        <w:t>吨</w:t>
      </w:r>
      <w:r>
        <w:rPr>
          <w:rFonts w:hint="eastAsia" w:ascii="宋体" w:cs="宋体"/>
          <w:color w:val="auto"/>
          <w:sz w:val="24"/>
        </w:rPr>
        <w:t>（数量为</w:t>
      </w:r>
      <w:r>
        <w:rPr>
          <w:rFonts w:hint="eastAsia" w:ascii="宋体" w:cs="宋体"/>
          <w:color w:val="auto"/>
          <w:sz w:val="24"/>
          <w:lang w:val="en-US" w:eastAsia="zh-CN"/>
        </w:rPr>
        <w:t>2022年7-10月</w:t>
      </w:r>
      <w:r>
        <w:rPr>
          <w:rFonts w:hint="eastAsia" w:ascii="宋体" w:cs="宋体"/>
          <w:color w:val="auto"/>
          <w:sz w:val="24"/>
        </w:rPr>
        <w:t>预估量，以实际发生量为准）</w:t>
      </w:r>
      <w:r>
        <w:rPr>
          <w:rFonts w:hint="eastAsia" w:ascii="宋体" w:hAnsi="宋体"/>
          <w:color w:val="auto"/>
          <w:sz w:val="24"/>
        </w:rPr>
        <w:t>，</w:t>
      </w:r>
    </w:p>
    <w:p>
      <w:pPr>
        <w:spacing w:line="500" w:lineRule="exact"/>
        <w:ind w:firstLine="241" w:firstLineChars="100"/>
        <w:rPr>
          <w:rFonts w:ascii="宋体" w:hAnsi="宋体"/>
          <w:b/>
          <w:bCs/>
          <w:color w:val="auto"/>
          <w:sz w:val="24"/>
          <w:u w:val="single"/>
        </w:rPr>
      </w:pPr>
      <w:r>
        <w:rPr>
          <w:rFonts w:hint="eastAsia" w:ascii="宋体" w:hAnsi="宋体"/>
          <w:b/>
          <w:bCs/>
          <w:color w:val="auto"/>
          <w:sz w:val="24"/>
        </w:rPr>
        <w:t>含税送到单价：</w:t>
      </w:r>
      <w:r>
        <w:rPr>
          <w:rFonts w:hint="eastAsia" w:ascii="宋体" w:hAnsi="宋体"/>
          <w:b/>
          <w:bCs/>
          <w:color w:val="auto"/>
          <w:sz w:val="24"/>
          <w:u w:val="single"/>
        </w:rPr>
        <w:t xml:space="preserve">        </w:t>
      </w:r>
      <w:r>
        <w:rPr>
          <w:rFonts w:hint="eastAsia" w:ascii="宋体" w:hAnsi="宋体"/>
          <w:b/>
          <w:bCs/>
          <w:color w:val="auto"/>
          <w:sz w:val="24"/>
          <w:lang w:eastAsia="zh-CN"/>
        </w:rPr>
        <w:t>元</w:t>
      </w:r>
      <w:r>
        <w:rPr>
          <w:rFonts w:hint="eastAsia" w:ascii="宋体" w:hAnsi="宋体"/>
          <w:b/>
          <w:bCs/>
          <w:color w:val="auto"/>
          <w:sz w:val="24"/>
        </w:rPr>
        <w:t>/吨，增值税税率</w:t>
      </w:r>
      <w:r>
        <w:rPr>
          <w:rFonts w:hint="eastAsia" w:ascii="宋体" w:hAnsi="宋体"/>
          <w:b/>
          <w:bCs/>
          <w:color w:val="auto"/>
          <w:sz w:val="24"/>
          <w:u w:val="single"/>
        </w:rPr>
        <w:t xml:space="preserve">  13%  。</w:t>
      </w:r>
    </w:p>
    <w:p>
      <w:pPr>
        <w:numPr>
          <w:ilvl w:val="0"/>
          <w:numId w:val="8"/>
        </w:numPr>
        <w:spacing w:line="312" w:lineRule="auto"/>
        <w:rPr>
          <w:rFonts w:ascii="宋体" w:hAnsi="宋体"/>
          <w:color w:val="auto"/>
          <w:sz w:val="24"/>
        </w:rPr>
      </w:pPr>
      <w:r>
        <w:rPr>
          <w:rFonts w:hint="eastAsia" w:ascii="宋体" w:hAnsi="宋体"/>
          <w:color w:val="auto"/>
          <w:sz w:val="24"/>
        </w:rPr>
        <w:t>质量验收标准 （详见附件1“</w:t>
      </w:r>
      <w:r>
        <w:rPr>
          <w:rFonts w:hint="eastAsia" w:ascii="宋体" w:hAnsi="宋体"/>
          <w:color w:val="auto"/>
          <w:sz w:val="24"/>
          <w:lang w:eastAsia="zh-CN"/>
        </w:rPr>
        <w:t>GB 320-2006 工业用合成盐酸</w:t>
      </w:r>
      <w:r>
        <w:rPr>
          <w:rFonts w:hint="eastAsia" w:ascii="宋体" w:hAnsi="宋体"/>
          <w:color w:val="auto"/>
          <w:sz w:val="24"/>
        </w:rPr>
        <w:t>”）。</w:t>
      </w:r>
    </w:p>
    <w:p>
      <w:pPr>
        <w:numPr>
          <w:ilvl w:val="0"/>
          <w:numId w:val="8"/>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8"/>
        </w:numPr>
        <w:spacing w:line="312" w:lineRule="auto"/>
        <w:rPr>
          <w:rFonts w:ascii="宋体" w:hAnsi="宋体"/>
          <w:color w:val="auto"/>
          <w:sz w:val="24"/>
        </w:rPr>
      </w:pPr>
      <w:r>
        <w:rPr>
          <w:rFonts w:hint="eastAsia" w:ascii="宋体" w:hAnsi="宋体"/>
          <w:color w:val="auto"/>
          <w:sz w:val="24"/>
        </w:rPr>
        <w:t>我司同意在投标前缴纳保证金</w:t>
      </w:r>
      <w:r>
        <w:rPr>
          <w:rFonts w:hint="eastAsia" w:ascii="宋体" w:hAnsi="宋体"/>
          <w:color w:val="auto"/>
          <w:sz w:val="24"/>
          <w:lang w:val="en-US" w:eastAsia="zh-CN"/>
        </w:rPr>
        <w:t>叁万元整</w:t>
      </w:r>
      <w:r>
        <w:rPr>
          <w:rFonts w:hint="eastAsia" w:ascii="宋体" w:hAnsi="宋体"/>
          <w:color w:val="auto"/>
          <w:sz w:val="24"/>
        </w:rPr>
        <w:t>。</w:t>
      </w:r>
    </w:p>
    <w:p>
      <w:pPr>
        <w:spacing w:line="312" w:lineRule="auto"/>
        <w:jc w:val="left"/>
        <w:rPr>
          <w:rFonts w:ascii="宋体" w:hAnsi="宋体"/>
          <w:color w:val="auto"/>
          <w:sz w:val="24"/>
        </w:rPr>
      </w:pPr>
      <w:r>
        <w:rPr>
          <w:rFonts w:hint="eastAsia" w:ascii="宋体" w:hAnsi="宋体"/>
          <w:color w:val="auto"/>
          <w:sz w:val="24"/>
        </w:rPr>
        <w:t>二、到货期：</w:t>
      </w:r>
      <w:r>
        <w:rPr>
          <w:rFonts w:hint="eastAsia" w:ascii="宋体" w:hAnsi="宋体" w:cs="宋体"/>
          <w:color w:val="auto"/>
          <w:sz w:val="24"/>
        </w:rPr>
        <w:t>具体以需方通知为准。</w:t>
      </w:r>
    </w:p>
    <w:p>
      <w:pPr>
        <w:spacing w:line="312" w:lineRule="auto"/>
        <w:rPr>
          <w:rFonts w:ascii="宋体" w:hAnsi="宋体"/>
          <w:color w:val="auto"/>
          <w:sz w:val="24"/>
        </w:rPr>
      </w:pPr>
      <w:r>
        <w:rPr>
          <w:rFonts w:hint="eastAsia" w:ascii="宋体" w:hAnsi="宋体"/>
          <w:color w:val="auto"/>
          <w:sz w:val="24"/>
        </w:rPr>
        <w:t>三、报价及结算方式：每批产品到货后，经需方根据双方签订的合同约定的质量、数量标准验收合格后，供方提供相应金额的13%增值税专用发票以及结算所需的各类清单，需方收到并确认无误后向供方以电汇支付货款。</w:t>
      </w:r>
    </w:p>
    <w:p>
      <w:pPr>
        <w:spacing w:line="312" w:lineRule="auto"/>
        <w:rPr>
          <w:rFonts w:ascii="宋体" w:hAnsi="宋体"/>
          <w:color w:val="auto"/>
          <w:sz w:val="24"/>
        </w:rPr>
      </w:pPr>
      <w:r>
        <w:rPr>
          <w:rFonts w:hint="eastAsia" w:ascii="宋体" w:hAnsi="宋体"/>
          <w:color w:val="auto"/>
          <w:sz w:val="24"/>
        </w:rPr>
        <w:t>四、质量验收：以需方验收结果为准。详见附件1：“</w:t>
      </w:r>
      <w:r>
        <w:rPr>
          <w:rFonts w:hint="eastAsia" w:ascii="宋体" w:hAnsi="宋体"/>
          <w:color w:val="auto"/>
          <w:sz w:val="24"/>
          <w:lang w:eastAsia="zh-CN"/>
        </w:rPr>
        <w:t>GB 320-2006 工业用合成盐酸</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数量验收以需方使用单位检验数量为准。</w:t>
      </w:r>
    </w:p>
    <w:p>
      <w:pPr>
        <w:spacing w:line="312" w:lineRule="auto"/>
        <w:rPr>
          <w:rFonts w:ascii="宋体" w:hAnsi="宋体"/>
          <w:color w:val="auto"/>
          <w:sz w:val="24"/>
        </w:rPr>
      </w:pPr>
      <w:r>
        <w:rPr>
          <w:rFonts w:hint="eastAsia" w:ascii="宋体" w:hAnsi="宋体"/>
          <w:color w:val="auto"/>
          <w:sz w:val="24"/>
        </w:rPr>
        <w:t>六、执行时间：2022年</w:t>
      </w:r>
      <w:r>
        <w:rPr>
          <w:rFonts w:hint="eastAsia" w:ascii="宋体" w:hAnsi="宋体"/>
          <w:color w:val="auto"/>
          <w:sz w:val="24"/>
          <w:lang w:val="en-US" w:eastAsia="zh-CN"/>
        </w:rPr>
        <w:t>7</w:t>
      </w:r>
      <w:r>
        <w:rPr>
          <w:rFonts w:hint="eastAsia" w:ascii="宋体" w:hAnsi="宋体"/>
          <w:color w:val="auto"/>
          <w:sz w:val="24"/>
        </w:rPr>
        <w:t>月1日</w:t>
      </w:r>
      <w:r>
        <w:rPr>
          <w:rFonts w:ascii="宋体" w:hAnsi="宋体"/>
          <w:color w:val="auto"/>
          <w:sz w:val="24"/>
        </w:rPr>
        <w:t>-20</w:t>
      </w:r>
      <w:r>
        <w:rPr>
          <w:rFonts w:hint="eastAsia" w:ascii="宋体" w:hAnsi="宋体"/>
          <w:color w:val="auto"/>
          <w:sz w:val="24"/>
        </w:rPr>
        <w:t>22年</w:t>
      </w:r>
      <w:r>
        <w:rPr>
          <w:rFonts w:hint="eastAsia" w:ascii="宋体" w:hAnsi="宋体"/>
          <w:color w:val="auto"/>
          <w:sz w:val="24"/>
          <w:lang w:val="en-US" w:eastAsia="zh-CN"/>
        </w:rPr>
        <w:t>10</w:t>
      </w:r>
      <w:r>
        <w:rPr>
          <w:rFonts w:hint="eastAsia" w:ascii="宋体" w:hAnsi="宋体"/>
          <w:color w:val="auto"/>
          <w:sz w:val="24"/>
        </w:rPr>
        <w:t>月3</w:t>
      </w:r>
      <w:r>
        <w:rPr>
          <w:rFonts w:hint="eastAsia" w:ascii="宋体" w:hAnsi="宋体"/>
          <w:color w:val="auto"/>
          <w:sz w:val="24"/>
          <w:lang w:val="en-US" w:eastAsia="zh-CN"/>
        </w:rPr>
        <w:t>1</w:t>
      </w:r>
      <w:r>
        <w:rPr>
          <w:rFonts w:hint="eastAsia" w:ascii="宋体" w:hAnsi="宋体"/>
          <w:color w:val="auto"/>
          <w:sz w:val="24"/>
        </w:rPr>
        <w:t>日，其它约定以双方签订合同为准。</w:t>
      </w: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rFonts w:hint="eastAsia" w:ascii="宋体" w:hAnsi="宋体"/>
          <w:color w:val="auto"/>
          <w:sz w:val="24"/>
        </w:rPr>
      </w:pPr>
      <w:r>
        <w:rPr>
          <w:rFonts w:hint="eastAsia" w:ascii="宋体" w:hAnsi="宋体"/>
          <w:color w:val="auto"/>
          <w:sz w:val="24"/>
        </w:rPr>
        <w:t>时间：</w:t>
      </w: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rFonts w:hint="eastAsia" w:ascii="宋体" w:hAnsi="宋体"/>
          <w:color w:val="auto"/>
          <w:sz w:val="24"/>
        </w:rPr>
      </w:pPr>
    </w:p>
    <w:p>
      <w:pPr>
        <w:spacing w:line="500" w:lineRule="exact"/>
        <w:rPr>
          <w:color w:val="auto"/>
        </w:rPr>
      </w:pP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腾龙芳烃(漳州)有限公司/翔鹭石化(漳州)有限公司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宋体" w:hAnsi="宋体" w:cs="宋体"/>
          <w:color w:val="auto"/>
          <w:kern w:val="0"/>
          <w:sz w:val="28"/>
          <w:szCs w:val="28"/>
          <w:u w:val="single"/>
          <w:shd w:val="clear" w:color="auto" w:fill="FFFFFF"/>
        </w:rPr>
        <w:t>202</w:t>
      </w:r>
      <w:r>
        <w:rPr>
          <w:rFonts w:hint="eastAsia" w:ascii="宋体" w:hAnsi="宋体" w:cs="宋体"/>
          <w:color w:val="auto"/>
          <w:kern w:val="0"/>
          <w:sz w:val="28"/>
          <w:szCs w:val="28"/>
          <w:u w:val="single"/>
          <w:shd w:val="clear" w:color="auto" w:fill="FFFFFF"/>
          <w:lang w:val="en-US" w:eastAsia="zh-CN"/>
        </w:rPr>
        <w:t>2</w:t>
      </w:r>
      <w:r>
        <w:rPr>
          <w:rFonts w:hint="eastAsia" w:ascii="宋体" w:hAnsi="宋体" w:cs="宋体"/>
          <w:color w:val="auto"/>
          <w:kern w:val="0"/>
          <w:sz w:val="28"/>
          <w:szCs w:val="28"/>
          <w:u w:val="single"/>
          <w:shd w:val="clear" w:color="auto" w:fill="FFFFFF"/>
        </w:rPr>
        <w:t>-</w:t>
      </w:r>
      <w:r>
        <w:rPr>
          <w:rFonts w:hint="eastAsia" w:ascii="宋体" w:hAnsi="宋体" w:cs="宋体"/>
          <w:color w:val="auto"/>
          <w:kern w:val="0"/>
          <w:sz w:val="28"/>
          <w:szCs w:val="28"/>
          <w:u w:val="single"/>
          <w:shd w:val="clear" w:color="auto" w:fill="FFFFFF"/>
          <w:lang w:val="en-US" w:eastAsia="zh-CN"/>
        </w:rPr>
        <w:t>FHC</w:t>
      </w:r>
      <w:r>
        <w:rPr>
          <w:rFonts w:hint="eastAsia" w:ascii="宋体" w:hAnsi="宋体" w:cs="宋体"/>
          <w:color w:val="auto"/>
          <w:kern w:val="0"/>
          <w:sz w:val="28"/>
          <w:szCs w:val="28"/>
          <w:u w:val="single"/>
          <w:shd w:val="clear" w:color="auto" w:fill="FFFFFF"/>
        </w:rPr>
        <w:t>-</w:t>
      </w:r>
      <w:r>
        <w:rPr>
          <w:rFonts w:hint="eastAsia" w:ascii="宋体" w:hAnsi="宋体" w:cs="宋体"/>
          <w:color w:val="auto"/>
          <w:kern w:val="0"/>
          <w:sz w:val="28"/>
          <w:szCs w:val="28"/>
          <w:u w:val="single"/>
          <w:shd w:val="clear" w:color="auto" w:fill="FFFFFF"/>
          <w:lang w:val="en-US" w:eastAsia="zh-CN"/>
        </w:rPr>
        <w:t>盐酸</w:t>
      </w:r>
      <w:r>
        <w:rPr>
          <w:rFonts w:hint="eastAsia" w:ascii="宋体" w:hAnsi="宋体" w:cs="宋体"/>
          <w:color w:val="auto"/>
          <w:kern w:val="0"/>
          <w:sz w:val="28"/>
          <w:szCs w:val="28"/>
          <w:u w:val="single"/>
          <w:shd w:val="clear" w:color="auto" w:fill="FFFFFF"/>
        </w:rPr>
        <w:t>-</w:t>
      </w:r>
      <w:r>
        <w:rPr>
          <w:rFonts w:hint="eastAsia" w:ascii="宋体" w:hAnsi="宋体" w:cs="宋体"/>
          <w:color w:val="auto"/>
          <w:kern w:val="0"/>
          <w:sz w:val="28"/>
          <w:szCs w:val="28"/>
          <w:u w:val="single"/>
          <w:shd w:val="clear" w:color="auto" w:fill="FFFFFF"/>
          <w:lang w:val="en-US" w:eastAsia="zh-CN"/>
        </w:rPr>
        <w:t>0517</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u w:val="single"/>
        </w:rPr>
        <w:t xml:space="preserve"> （详见附件1“</w:t>
      </w:r>
      <w:r>
        <w:rPr>
          <w:rFonts w:hint="eastAsia" w:ascii="宋体" w:hAnsi="宋体"/>
          <w:color w:val="auto"/>
          <w:sz w:val="28"/>
          <w:szCs w:val="28"/>
          <w:u w:val="single"/>
          <w:lang w:eastAsia="zh-CN"/>
        </w:rPr>
        <w:t>GB 320-2006 工业用合成盐酸</w:t>
      </w:r>
      <w:r>
        <w:rPr>
          <w:rFonts w:hint="eastAsia" w:ascii="宋体" w:hAnsi="宋体"/>
          <w:color w:val="auto"/>
          <w:sz w:val="28"/>
          <w:szCs w:val="28"/>
          <w:u w:val="single"/>
        </w:rPr>
        <w:t>”）</w:t>
      </w:r>
      <w:bookmarkEnd w:id="1"/>
      <w:r>
        <w:rPr>
          <w:rFonts w:hint="eastAsia" w:ascii="宋体" w:hAnsi="宋体"/>
          <w:color w:val="auto"/>
          <w:sz w:val="28"/>
          <w:szCs w:val="28"/>
        </w:rPr>
        <w:t>；数量：</w:t>
      </w:r>
      <w:r>
        <w:rPr>
          <w:rFonts w:hint="eastAsia" w:ascii="宋体" w:hAnsi="宋体"/>
          <w:color w:val="auto"/>
          <w:sz w:val="28"/>
          <w:szCs w:val="28"/>
          <w:u w:val="single"/>
          <w:lang w:val="en-US" w:eastAsia="zh-CN"/>
        </w:rPr>
        <w:t>2400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hint="eastAsia"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eastAsia="zh-CN"/>
        </w:rPr>
        <w:t>GB 320-2006 工业用合成盐酸</w:t>
      </w:r>
      <w:r>
        <w:rPr>
          <w:rFonts w:hint="eastAsia" w:ascii="宋体" w:hAnsi="宋体"/>
          <w:color w:val="auto"/>
          <w:sz w:val="28"/>
          <w:szCs w:val="28"/>
          <w:u w:val="single"/>
        </w:rPr>
        <w:t>”）</w:t>
      </w:r>
      <w:r>
        <w:rPr>
          <w:rFonts w:hint="eastAsia" w:ascii="宋体" w:hAnsi="宋体"/>
          <w:color w:val="auto"/>
          <w:sz w:val="28"/>
          <w:szCs w:val="28"/>
        </w:rPr>
        <w:t>；数量：</w:t>
      </w:r>
      <w:r>
        <w:rPr>
          <w:rFonts w:hint="eastAsia" w:ascii="宋体" w:hAnsi="宋体"/>
          <w:color w:val="auto"/>
          <w:sz w:val="28"/>
          <w:szCs w:val="28"/>
          <w:u w:val="single"/>
          <w:lang w:val="en-US" w:eastAsia="zh-CN"/>
        </w:rPr>
        <w:t>2400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rPr>
          <w:rFonts w:ascii="宋体"/>
          <w:color w:val="auto"/>
          <w:sz w:val="28"/>
          <w:szCs w:val="28"/>
        </w:rPr>
      </w:pPr>
      <w:r>
        <w:rPr>
          <w:rFonts w:hint="eastAsia" w:ascii="宋体" w:hAnsi="宋体"/>
          <w:color w:val="auto"/>
          <w:sz w:val="28"/>
          <w:szCs w:val="28"/>
        </w:rPr>
        <w:t>执行时间：2022年</w:t>
      </w:r>
      <w:r>
        <w:rPr>
          <w:rFonts w:hint="eastAsia" w:ascii="宋体" w:hAnsi="宋体"/>
          <w:color w:val="auto"/>
          <w:sz w:val="28"/>
          <w:szCs w:val="28"/>
          <w:lang w:val="en-US" w:eastAsia="zh-CN"/>
        </w:rPr>
        <w:t>7</w:t>
      </w:r>
      <w:r>
        <w:rPr>
          <w:rFonts w:hint="eastAsia" w:ascii="宋体" w:hAnsi="宋体"/>
          <w:color w:val="auto"/>
          <w:sz w:val="28"/>
          <w:szCs w:val="28"/>
        </w:rPr>
        <w:t>月1日</w:t>
      </w:r>
      <w:r>
        <w:rPr>
          <w:rFonts w:ascii="宋体" w:hAnsi="宋体"/>
          <w:color w:val="auto"/>
          <w:sz w:val="28"/>
          <w:szCs w:val="28"/>
        </w:rPr>
        <w:t>-</w:t>
      </w:r>
      <w:r>
        <w:rPr>
          <w:rFonts w:hint="eastAsia" w:ascii="宋体" w:hAnsi="宋体"/>
          <w:color w:val="auto"/>
          <w:sz w:val="28"/>
          <w:szCs w:val="28"/>
        </w:rPr>
        <w:t>2022年</w:t>
      </w:r>
      <w:r>
        <w:rPr>
          <w:rFonts w:hint="eastAsia" w:ascii="宋体" w:hAnsi="宋体"/>
          <w:color w:val="auto"/>
          <w:sz w:val="28"/>
          <w:szCs w:val="28"/>
          <w:lang w:val="en-US" w:eastAsia="zh-CN"/>
        </w:rPr>
        <w:t>10</w:t>
      </w:r>
      <w:r>
        <w:rPr>
          <w:rFonts w:hint="eastAsia" w:ascii="宋体" w:hAnsi="宋体"/>
          <w:color w:val="auto"/>
          <w:sz w:val="28"/>
          <w:szCs w:val="28"/>
        </w:rPr>
        <w:t>月3</w:t>
      </w:r>
      <w:r>
        <w:rPr>
          <w:rFonts w:hint="eastAsia" w:ascii="宋体" w:hAnsi="宋体"/>
          <w:color w:val="auto"/>
          <w:sz w:val="28"/>
          <w:szCs w:val="28"/>
          <w:lang w:val="en-US" w:eastAsia="zh-CN"/>
        </w:rPr>
        <w:t>1</w:t>
      </w:r>
      <w:r>
        <w:rPr>
          <w:rFonts w:hint="eastAsia" w:ascii="宋体" w:hAnsi="宋体"/>
          <w:color w:val="auto"/>
          <w:sz w:val="28"/>
          <w:szCs w:val="28"/>
        </w:rPr>
        <w:t>日</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C9141"/>
    <w:multiLevelType w:val="singleLevel"/>
    <w:tmpl w:val="AD5C9141"/>
    <w:lvl w:ilvl="0" w:tentative="0">
      <w:start w:val="6"/>
      <w:numFmt w:val="decimal"/>
      <w:lvlText w:val="%1."/>
      <w:lvlJc w:val="left"/>
      <w:pPr>
        <w:tabs>
          <w:tab w:val="left" w:pos="312"/>
        </w:tabs>
      </w:pPr>
    </w:lvl>
  </w:abstractNum>
  <w:abstractNum w:abstractNumId="1">
    <w:nsid w:val="00000014"/>
    <w:multiLevelType w:val="singleLevel"/>
    <w:tmpl w:val="00000014"/>
    <w:lvl w:ilvl="0" w:tentative="0">
      <w:start w:val="1"/>
      <w:numFmt w:val="decimal"/>
      <w:suff w:val="nothing"/>
      <w:lvlText w:val="%1."/>
      <w:lvlJc w:val="left"/>
      <w:rPr>
        <w:rFonts w:cs="Times New Roman"/>
      </w:rPr>
    </w:lvl>
  </w:abstractNum>
  <w:abstractNum w:abstractNumId="2">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7"/>
  </w:num>
  <w:num w:numId="2">
    <w:abstractNumId w:val="2"/>
  </w:num>
  <w:num w:numId="3">
    <w:abstractNumId w:val="8"/>
  </w:num>
  <w:num w:numId="4">
    <w:abstractNumId w:val="3"/>
  </w:num>
  <w:num w:numId="5">
    <w:abstractNumId w:val="4"/>
  </w:num>
  <w:num w:numId="6">
    <w:abstractNumId w:val="0"/>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36AD9"/>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4575E"/>
    <w:rsid w:val="00E67462"/>
    <w:rsid w:val="00EB32DE"/>
    <w:rsid w:val="00EB6925"/>
    <w:rsid w:val="00EC5BC5"/>
    <w:rsid w:val="00EE4E5B"/>
    <w:rsid w:val="00EF050E"/>
    <w:rsid w:val="00EF5988"/>
    <w:rsid w:val="00F139DE"/>
    <w:rsid w:val="00F43CBE"/>
    <w:rsid w:val="00F564F6"/>
    <w:rsid w:val="00F66DB4"/>
    <w:rsid w:val="00F7626A"/>
    <w:rsid w:val="01AB4154"/>
    <w:rsid w:val="021D391B"/>
    <w:rsid w:val="024C0384"/>
    <w:rsid w:val="032A3140"/>
    <w:rsid w:val="032D15FD"/>
    <w:rsid w:val="032F04D8"/>
    <w:rsid w:val="03E5328D"/>
    <w:rsid w:val="042207A6"/>
    <w:rsid w:val="04677517"/>
    <w:rsid w:val="046E24C0"/>
    <w:rsid w:val="04A21245"/>
    <w:rsid w:val="05A028E5"/>
    <w:rsid w:val="05CE4353"/>
    <w:rsid w:val="064416AA"/>
    <w:rsid w:val="06964B9A"/>
    <w:rsid w:val="06A3708D"/>
    <w:rsid w:val="077632ED"/>
    <w:rsid w:val="090A2F1F"/>
    <w:rsid w:val="09691543"/>
    <w:rsid w:val="0A58515B"/>
    <w:rsid w:val="0A5E0098"/>
    <w:rsid w:val="0B4A13AC"/>
    <w:rsid w:val="0B4B49E0"/>
    <w:rsid w:val="0B8E420A"/>
    <w:rsid w:val="0E483EBD"/>
    <w:rsid w:val="0F8C0A60"/>
    <w:rsid w:val="0FA364D6"/>
    <w:rsid w:val="0FE34343"/>
    <w:rsid w:val="1115075C"/>
    <w:rsid w:val="111E4EA7"/>
    <w:rsid w:val="11715093"/>
    <w:rsid w:val="118A38B5"/>
    <w:rsid w:val="12837C22"/>
    <w:rsid w:val="12CF31F9"/>
    <w:rsid w:val="1387789C"/>
    <w:rsid w:val="13A30CD4"/>
    <w:rsid w:val="13B74194"/>
    <w:rsid w:val="15033088"/>
    <w:rsid w:val="15101A52"/>
    <w:rsid w:val="15BF2E22"/>
    <w:rsid w:val="15C31A47"/>
    <w:rsid w:val="16172661"/>
    <w:rsid w:val="16270A04"/>
    <w:rsid w:val="17321BBD"/>
    <w:rsid w:val="178C691A"/>
    <w:rsid w:val="184968FC"/>
    <w:rsid w:val="19196743"/>
    <w:rsid w:val="1A2F6DF9"/>
    <w:rsid w:val="1A9D3E73"/>
    <w:rsid w:val="1AFD66F4"/>
    <w:rsid w:val="1B233A0E"/>
    <w:rsid w:val="1B927AE6"/>
    <w:rsid w:val="1C8261A0"/>
    <w:rsid w:val="1D0113C9"/>
    <w:rsid w:val="1D05782C"/>
    <w:rsid w:val="1DD33EEF"/>
    <w:rsid w:val="1E3264F3"/>
    <w:rsid w:val="1EBD3B62"/>
    <w:rsid w:val="1F02429F"/>
    <w:rsid w:val="1F4845DC"/>
    <w:rsid w:val="1F8E0D88"/>
    <w:rsid w:val="207E3421"/>
    <w:rsid w:val="2090579A"/>
    <w:rsid w:val="20AF45AF"/>
    <w:rsid w:val="21BD6DBB"/>
    <w:rsid w:val="22003DA2"/>
    <w:rsid w:val="221A3813"/>
    <w:rsid w:val="22521DD3"/>
    <w:rsid w:val="23464916"/>
    <w:rsid w:val="23591CA7"/>
    <w:rsid w:val="237B661E"/>
    <w:rsid w:val="238B4E5F"/>
    <w:rsid w:val="23BF50C8"/>
    <w:rsid w:val="247C7073"/>
    <w:rsid w:val="2496308D"/>
    <w:rsid w:val="258C0EF7"/>
    <w:rsid w:val="25CB1E8B"/>
    <w:rsid w:val="27CF60B0"/>
    <w:rsid w:val="27E234BC"/>
    <w:rsid w:val="280475E2"/>
    <w:rsid w:val="29B80978"/>
    <w:rsid w:val="29D17C38"/>
    <w:rsid w:val="2AC11AAE"/>
    <w:rsid w:val="2AE335AC"/>
    <w:rsid w:val="2BE04E2E"/>
    <w:rsid w:val="2BEE5A24"/>
    <w:rsid w:val="2C3328C4"/>
    <w:rsid w:val="2D2B1461"/>
    <w:rsid w:val="2E12514F"/>
    <w:rsid w:val="2E351771"/>
    <w:rsid w:val="2F210D6D"/>
    <w:rsid w:val="30071591"/>
    <w:rsid w:val="30275B42"/>
    <w:rsid w:val="30985912"/>
    <w:rsid w:val="30E60CDF"/>
    <w:rsid w:val="30F2089F"/>
    <w:rsid w:val="312B136C"/>
    <w:rsid w:val="31CE1FAB"/>
    <w:rsid w:val="322E5C7B"/>
    <w:rsid w:val="328F6057"/>
    <w:rsid w:val="32A75EF3"/>
    <w:rsid w:val="33413E8A"/>
    <w:rsid w:val="35010EDF"/>
    <w:rsid w:val="35327452"/>
    <w:rsid w:val="35FC498E"/>
    <w:rsid w:val="36215A7E"/>
    <w:rsid w:val="36417C8D"/>
    <w:rsid w:val="366436B8"/>
    <w:rsid w:val="37ED7F2D"/>
    <w:rsid w:val="38A94FE7"/>
    <w:rsid w:val="39137A71"/>
    <w:rsid w:val="391433B1"/>
    <w:rsid w:val="39533B1C"/>
    <w:rsid w:val="39657C8F"/>
    <w:rsid w:val="3969383E"/>
    <w:rsid w:val="39B95E18"/>
    <w:rsid w:val="3A4967DD"/>
    <w:rsid w:val="3A9A2FE2"/>
    <w:rsid w:val="3AD63889"/>
    <w:rsid w:val="3B293E28"/>
    <w:rsid w:val="3B532B57"/>
    <w:rsid w:val="3BD776DA"/>
    <w:rsid w:val="3C1E5B01"/>
    <w:rsid w:val="3C333506"/>
    <w:rsid w:val="3C656913"/>
    <w:rsid w:val="3CFE624A"/>
    <w:rsid w:val="3D321A44"/>
    <w:rsid w:val="3D475A63"/>
    <w:rsid w:val="3FEE6A4A"/>
    <w:rsid w:val="401F30A7"/>
    <w:rsid w:val="4080740C"/>
    <w:rsid w:val="40831E81"/>
    <w:rsid w:val="409057BD"/>
    <w:rsid w:val="41186225"/>
    <w:rsid w:val="416F5968"/>
    <w:rsid w:val="418324AC"/>
    <w:rsid w:val="419569E0"/>
    <w:rsid w:val="41A04200"/>
    <w:rsid w:val="41C31032"/>
    <w:rsid w:val="41CC2295"/>
    <w:rsid w:val="42257F84"/>
    <w:rsid w:val="422D3D55"/>
    <w:rsid w:val="42680DF6"/>
    <w:rsid w:val="42DC0DDB"/>
    <w:rsid w:val="42E62926"/>
    <w:rsid w:val="43482915"/>
    <w:rsid w:val="4351032C"/>
    <w:rsid w:val="43B34686"/>
    <w:rsid w:val="43E44E60"/>
    <w:rsid w:val="44236751"/>
    <w:rsid w:val="448C78B8"/>
    <w:rsid w:val="44CB1108"/>
    <w:rsid w:val="45C94E39"/>
    <w:rsid w:val="462B26C9"/>
    <w:rsid w:val="464B079B"/>
    <w:rsid w:val="468077A8"/>
    <w:rsid w:val="468E6ECD"/>
    <w:rsid w:val="46DE637E"/>
    <w:rsid w:val="46EA56DB"/>
    <w:rsid w:val="476C6251"/>
    <w:rsid w:val="479C322F"/>
    <w:rsid w:val="47A978DA"/>
    <w:rsid w:val="48081467"/>
    <w:rsid w:val="48295411"/>
    <w:rsid w:val="48930388"/>
    <w:rsid w:val="493B7D23"/>
    <w:rsid w:val="497038CD"/>
    <w:rsid w:val="49730A66"/>
    <w:rsid w:val="499A66C3"/>
    <w:rsid w:val="4B4A24A6"/>
    <w:rsid w:val="4C204881"/>
    <w:rsid w:val="4C82133E"/>
    <w:rsid w:val="4D143DFB"/>
    <w:rsid w:val="4E0062C6"/>
    <w:rsid w:val="4E89125E"/>
    <w:rsid w:val="4EF66C8E"/>
    <w:rsid w:val="4F4E1D81"/>
    <w:rsid w:val="4F8270FB"/>
    <w:rsid w:val="4FA265C1"/>
    <w:rsid w:val="4FAF2ACB"/>
    <w:rsid w:val="4FFC0DFC"/>
    <w:rsid w:val="506C7F18"/>
    <w:rsid w:val="507E72C1"/>
    <w:rsid w:val="508235A6"/>
    <w:rsid w:val="50DE33C7"/>
    <w:rsid w:val="51092694"/>
    <w:rsid w:val="512F6EC2"/>
    <w:rsid w:val="513403C7"/>
    <w:rsid w:val="518B38CB"/>
    <w:rsid w:val="51E26721"/>
    <w:rsid w:val="529A77A5"/>
    <w:rsid w:val="53A82B52"/>
    <w:rsid w:val="53ED6794"/>
    <w:rsid w:val="54093799"/>
    <w:rsid w:val="542657F3"/>
    <w:rsid w:val="542A50A2"/>
    <w:rsid w:val="542D5399"/>
    <w:rsid w:val="54B059A5"/>
    <w:rsid w:val="55E907A3"/>
    <w:rsid w:val="56195634"/>
    <w:rsid w:val="56325307"/>
    <w:rsid w:val="5659474A"/>
    <w:rsid w:val="56732B47"/>
    <w:rsid w:val="58193F53"/>
    <w:rsid w:val="58BD4EAA"/>
    <w:rsid w:val="58DA20C8"/>
    <w:rsid w:val="597B1D66"/>
    <w:rsid w:val="59B64E5B"/>
    <w:rsid w:val="59C41AA5"/>
    <w:rsid w:val="5A772BA7"/>
    <w:rsid w:val="5B510FBA"/>
    <w:rsid w:val="5B5E370D"/>
    <w:rsid w:val="5B713427"/>
    <w:rsid w:val="5C8B0489"/>
    <w:rsid w:val="5CB11123"/>
    <w:rsid w:val="5CCB321D"/>
    <w:rsid w:val="5D3038FF"/>
    <w:rsid w:val="5E3D7D48"/>
    <w:rsid w:val="5E5B4B1E"/>
    <w:rsid w:val="5EDC2437"/>
    <w:rsid w:val="5F4856E5"/>
    <w:rsid w:val="5F683B20"/>
    <w:rsid w:val="5F6A1B70"/>
    <w:rsid w:val="603C6B90"/>
    <w:rsid w:val="60E930B4"/>
    <w:rsid w:val="61034DA8"/>
    <w:rsid w:val="61391E0A"/>
    <w:rsid w:val="61716ECA"/>
    <w:rsid w:val="61A65EB7"/>
    <w:rsid w:val="62772330"/>
    <w:rsid w:val="64383FFB"/>
    <w:rsid w:val="651A5C4B"/>
    <w:rsid w:val="653116C9"/>
    <w:rsid w:val="653762FE"/>
    <w:rsid w:val="653A164C"/>
    <w:rsid w:val="65B31BCC"/>
    <w:rsid w:val="667E7566"/>
    <w:rsid w:val="68031777"/>
    <w:rsid w:val="68885CD3"/>
    <w:rsid w:val="68F0116E"/>
    <w:rsid w:val="69085BD7"/>
    <w:rsid w:val="6960653E"/>
    <w:rsid w:val="6B9A256C"/>
    <w:rsid w:val="6BA373FF"/>
    <w:rsid w:val="6BEB1E5F"/>
    <w:rsid w:val="6C4957FC"/>
    <w:rsid w:val="6D3E0CE6"/>
    <w:rsid w:val="6D6E3F95"/>
    <w:rsid w:val="6DB151E2"/>
    <w:rsid w:val="6DBF39F3"/>
    <w:rsid w:val="6E80463B"/>
    <w:rsid w:val="6F457884"/>
    <w:rsid w:val="6F8C7070"/>
    <w:rsid w:val="6FE70842"/>
    <w:rsid w:val="6FF53E70"/>
    <w:rsid w:val="701A2DBF"/>
    <w:rsid w:val="703B4D4B"/>
    <w:rsid w:val="70642ED3"/>
    <w:rsid w:val="70763652"/>
    <w:rsid w:val="70A15996"/>
    <w:rsid w:val="713779A1"/>
    <w:rsid w:val="72CC3F86"/>
    <w:rsid w:val="72E24278"/>
    <w:rsid w:val="73293EB8"/>
    <w:rsid w:val="73843B37"/>
    <w:rsid w:val="73AA2AB8"/>
    <w:rsid w:val="7448595E"/>
    <w:rsid w:val="745139F7"/>
    <w:rsid w:val="74A25915"/>
    <w:rsid w:val="75706FDE"/>
    <w:rsid w:val="75940C8C"/>
    <w:rsid w:val="75C940ED"/>
    <w:rsid w:val="76D15FF3"/>
    <w:rsid w:val="77550A67"/>
    <w:rsid w:val="77552C32"/>
    <w:rsid w:val="77A85270"/>
    <w:rsid w:val="77B83BB6"/>
    <w:rsid w:val="77BA2D12"/>
    <w:rsid w:val="7856695F"/>
    <w:rsid w:val="7866427B"/>
    <w:rsid w:val="78F732D8"/>
    <w:rsid w:val="790F1791"/>
    <w:rsid w:val="79775EC9"/>
    <w:rsid w:val="7A37206F"/>
    <w:rsid w:val="7A7E5483"/>
    <w:rsid w:val="7AEF4728"/>
    <w:rsid w:val="7B7027FC"/>
    <w:rsid w:val="7B740622"/>
    <w:rsid w:val="7B994BC5"/>
    <w:rsid w:val="7C152DD9"/>
    <w:rsid w:val="7C520931"/>
    <w:rsid w:val="7D34076E"/>
    <w:rsid w:val="7D53381A"/>
    <w:rsid w:val="7DE77FA4"/>
    <w:rsid w:val="7E9B2B28"/>
    <w:rsid w:val="7EB15D7C"/>
    <w:rsid w:val="7EB910BD"/>
    <w:rsid w:val="7F965D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basedOn w:val="7"/>
    <w:semiHidden/>
    <w:unhideWhenUsed/>
    <w:qFormat/>
    <w:uiPriority w:val="0"/>
    <w:rPr>
      <w:color w:val="0091F2"/>
      <w:sz w:val="18"/>
      <w:szCs w:val="18"/>
      <w:u w:val="none"/>
    </w:rPr>
  </w:style>
  <w:style w:type="character" w:styleId="9">
    <w:name w:val="Hyperlink"/>
    <w:basedOn w:val="7"/>
    <w:semiHidden/>
    <w:unhideWhenUsed/>
    <w:qFormat/>
    <w:uiPriority w:val="0"/>
    <w:rPr>
      <w:color w:val="0091F2"/>
      <w:sz w:val="18"/>
      <w:szCs w:val="18"/>
      <w:u w:val="none"/>
    </w:rPr>
  </w:style>
  <w:style w:type="character" w:styleId="10">
    <w:name w:val="HTML Code"/>
    <w:basedOn w:val="7"/>
    <w:semiHidden/>
    <w:unhideWhenUsed/>
    <w:qFormat/>
    <w:uiPriority w:val="0"/>
    <w:rPr>
      <w:rFonts w:ascii="Courier New" w:hAnsi="Courier New"/>
      <w:sz w:val="20"/>
    </w:rPr>
  </w:style>
  <w:style w:type="paragraph" w:customStyle="1" w:styleId="11">
    <w:name w:val="列表段落1"/>
    <w:basedOn w:val="1"/>
    <w:qFormat/>
    <w:uiPriority w:val="34"/>
    <w:pPr>
      <w:spacing w:before="206"/>
      <w:ind w:left="959" w:hanging="361"/>
    </w:pPr>
  </w:style>
  <w:style w:type="character" w:customStyle="1" w:styleId="12">
    <w:name w:val="cd_message"/>
    <w:basedOn w:val="7"/>
    <w:qFormat/>
    <w:uiPriority w:val="0"/>
  </w:style>
  <w:style w:type="paragraph" w:customStyle="1" w:styleId="13">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4">
    <w:name w:val="列出段落1"/>
    <w:basedOn w:val="1"/>
    <w:qFormat/>
    <w:uiPriority w:val="99"/>
    <w:pPr>
      <w:ind w:firstLine="420" w:firstLineChars="200"/>
    </w:pPr>
  </w:style>
  <w:style w:type="character" w:customStyle="1" w:styleId="15">
    <w:name w:val="页眉 字符"/>
    <w:basedOn w:val="7"/>
    <w:link w:val="5"/>
    <w:qFormat/>
    <w:uiPriority w:val="0"/>
    <w:rPr>
      <w:kern w:val="2"/>
      <w:sz w:val="18"/>
      <w:szCs w:val="18"/>
    </w:rPr>
  </w:style>
  <w:style w:type="character" w:customStyle="1" w:styleId="16">
    <w:name w:val="common_over_page_btn1"/>
    <w:basedOn w:val="7"/>
    <w:qFormat/>
    <w:uiPriority w:val="0"/>
  </w:style>
  <w:style w:type="character" w:customStyle="1" w:styleId="17">
    <w:name w:val="common_over_page_btn2"/>
    <w:basedOn w:val="7"/>
    <w:qFormat/>
    <w:uiPriority w:val="0"/>
    <w:rPr>
      <w:color w:val="999999"/>
      <w:bdr w:val="single" w:color="D4D4D4" w:sz="6" w:space="0"/>
      <w:shd w:val="clear" w:color="auto" w:fill="FFFFFF"/>
    </w:rPr>
  </w:style>
  <w:style w:type="paragraph" w:customStyle="1" w:styleId="18">
    <w:name w:val="Table Paragraph"/>
    <w:basedOn w:val="1"/>
    <w:qFormat/>
    <w:uiPriority w:val="1"/>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111</TotalTime>
  <ScaleCrop>false</ScaleCrop>
  <LinksUpToDate>false</LinksUpToDate>
  <CharactersWithSpaces>5441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YQM</cp:lastModifiedBy>
  <dcterms:modified xsi:type="dcterms:W3CDTF">2022-05-17T03:13:05Z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0CCB45109742491C9608F5CFE7FDA0D2</vt:lpwstr>
  </property>
</Properties>
</file>