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电气</w:t>
      </w:r>
      <w:r>
        <w:rPr>
          <w:rFonts w:hint="eastAsia" w:ascii="微软雅黑" w:eastAsia="微软雅黑"/>
          <w:b/>
          <w:sz w:val="52"/>
          <w:szCs w:val="22"/>
          <w:u w:val="single"/>
          <w:lang w:eastAsia="zh-CN"/>
        </w:rPr>
        <w:t>团队</w:t>
      </w:r>
      <w:r>
        <w:rPr>
          <w:rFonts w:hint="eastAsia" w:ascii="微软雅黑" w:eastAsia="微软雅黑"/>
          <w:b/>
          <w:sz w:val="52"/>
          <w:szCs w:val="22"/>
          <w:u w:val="single"/>
          <w:lang w:val="en-US" w:eastAsia="zh-CN"/>
        </w:rPr>
        <w:t>11台UPS主机</w:t>
      </w:r>
      <w:r>
        <w:rPr>
          <w:rFonts w:hint="eastAsia" w:ascii="微软雅黑" w:eastAsia="微软雅黑"/>
          <w:b/>
          <w:sz w:val="52"/>
          <w:szCs w:val="22"/>
          <w:u w:val="single"/>
          <w:lang w:eastAsia="zh-CN"/>
        </w:rPr>
        <w:t>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eastAsia="zh-CN"/>
        </w:rPr>
        <w:t>QG2202150082</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二〇二二年五月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 xml:space="preserve">福建福海创石油化工有限公司电气团队11台UPS主机采购项目    </w:t>
      </w:r>
      <w:r>
        <w:rPr>
          <w:rFonts w:hint="eastAsia"/>
          <w:b/>
          <w:bCs/>
          <w:sz w:val="32"/>
          <w:lang w:val="en-US" w:eastAsia="zh-CN"/>
        </w:rPr>
        <w:t xml:space="preserve">  </w:t>
      </w:r>
      <w:r>
        <w:rPr>
          <w:rFonts w:hint="eastAsia"/>
          <w:b/>
          <w:bCs/>
          <w:sz w:val="32"/>
          <w:lang w:eastAsia="zh-CN"/>
        </w:rPr>
        <w:t xml:space="preserve">  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福建福海创石油化工有限公司电气团队11台UPS主机采购项目（项目编号：QG2202150082）</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项目名称：福建福海创石油化工有限公司电气团队11台UPS主机采购项目。</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见附件1《采购清单》，具体技术要求</w:t>
      </w:r>
      <w:r>
        <w:rPr>
          <w:sz w:val="24"/>
          <w:szCs w:val="24"/>
          <w:lang w:eastAsia="zh-CN"/>
        </w:rPr>
        <w:t>详</w:t>
      </w:r>
      <w:r>
        <w:rPr>
          <w:rFonts w:hint="eastAsia"/>
          <w:sz w:val="24"/>
          <w:szCs w:val="24"/>
          <w:lang w:val="en-US" w:eastAsia="zh-CN"/>
        </w:rPr>
        <w:t>附件2</w:t>
      </w:r>
      <w:r>
        <w:rPr>
          <w:rFonts w:hint="eastAsia"/>
          <w:sz w:val="24"/>
          <w:szCs w:val="24"/>
          <w:lang w:eastAsia="zh-CN"/>
        </w:rPr>
        <w:t>《</w:t>
      </w:r>
      <w:r>
        <w:rPr>
          <w:rFonts w:hint="eastAsia"/>
          <w:sz w:val="24"/>
          <w:szCs w:val="24"/>
          <w:lang w:val="en-US" w:eastAsia="zh-CN"/>
        </w:rPr>
        <w:t>技术协议要求》</w:t>
      </w:r>
      <w:r>
        <w:rPr>
          <w:rFonts w:hint="eastAsia"/>
          <w:sz w:val="24"/>
          <w:szCs w:val="24"/>
          <w:lang w:eastAsia="zh-CN"/>
        </w:rPr>
        <w:t>。</w:t>
      </w:r>
    </w:p>
    <w:p>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168.016</w:t>
      </w:r>
      <w:r>
        <w:rPr>
          <w:sz w:val="24"/>
          <w:szCs w:val="24"/>
          <w:lang w:eastAsia="zh-CN"/>
        </w:rPr>
        <w:t>万元</w:t>
      </w:r>
      <w:r>
        <w:rPr>
          <w:rFonts w:hint="eastAsia"/>
          <w:sz w:val="24"/>
          <w:szCs w:val="24"/>
          <w:lang w:eastAsia="zh-CN"/>
        </w:rPr>
        <w:t>（含</w:t>
      </w:r>
      <w:r>
        <w:rPr>
          <w:rFonts w:hint="eastAsia"/>
          <w:sz w:val="24"/>
          <w:szCs w:val="24"/>
          <w:lang w:val="en-US" w:eastAsia="zh-CN"/>
        </w:rPr>
        <w:t>13%增值</w:t>
      </w:r>
      <w:r>
        <w:rPr>
          <w:rFonts w:hint="eastAsia"/>
          <w:sz w:val="24"/>
          <w:szCs w:val="24"/>
          <w:lang w:eastAsia="zh-CN"/>
        </w:rPr>
        <w:t>税）。</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1.参选单位应是具备独立法人资格且有能力按我司需求提供货物及服务的制造商或有正式授权书的代理商。</w:t>
      </w:r>
    </w:p>
    <w:p>
      <w:pPr>
        <w:pStyle w:val="202"/>
        <w:spacing w:line="360" w:lineRule="auto"/>
        <w:ind w:firstLine="480"/>
        <w:rPr>
          <w:rFonts w:hint="eastAsia" w:eastAsia="宋体"/>
          <w:sz w:val="24"/>
          <w:szCs w:val="24"/>
          <w:lang w:val="en-US" w:eastAsia="zh-CN"/>
        </w:rPr>
      </w:pPr>
      <w:r>
        <w:rPr>
          <w:rFonts w:hint="eastAsia"/>
          <w:sz w:val="24"/>
          <w:szCs w:val="24"/>
          <w:lang w:val="en-US" w:eastAsia="zh-CN"/>
        </w:rPr>
        <w:t>2.单位负责人为同一人或者存在控股、管理关系的不同单位，不得同时参选本项目。</w:t>
      </w:r>
      <w:r>
        <w:rPr>
          <w:color w:val="000000" w:themeColor="text1"/>
          <w:sz w:val="24"/>
          <w:szCs w:val="24"/>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3.参选单位应有近三年石化行业相同规格或更大规格的业绩。</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4.本采购项目不接受联合体参选。</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5.具有售后服务能力，提供相关技术支持。</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6.与我司无诉讼纠纷。</w:t>
      </w:r>
    </w:p>
    <w:p>
      <w:pPr>
        <w:tabs>
          <w:tab w:val="left" w:pos="709"/>
        </w:tabs>
        <w:spacing w:line="360" w:lineRule="auto"/>
        <w:ind w:firstLine="480" w:firstLineChars="200"/>
        <w:rPr>
          <w:rFonts w:hint="eastAsia"/>
          <w:sz w:val="24"/>
          <w:szCs w:val="24"/>
          <w:lang w:eastAsia="zh-CN"/>
        </w:rPr>
      </w:pPr>
      <w:r>
        <w:rPr>
          <w:rFonts w:hint="eastAsia"/>
          <w:sz w:val="24"/>
          <w:szCs w:val="24"/>
          <w:lang w:val="en-US" w:eastAsia="zh-CN"/>
        </w:rPr>
        <w:t>7.</w:t>
      </w:r>
      <w:r>
        <w:rPr>
          <w:rFonts w:hint="eastAsia"/>
          <w:sz w:val="24"/>
          <w:szCs w:val="24"/>
          <w:lang w:eastAsia="zh-CN"/>
        </w:rPr>
        <w:t>品质达到使用单位福海创公司的进厂检验标准、要求。</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xydai@fhcpec.com.cn</w:t>
      </w:r>
      <w:r>
        <w:rPr>
          <w:rFonts w:hint="eastAsia"/>
          <w:color w:val="000000" w:themeColor="text1"/>
          <w:sz w:val="24"/>
          <w:szCs w:val="24"/>
          <w:lang w:eastAsia="zh-CN"/>
        </w:rPr>
        <w:t>，报名文件包含：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w:t>
      </w:r>
      <w:r>
        <w:rPr>
          <w:rFonts w:hint="eastAsia"/>
          <w:color w:val="000000" w:themeColor="text1"/>
          <w:sz w:val="24"/>
          <w:szCs w:val="24"/>
          <w:lang w:val="en-US" w:eastAsia="zh-CN"/>
        </w:rPr>
        <w:t>,</w:t>
      </w:r>
      <w:r>
        <w:rPr>
          <w:rFonts w:hint="eastAsia"/>
          <w:color w:val="000000" w:themeColor="text1"/>
          <w:sz w:val="24"/>
          <w:szCs w:val="24"/>
          <w:lang w:eastAsia="zh-CN"/>
        </w:rPr>
        <w:t>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电话：15259629857</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33000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注明用途：电气团队11台UPS主机采购项目参选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w:t>
      </w:r>
      <w:r>
        <w:rPr>
          <w:rFonts w:hint="eastAsia"/>
          <w:lang w:val="en-US" w:eastAsia="zh-CN"/>
        </w:rPr>
        <w:t>参</w:t>
      </w:r>
      <w:r>
        <w:rPr>
          <w:rFonts w:hint="eastAsia"/>
          <w:lang w:eastAsia="zh-CN"/>
        </w:rPr>
        <w:t>选者的比选保证金（无息），最迟不超过规定的比选有效期满后的20天；</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pStyle w:val="20"/>
        <w:spacing w:line="360" w:lineRule="auto"/>
        <w:ind w:right="121" w:firstLine="480" w:firstLineChars="200"/>
        <w:jc w:val="both"/>
        <w:rPr>
          <w:rFonts w:hint="eastAsia"/>
          <w:lang w:val="en-US" w:eastAsia="zh-CN"/>
        </w:rPr>
      </w:pPr>
      <w:r>
        <w:rPr>
          <w:rFonts w:hint="eastAsia"/>
          <w:lang w:eastAsia="zh-CN"/>
        </w:rPr>
        <w:t>商务联系人：</w:t>
      </w:r>
      <w:r>
        <w:rPr>
          <w:rFonts w:hint="eastAsia"/>
          <w:lang w:val="en-US" w:eastAsia="zh-CN"/>
        </w:rPr>
        <w:t>戴小玉</w:t>
      </w:r>
      <w:r>
        <w:rPr>
          <w:rFonts w:hint="eastAsia"/>
          <w:lang w:eastAsia="zh-CN"/>
        </w:rPr>
        <w:t xml:space="preserve"> 电话：</w:t>
      </w:r>
      <w:r>
        <w:rPr>
          <w:rFonts w:hint="eastAsia"/>
          <w:lang w:val="en-US" w:eastAsia="zh-CN"/>
        </w:rPr>
        <w:t>15259629857</w:t>
      </w:r>
      <w:r>
        <w:rPr>
          <w:rFonts w:hint="eastAsia"/>
          <w:lang w:eastAsia="zh-CN"/>
        </w:rPr>
        <w:t xml:space="preserve"> 邮箱：</w:t>
      </w:r>
      <w:r>
        <w:rPr>
          <w:rFonts w:hint="eastAsia"/>
          <w:lang w:val="en-US" w:eastAsia="zh-CN"/>
        </w:rPr>
        <w:fldChar w:fldCharType="begin"/>
      </w:r>
      <w:r>
        <w:rPr>
          <w:rFonts w:hint="eastAsia"/>
          <w:lang w:val="en-US" w:eastAsia="zh-CN"/>
        </w:rPr>
        <w:instrText xml:space="preserve"> HYPERLINK "mailto:xydai@fhcpec.com.cn" </w:instrText>
      </w:r>
      <w:r>
        <w:rPr>
          <w:rFonts w:hint="eastAsia"/>
          <w:lang w:val="en-US" w:eastAsia="zh-CN"/>
        </w:rPr>
        <w:fldChar w:fldCharType="separate"/>
      </w:r>
      <w:r>
        <w:rPr>
          <w:rFonts w:hint="eastAsia"/>
          <w:lang w:val="en-US" w:eastAsia="zh-CN"/>
        </w:rPr>
        <w:t>xydai@fhcpec.com.cn</w:t>
      </w:r>
      <w:r>
        <w:rPr>
          <w:rFonts w:hint="eastAsia"/>
          <w:lang w:val="en-US" w:eastAsia="zh-CN"/>
        </w:rPr>
        <w:fldChar w:fldCharType="end"/>
      </w:r>
    </w:p>
    <w:p>
      <w:pPr>
        <w:pStyle w:val="20"/>
        <w:spacing w:line="360" w:lineRule="auto"/>
        <w:ind w:right="121"/>
        <w:jc w:val="both"/>
        <w:rPr>
          <w:rFonts w:hint="default"/>
          <w:lang w:val="en-US" w:eastAsia="zh-CN"/>
        </w:rPr>
      </w:pPr>
      <w:r>
        <w:rPr>
          <w:rFonts w:hint="eastAsia"/>
          <w:lang w:val="en-US" w:eastAsia="zh-CN"/>
        </w:rPr>
        <w:t xml:space="preserve">    技术联系人：李智龙 电话：19959614035 邮箱：lizl@fhcpec.com.cn</w:t>
      </w:r>
    </w:p>
    <w:p>
      <w:pPr>
        <w:pStyle w:val="20"/>
        <w:spacing w:line="360" w:lineRule="auto"/>
        <w:ind w:right="121" w:firstLine="480" w:firstLineChars="200"/>
        <w:jc w:val="both"/>
        <w:rPr>
          <w:rFonts w:hint="eastAsia"/>
          <w:lang w:eastAsia="zh-CN"/>
        </w:rPr>
      </w:pPr>
      <w:r>
        <w:rPr>
          <w:rFonts w:hint="eastAsia"/>
          <w:lang w:eastAsia="zh-CN"/>
        </w:rPr>
        <w:t xml:space="preserve">纪检监察室电话：0596-6311774  </w:t>
      </w:r>
    </w:p>
    <w:p>
      <w:pPr>
        <w:pStyle w:val="20"/>
        <w:spacing w:line="360" w:lineRule="auto"/>
        <w:ind w:right="121" w:firstLine="480" w:firstLineChars="200"/>
        <w:jc w:val="both"/>
        <w:rPr>
          <w:rFonts w:hint="eastAsia"/>
          <w:lang w:eastAsia="zh-CN"/>
        </w:rPr>
      </w:pPr>
      <w:r>
        <w:rPr>
          <w:rFonts w:hint="eastAsia"/>
          <w:lang w:eastAsia="zh-CN"/>
        </w:rPr>
        <w:t>联系地址：漳州市漳浦县杜浔镇杜昌路9号</w:t>
      </w:r>
    </w:p>
    <w:p>
      <w:pPr>
        <w:pStyle w:val="20"/>
        <w:spacing w:line="360" w:lineRule="auto"/>
        <w:ind w:right="121" w:firstLine="480" w:firstLineChars="200"/>
        <w:jc w:val="both"/>
        <w:rPr>
          <w:rFonts w:hint="eastAsia"/>
          <w:lang w:eastAsia="zh-CN"/>
        </w:rPr>
      </w:pPr>
      <w:r>
        <w:rPr>
          <w:rFonts w:hint="eastAsia"/>
          <w:lang w:eastAsia="zh-CN"/>
        </w:rPr>
        <w:t>邮编：363216</w:t>
      </w:r>
    </w:p>
    <w:p>
      <w:pPr>
        <w:spacing w:line="360" w:lineRule="auto"/>
        <w:rPr>
          <w:color w:val="000000" w:themeColor="text1"/>
          <w:sz w:val="24"/>
          <w:szCs w:val="24"/>
          <w:lang w:eastAsia="zh-CN"/>
        </w:rPr>
      </w:pPr>
      <w:r>
        <w:rPr>
          <w:rFonts w:hint="eastAsia"/>
          <w:sz w:val="24"/>
          <w:szCs w:val="24"/>
          <w:lang w:eastAsia="zh-CN"/>
        </w:rPr>
        <w:t xml:space="preserve">                                 </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电气团队11台UPS主机采购</w:t>
      </w:r>
      <w:r>
        <w:rPr>
          <w:rFonts w:hint="eastAsia"/>
          <w:sz w:val="24"/>
          <w:szCs w:val="24"/>
          <w:lang w:eastAsia="zh-CN"/>
        </w:rPr>
        <w:t>。</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w:t>
      </w:r>
      <w:r>
        <w:rPr>
          <w:rFonts w:hint="eastAsia"/>
          <w:color w:val="000000" w:themeColor="text1"/>
          <w:lang w:val="en-US" w:eastAsia="zh-CN"/>
        </w:rPr>
        <w:t>附件1和附件2</w:t>
      </w:r>
      <w:r>
        <w:rPr>
          <w:rFonts w:hint="eastAsia"/>
          <w:color w:val="000000" w:themeColor="text1"/>
          <w:lang w:eastAsia="zh-CN"/>
        </w:rPr>
        <w:t>。</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rFonts w:hint="eastAsia"/>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商务联系人：</w:t>
      </w:r>
      <w:r>
        <w:rPr>
          <w:rFonts w:hint="eastAsia"/>
          <w:color w:val="000000" w:themeColor="text1"/>
          <w:sz w:val="24"/>
          <w:szCs w:val="24"/>
          <w:lang w:val="en-US" w:eastAsia="zh-CN"/>
        </w:rPr>
        <w:t>戴小玉</w:t>
      </w:r>
      <w:r>
        <w:rPr>
          <w:rFonts w:hint="eastAsia"/>
          <w:lang w:eastAsia="zh-CN"/>
        </w:rPr>
        <w:t xml:space="preserve"> </w:t>
      </w:r>
      <w:r>
        <w:rPr>
          <w:rFonts w:hint="eastAsia"/>
          <w:lang w:val="en-US" w:eastAsia="zh-CN"/>
        </w:rPr>
        <w:t>15259629857</w:t>
      </w:r>
      <w:r>
        <w:rPr>
          <w:rFonts w:hint="eastAsia"/>
          <w:lang w:eastAsia="zh-CN"/>
        </w:rPr>
        <w:t>，</w:t>
      </w:r>
      <w:r>
        <w:rPr>
          <w:rFonts w:hint="eastAsia"/>
          <w:lang w:val="en-US" w:eastAsia="zh-CN"/>
        </w:rPr>
        <w:t>xydai@fhcpec.com.cn</w:t>
      </w:r>
    </w:p>
    <w:p>
      <w:pPr>
        <w:pStyle w:val="20"/>
        <w:spacing w:line="360" w:lineRule="auto"/>
        <w:ind w:right="121" w:firstLine="480" w:firstLineChars="200"/>
        <w:jc w:val="both"/>
        <w:rPr>
          <w:lang w:eastAsia="zh-CN"/>
        </w:rPr>
      </w:pPr>
      <w:r>
        <w:rPr>
          <w:rFonts w:hint="eastAsia"/>
          <w:lang w:eastAsia="zh-CN"/>
        </w:rPr>
        <w:t>技术联系人：</w:t>
      </w:r>
      <w:r>
        <w:rPr>
          <w:rFonts w:hint="eastAsia"/>
          <w:lang w:val="en-US" w:eastAsia="zh-CN"/>
        </w:rPr>
        <w:t>李智龙 19959614035，lizl@fhcpec.com.cn  </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1.参选单位应是具备独立法人资格且有能力按我司需求提供货物及服务的制造商或有正式授权书的代理商。</w:t>
      </w:r>
    </w:p>
    <w:p>
      <w:pPr>
        <w:pStyle w:val="202"/>
        <w:spacing w:line="360" w:lineRule="auto"/>
        <w:ind w:firstLine="480"/>
        <w:rPr>
          <w:rFonts w:hint="eastAsia" w:eastAsia="宋体"/>
          <w:sz w:val="24"/>
          <w:szCs w:val="24"/>
          <w:lang w:val="en-US" w:eastAsia="zh-CN"/>
        </w:rPr>
      </w:pPr>
      <w:r>
        <w:rPr>
          <w:rFonts w:hint="eastAsia"/>
          <w:sz w:val="24"/>
          <w:szCs w:val="24"/>
          <w:lang w:val="en-US" w:eastAsia="zh-CN"/>
        </w:rPr>
        <w:t>2.单位负责人为同一人或者存在控股、管理关系的不同单位，不得同时参选本项目。</w:t>
      </w:r>
      <w:r>
        <w:rPr>
          <w:color w:val="000000" w:themeColor="text1"/>
          <w:sz w:val="24"/>
          <w:szCs w:val="24"/>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3.参选单位应有近三年石化行业相同规格或更大规格的业绩。</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4.本采购项目不接受联合体参选。</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5.具有售后服务能力，提供相关技术支持。</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6.与我司无诉讼纠纷。</w:t>
      </w:r>
    </w:p>
    <w:p>
      <w:pPr>
        <w:tabs>
          <w:tab w:val="left" w:pos="709"/>
        </w:tabs>
        <w:spacing w:line="360" w:lineRule="auto"/>
        <w:ind w:firstLine="480" w:firstLineChars="200"/>
        <w:rPr>
          <w:rFonts w:hint="eastAsia"/>
          <w:sz w:val="24"/>
          <w:szCs w:val="24"/>
          <w:lang w:eastAsia="zh-CN"/>
        </w:rPr>
      </w:pPr>
      <w:r>
        <w:rPr>
          <w:rFonts w:hint="eastAsia"/>
          <w:sz w:val="24"/>
          <w:szCs w:val="24"/>
          <w:lang w:val="en-US" w:eastAsia="zh-CN"/>
        </w:rPr>
        <w:t>7.</w:t>
      </w:r>
      <w:r>
        <w:rPr>
          <w:rFonts w:hint="eastAsia"/>
          <w:sz w:val="24"/>
          <w:szCs w:val="24"/>
          <w:lang w:eastAsia="zh-CN"/>
        </w:rPr>
        <w:t>品质达到使用单位福海创公司的进厂检验标准、要求。</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33000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注明用途：电气团队11台UPS主机采购项目参选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w:t>
      </w:r>
      <w:r>
        <w:rPr>
          <w:rFonts w:hint="eastAsia"/>
          <w:lang w:val="en-US" w:eastAsia="zh-CN"/>
        </w:rPr>
        <w:t>参</w:t>
      </w:r>
      <w:bookmarkStart w:id="17" w:name="_GoBack"/>
      <w:bookmarkEnd w:id="17"/>
      <w:r>
        <w:rPr>
          <w:rFonts w:hint="eastAsia"/>
          <w:lang w:eastAsia="zh-CN"/>
        </w:rPr>
        <w:t>选者的比选保证金（无息），最迟不超过规定的比选有效期满后的20天；</w:t>
      </w:r>
    </w:p>
    <w:p>
      <w:pPr>
        <w:pStyle w:val="20"/>
        <w:spacing w:line="360" w:lineRule="auto"/>
        <w:ind w:right="121" w:firstLine="480" w:firstLineChars="200"/>
        <w:jc w:val="both"/>
        <w:rPr>
          <w:lang w:eastAsia="zh-CN"/>
        </w:rPr>
      </w:pP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戴小玉</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15259629857</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rFonts w:hint="eastAsia"/>
          <w:b/>
          <w:bCs w:val="0"/>
          <w:color w:val="000000" w:themeColor="text1"/>
          <w:lang w:eastAsia="zh-CN"/>
        </w:rPr>
        <w:t xml:space="preserve">  </w:t>
      </w:r>
      <w:r>
        <w:rPr>
          <w:b/>
          <w:bCs w:val="0"/>
          <w:color w:val="000000" w:themeColor="text1"/>
          <w:lang w:eastAsia="zh-CN"/>
        </w:rPr>
        <w:t>注：请使用顺丰快递或中国邮政 EMS 快递，其他快递不能保证送达目的地。</w:t>
      </w:r>
    </w:p>
    <w:p>
      <w:pPr>
        <w:pStyle w:val="20"/>
        <w:spacing w:line="360" w:lineRule="auto"/>
        <w:ind w:right="121" w:firstLine="480" w:firstLineChars="200"/>
        <w:jc w:val="both"/>
        <w:rPr>
          <w:rFonts w:hint="eastAsia"/>
          <w:lang w:val="en-US" w:eastAsia="zh-CN"/>
        </w:rPr>
      </w:pPr>
      <w:r>
        <w:rPr>
          <w:rFonts w:hint="eastAsia"/>
          <w:lang w:val="en-US" w:eastAsia="zh-CN"/>
        </w:rPr>
        <w:t>3.只允许参选人有一个参选方案，否则将被视为无效参选。</w:t>
      </w:r>
    </w:p>
    <w:p>
      <w:pPr>
        <w:pStyle w:val="20"/>
        <w:spacing w:line="360" w:lineRule="auto"/>
        <w:ind w:right="121" w:firstLine="480" w:firstLineChars="200"/>
        <w:jc w:val="both"/>
        <w:rPr>
          <w:rFonts w:hint="eastAsia"/>
          <w:lang w:val="en-US" w:eastAsia="zh-CN"/>
        </w:rPr>
      </w:pPr>
      <w:r>
        <w:rPr>
          <w:rFonts w:hint="eastAsia"/>
          <w:lang w:val="en-US"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firstLine="480" w:firstLineChars="200"/>
        <w:jc w:val="both"/>
        <w:rPr>
          <w:rFonts w:hint="eastAsia"/>
          <w:lang w:val="en-US" w:eastAsia="zh-CN"/>
        </w:rPr>
      </w:pPr>
      <w:r>
        <w:rPr>
          <w:rFonts w:hint="eastAsia"/>
          <w:lang w:val="en-US" w:eastAsia="zh-CN"/>
        </w:rPr>
        <w:t>5.参选人收到比选文件后，如有疑问需要澄清，请以书面形式在规定时间内报比选人汇总。</w:t>
      </w:r>
    </w:p>
    <w:p>
      <w:pPr>
        <w:pStyle w:val="20"/>
        <w:spacing w:line="360" w:lineRule="auto"/>
        <w:ind w:right="121" w:firstLine="480" w:firstLineChars="200"/>
        <w:jc w:val="both"/>
        <w:rPr>
          <w:rFonts w:hint="eastAsia"/>
          <w:lang w:val="en-US" w:eastAsia="zh-CN"/>
        </w:rPr>
      </w:pPr>
      <w:r>
        <w:rPr>
          <w:rFonts w:hint="eastAsia"/>
          <w:lang w:val="en-US"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技术报价文件，见附件</w:t>
      </w:r>
      <w:r>
        <w:rPr>
          <w:rFonts w:hint="eastAsia"/>
          <w:lang w:val="en-US" w:eastAsia="zh-CN"/>
        </w:rPr>
        <w:t>技术</w:t>
      </w:r>
      <w:r>
        <w:rPr>
          <w:rFonts w:hint="eastAsia"/>
          <w:lang w:eastAsia="zh-CN"/>
        </w:rPr>
        <w:t>参选书格式，胶装</w:t>
      </w:r>
      <w:r>
        <w:rPr>
          <w:rFonts w:hint="eastAsia"/>
          <w:lang w:val="en-US" w:eastAsia="zh-CN"/>
        </w:rPr>
        <w:t>或平装</w:t>
      </w:r>
      <w:r>
        <w:rPr>
          <w:rFonts w:hint="eastAsia"/>
          <w:lang w:eastAsia="zh-CN"/>
        </w:rPr>
        <w:t>。</w:t>
      </w:r>
    </w:p>
    <w:p>
      <w:pPr>
        <w:pStyle w:val="20"/>
        <w:spacing w:line="360" w:lineRule="auto"/>
        <w:ind w:right="121" w:firstLine="480" w:firstLineChars="200"/>
        <w:jc w:val="both"/>
        <w:rPr>
          <w:lang w:eastAsia="zh-CN"/>
        </w:rPr>
      </w:pPr>
      <w:r>
        <w:rPr>
          <w:rFonts w:hint="eastAsia"/>
          <w:lang w:eastAsia="zh-CN"/>
        </w:rPr>
        <w:t>商务报价文件，见附件商务报价函格式, 胶装</w:t>
      </w:r>
      <w:r>
        <w:rPr>
          <w:rFonts w:hint="eastAsia"/>
          <w:lang w:val="en-US" w:eastAsia="zh-CN"/>
        </w:rPr>
        <w:t>或平装</w:t>
      </w:r>
      <w:r>
        <w:rPr>
          <w:rFonts w:hint="eastAsia"/>
          <w:lang w:eastAsia="zh-CN"/>
        </w:rPr>
        <w:t>。</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20"/>
        <w:spacing w:line="360" w:lineRule="auto"/>
        <w:ind w:right="121" w:firstLine="480" w:firstLineChars="200"/>
        <w:jc w:val="both"/>
        <w:rPr>
          <w:lang w:eastAsia="zh-CN"/>
        </w:rPr>
      </w:pPr>
    </w:p>
    <w:p>
      <w:pPr>
        <w:pStyle w:val="20"/>
        <w:spacing w:line="360" w:lineRule="auto"/>
        <w:ind w:right="121" w:firstLine="480" w:firstLineChars="200"/>
        <w:jc w:val="both"/>
        <w:rPr>
          <w:lang w:eastAsia="zh-CN"/>
        </w:rPr>
      </w:pPr>
    </w:p>
    <w:p>
      <w:pPr>
        <w:pStyle w:val="20"/>
        <w:spacing w:line="360" w:lineRule="auto"/>
        <w:ind w:right="121" w:firstLine="480" w:firstLineChars="200"/>
        <w:jc w:val="both"/>
        <w:rPr>
          <w:lang w:eastAsia="zh-CN"/>
        </w:rPr>
      </w:pPr>
    </w:p>
    <w:p>
      <w:pPr>
        <w:pStyle w:val="20"/>
        <w:spacing w:line="360" w:lineRule="auto"/>
        <w:ind w:right="121" w:firstLine="480" w:firstLineChars="200"/>
        <w:jc w:val="both"/>
        <w:rPr>
          <w:lang w:eastAsia="zh-CN"/>
        </w:rPr>
      </w:pPr>
    </w:p>
    <w:p>
      <w:pPr>
        <w:pStyle w:val="20"/>
        <w:spacing w:line="360" w:lineRule="auto"/>
        <w:ind w:right="121" w:firstLine="480" w:firstLineChars="200"/>
        <w:jc w:val="both"/>
        <w:rPr>
          <w:lang w:eastAsia="zh-CN"/>
        </w:rPr>
      </w:pPr>
    </w:p>
    <w:p>
      <w:pPr>
        <w:pStyle w:val="20"/>
        <w:spacing w:line="360" w:lineRule="auto"/>
        <w:ind w:right="121" w:firstLine="480" w:firstLineChars="200"/>
        <w:jc w:val="both"/>
        <w:rPr>
          <w:lang w:eastAsia="zh-CN"/>
        </w:rPr>
      </w:pPr>
    </w:p>
    <w:p>
      <w:pPr>
        <w:pStyle w:val="20"/>
        <w:spacing w:line="360" w:lineRule="auto"/>
        <w:ind w:right="121" w:firstLine="480" w:firstLineChars="200"/>
        <w:jc w:val="both"/>
        <w:rPr>
          <w:lang w:eastAsia="zh-CN"/>
        </w:rPr>
      </w:pPr>
    </w:p>
    <w:p>
      <w:pPr>
        <w:pStyle w:val="20"/>
        <w:spacing w:line="360" w:lineRule="auto"/>
        <w:ind w:right="121" w:firstLine="480" w:firstLineChars="200"/>
        <w:jc w:val="both"/>
        <w:rPr>
          <w:lang w:eastAsia="zh-CN"/>
        </w:rPr>
      </w:pPr>
    </w:p>
    <w:p>
      <w:pPr>
        <w:pStyle w:val="20"/>
        <w:spacing w:line="360" w:lineRule="auto"/>
        <w:ind w:right="121" w:firstLine="480" w:firstLineChars="200"/>
        <w:jc w:val="both"/>
        <w:rPr>
          <w:lang w:eastAsia="zh-CN"/>
        </w:rPr>
      </w:pPr>
    </w:p>
    <w:p>
      <w:pPr>
        <w:pStyle w:val="20"/>
        <w:spacing w:line="360" w:lineRule="auto"/>
        <w:ind w:right="121" w:firstLine="480" w:firstLineChars="200"/>
        <w:jc w:val="both"/>
        <w:rPr>
          <w:lang w:eastAsia="zh-CN"/>
        </w:rPr>
      </w:pPr>
    </w:p>
    <w:p>
      <w:pPr>
        <w:pStyle w:val="20"/>
        <w:spacing w:line="360" w:lineRule="auto"/>
        <w:ind w:right="121" w:firstLine="480" w:firstLineChars="200"/>
        <w:jc w:val="both"/>
        <w:rPr>
          <w:lang w:eastAsia="zh-CN"/>
        </w:rPr>
      </w:pPr>
    </w:p>
    <w:p>
      <w:pPr>
        <w:pStyle w:val="20"/>
        <w:spacing w:line="360" w:lineRule="auto"/>
        <w:ind w:right="121" w:firstLine="480" w:firstLineChars="200"/>
        <w:jc w:val="both"/>
        <w:rPr>
          <w:lang w:eastAsia="zh-CN"/>
        </w:rPr>
      </w:pPr>
    </w:p>
    <w:p>
      <w:pPr>
        <w:pStyle w:val="20"/>
        <w:spacing w:line="360" w:lineRule="auto"/>
        <w:ind w:right="121" w:firstLine="480" w:firstLineChars="200"/>
        <w:jc w:val="both"/>
        <w:rPr>
          <w:lang w:eastAsia="zh-CN"/>
        </w:rPr>
      </w:pP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168.016</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xydai@fhcpec.com.cn</w:t>
      </w:r>
      <w:r>
        <w:rPr>
          <w:rStyle w:val="54"/>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w:t>
      </w:r>
      <w:r>
        <w:rPr>
          <w:rFonts w:hint="eastAsia"/>
          <w:lang w:val="en-US" w:eastAsia="zh-CN"/>
        </w:rPr>
        <w:t>资质</w:t>
      </w:r>
      <w:r>
        <w:rPr>
          <w:rFonts w:hint="eastAsia"/>
          <w:lang w:eastAsia="zh-CN"/>
        </w:rPr>
        <w:t>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权属子公司“福建海裕石化有限公司”作为本合同执行主体，将于中选结果公示流程结束之日起30日内与中选人完成合同签订事宜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sectPr>
          <w:footerReference r:id="rId5" w:type="default"/>
          <w:pgSz w:w="11910" w:h="16840"/>
          <w:pgMar w:top="1500" w:right="1020" w:bottom="740" w:left="1300" w:header="0" w:footer="551" w:gutter="0"/>
          <w:cols w:space="720" w:num="1"/>
        </w:sectPr>
      </w:pPr>
      <w:r>
        <w:rPr>
          <w:lang w:eastAsia="zh-CN"/>
        </w:rPr>
        <w:t>3.本比选文件的解释权归福建福海创石油化工有限公司。</w:t>
      </w:r>
    </w:p>
    <w:p>
      <w:pPr>
        <w:pStyle w:val="20"/>
        <w:spacing w:line="360" w:lineRule="auto"/>
        <w:rPr>
          <w:lang w:eastAsia="zh-CN"/>
        </w:rPr>
      </w:pPr>
    </w:p>
    <w:p>
      <w:pPr>
        <w:pStyle w:val="20"/>
        <w:rPr>
          <w:rFonts w:hint="default"/>
          <w:b/>
          <w:sz w:val="44"/>
          <w:szCs w:val="44"/>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0"/>
        <w:ind w:firstLine="3614" w:firstLineChars="1500"/>
        <w:rPr>
          <w:rFonts w:hint="eastAsia" w:ascii="宋体" w:hAnsi="宋体"/>
          <w:b/>
          <w:sz w:val="24"/>
        </w:rPr>
      </w:pPr>
      <w:bookmarkStart w:id="1" w:name="_Toc31402"/>
      <w:bookmarkStart w:id="2" w:name="_Toc20180"/>
      <w:bookmarkStart w:id="3" w:name="_Toc20273"/>
      <w:bookmarkStart w:id="4" w:name="_Toc14171"/>
      <w:bookmarkStart w:id="5" w:name="_Toc8520"/>
      <w:bookmarkStart w:id="6" w:name="_Toc385779252"/>
      <w:bookmarkStart w:id="7" w:name="_Toc27787"/>
      <w:bookmarkStart w:id="8" w:name="_Toc31173"/>
      <w:bookmarkStart w:id="9" w:name="_Toc17959"/>
      <w:bookmarkStart w:id="10" w:name="_Toc2239"/>
      <w:bookmarkStart w:id="11" w:name="_Toc4114"/>
      <w:bookmarkStart w:id="12" w:name="_Toc18049"/>
      <w:bookmarkStart w:id="13" w:name="_Toc352146655"/>
      <w:bookmarkStart w:id="14" w:name="_Toc10991"/>
      <w:bookmarkStart w:id="15" w:name="_Toc23434"/>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7"/>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r>
        <w:rPr>
          <w:rFonts w:hint="eastAsia" w:ascii="宋体" w:hAnsi="宋体"/>
          <w:b/>
          <w:color w:val="000000"/>
          <w:szCs w:val="21"/>
          <w:lang w:val="en-US" w:eastAsia="zh-CN"/>
        </w:rPr>
        <w:t>福建海裕石化有限公司</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47"/>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p>
        </w:tc>
        <w:tc>
          <w:tcPr>
            <w:tcW w:w="1652" w:type="dxa"/>
            <w:vAlign w:val="center"/>
          </w:tcPr>
          <w:p>
            <w:pPr>
              <w:spacing w:line="280" w:lineRule="exact"/>
              <w:jc w:val="center"/>
              <w:rPr>
                <w:rFonts w:hint="default" w:ascii="宋体" w:hAnsi="宋体" w:eastAsia="宋体"/>
                <w:color w:val="000000"/>
                <w:sz w:val="18"/>
                <w:szCs w:val="18"/>
                <w:lang w:val="en-US" w:eastAsia="zh-CN"/>
              </w:rPr>
            </w:pPr>
          </w:p>
        </w:tc>
        <w:tc>
          <w:tcPr>
            <w:tcW w:w="1576" w:type="dxa"/>
            <w:vAlign w:val="center"/>
          </w:tcPr>
          <w:p>
            <w:pPr>
              <w:spacing w:line="280" w:lineRule="exact"/>
              <w:jc w:val="center"/>
              <w:rPr>
                <w:rFonts w:hint="default" w:ascii="宋体" w:hAnsi="宋体" w:eastAsia="宋体"/>
                <w:color w:val="000000"/>
                <w:sz w:val="18"/>
                <w:szCs w:val="18"/>
                <w:lang w:val="en-US" w:eastAsia="zh-CN"/>
              </w:rPr>
            </w:pPr>
          </w:p>
        </w:tc>
        <w:tc>
          <w:tcPr>
            <w:tcW w:w="742" w:type="dxa"/>
            <w:vAlign w:val="center"/>
          </w:tcPr>
          <w:p>
            <w:pPr>
              <w:spacing w:line="280" w:lineRule="exact"/>
              <w:jc w:val="center"/>
              <w:rPr>
                <w:rFonts w:hint="default" w:ascii="宋体" w:hAnsi="宋体" w:eastAsia="宋体"/>
                <w:color w:val="000000"/>
                <w:sz w:val="18"/>
                <w:szCs w:val="18"/>
                <w:lang w:val="en-US" w:eastAsia="zh-CN"/>
              </w:rPr>
            </w:pP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000000"/>
                <w:szCs w:val="21"/>
              </w:rPr>
              <w:t>详见</w:t>
            </w:r>
            <w:r>
              <w:rPr>
                <w:rFonts w:hint="eastAsia" w:ascii="宋体" w:hAnsi="宋体"/>
                <w:color w:val="000000"/>
                <w:szCs w:val="21"/>
                <w:lang w:val="en-US" w:eastAsia="zh-CN"/>
              </w:rPr>
              <w:t>规格参数见</w:t>
            </w:r>
            <w:r>
              <w:rPr>
                <w:rFonts w:hint="eastAsia"/>
                <w:color w:val="000000"/>
                <w:szCs w:val="21"/>
                <w:lang w:val="en-US" w:eastAsia="zh-CN"/>
              </w:rPr>
              <w:t>技术协议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sz w:val="21"/>
          <w:szCs w:val="21"/>
          <w:highlight w:val="yellow"/>
          <w:u w:val="single"/>
          <w:lang w:val="en-US" w:eastAsia="zh-CN"/>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sz w:val="21"/>
          <w:szCs w:val="21"/>
          <w:lang w:val="en-US" w:eastAsia="zh-CN"/>
        </w:rPr>
        <w:t>60</w:t>
      </w:r>
      <w:r>
        <w:rPr>
          <w:rFonts w:hint="eastAsia" w:ascii="宋体" w:hAnsi="宋体"/>
          <w:sz w:val="21"/>
          <w:szCs w:val="21"/>
          <w:lang w:val="en-US" w:eastAsia="zh-CN"/>
        </w:rPr>
        <w:t>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w:t>
      </w:r>
      <w:r>
        <w:rPr>
          <w:rFonts w:hint="eastAsia"/>
          <w:sz w:val="21"/>
          <w:szCs w:val="21"/>
          <w:u w:val="single"/>
          <w:lang w:val="en-US" w:eastAsia="zh-CN"/>
        </w:rPr>
        <w:t xml:space="preserve">      </w:t>
      </w:r>
      <w:r>
        <w:rPr>
          <w:rFonts w:hint="eastAsia" w:ascii="宋体" w:hAnsi="宋体"/>
          <w:sz w:val="21"/>
          <w:szCs w:val="21"/>
        </w:rPr>
        <w:t>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none"/>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none"/>
          <w:u w:val="single"/>
          <w:lang w:val="en-US" w:eastAsia="zh-CN" w:bidi="ar"/>
        </w:rPr>
        <w:t>福建省漳州市漳浦县古雷开发区腾龙路（福建福海创石油化工有限公司）。</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pStyle w:val="2"/>
        <w:rPr>
          <w:rFonts w:hint="eastAsia"/>
        </w:rPr>
      </w:pPr>
    </w:p>
    <w:p>
      <w:pPr>
        <w:spacing w:line="280" w:lineRule="exact"/>
        <w:rPr>
          <w:rFonts w:hint="eastAsia" w:ascii="宋体" w:hAnsi="宋体"/>
          <w:b/>
          <w:sz w:val="21"/>
          <w:szCs w:val="21"/>
        </w:rPr>
      </w:pPr>
    </w:p>
    <w:tbl>
      <w:tblPr>
        <w:tblStyle w:val="47"/>
        <w:tblW w:w="9377" w:type="dxa"/>
        <w:jc w:val="center"/>
        <w:tblLayout w:type="fixed"/>
        <w:tblCellMar>
          <w:top w:w="0" w:type="dxa"/>
          <w:left w:w="108" w:type="dxa"/>
          <w:bottom w:w="0" w:type="dxa"/>
          <w:right w:w="108" w:type="dxa"/>
        </w:tblCellMar>
      </w:tblPr>
      <w:tblGrid>
        <w:gridCol w:w="1143"/>
        <w:gridCol w:w="9"/>
        <w:gridCol w:w="366"/>
        <w:gridCol w:w="90"/>
        <w:gridCol w:w="3062"/>
        <w:gridCol w:w="1430"/>
        <w:gridCol w:w="278"/>
        <w:gridCol w:w="2999"/>
      </w:tblGrid>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3062" w:type="dxa"/>
            <w:vAlign w:val="center"/>
          </w:tcPr>
          <w:p>
            <w:pPr>
              <w:rPr>
                <w:rFonts w:hint="eastAsia" w:ascii="宋体" w:hAnsi="宋体"/>
                <w:b/>
                <w:bCs/>
                <w:color w:val="000000"/>
                <w:sz w:val="21"/>
                <w:szCs w:val="21"/>
              </w:rPr>
            </w:pPr>
          </w:p>
        </w:tc>
        <w:tc>
          <w:tcPr>
            <w:tcW w:w="1708" w:type="dxa"/>
            <w:gridSpan w:val="2"/>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2999" w:type="dxa"/>
            <w:vAlign w:val="center"/>
          </w:tcPr>
          <w:p>
            <w:pPr>
              <w:spacing w:line="280" w:lineRule="exact"/>
              <w:rPr>
                <w:rFonts w:hint="eastAsia" w:ascii="宋体" w:hAnsi="宋体"/>
                <w:b/>
                <w:color w:val="000000"/>
                <w:sz w:val="21"/>
                <w:szCs w:val="21"/>
              </w:rPr>
            </w:pPr>
            <w:r>
              <w:rPr>
                <w:rFonts w:hint="eastAsia" w:ascii="宋体" w:hAnsi="宋体"/>
                <w:b/>
                <w:color w:val="000000"/>
                <w:sz w:val="21"/>
                <w:szCs w:val="21"/>
                <w:lang w:val="en-US" w:eastAsia="zh-CN"/>
              </w:rPr>
              <w:t>福建海裕石化有限公司</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062" w:type="dxa"/>
            <w:vAlign w:val="center"/>
          </w:tcPr>
          <w:p>
            <w:pPr>
              <w:spacing w:line="280" w:lineRule="exact"/>
              <w:rPr>
                <w:rFonts w:hint="eastAsia" w:ascii="宋体" w:hAnsi="宋体"/>
                <w:color w:val="000000"/>
                <w:sz w:val="21"/>
                <w:szCs w:val="21"/>
              </w:rPr>
            </w:pPr>
          </w:p>
        </w:tc>
        <w:tc>
          <w:tcPr>
            <w:tcW w:w="1708"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3062" w:type="dxa"/>
            <w:vAlign w:val="center"/>
          </w:tcPr>
          <w:p>
            <w:pPr>
              <w:spacing w:line="280" w:lineRule="exact"/>
              <w:rPr>
                <w:rFonts w:hint="default" w:ascii="宋体" w:hAnsi="宋体"/>
                <w:color w:val="000000"/>
                <w:sz w:val="21"/>
                <w:szCs w:val="21"/>
                <w:lang w:val="en-US"/>
              </w:rPr>
            </w:pPr>
          </w:p>
        </w:tc>
        <w:tc>
          <w:tcPr>
            <w:tcW w:w="1708"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福建省漳州市古雷港经济开发区世纪金源23区商业3号楼</w:t>
            </w: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3152" w:type="dxa"/>
            <w:gridSpan w:val="2"/>
            <w:vAlign w:val="center"/>
          </w:tcPr>
          <w:p>
            <w:pPr>
              <w:spacing w:line="280" w:lineRule="exact"/>
              <w:rPr>
                <w:rFonts w:hint="eastAsia" w:ascii="宋体" w:hAnsi="宋体"/>
                <w:color w:val="000000"/>
                <w:sz w:val="21"/>
                <w:szCs w:val="21"/>
              </w:rPr>
            </w:pPr>
          </w:p>
        </w:tc>
        <w:tc>
          <w:tcPr>
            <w:tcW w:w="1430"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3277" w:type="dxa"/>
            <w:gridSpan w:val="2"/>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3062" w:type="dxa"/>
            <w:vAlign w:val="center"/>
          </w:tcPr>
          <w:p>
            <w:pPr>
              <w:spacing w:line="280" w:lineRule="exact"/>
              <w:rPr>
                <w:rFonts w:hint="eastAsia" w:ascii="宋体" w:hAnsi="宋体" w:eastAsia="宋体"/>
                <w:color w:val="000000"/>
                <w:sz w:val="21"/>
                <w:szCs w:val="21"/>
                <w:lang w:eastAsia="zh-CN"/>
              </w:rPr>
            </w:pPr>
          </w:p>
        </w:tc>
        <w:tc>
          <w:tcPr>
            <w:tcW w:w="1708"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3518" w:type="dxa"/>
            <w:gridSpan w:val="3"/>
            <w:vAlign w:val="center"/>
          </w:tcPr>
          <w:p>
            <w:pPr>
              <w:spacing w:line="280" w:lineRule="exact"/>
              <w:rPr>
                <w:rFonts w:hint="eastAsia" w:ascii="宋体" w:hAnsi="宋体" w:eastAsia="宋体"/>
                <w:color w:val="000000"/>
                <w:sz w:val="21"/>
                <w:szCs w:val="21"/>
                <w:lang w:val="en-US" w:eastAsia="zh-CN"/>
              </w:rPr>
            </w:pPr>
          </w:p>
        </w:tc>
        <w:tc>
          <w:tcPr>
            <w:tcW w:w="1708"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2999" w:type="dxa"/>
            <w:vAlign w:val="center"/>
          </w:tcPr>
          <w:p>
            <w:pPr>
              <w:spacing w:line="280" w:lineRule="exact"/>
              <w:rPr>
                <w:rFonts w:hint="eastAsia" w:ascii="宋体" w:hAnsi="宋体" w:eastAsia="宋体"/>
                <w:color w:val="000000"/>
                <w:sz w:val="21"/>
                <w:szCs w:val="21"/>
                <w:lang w:val="en-US" w:eastAsia="zh-CN"/>
              </w:rPr>
            </w:pPr>
          </w:p>
        </w:tc>
      </w:tr>
      <w:tr>
        <w:tblPrEx>
          <w:tblCellMar>
            <w:top w:w="0" w:type="dxa"/>
            <w:left w:w="108" w:type="dxa"/>
            <w:bottom w:w="0" w:type="dxa"/>
            <w:right w:w="108" w:type="dxa"/>
          </w:tblCellMar>
        </w:tblPrEx>
        <w:trPr>
          <w:trHeight w:val="111" w:hRule="atLeast"/>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3527" w:type="dxa"/>
            <w:gridSpan w:val="4"/>
            <w:vAlign w:val="center"/>
          </w:tcPr>
          <w:p>
            <w:pPr>
              <w:spacing w:line="280" w:lineRule="exact"/>
              <w:rPr>
                <w:rFonts w:hint="eastAsia" w:ascii="宋体" w:hAnsi="宋体"/>
                <w:color w:val="000000"/>
                <w:sz w:val="21"/>
                <w:szCs w:val="21"/>
              </w:rPr>
            </w:pPr>
          </w:p>
        </w:tc>
        <w:tc>
          <w:tcPr>
            <w:tcW w:w="1708"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3527" w:type="dxa"/>
            <w:gridSpan w:val="4"/>
            <w:vAlign w:val="center"/>
          </w:tcPr>
          <w:p>
            <w:pPr>
              <w:spacing w:line="280" w:lineRule="exact"/>
              <w:rPr>
                <w:rFonts w:hint="eastAsia" w:ascii="宋体" w:hAnsi="宋体"/>
                <w:color w:val="000000"/>
                <w:sz w:val="21"/>
                <w:szCs w:val="21"/>
              </w:rPr>
            </w:pPr>
          </w:p>
        </w:tc>
        <w:tc>
          <w:tcPr>
            <w:tcW w:w="1708"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3152" w:type="dxa"/>
            <w:gridSpan w:val="2"/>
            <w:vAlign w:val="center"/>
          </w:tcPr>
          <w:p>
            <w:pPr>
              <w:spacing w:line="280" w:lineRule="exact"/>
              <w:rPr>
                <w:rFonts w:hint="eastAsia" w:ascii="宋体" w:hAnsi="宋体"/>
                <w:color w:val="000000"/>
                <w:sz w:val="21"/>
                <w:szCs w:val="21"/>
              </w:rPr>
            </w:pPr>
          </w:p>
        </w:tc>
        <w:tc>
          <w:tcPr>
            <w:tcW w:w="1430"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3277" w:type="dxa"/>
            <w:gridSpan w:val="2"/>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3152" w:type="dxa"/>
            <w:gridSpan w:val="2"/>
            <w:vAlign w:val="center"/>
          </w:tcPr>
          <w:p>
            <w:pPr>
              <w:spacing w:line="280" w:lineRule="exact"/>
              <w:rPr>
                <w:rFonts w:hint="eastAsia" w:ascii="宋体" w:hAnsi="宋体"/>
                <w:color w:val="000000"/>
                <w:sz w:val="21"/>
                <w:szCs w:val="21"/>
              </w:rPr>
            </w:pPr>
          </w:p>
        </w:tc>
        <w:tc>
          <w:tcPr>
            <w:tcW w:w="1430"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3277"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兴业银行股份有限公司漳州古雷支行</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3527" w:type="dxa"/>
            <w:gridSpan w:val="4"/>
            <w:vAlign w:val="center"/>
          </w:tcPr>
          <w:p>
            <w:pPr>
              <w:spacing w:line="280" w:lineRule="exact"/>
              <w:rPr>
                <w:rFonts w:hint="eastAsia" w:ascii="宋体" w:hAnsi="宋体"/>
                <w:color w:val="000000"/>
                <w:sz w:val="21"/>
                <w:szCs w:val="21"/>
              </w:rPr>
            </w:pPr>
          </w:p>
        </w:tc>
        <w:tc>
          <w:tcPr>
            <w:tcW w:w="1708"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162070100100016883</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3527" w:type="dxa"/>
            <w:gridSpan w:val="4"/>
            <w:vAlign w:val="center"/>
          </w:tcPr>
          <w:p>
            <w:pPr>
              <w:spacing w:line="280" w:lineRule="exact"/>
              <w:rPr>
                <w:rFonts w:hint="eastAsia" w:ascii="宋体" w:hAnsi="宋体"/>
                <w:color w:val="000000"/>
                <w:sz w:val="21"/>
                <w:szCs w:val="21"/>
              </w:rPr>
            </w:pPr>
          </w:p>
        </w:tc>
        <w:tc>
          <w:tcPr>
            <w:tcW w:w="1708"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7"/>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rFonts w:hint="eastAsia"/>
          <w:b w:val="0"/>
          <w:bCs w:val="0"/>
          <w:sz w:val="24"/>
          <w:szCs w:val="24"/>
          <w:lang w:val="en-US" w:eastAsia="zh-CN"/>
        </w:rPr>
      </w:pPr>
      <w:r>
        <w:rPr>
          <w:rFonts w:hint="eastAsia"/>
          <w:b w:val="0"/>
          <w:bCs w:val="0"/>
          <w:sz w:val="24"/>
          <w:szCs w:val="24"/>
          <w:lang w:val="en-US" w:eastAsia="zh-CN"/>
        </w:rPr>
        <w:t>附件1 技术规范书</w:t>
      </w:r>
    </w:p>
    <w:p>
      <w:pPr>
        <w:spacing w:line="360" w:lineRule="auto"/>
        <w:jc w:val="center"/>
        <w:rPr>
          <w:rFonts w:ascii="宋体" w:hAnsi="宋体"/>
          <w:b/>
          <w:sz w:val="44"/>
          <w:szCs w:val="44"/>
        </w:rPr>
      </w:pPr>
      <w:r>
        <w:rPr>
          <w:rFonts w:hint="eastAsia" w:asciiTheme="minorEastAsia" w:hAnsiTheme="minorEastAsia"/>
          <w:b/>
          <w:color w:val="000000"/>
          <w:sz w:val="56"/>
          <w:szCs w:val="56"/>
        </w:rPr>
        <w:t>UPS主机采购</w:t>
      </w:r>
    </w:p>
    <w:p>
      <w:pPr>
        <w:tabs>
          <w:tab w:val="left" w:pos="3060"/>
        </w:tabs>
        <w:spacing w:line="360" w:lineRule="auto"/>
        <w:jc w:val="center"/>
        <w:rPr>
          <w:rFonts w:asciiTheme="minorEastAsia" w:hAnsiTheme="minorEastAsia"/>
          <w:b/>
          <w:color w:val="000000"/>
          <w:sz w:val="56"/>
          <w:szCs w:val="56"/>
        </w:rPr>
      </w:pPr>
      <w:r>
        <w:rPr>
          <w:rFonts w:hint="eastAsia" w:asciiTheme="minorEastAsia" w:hAnsiTheme="minorEastAsia"/>
          <w:b/>
          <w:color w:val="000000"/>
          <w:sz w:val="56"/>
          <w:szCs w:val="56"/>
        </w:rPr>
        <w:t>技术要求</w:t>
      </w:r>
    </w:p>
    <w:p>
      <w:pPr>
        <w:tabs>
          <w:tab w:val="left" w:pos="3060"/>
        </w:tabs>
        <w:spacing w:line="360" w:lineRule="auto"/>
        <w:jc w:val="center"/>
        <w:rPr>
          <w:rFonts w:asciiTheme="minorEastAsia" w:hAnsiTheme="minorEastAsia"/>
          <w:b/>
          <w:color w:val="000000"/>
          <w:sz w:val="32"/>
          <w:szCs w:val="32"/>
        </w:rPr>
      </w:pPr>
    </w:p>
    <w:p>
      <w:pPr>
        <w:tabs>
          <w:tab w:val="left" w:pos="3060"/>
        </w:tabs>
        <w:spacing w:line="360" w:lineRule="auto"/>
        <w:rPr>
          <w:rFonts w:ascii="宋体" w:hAnsi="宋体"/>
          <w:b/>
          <w:sz w:val="32"/>
          <w:szCs w:val="32"/>
        </w:rPr>
      </w:pPr>
    </w:p>
    <w:p>
      <w:pPr>
        <w:tabs>
          <w:tab w:val="left" w:pos="3060"/>
        </w:tabs>
        <w:spacing w:line="360" w:lineRule="auto"/>
        <w:rPr>
          <w:rFonts w:ascii="宋体" w:hAnsi="宋体"/>
          <w:b/>
          <w:sz w:val="32"/>
          <w:szCs w:val="32"/>
        </w:rPr>
      </w:pPr>
    </w:p>
    <w:p>
      <w:pPr>
        <w:tabs>
          <w:tab w:val="left" w:pos="3060"/>
        </w:tabs>
        <w:spacing w:line="360" w:lineRule="auto"/>
        <w:rPr>
          <w:rFonts w:ascii="宋体" w:hAnsi="宋体"/>
          <w:b/>
          <w:sz w:val="32"/>
          <w:szCs w:val="32"/>
        </w:rPr>
      </w:pPr>
    </w:p>
    <w:p>
      <w:pPr>
        <w:tabs>
          <w:tab w:val="left" w:pos="3060"/>
        </w:tabs>
        <w:spacing w:line="360" w:lineRule="auto"/>
        <w:rPr>
          <w:rFonts w:ascii="宋体" w:hAnsi="宋体"/>
          <w:b/>
          <w:sz w:val="32"/>
          <w:szCs w:val="32"/>
        </w:rPr>
      </w:pPr>
    </w:p>
    <w:p>
      <w:pPr>
        <w:adjustRightInd w:val="0"/>
        <w:snapToGrid w:val="0"/>
        <w:spacing w:line="360" w:lineRule="auto"/>
        <w:ind w:left="-334" w:leftChars="-152" w:firstLine="1960" w:firstLineChars="700"/>
        <w:rPr>
          <w:rFonts w:asciiTheme="minorEastAsia" w:hAnsiTheme="minorEastAsia"/>
          <w:sz w:val="28"/>
          <w:szCs w:val="28"/>
        </w:rPr>
      </w:pPr>
      <w:r>
        <w:rPr>
          <w:rFonts w:hint="eastAsia" w:asciiTheme="minorEastAsia" w:hAnsiTheme="minorEastAsia"/>
          <w:sz w:val="28"/>
          <w:szCs w:val="28"/>
        </w:rPr>
        <w:t>甲  方：</w:t>
      </w:r>
      <w:r>
        <w:rPr>
          <w:rFonts w:hint="eastAsia"/>
          <w:sz w:val="28"/>
          <w:szCs w:val="28"/>
        </w:rPr>
        <w:t>福海创石油化工有限公司</w:t>
      </w:r>
    </w:p>
    <w:p>
      <w:pPr>
        <w:spacing w:line="120" w:lineRule="auto"/>
        <w:ind w:firstLine="1680" w:firstLineChars="600"/>
        <w:jc w:val="left"/>
        <w:rPr>
          <w:sz w:val="28"/>
          <w:szCs w:val="28"/>
        </w:rPr>
      </w:pPr>
    </w:p>
    <w:p>
      <w:pPr>
        <w:adjustRightInd w:val="0"/>
        <w:snapToGrid w:val="0"/>
        <w:spacing w:line="360" w:lineRule="auto"/>
        <w:ind w:left="-334" w:leftChars="-152" w:firstLine="1960" w:firstLineChars="700"/>
        <w:rPr>
          <w:rFonts w:asciiTheme="minorEastAsia" w:hAnsiTheme="minorEastAsia"/>
          <w:sz w:val="28"/>
          <w:szCs w:val="28"/>
        </w:rPr>
      </w:pPr>
      <w:r>
        <w:rPr>
          <w:rFonts w:hint="eastAsia" w:asciiTheme="minorEastAsia" w:hAnsiTheme="minorEastAsia"/>
          <w:sz w:val="28"/>
          <w:szCs w:val="28"/>
        </w:rPr>
        <w:t>乙  方：</w:t>
      </w:r>
    </w:p>
    <w:p>
      <w:pPr>
        <w:adjustRightInd w:val="0"/>
        <w:snapToGrid w:val="0"/>
        <w:spacing w:line="360" w:lineRule="auto"/>
        <w:jc w:val="left"/>
        <w:rPr>
          <w:sz w:val="28"/>
          <w:szCs w:val="28"/>
        </w:rPr>
      </w:pPr>
    </w:p>
    <w:p>
      <w:pPr>
        <w:adjustRightInd w:val="0"/>
        <w:snapToGrid w:val="0"/>
        <w:spacing w:line="360" w:lineRule="auto"/>
        <w:ind w:firstLine="1680" w:firstLineChars="600"/>
        <w:jc w:val="left"/>
        <w:rPr>
          <w:sz w:val="28"/>
          <w:szCs w:val="28"/>
        </w:rPr>
      </w:pPr>
      <w:r>
        <w:rPr>
          <w:rFonts w:hint="eastAsia"/>
          <w:sz w:val="28"/>
          <w:szCs w:val="28"/>
        </w:rPr>
        <w:t xml:space="preserve"> </w:t>
      </w:r>
    </w:p>
    <w:p>
      <w:pPr>
        <w:adjustRightInd w:val="0"/>
        <w:snapToGrid w:val="0"/>
        <w:spacing w:line="360" w:lineRule="auto"/>
        <w:ind w:firstLine="1680" w:firstLineChars="600"/>
        <w:jc w:val="left"/>
        <w:rPr>
          <w:sz w:val="28"/>
          <w:szCs w:val="28"/>
        </w:rPr>
      </w:pPr>
    </w:p>
    <w:p>
      <w:pPr>
        <w:tabs>
          <w:tab w:val="left" w:pos="3060"/>
        </w:tabs>
        <w:spacing w:line="360" w:lineRule="auto"/>
        <w:jc w:val="center"/>
        <w:rPr>
          <w:rFonts w:ascii="宋体" w:hAnsi="宋体"/>
          <w:b/>
          <w:sz w:val="32"/>
          <w:szCs w:val="32"/>
        </w:rPr>
      </w:pPr>
    </w:p>
    <w:p>
      <w:pPr>
        <w:tabs>
          <w:tab w:val="left" w:pos="3060"/>
        </w:tabs>
        <w:spacing w:line="360" w:lineRule="auto"/>
        <w:jc w:val="center"/>
        <w:rPr>
          <w:rFonts w:ascii="宋体" w:hAnsi="宋体"/>
          <w:b/>
          <w:sz w:val="32"/>
          <w:szCs w:val="32"/>
        </w:rPr>
      </w:pPr>
    </w:p>
    <w:p>
      <w:pPr>
        <w:jc w:val="center"/>
        <w:rPr>
          <w:rFonts w:asciiTheme="minorEastAsia" w:hAnsiTheme="minorEastAsia"/>
          <w:b/>
          <w:color w:val="000000"/>
          <w:sz w:val="28"/>
          <w:szCs w:val="28"/>
        </w:rPr>
      </w:pPr>
      <w:r>
        <w:rPr>
          <w:rFonts w:asciiTheme="minorEastAsia" w:hAnsiTheme="minorEastAsia"/>
          <w:b/>
          <w:color w:val="000000"/>
          <w:sz w:val="28"/>
          <w:szCs w:val="28"/>
        </w:rPr>
        <w:t>202</w:t>
      </w:r>
      <w:r>
        <w:rPr>
          <w:rFonts w:hint="eastAsia" w:asciiTheme="minorEastAsia" w:hAnsiTheme="minorEastAsia"/>
          <w:b/>
          <w:color w:val="000000"/>
          <w:sz w:val="28"/>
          <w:szCs w:val="28"/>
        </w:rPr>
        <w:t>2</w:t>
      </w:r>
      <w:r>
        <w:rPr>
          <w:rFonts w:asciiTheme="minorEastAsia" w:hAnsiTheme="minorEastAsia"/>
          <w:b/>
          <w:color w:val="000000"/>
          <w:sz w:val="28"/>
          <w:szCs w:val="28"/>
        </w:rPr>
        <w:t>年</w:t>
      </w:r>
      <w:r>
        <w:rPr>
          <w:rFonts w:hint="eastAsia" w:asciiTheme="minorEastAsia" w:hAnsiTheme="minorEastAsia"/>
          <w:b/>
          <w:color w:val="000000"/>
          <w:sz w:val="28"/>
          <w:szCs w:val="28"/>
        </w:rPr>
        <w:t>05</w:t>
      </w:r>
      <w:r>
        <w:rPr>
          <w:rFonts w:asciiTheme="minorEastAsia" w:hAnsiTheme="minorEastAsia"/>
          <w:b/>
          <w:color w:val="000000"/>
          <w:sz w:val="28"/>
          <w:szCs w:val="28"/>
        </w:rPr>
        <w:t>月</w:t>
      </w:r>
    </w:p>
    <w:p>
      <w:pPr>
        <w:widowControl/>
      </w:pPr>
      <w:r>
        <w:br w:type="page"/>
      </w:r>
    </w:p>
    <w:p>
      <w:pPr>
        <w:keepNext w:val="0"/>
        <w:keepLines w:val="0"/>
        <w:pageBreakBefore w:val="0"/>
        <w:kinsoku/>
        <w:wordWrap/>
        <w:overflowPunct/>
        <w:topLinePunct w:val="0"/>
        <w:bidi w:val="0"/>
        <w:snapToGrid/>
        <w:spacing w:line="360" w:lineRule="auto"/>
        <w:rPr>
          <w:rFonts w:ascii="宋体" w:hAnsi="宋体" w:eastAsia="宋体" w:cs="宋体"/>
          <w:b/>
          <w:kern w:val="0"/>
          <w:sz w:val="24"/>
          <w:szCs w:val="24"/>
        </w:rPr>
      </w:pPr>
      <w:r>
        <w:rPr>
          <w:rFonts w:ascii="宋体" w:hAnsi="宋体" w:eastAsia="宋体" w:cs="宋体"/>
          <w:b/>
          <w:kern w:val="0"/>
          <w:sz w:val="24"/>
          <w:szCs w:val="24"/>
        </w:rPr>
        <w:t>1</w:t>
      </w:r>
      <w:r>
        <w:rPr>
          <w:rFonts w:hint="eastAsia" w:ascii="宋体" w:hAnsi="宋体" w:eastAsia="宋体" w:cs="宋体"/>
          <w:b/>
          <w:kern w:val="0"/>
          <w:sz w:val="24"/>
          <w:szCs w:val="24"/>
        </w:rPr>
        <w:t>．</w:t>
      </w:r>
      <w:r>
        <w:rPr>
          <w:rFonts w:ascii="宋体" w:hAnsi="宋体" w:eastAsia="宋体" w:cs="宋体"/>
          <w:b/>
          <w:kern w:val="0"/>
          <w:sz w:val="24"/>
          <w:szCs w:val="24"/>
        </w:rPr>
        <w:t>总则</w:t>
      </w:r>
    </w:p>
    <w:p>
      <w:pPr>
        <w:keepNext w:val="0"/>
        <w:keepLines w:val="0"/>
        <w:pageBreakBefore w:val="0"/>
        <w:kinsoku/>
        <w:wordWrap/>
        <w:overflowPunct/>
        <w:topLinePunct w:val="0"/>
        <w:bidi w:val="0"/>
        <w:snapToGrid/>
        <w:spacing w:line="360" w:lineRule="auto"/>
        <w:ind w:firstLine="475" w:firstLineChars="198"/>
        <w:rPr>
          <w:rFonts w:cs="宋体" w:asciiTheme="minorEastAsia" w:hAnsiTheme="minorEastAsia"/>
          <w:color w:val="000000" w:themeColor="text1"/>
          <w:kern w:val="0"/>
          <w:sz w:val="24"/>
          <w:szCs w:val="24"/>
        </w:rPr>
      </w:pPr>
      <w:r>
        <w:rPr>
          <w:rFonts w:cs="宋体" w:asciiTheme="minorEastAsia" w:hAnsiTheme="minorEastAsia"/>
          <w:kern w:val="0"/>
          <w:sz w:val="24"/>
          <w:szCs w:val="24"/>
        </w:rPr>
        <w:t>1.1本技术协议适用于福建福海创石油化工有限公司</w:t>
      </w:r>
      <w:r>
        <w:rPr>
          <w:rFonts w:hint="eastAsia" w:cs="宋体" w:asciiTheme="minorEastAsia" w:hAnsiTheme="minorEastAsia"/>
          <w:color w:val="000000" w:themeColor="text1"/>
          <w:kern w:val="0"/>
          <w:sz w:val="24"/>
          <w:szCs w:val="24"/>
        </w:rPr>
        <w:t>PX厂区UPS电源更新</w:t>
      </w:r>
      <w:r>
        <w:rPr>
          <w:rFonts w:hint="eastAsia" w:cs="宋体" w:asciiTheme="minorEastAsia" w:hAnsiTheme="minorEastAsia"/>
          <w:kern w:val="0"/>
          <w:sz w:val="24"/>
          <w:szCs w:val="24"/>
        </w:rPr>
        <w:t>项</w:t>
      </w:r>
      <w:r>
        <w:rPr>
          <w:rFonts w:cs="宋体" w:asciiTheme="minorEastAsia" w:hAnsiTheme="minorEastAsia"/>
          <w:kern w:val="0"/>
          <w:sz w:val="24"/>
          <w:szCs w:val="24"/>
        </w:rPr>
        <w:t>目</w:t>
      </w:r>
      <w:r>
        <w:rPr>
          <w:rFonts w:hint="eastAsia" w:cs="宋体" w:asciiTheme="minorEastAsia" w:hAnsiTheme="minorEastAsia"/>
          <w:kern w:val="0"/>
          <w:sz w:val="24"/>
          <w:szCs w:val="24"/>
        </w:rPr>
        <w:t>，</w:t>
      </w:r>
      <w:r>
        <w:rPr>
          <w:rFonts w:cs="宋体" w:asciiTheme="minorEastAsia" w:hAnsiTheme="minorEastAsia"/>
          <w:kern w:val="0"/>
          <w:sz w:val="24"/>
          <w:szCs w:val="24"/>
        </w:rPr>
        <w:t>提出了该</w:t>
      </w:r>
      <w:r>
        <w:rPr>
          <w:rFonts w:hint="eastAsia" w:cs="宋体" w:asciiTheme="minorEastAsia" w:hAnsiTheme="minorEastAsia"/>
          <w:kern w:val="0"/>
          <w:sz w:val="24"/>
          <w:szCs w:val="24"/>
        </w:rPr>
        <w:t>采购项</w:t>
      </w:r>
      <w:r>
        <w:rPr>
          <w:rFonts w:cs="宋体" w:asciiTheme="minorEastAsia" w:hAnsiTheme="minorEastAsia"/>
          <w:kern w:val="0"/>
          <w:sz w:val="24"/>
          <w:szCs w:val="24"/>
        </w:rPr>
        <w:t>目的功能设计</w:t>
      </w:r>
      <w:r>
        <w:rPr>
          <w:rFonts w:hint="eastAsia" w:cs="宋体" w:asciiTheme="minorEastAsia" w:hAnsiTheme="minorEastAsia"/>
          <w:kern w:val="0"/>
          <w:sz w:val="24"/>
          <w:szCs w:val="24"/>
        </w:rPr>
        <w:t>、</w:t>
      </w:r>
      <w:r>
        <w:rPr>
          <w:rFonts w:cs="宋体" w:asciiTheme="minorEastAsia" w:hAnsiTheme="minorEastAsia"/>
          <w:kern w:val="0"/>
          <w:sz w:val="24"/>
          <w:szCs w:val="24"/>
        </w:rPr>
        <w:t>结构</w:t>
      </w:r>
      <w:r>
        <w:rPr>
          <w:rFonts w:hint="eastAsia" w:cs="宋体" w:asciiTheme="minorEastAsia" w:hAnsiTheme="minorEastAsia"/>
          <w:kern w:val="0"/>
          <w:sz w:val="24"/>
          <w:szCs w:val="24"/>
        </w:rPr>
        <w:t>、</w:t>
      </w:r>
      <w:r>
        <w:rPr>
          <w:rFonts w:cs="宋体" w:asciiTheme="minorEastAsia" w:hAnsiTheme="minorEastAsia"/>
          <w:kern w:val="0"/>
          <w:sz w:val="24"/>
          <w:szCs w:val="24"/>
        </w:rPr>
        <w:t>性能</w:t>
      </w:r>
      <w:r>
        <w:rPr>
          <w:rFonts w:hint="eastAsia" w:cs="宋体" w:asciiTheme="minorEastAsia" w:hAnsiTheme="minorEastAsia"/>
          <w:kern w:val="0"/>
          <w:sz w:val="24"/>
          <w:szCs w:val="24"/>
        </w:rPr>
        <w:t>、</w:t>
      </w:r>
      <w:r>
        <w:rPr>
          <w:rFonts w:cs="宋体" w:asciiTheme="minorEastAsia" w:hAnsiTheme="minorEastAsia"/>
          <w:kern w:val="0"/>
          <w:sz w:val="24"/>
          <w:szCs w:val="24"/>
        </w:rPr>
        <w:t>安装和试验等方面的技术要求。</w:t>
      </w:r>
    </w:p>
    <w:p>
      <w:pPr>
        <w:keepNext w:val="0"/>
        <w:keepLines w:val="0"/>
        <w:pageBreakBefore w:val="0"/>
        <w:kinsoku/>
        <w:wordWrap/>
        <w:overflowPunct/>
        <w:topLinePunct w:val="0"/>
        <w:bidi w:val="0"/>
        <w:snapToGrid/>
        <w:spacing w:line="360" w:lineRule="auto"/>
        <w:ind w:firstLine="475" w:firstLineChars="198"/>
        <w:rPr>
          <w:rFonts w:cs="宋体" w:asciiTheme="minorEastAsia" w:hAnsiTheme="minorEastAsia"/>
          <w:kern w:val="0"/>
          <w:sz w:val="24"/>
          <w:szCs w:val="24"/>
        </w:rPr>
      </w:pPr>
      <w:r>
        <w:rPr>
          <w:rFonts w:cs="宋体" w:asciiTheme="minorEastAsia" w:hAnsiTheme="minorEastAsia"/>
          <w:kern w:val="0"/>
          <w:sz w:val="24"/>
          <w:szCs w:val="24"/>
        </w:rPr>
        <w:t>1.2在本技术协议中提出了最低限度的技术要求，并未规定所有的技术要求和</w:t>
      </w:r>
      <w:r>
        <w:rPr>
          <w:rFonts w:hint="eastAsia" w:cs="宋体" w:asciiTheme="minorEastAsia" w:hAnsiTheme="minorEastAsia"/>
          <w:kern w:val="0"/>
          <w:sz w:val="24"/>
          <w:szCs w:val="24"/>
        </w:rPr>
        <w:t>适用</w:t>
      </w:r>
      <w:r>
        <w:rPr>
          <w:rFonts w:cs="宋体" w:asciiTheme="minorEastAsia" w:hAnsiTheme="minorEastAsia"/>
          <w:kern w:val="0"/>
          <w:sz w:val="24"/>
          <w:szCs w:val="24"/>
        </w:rPr>
        <w:t>的标准。</w:t>
      </w:r>
      <w:r>
        <w:rPr>
          <w:rFonts w:hint="eastAsia" w:cs="宋体" w:asciiTheme="minorEastAsia" w:hAnsiTheme="minorEastAsia"/>
          <w:kern w:val="0"/>
          <w:sz w:val="24"/>
          <w:szCs w:val="24"/>
        </w:rPr>
        <w:t>乙方</w:t>
      </w:r>
      <w:r>
        <w:rPr>
          <w:rFonts w:cs="宋体" w:asciiTheme="minorEastAsia" w:hAnsiTheme="minorEastAsia"/>
          <w:kern w:val="0"/>
          <w:sz w:val="24"/>
          <w:szCs w:val="24"/>
        </w:rPr>
        <w:t>应提供一套满足本技术协议和所列标准要求的高质量产品及其相应服务。</w:t>
      </w:r>
    </w:p>
    <w:p>
      <w:pPr>
        <w:keepNext w:val="0"/>
        <w:keepLines w:val="0"/>
        <w:pageBreakBefore w:val="0"/>
        <w:kinsoku/>
        <w:wordWrap/>
        <w:overflowPunct/>
        <w:topLinePunct w:val="0"/>
        <w:bidi w:val="0"/>
        <w:snapToGrid/>
        <w:spacing w:line="360" w:lineRule="auto"/>
        <w:ind w:firstLine="475" w:firstLineChars="198"/>
        <w:rPr>
          <w:rFonts w:cs="宋体" w:asciiTheme="minorEastAsia" w:hAnsiTheme="minorEastAsia"/>
          <w:kern w:val="0"/>
          <w:sz w:val="24"/>
          <w:szCs w:val="24"/>
        </w:rPr>
      </w:pPr>
      <w:r>
        <w:rPr>
          <w:rFonts w:cs="宋体" w:asciiTheme="minorEastAsia" w:hAnsiTheme="minorEastAsia"/>
          <w:kern w:val="0"/>
          <w:sz w:val="24"/>
          <w:szCs w:val="24"/>
        </w:rPr>
        <w:t>1.3</w:t>
      </w:r>
      <w:r>
        <w:rPr>
          <w:rFonts w:hint="eastAsia" w:cs="宋体" w:asciiTheme="minorEastAsia" w:hAnsiTheme="minorEastAsia"/>
          <w:kern w:val="0"/>
          <w:sz w:val="24"/>
          <w:szCs w:val="24"/>
        </w:rPr>
        <w:t>乙方</w:t>
      </w:r>
      <w:r>
        <w:rPr>
          <w:rFonts w:cs="宋体" w:asciiTheme="minorEastAsia" w:hAnsiTheme="minorEastAsia"/>
          <w:kern w:val="0"/>
          <w:sz w:val="24"/>
          <w:szCs w:val="24"/>
        </w:rPr>
        <w:t>如对本技术协议有异议，应以书面形式明确提出，在征得</w:t>
      </w:r>
      <w:r>
        <w:rPr>
          <w:rFonts w:hint="eastAsia" w:cs="宋体" w:asciiTheme="minorEastAsia" w:hAnsiTheme="minorEastAsia"/>
          <w:kern w:val="0"/>
          <w:sz w:val="24"/>
          <w:szCs w:val="24"/>
        </w:rPr>
        <w:t>甲方</w:t>
      </w:r>
      <w:r>
        <w:rPr>
          <w:rFonts w:cs="宋体" w:asciiTheme="minorEastAsia" w:hAnsiTheme="minorEastAsia"/>
          <w:kern w:val="0"/>
          <w:sz w:val="24"/>
          <w:szCs w:val="24"/>
        </w:rPr>
        <w:t>同意后可对有关</w:t>
      </w:r>
      <w:r>
        <w:rPr>
          <w:rFonts w:hint="eastAsia" w:cs="宋体" w:asciiTheme="minorEastAsia" w:hAnsiTheme="minorEastAsia"/>
          <w:kern w:val="0"/>
          <w:sz w:val="24"/>
          <w:szCs w:val="24"/>
        </w:rPr>
        <w:t>内容</w:t>
      </w:r>
      <w:r>
        <w:rPr>
          <w:rFonts w:cs="宋体" w:asciiTheme="minorEastAsia" w:hAnsiTheme="minorEastAsia"/>
          <w:kern w:val="0"/>
          <w:sz w:val="24"/>
          <w:szCs w:val="24"/>
        </w:rPr>
        <w:t>进行修改。如</w:t>
      </w:r>
      <w:r>
        <w:rPr>
          <w:rFonts w:hint="eastAsia" w:cs="宋体" w:asciiTheme="minorEastAsia" w:hAnsiTheme="minorEastAsia"/>
          <w:kern w:val="0"/>
          <w:sz w:val="24"/>
          <w:szCs w:val="24"/>
        </w:rPr>
        <w:t>甲方</w:t>
      </w:r>
      <w:r>
        <w:rPr>
          <w:rFonts w:cs="宋体" w:asciiTheme="minorEastAsia" w:hAnsiTheme="minorEastAsia"/>
          <w:kern w:val="0"/>
          <w:sz w:val="24"/>
          <w:szCs w:val="24"/>
        </w:rPr>
        <w:t>不同意修改，仍以</w:t>
      </w:r>
      <w:r>
        <w:rPr>
          <w:rFonts w:hint="eastAsia" w:cs="宋体" w:asciiTheme="minorEastAsia" w:hAnsiTheme="minorEastAsia"/>
          <w:kern w:val="0"/>
          <w:sz w:val="24"/>
          <w:szCs w:val="24"/>
        </w:rPr>
        <w:t>甲方</w:t>
      </w:r>
      <w:r>
        <w:rPr>
          <w:rFonts w:cs="宋体" w:asciiTheme="minorEastAsia" w:hAnsiTheme="minorEastAsia"/>
          <w:kern w:val="0"/>
          <w:sz w:val="24"/>
          <w:szCs w:val="24"/>
        </w:rPr>
        <w:t>意见为准。</w:t>
      </w:r>
    </w:p>
    <w:p>
      <w:pPr>
        <w:keepNext w:val="0"/>
        <w:keepLines w:val="0"/>
        <w:pageBreakBefore w:val="0"/>
        <w:kinsoku/>
        <w:wordWrap/>
        <w:overflowPunct/>
        <w:topLinePunct w:val="0"/>
        <w:bidi w:val="0"/>
        <w:snapToGrid/>
        <w:spacing w:line="360" w:lineRule="auto"/>
        <w:ind w:firstLine="475" w:firstLineChars="198"/>
        <w:rPr>
          <w:rFonts w:cs="宋体" w:asciiTheme="minorEastAsia" w:hAnsiTheme="minorEastAsia"/>
          <w:kern w:val="0"/>
          <w:sz w:val="24"/>
          <w:szCs w:val="24"/>
        </w:rPr>
      </w:pPr>
      <w:r>
        <w:rPr>
          <w:rFonts w:cs="宋体" w:asciiTheme="minorEastAsia" w:hAnsiTheme="minorEastAsia"/>
          <w:kern w:val="0"/>
          <w:sz w:val="24"/>
          <w:szCs w:val="24"/>
        </w:rPr>
        <w:t>如</w:t>
      </w:r>
      <w:r>
        <w:rPr>
          <w:rFonts w:hint="eastAsia" w:cs="宋体" w:asciiTheme="minorEastAsia" w:hAnsiTheme="minorEastAsia"/>
          <w:kern w:val="0"/>
          <w:sz w:val="24"/>
          <w:szCs w:val="24"/>
        </w:rPr>
        <w:t>乙方</w:t>
      </w:r>
      <w:r>
        <w:rPr>
          <w:rFonts w:cs="宋体" w:asciiTheme="minorEastAsia" w:hAnsiTheme="minorEastAsia"/>
          <w:kern w:val="0"/>
          <w:sz w:val="24"/>
          <w:szCs w:val="24"/>
        </w:rPr>
        <w:t>未以书面形式对本技术协议明确提出异议，则</w:t>
      </w:r>
      <w:r>
        <w:rPr>
          <w:rFonts w:hint="eastAsia" w:cs="宋体" w:asciiTheme="minorEastAsia" w:hAnsiTheme="minorEastAsia"/>
          <w:kern w:val="0"/>
          <w:sz w:val="24"/>
          <w:szCs w:val="24"/>
        </w:rPr>
        <w:t>乙方</w:t>
      </w:r>
      <w:r>
        <w:rPr>
          <w:rFonts w:cs="宋体" w:asciiTheme="minorEastAsia" w:hAnsiTheme="minorEastAsia"/>
          <w:kern w:val="0"/>
          <w:sz w:val="24"/>
          <w:szCs w:val="24"/>
        </w:rPr>
        <w:t>提供的产品应完全满足本技术</w:t>
      </w:r>
      <w:r>
        <w:rPr>
          <w:rFonts w:hint="eastAsia" w:cs="宋体" w:asciiTheme="minorEastAsia" w:hAnsiTheme="minorEastAsia"/>
          <w:kern w:val="0"/>
          <w:sz w:val="24"/>
          <w:szCs w:val="24"/>
        </w:rPr>
        <w:t>协</w:t>
      </w:r>
      <w:r>
        <w:rPr>
          <w:rFonts w:cs="宋体" w:asciiTheme="minorEastAsia" w:hAnsiTheme="minorEastAsia"/>
          <w:kern w:val="0"/>
          <w:sz w:val="24"/>
          <w:szCs w:val="24"/>
        </w:rPr>
        <w:t>议的</w:t>
      </w:r>
      <w:r>
        <w:rPr>
          <w:rFonts w:hint="eastAsia" w:cs="宋体" w:asciiTheme="minorEastAsia" w:hAnsiTheme="minorEastAsia"/>
          <w:kern w:val="0"/>
          <w:sz w:val="24"/>
          <w:szCs w:val="24"/>
        </w:rPr>
        <w:t>要</w:t>
      </w:r>
      <w:r>
        <w:rPr>
          <w:rFonts w:cs="宋体" w:asciiTheme="minorEastAsia" w:hAnsiTheme="minorEastAsia"/>
          <w:kern w:val="0"/>
          <w:sz w:val="24"/>
          <w:szCs w:val="24"/>
        </w:rPr>
        <w:t>求。</w:t>
      </w:r>
    </w:p>
    <w:p>
      <w:pPr>
        <w:keepNext w:val="0"/>
        <w:keepLines w:val="0"/>
        <w:pageBreakBefore w:val="0"/>
        <w:kinsoku/>
        <w:wordWrap/>
        <w:overflowPunct/>
        <w:topLinePunct w:val="0"/>
        <w:bidi w:val="0"/>
        <w:snapToGrid/>
        <w:spacing w:line="360" w:lineRule="auto"/>
        <w:ind w:firstLine="475" w:firstLineChars="198"/>
        <w:rPr>
          <w:rFonts w:cs="宋体" w:asciiTheme="minorEastAsia" w:hAnsiTheme="minorEastAsia"/>
          <w:kern w:val="0"/>
          <w:sz w:val="24"/>
          <w:szCs w:val="24"/>
        </w:rPr>
      </w:pPr>
      <w:r>
        <w:rPr>
          <w:rFonts w:hint="eastAsia" w:cs="宋体" w:asciiTheme="minorEastAsia" w:hAnsiTheme="minorEastAsia"/>
          <w:kern w:val="0"/>
          <w:sz w:val="24"/>
          <w:szCs w:val="24"/>
        </w:rPr>
        <w:t>乙</w:t>
      </w:r>
      <w:r>
        <w:rPr>
          <w:rFonts w:hint="eastAsia" w:asciiTheme="minorEastAsia" w:hAnsiTheme="minorEastAsia"/>
          <w:sz w:val="24"/>
          <w:szCs w:val="24"/>
        </w:rPr>
        <w:t>方对招标文件的偏差（无论多少或者微小）都要以书面形式清楚地写进附件中的“偏差异表</w:t>
      </w:r>
      <w:r>
        <w:rPr>
          <w:rFonts w:asciiTheme="minorEastAsia" w:hAnsiTheme="minorEastAsia"/>
          <w:sz w:val="24"/>
          <w:szCs w:val="24"/>
        </w:rPr>
        <w:t>”</w:t>
      </w:r>
      <w:r>
        <w:rPr>
          <w:rFonts w:hint="eastAsia" w:asciiTheme="minorEastAsia" w:hAnsiTheme="minorEastAsia"/>
          <w:sz w:val="24"/>
          <w:szCs w:val="24"/>
        </w:rPr>
        <w:t>，否则甲方将认为</w:t>
      </w:r>
      <w:r>
        <w:rPr>
          <w:rFonts w:hint="eastAsia" w:cs="宋体" w:asciiTheme="minorEastAsia" w:hAnsiTheme="minorEastAsia"/>
          <w:kern w:val="0"/>
          <w:sz w:val="24"/>
          <w:szCs w:val="24"/>
        </w:rPr>
        <w:t>乙</w:t>
      </w:r>
      <w:r>
        <w:rPr>
          <w:rFonts w:hint="eastAsia" w:asciiTheme="minorEastAsia" w:hAnsiTheme="minorEastAsia"/>
          <w:sz w:val="24"/>
          <w:szCs w:val="24"/>
        </w:rPr>
        <w:t>方完全接受和同意本技术规范的要求。</w:t>
      </w:r>
    </w:p>
    <w:p>
      <w:pPr>
        <w:keepNext w:val="0"/>
        <w:keepLines w:val="0"/>
        <w:pageBreakBefore w:val="0"/>
        <w:kinsoku/>
        <w:wordWrap/>
        <w:overflowPunct/>
        <w:topLinePunct w:val="0"/>
        <w:bidi w:val="0"/>
        <w:snapToGrid/>
        <w:spacing w:line="360" w:lineRule="auto"/>
        <w:ind w:firstLine="475" w:firstLineChars="198"/>
        <w:rPr>
          <w:rFonts w:cs="宋体" w:asciiTheme="minorEastAsia" w:hAnsiTheme="minorEastAsia"/>
          <w:kern w:val="0"/>
          <w:sz w:val="24"/>
          <w:szCs w:val="24"/>
        </w:rPr>
      </w:pPr>
      <w:r>
        <w:rPr>
          <w:rFonts w:cs="宋体" w:asciiTheme="minorEastAsia" w:hAnsiTheme="minorEastAsia"/>
          <w:kern w:val="0"/>
          <w:sz w:val="24"/>
          <w:szCs w:val="24"/>
        </w:rPr>
        <w:t>1.4本技术协议所使用的标准如遇</w:t>
      </w:r>
      <w:r>
        <w:rPr>
          <w:rFonts w:hint="eastAsia" w:cs="宋体" w:asciiTheme="minorEastAsia" w:hAnsiTheme="minorEastAsia"/>
          <w:kern w:val="0"/>
          <w:sz w:val="24"/>
          <w:szCs w:val="24"/>
        </w:rPr>
        <w:t>与乙方</w:t>
      </w:r>
      <w:r>
        <w:rPr>
          <w:rFonts w:cs="宋体" w:asciiTheme="minorEastAsia" w:hAnsiTheme="minorEastAsia"/>
          <w:kern w:val="0"/>
          <w:sz w:val="24"/>
          <w:szCs w:val="24"/>
        </w:rPr>
        <w:t>执行的标准不一致时，按其中要求较高的标准执行</w:t>
      </w:r>
      <w:r>
        <w:rPr>
          <w:rFonts w:hint="eastAsia" w:cs="宋体" w:asciiTheme="minorEastAsia" w:hAnsiTheme="minorEastAsia"/>
          <w:kern w:val="0"/>
          <w:sz w:val="24"/>
          <w:szCs w:val="24"/>
        </w:rPr>
        <w:t>。在合同签定后,甲方有权因规范、标准、规程等发生变化而提出补充要求</w:t>
      </w:r>
      <w:r>
        <w:rPr>
          <w:rFonts w:cs="宋体" w:asciiTheme="minorEastAsia" w:hAnsiTheme="minorEastAsia"/>
          <w:kern w:val="0"/>
          <w:sz w:val="24"/>
          <w:szCs w:val="24"/>
        </w:rPr>
        <w:t>。</w:t>
      </w:r>
    </w:p>
    <w:p>
      <w:pPr>
        <w:keepNext w:val="0"/>
        <w:keepLines w:val="0"/>
        <w:pageBreakBefore w:val="0"/>
        <w:kinsoku/>
        <w:wordWrap/>
        <w:overflowPunct/>
        <w:topLinePunct w:val="0"/>
        <w:bidi w:val="0"/>
        <w:snapToGrid/>
        <w:spacing w:line="360" w:lineRule="auto"/>
        <w:ind w:firstLine="475" w:firstLineChars="198"/>
        <w:rPr>
          <w:rFonts w:asciiTheme="minorEastAsia" w:hAnsiTheme="minorEastAsia"/>
          <w:sz w:val="24"/>
          <w:szCs w:val="24"/>
        </w:rPr>
      </w:pPr>
      <w:r>
        <w:rPr>
          <w:rFonts w:cs="宋体" w:asciiTheme="minorEastAsia" w:hAnsiTheme="minorEastAsia"/>
          <w:kern w:val="0"/>
          <w:sz w:val="24"/>
          <w:szCs w:val="24"/>
        </w:rPr>
        <w:t>1.5本技术协议经</w:t>
      </w:r>
      <w:r>
        <w:rPr>
          <w:rFonts w:hint="eastAsia" w:asciiTheme="minorEastAsia" w:hAnsiTheme="minorEastAsia"/>
          <w:sz w:val="24"/>
          <w:szCs w:val="24"/>
        </w:rPr>
        <w:t>甲、乙</w:t>
      </w:r>
      <w:r>
        <w:rPr>
          <w:rFonts w:hint="eastAsia" w:cs="宋体" w:asciiTheme="minorEastAsia" w:hAnsiTheme="minorEastAsia"/>
          <w:kern w:val="0"/>
          <w:sz w:val="24"/>
          <w:szCs w:val="24"/>
        </w:rPr>
        <w:t>双方</w:t>
      </w:r>
      <w:r>
        <w:rPr>
          <w:rFonts w:cs="宋体" w:asciiTheme="minorEastAsia" w:hAnsiTheme="minorEastAsia"/>
          <w:kern w:val="0"/>
          <w:sz w:val="24"/>
          <w:szCs w:val="24"/>
        </w:rPr>
        <w:t>确认后作为订货合同的技术附件、</w:t>
      </w:r>
      <w:r>
        <w:rPr>
          <w:rFonts w:hint="eastAsia" w:cs="宋体" w:asciiTheme="minorEastAsia" w:hAnsiTheme="minorEastAsia"/>
          <w:kern w:val="0"/>
          <w:sz w:val="24"/>
          <w:szCs w:val="24"/>
        </w:rPr>
        <w:t>与合同</w:t>
      </w:r>
      <w:r>
        <w:rPr>
          <w:rFonts w:cs="宋体" w:asciiTheme="minorEastAsia" w:hAnsiTheme="minorEastAsia"/>
          <w:kern w:val="0"/>
          <w:sz w:val="24"/>
          <w:szCs w:val="24"/>
        </w:rPr>
        <w:t>正文具有</w:t>
      </w:r>
      <w:r>
        <w:rPr>
          <w:rFonts w:hint="eastAsia" w:cs="宋体" w:asciiTheme="minorEastAsia" w:hAnsiTheme="minorEastAsia"/>
          <w:kern w:val="0"/>
          <w:sz w:val="24"/>
          <w:szCs w:val="24"/>
        </w:rPr>
        <w:t>同等</w:t>
      </w:r>
      <w:r>
        <w:rPr>
          <w:rFonts w:cs="宋体" w:asciiTheme="minorEastAsia" w:hAnsiTheme="minorEastAsia"/>
          <w:kern w:val="0"/>
          <w:sz w:val="24"/>
          <w:szCs w:val="24"/>
        </w:rPr>
        <w:t>的</w:t>
      </w:r>
      <w:r>
        <w:rPr>
          <w:rFonts w:hint="eastAsia" w:cs="宋体" w:asciiTheme="minorEastAsia" w:hAnsiTheme="minorEastAsia"/>
          <w:kern w:val="0"/>
          <w:sz w:val="24"/>
          <w:szCs w:val="24"/>
        </w:rPr>
        <w:t>法律效力。</w:t>
      </w:r>
    </w:p>
    <w:p>
      <w:pPr>
        <w:keepNext w:val="0"/>
        <w:keepLines w:val="0"/>
        <w:pageBreakBefore w:val="0"/>
        <w:kinsoku/>
        <w:wordWrap/>
        <w:overflowPunct/>
        <w:topLinePunct w:val="0"/>
        <w:bidi w:val="0"/>
        <w:snapToGrid/>
        <w:spacing w:line="360" w:lineRule="auto"/>
        <w:ind w:firstLine="475" w:firstLineChars="198"/>
        <w:rPr>
          <w:rFonts w:asciiTheme="minorEastAsia" w:hAnsiTheme="minorEastAsia"/>
          <w:sz w:val="24"/>
          <w:szCs w:val="24"/>
        </w:rPr>
      </w:pPr>
      <w:r>
        <w:rPr>
          <w:rFonts w:hint="eastAsia" w:asciiTheme="minorEastAsia" w:hAnsiTheme="minorEastAsia"/>
          <w:sz w:val="24"/>
          <w:szCs w:val="24"/>
        </w:rPr>
        <w:t>1.6本材料技术协议未尽事宜，由甲、乙</w:t>
      </w:r>
      <w:r>
        <w:rPr>
          <w:rFonts w:hint="eastAsia" w:cs="宋体" w:asciiTheme="minorEastAsia" w:hAnsiTheme="minorEastAsia"/>
          <w:kern w:val="0"/>
          <w:sz w:val="24"/>
          <w:szCs w:val="24"/>
        </w:rPr>
        <w:t>双方</w:t>
      </w:r>
      <w:r>
        <w:rPr>
          <w:rFonts w:hint="eastAsia" w:asciiTheme="minorEastAsia" w:hAnsiTheme="minorEastAsia"/>
          <w:sz w:val="24"/>
          <w:szCs w:val="24"/>
        </w:rPr>
        <w:t>协商确定。</w:t>
      </w:r>
    </w:p>
    <w:p>
      <w:pPr>
        <w:keepNext w:val="0"/>
        <w:keepLines w:val="0"/>
        <w:pageBreakBefore w:val="0"/>
        <w:widowControl/>
        <w:numPr>
          <w:ilvl w:val="0"/>
          <w:numId w:val="8"/>
        </w:numPr>
        <w:kinsoku/>
        <w:wordWrap/>
        <w:overflowPunct/>
        <w:topLinePunct w:val="0"/>
        <w:bidi w:val="0"/>
        <w:snapToGrid/>
        <w:spacing w:line="360" w:lineRule="auto"/>
        <w:rPr>
          <w:rFonts w:hint="eastAsia" w:asciiTheme="minorEastAsia" w:hAnsiTheme="minorEastAsia"/>
          <w:b/>
          <w:sz w:val="24"/>
          <w:szCs w:val="24"/>
        </w:rPr>
      </w:pPr>
      <w:r>
        <w:rPr>
          <w:rFonts w:hint="eastAsia" w:asciiTheme="minorEastAsia" w:hAnsiTheme="minorEastAsia"/>
          <w:b/>
          <w:sz w:val="24"/>
          <w:szCs w:val="24"/>
        </w:rPr>
        <w:t>设备运行于环境条件</w:t>
      </w:r>
    </w:p>
    <w:p>
      <w:pPr>
        <w:keepNext w:val="0"/>
        <w:keepLines w:val="0"/>
        <w:pageBreakBefore w:val="0"/>
        <w:widowControl/>
        <w:numPr>
          <w:ilvl w:val="0"/>
          <w:numId w:val="0"/>
        </w:numPr>
        <w:kinsoku/>
        <w:wordWrap/>
        <w:overflowPunct/>
        <w:topLinePunct w:val="0"/>
        <w:bidi w:val="0"/>
        <w:snapToGrid/>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2.1工程简介</w:t>
      </w:r>
    </w:p>
    <w:p>
      <w:pPr>
        <w:keepNext w:val="0"/>
        <w:keepLines w:val="0"/>
        <w:pageBreakBefore w:val="0"/>
        <w:kinsoku/>
        <w:wordWrap/>
        <w:overflowPunct/>
        <w:topLinePunct w:val="0"/>
        <w:bidi w:val="0"/>
        <w:snapToGrid/>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厂址:福建省漳州市古雷开发</w:t>
      </w:r>
      <w:r>
        <w:rPr>
          <w:rFonts w:asciiTheme="minorEastAsia" w:hAnsiTheme="minorEastAsia"/>
          <w:sz w:val="24"/>
          <w:szCs w:val="24"/>
        </w:rPr>
        <w:t>区腾龙路</w:t>
      </w:r>
      <w:r>
        <w:rPr>
          <w:rFonts w:hint="eastAsia" w:asciiTheme="minorEastAsia" w:hAnsiTheme="minorEastAsia"/>
          <w:sz w:val="24"/>
          <w:szCs w:val="24"/>
        </w:rPr>
        <w:t>84号，乙方应保证所提供的设备和材料在运输、卸货、搬运、储存、安装和运行中能经得起下列环境条件的考验，且没有损坏，可长期满容量连续运行。</w:t>
      </w:r>
    </w:p>
    <w:p>
      <w:pPr>
        <w:keepNext w:val="0"/>
        <w:keepLines w:val="0"/>
        <w:pageBreakBefore w:val="0"/>
        <w:kinsoku/>
        <w:wordWrap/>
        <w:overflowPunct/>
        <w:topLinePunct w:val="0"/>
        <w:bidi w:val="0"/>
        <w:snapToGrid/>
        <w:spacing w:line="360" w:lineRule="auto"/>
        <w:ind w:firstLine="475" w:firstLineChars="198"/>
        <w:rPr>
          <w:rFonts w:asciiTheme="minorEastAsia" w:hAnsiTheme="minorEastAsia"/>
          <w:sz w:val="24"/>
          <w:szCs w:val="24"/>
        </w:rPr>
      </w:pPr>
      <w:r>
        <w:rPr>
          <w:rFonts w:hint="eastAsia" w:asciiTheme="minorEastAsia" w:hAnsiTheme="minorEastAsia"/>
          <w:sz w:val="24"/>
          <w:szCs w:val="24"/>
        </w:rPr>
        <w:t>2.2安装地点：室</w:t>
      </w:r>
      <w:r>
        <w:rPr>
          <w:rFonts w:asciiTheme="minorEastAsia" w:hAnsiTheme="minorEastAsia"/>
          <w:sz w:val="24"/>
          <w:szCs w:val="24"/>
        </w:rPr>
        <w:t>内</w:t>
      </w:r>
    </w:p>
    <w:p>
      <w:pPr>
        <w:keepNext w:val="0"/>
        <w:keepLines w:val="0"/>
        <w:pageBreakBefore w:val="0"/>
        <w:kinsoku/>
        <w:wordWrap/>
        <w:overflowPunct/>
        <w:topLinePunct w:val="0"/>
        <w:bidi w:val="0"/>
        <w:snapToGrid/>
        <w:spacing w:line="360" w:lineRule="auto"/>
        <w:ind w:firstLine="475" w:firstLineChars="198"/>
        <w:rPr>
          <w:rFonts w:asciiTheme="minorEastAsia" w:hAnsiTheme="minorEastAsia"/>
          <w:sz w:val="24"/>
          <w:szCs w:val="24"/>
        </w:rPr>
      </w:pPr>
      <w:r>
        <w:rPr>
          <w:rFonts w:hint="eastAsia" w:asciiTheme="minorEastAsia" w:hAnsiTheme="minorEastAsia"/>
          <w:sz w:val="24"/>
          <w:szCs w:val="24"/>
        </w:rPr>
        <w:t>2.3环境温度:</w:t>
      </w:r>
    </w:p>
    <w:p>
      <w:pPr>
        <w:keepNext w:val="0"/>
        <w:keepLines w:val="0"/>
        <w:pageBreakBefore w:val="0"/>
        <w:kinsoku/>
        <w:wordWrap/>
        <w:overflowPunct/>
        <w:topLinePunct w:val="0"/>
        <w:bidi w:val="0"/>
        <w:snapToGrid/>
        <w:spacing w:line="360" w:lineRule="auto"/>
        <w:ind w:firstLine="972" w:firstLineChars="405"/>
        <w:rPr>
          <w:rFonts w:asciiTheme="minorEastAsia" w:hAnsiTheme="minorEastAsia"/>
          <w:sz w:val="24"/>
          <w:szCs w:val="24"/>
        </w:rPr>
      </w:pPr>
      <w:r>
        <w:rPr>
          <w:rFonts w:hint="eastAsia" w:asciiTheme="minorEastAsia" w:hAnsiTheme="minorEastAsia"/>
          <w:sz w:val="24"/>
          <w:szCs w:val="24"/>
        </w:rPr>
        <w:t xml:space="preserve">最高气温：                  </w:t>
      </w:r>
      <w:r>
        <w:rPr>
          <w:rFonts w:asciiTheme="minorEastAsia" w:hAnsiTheme="minorEastAsia"/>
          <w:sz w:val="24"/>
          <w:szCs w:val="24"/>
        </w:rPr>
        <w:t>+</w:t>
      </w:r>
      <w:r>
        <w:rPr>
          <w:rFonts w:hint="eastAsia" w:asciiTheme="minorEastAsia" w:hAnsiTheme="minorEastAsia"/>
          <w:sz w:val="24"/>
          <w:szCs w:val="24"/>
        </w:rPr>
        <w:t>40℃</w:t>
      </w:r>
    </w:p>
    <w:p>
      <w:pPr>
        <w:keepNext w:val="0"/>
        <w:keepLines w:val="0"/>
        <w:pageBreakBefore w:val="0"/>
        <w:kinsoku/>
        <w:wordWrap/>
        <w:overflowPunct/>
        <w:topLinePunct w:val="0"/>
        <w:bidi w:val="0"/>
        <w:snapToGrid/>
        <w:spacing w:line="360" w:lineRule="auto"/>
        <w:ind w:firstLine="972" w:firstLineChars="405"/>
        <w:rPr>
          <w:rFonts w:asciiTheme="minorEastAsia" w:hAnsiTheme="minorEastAsia"/>
          <w:sz w:val="24"/>
          <w:szCs w:val="24"/>
        </w:rPr>
      </w:pPr>
      <w:r>
        <w:rPr>
          <w:rFonts w:hint="eastAsia" w:asciiTheme="minorEastAsia" w:hAnsiTheme="minorEastAsia"/>
          <w:sz w:val="24"/>
          <w:szCs w:val="24"/>
        </w:rPr>
        <w:t>最低气温：                  -</w:t>
      </w:r>
      <w:r>
        <w:rPr>
          <w:rFonts w:asciiTheme="minorEastAsia" w:hAnsiTheme="minorEastAsia"/>
          <w:sz w:val="24"/>
          <w:szCs w:val="24"/>
        </w:rPr>
        <w:t>10</w:t>
      </w:r>
      <w:r>
        <w:rPr>
          <w:rFonts w:hint="eastAsia" w:asciiTheme="minorEastAsia" w:hAnsiTheme="minorEastAsia"/>
          <w:sz w:val="24"/>
          <w:szCs w:val="24"/>
        </w:rPr>
        <w:t>℃</w:t>
      </w:r>
    </w:p>
    <w:p>
      <w:pPr>
        <w:keepNext w:val="0"/>
        <w:keepLines w:val="0"/>
        <w:pageBreakBefore w:val="0"/>
        <w:kinsoku/>
        <w:wordWrap/>
        <w:overflowPunct/>
        <w:topLinePunct w:val="0"/>
        <w:bidi w:val="0"/>
        <w:snapToGrid/>
        <w:spacing w:line="360" w:lineRule="auto"/>
        <w:ind w:firstLine="475" w:firstLineChars="198"/>
        <w:rPr>
          <w:rFonts w:asciiTheme="minorEastAsia" w:hAnsiTheme="minorEastAsia"/>
          <w:sz w:val="24"/>
          <w:szCs w:val="24"/>
        </w:rPr>
      </w:pPr>
      <w:r>
        <w:rPr>
          <w:rFonts w:hint="eastAsia" w:asciiTheme="minorEastAsia" w:hAnsiTheme="minorEastAsia"/>
          <w:sz w:val="24"/>
          <w:szCs w:val="24"/>
        </w:rPr>
        <w:t>2.4最大相对湿度</w:t>
      </w:r>
      <w:r>
        <w:rPr>
          <w:rFonts w:asciiTheme="minorEastAsia" w:hAnsiTheme="minorEastAsia"/>
          <w:sz w:val="24"/>
          <w:szCs w:val="24"/>
        </w:rPr>
        <w:t>(</w:t>
      </w:r>
      <w:r>
        <w:rPr>
          <w:rFonts w:hint="eastAsia" w:asciiTheme="minorEastAsia" w:hAnsiTheme="minorEastAsia"/>
          <w:sz w:val="24"/>
          <w:szCs w:val="24"/>
        </w:rPr>
        <w:t>25℃</w:t>
      </w:r>
      <w:r>
        <w:rPr>
          <w:rFonts w:asciiTheme="minorEastAsia" w:hAnsiTheme="minorEastAsia"/>
          <w:sz w:val="24"/>
          <w:szCs w:val="24"/>
        </w:rPr>
        <w:t>)</w:t>
      </w:r>
      <w:r>
        <w:rPr>
          <w:rFonts w:hint="eastAsia" w:asciiTheme="minorEastAsia" w:hAnsiTheme="minorEastAsia"/>
          <w:sz w:val="24"/>
          <w:szCs w:val="24"/>
        </w:rPr>
        <w:t>：</w:t>
      </w:r>
    </w:p>
    <w:p>
      <w:pPr>
        <w:keepNext w:val="0"/>
        <w:keepLines w:val="0"/>
        <w:pageBreakBefore w:val="0"/>
        <w:kinsoku/>
        <w:wordWrap/>
        <w:overflowPunct/>
        <w:topLinePunct w:val="0"/>
        <w:bidi w:val="0"/>
        <w:snapToGrid/>
        <w:spacing w:line="360" w:lineRule="auto"/>
        <w:ind w:firstLine="972" w:firstLineChars="405"/>
        <w:rPr>
          <w:rFonts w:asciiTheme="minorEastAsia" w:hAnsiTheme="minorEastAsia"/>
          <w:sz w:val="24"/>
          <w:szCs w:val="24"/>
        </w:rPr>
      </w:pPr>
      <w:r>
        <w:rPr>
          <w:rFonts w:hint="eastAsia" w:asciiTheme="minorEastAsia" w:hAnsiTheme="minorEastAsia"/>
          <w:sz w:val="24"/>
          <w:szCs w:val="24"/>
        </w:rPr>
        <w:t>日平均:                     ≤</w:t>
      </w:r>
      <w:r>
        <w:rPr>
          <w:rFonts w:asciiTheme="minorEastAsia" w:hAnsiTheme="minorEastAsia"/>
          <w:sz w:val="24"/>
          <w:szCs w:val="24"/>
        </w:rPr>
        <w:t>9</w:t>
      </w:r>
      <w:r>
        <w:rPr>
          <w:rFonts w:hint="eastAsia" w:asciiTheme="minorEastAsia" w:hAnsiTheme="minorEastAsia"/>
          <w:sz w:val="24"/>
          <w:szCs w:val="24"/>
        </w:rPr>
        <w:t>0％</w:t>
      </w:r>
    </w:p>
    <w:p>
      <w:pPr>
        <w:keepNext w:val="0"/>
        <w:keepLines w:val="0"/>
        <w:pageBreakBefore w:val="0"/>
        <w:kinsoku/>
        <w:wordWrap/>
        <w:overflowPunct/>
        <w:topLinePunct w:val="0"/>
        <w:bidi w:val="0"/>
        <w:snapToGrid/>
        <w:spacing w:line="360" w:lineRule="auto"/>
        <w:ind w:firstLine="972" w:firstLineChars="405"/>
        <w:rPr>
          <w:rFonts w:asciiTheme="minorEastAsia" w:hAnsiTheme="minorEastAsia"/>
          <w:sz w:val="24"/>
          <w:szCs w:val="24"/>
        </w:rPr>
      </w:pPr>
      <w:r>
        <w:rPr>
          <w:rFonts w:hint="eastAsia" w:asciiTheme="minorEastAsia" w:hAnsiTheme="minorEastAsia"/>
          <w:sz w:val="24"/>
          <w:szCs w:val="24"/>
        </w:rPr>
        <w:t>月平均:                     ≤85％</w:t>
      </w:r>
    </w:p>
    <w:p>
      <w:pPr>
        <w:keepNext w:val="0"/>
        <w:keepLines w:val="0"/>
        <w:pageBreakBefore w:val="0"/>
        <w:kinsoku/>
        <w:wordWrap/>
        <w:overflowPunct/>
        <w:topLinePunct w:val="0"/>
        <w:bidi w:val="0"/>
        <w:snapToGrid/>
        <w:spacing w:line="360" w:lineRule="auto"/>
        <w:ind w:firstLine="475" w:firstLineChars="198"/>
        <w:rPr>
          <w:rFonts w:asciiTheme="minorEastAsia" w:hAnsiTheme="minorEastAsia"/>
          <w:sz w:val="24"/>
          <w:szCs w:val="24"/>
        </w:rPr>
      </w:pPr>
      <w:r>
        <w:rPr>
          <w:rFonts w:hint="eastAsia" w:asciiTheme="minorEastAsia" w:hAnsiTheme="minorEastAsia"/>
          <w:sz w:val="24"/>
          <w:szCs w:val="24"/>
        </w:rPr>
        <w:t>2.5地震烈度：                  7度</w:t>
      </w:r>
    </w:p>
    <w:p>
      <w:pPr>
        <w:keepNext w:val="0"/>
        <w:keepLines w:val="0"/>
        <w:pageBreakBefore w:val="0"/>
        <w:widowControl/>
        <w:kinsoku/>
        <w:wordWrap/>
        <w:overflowPunct/>
        <w:topLinePunct w:val="0"/>
        <w:bidi w:val="0"/>
        <w:snapToGrid/>
        <w:spacing w:line="360" w:lineRule="auto"/>
        <w:jc w:val="left"/>
        <w:rPr>
          <w:rFonts w:cs="宋体" w:asciiTheme="minorEastAsia" w:hAnsiTheme="minorEastAsia"/>
          <w:b/>
          <w:kern w:val="0"/>
          <w:sz w:val="24"/>
          <w:szCs w:val="24"/>
        </w:rPr>
      </w:pPr>
      <w:r>
        <w:rPr>
          <w:rFonts w:cs="宋体" w:asciiTheme="minorEastAsia" w:hAnsiTheme="minorEastAsia"/>
          <w:b/>
          <w:kern w:val="0"/>
          <w:sz w:val="24"/>
          <w:szCs w:val="24"/>
        </w:rPr>
        <w:t>3.设备标准和规范</w:t>
      </w:r>
    </w:p>
    <w:p>
      <w:pPr>
        <w:keepNext w:val="0"/>
        <w:keepLines w:val="0"/>
        <w:pageBreakBefore w:val="0"/>
        <w:kinsoku/>
        <w:wordWrap/>
        <w:overflowPunct/>
        <w:topLinePunct w:val="0"/>
        <w:bidi w:val="0"/>
        <w:snapToGrid/>
        <w:spacing w:line="360" w:lineRule="auto"/>
        <w:ind w:firstLine="475" w:firstLineChars="198"/>
        <w:rPr>
          <w:rFonts w:cs="宋体" w:asciiTheme="minorEastAsia" w:hAnsiTheme="minorEastAsia"/>
          <w:kern w:val="0"/>
          <w:sz w:val="24"/>
          <w:szCs w:val="24"/>
        </w:rPr>
      </w:pPr>
      <w:r>
        <w:rPr>
          <w:rFonts w:cs="宋体" w:asciiTheme="minorEastAsia" w:hAnsiTheme="minorEastAsia"/>
          <w:kern w:val="0"/>
          <w:sz w:val="24"/>
          <w:szCs w:val="24"/>
        </w:rPr>
        <w:t>3.1</w:t>
      </w:r>
      <w:r>
        <w:rPr>
          <w:rFonts w:hint="eastAsia" w:asciiTheme="minorEastAsia" w:hAnsiTheme="minorEastAsia"/>
          <w:sz w:val="24"/>
          <w:szCs w:val="24"/>
        </w:rPr>
        <w:t>乙</w:t>
      </w:r>
      <w:r>
        <w:rPr>
          <w:rFonts w:hint="eastAsia" w:cs="宋体" w:asciiTheme="minorEastAsia" w:hAnsiTheme="minorEastAsia"/>
          <w:kern w:val="0"/>
          <w:sz w:val="24"/>
          <w:szCs w:val="24"/>
        </w:rPr>
        <w:t>方提供</w:t>
      </w:r>
      <w:r>
        <w:rPr>
          <w:rFonts w:cs="宋体" w:asciiTheme="minorEastAsia" w:hAnsiTheme="minorEastAsia"/>
          <w:kern w:val="0"/>
          <w:sz w:val="24"/>
          <w:szCs w:val="24"/>
        </w:rPr>
        <w:t>的设备和附件需要满足</w:t>
      </w:r>
      <w:r>
        <w:rPr>
          <w:rFonts w:hint="eastAsia" w:cs="宋体" w:asciiTheme="minorEastAsia" w:hAnsiTheme="minorEastAsia"/>
          <w:kern w:val="0"/>
          <w:sz w:val="24"/>
          <w:szCs w:val="24"/>
        </w:rPr>
        <w:t>以</w:t>
      </w:r>
      <w:r>
        <w:rPr>
          <w:rFonts w:cs="宋体" w:asciiTheme="minorEastAsia" w:hAnsiTheme="minorEastAsia"/>
          <w:kern w:val="0"/>
          <w:sz w:val="24"/>
          <w:szCs w:val="24"/>
        </w:rPr>
        <w:t>下主要标准</w:t>
      </w:r>
      <w:r>
        <w:rPr>
          <w:rFonts w:hint="eastAsia" w:cs="宋体" w:asciiTheme="minorEastAsia" w:hAnsiTheme="minorEastAsia"/>
          <w:kern w:val="0"/>
          <w:sz w:val="24"/>
          <w:szCs w:val="24"/>
        </w:rPr>
        <w:t>，</w:t>
      </w:r>
      <w:r>
        <w:rPr>
          <w:rFonts w:cs="宋体" w:asciiTheme="minorEastAsia" w:hAnsiTheme="minorEastAsia"/>
          <w:kern w:val="0"/>
          <w:sz w:val="24"/>
          <w:szCs w:val="24"/>
        </w:rPr>
        <w:t>包括</w:t>
      </w:r>
      <w:r>
        <w:rPr>
          <w:rFonts w:hint="eastAsia" w:asciiTheme="minorEastAsia" w:hAnsiTheme="minorEastAsia"/>
          <w:sz w:val="24"/>
          <w:szCs w:val="24"/>
        </w:rPr>
        <w:t>乙</w:t>
      </w:r>
      <w:r>
        <w:rPr>
          <w:rFonts w:hint="eastAsia" w:cs="宋体" w:asciiTheme="minorEastAsia" w:hAnsiTheme="minorEastAsia"/>
          <w:kern w:val="0"/>
          <w:sz w:val="24"/>
          <w:szCs w:val="24"/>
        </w:rPr>
        <w:t>方</w:t>
      </w:r>
      <w:r>
        <w:rPr>
          <w:rFonts w:cs="宋体" w:asciiTheme="minorEastAsia" w:hAnsiTheme="minorEastAsia"/>
          <w:kern w:val="0"/>
          <w:sz w:val="24"/>
          <w:szCs w:val="24"/>
        </w:rPr>
        <w:t>向其他厂商购买的所有附件和设备，都应符合标准、规范或准则的要求</w:t>
      </w:r>
      <w:r>
        <w:rPr>
          <w:rFonts w:hint="eastAsia" w:cs="宋体" w:asciiTheme="minorEastAsia" w:hAnsiTheme="minorEastAsia"/>
          <w:kern w:val="0"/>
          <w:sz w:val="24"/>
          <w:szCs w:val="24"/>
        </w:rPr>
        <w:t>。</w:t>
      </w:r>
    </w:p>
    <w:tbl>
      <w:tblPr>
        <w:tblStyle w:val="47"/>
        <w:tblW w:w="81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5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203" w:type="dxa"/>
            <w:tcBorders>
              <w:top w:val="nil"/>
              <w:left w:val="nil"/>
              <w:bottom w:val="nil"/>
              <w:right w:val="nil"/>
            </w:tcBorders>
            <w:vAlign w:val="center"/>
          </w:tcPr>
          <w:p>
            <w:pPr>
              <w:keepNext w:val="0"/>
              <w:keepLines w:val="0"/>
              <w:pageBreakBefore w:val="0"/>
              <w:kinsoku/>
              <w:wordWrap/>
              <w:overflowPunct/>
              <w:topLinePunct w:val="0"/>
              <w:bidi w:val="0"/>
              <w:snapToGrid/>
              <w:spacing w:line="360" w:lineRule="auto"/>
              <w:ind w:firstLine="120" w:firstLineChars="50"/>
              <w:rPr>
                <w:rFonts w:cs="宋体" w:asciiTheme="minorEastAsia" w:hAnsiTheme="minorEastAsia"/>
                <w:color w:val="000000"/>
                <w:kern w:val="0"/>
                <w:sz w:val="24"/>
                <w:szCs w:val="24"/>
              </w:rPr>
            </w:pPr>
            <w:r>
              <w:rPr>
                <w:rFonts w:cs="宋体" w:asciiTheme="minorEastAsia" w:hAnsiTheme="minorEastAsia"/>
                <w:color w:val="000000"/>
                <w:kern w:val="0"/>
                <w:sz w:val="24"/>
                <w:szCs w:val="24"/>
              </w:rPr>
              <w:t>GB/T 7260</w:t>
            </w:r>
          </w:p>
        </w:tc>
        <w:tc>
          <w:tcPr>
            <w:tcW w:w="5897" w:type="dxa"/>
            <w:tcBorders>
              <w:top w:val="nil"/>
              <w:left w:val="nil"/>
              <w:bottom w:val="nil"/>
              <w:right w:val="nil"/>
            </w:tcBorders>
            <w:vAlign w:val="center"/>
          </w:tcPr>
          <w:p>
            <w:pPr>
              <w:keepNext w:val="0"/>
              <w:keepLines w:val="0"/>
              <w:pageBreakBefore w:val="0"/>
              <w:kinsoku/>
              <w:wordWrap/>
              <w:overflowPunct/>
              <w:topLinePunct w:val="0"/>
              <w:bidi w:val="0"/>
              <w:snapToGrid/>
              <w:spacing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不间断电源设备(UPS)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203" w:type="dxa"/>
            <w:tcBorders>
              <w:top w:val="nil"/>
              <w:left w:val="nil"/>
              <w:bottom w:val="nil"/>
              <w:right w:val="nil"/>
            </w:tcBorders>
            <w:vAlign w:val="center"/>
          </w:tcPr>
          <w:p>
            <w:pPr>
              <w:keepNext w:val="0"/>
              <w:keepLines w:val="0"/>
              <w:pageBreakBefore w:val="0"/>
              <w:kinsoku/>
              <w:wordWrap/>
              <w:overflowPunct/>
              <w:topLinePunct w:val="0"/>
              <w:bidi w:val="0"/>
              <w:snapToGrid/>
              <w:spacing w:line="360" w:lineRule="auto"/>
              <w:ind w:firstLine="120" w:firstLineChars="50"/>
              <w:rPr>
                <w:rFonts w:cs="宋体" w:asciiTheme="minorEastAsia" w:hAnsiTheme="minorEastAsia"/>
                <w:color w:val="000000"/>
                <w:kern w:val="0"/>
                <w:sz w:val="24"/>
                <w:szCs w:val="24"/>
              </w:rPr>
            </w:pPr>
            <w:r>
              <w:rPr>
                <w:rFonts w:cs="宋体" w:asciiTheme="minorEastAsia" w:hAnsiTheme="minorEastAsia"/>
                <w:color w:val="000000"/>
                <w:kern w:val="0"/>
                <w:sz w:val="24"/>
                <w:szCs w:val="24"/>
              </w:rPr>
              <w:t>GB/T 14549</w:t>
            </w:r>
          </w:p>
        </w:tc>
        <w:tc>
          <w:tcPr>
            <w:tcW w:w="5897" w:type="dxa"/>
            <w:tcBorders>
              <w:top w:val="nil"/>
              <w:left w:val="nil"/>
              <w:bottom w:val="nil"/>
              <w:right w:val="nil"/>
            </w:tcBorders>
            <w:vAlign w:val="center"/>
          </w:tcPr>
          <w:p>
            <w:pPr>
              <w:keepNext w:val="0"/>
              <w:keepLines w:val="0"/>
              <w:pageBreakBefore w:val="0"/>
              <w:kinsoku/>
              <w:wordWrap/>
              <w:overflowPunct/>
              <w:topLinePunct w:val="0"/>
              <w:bidi w:val="0"/>
              <w:snapToGrid/>
              <w:spacing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电能质量公用电网谐波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203" w:type="dxa"/>
            <w:tcBorders>
              <w:top w:val="nil"/>
              <w:left w:val="nil"/>
              <w:bottom w:val="nil"/>
              <w:right w:val="nil"/>
            </w:tcBorders>
            <w:vAlign w:val="center"/>
          </w:tcPr>
          <w:p>
            <w:pPr>
              <w:keepNext w:val="0"/>
              <w:keepLines w:val="0"/>
              <w:pageBreakBefore w:val="0"/>
              <w:kinsoku/>
              <w:wordWrap/>
              <w:overflowPunct/>
              <w:topLinePunct w:val="0"/>
              <w:bidi w:val="0"/>
              <w:snapToGrid/>
              <w:spacing w:line="360" w:lineRule="auto"/>
              <w:ind w:firstLine="84" w:firstLineChars="35"/>
              <w:rPr>
                <w:rFonts w:cs="宋体" w:asciiTheme="minorEastAsia" w:hAnsiTheme="minorEastAsia"/>
                <w:color w:val="000000"/>
                <w:kern w:val="0"/>
                <w:sz w:val="24"/>
                <w:szCs w:val="24"/>
              </w:rPr>
            </w:pPr>
            <w:r>
              <w:rPr>
                <w:rFonts w:cs="宋体" w:asciiTheme="minorEastAsia" w:hAnsiTheme="minorEastAsia"/>
                <w:color w:val="000000"/>
                <w:kern w:val="0"/>
                <w:sz w:val="24"/>
                <w:szCs w:val="24"/>
              </w:rPr>
              <w:t>GB 4208</w:t>
            </w:r>
          </w:p>
        </w:tc>
        <w:tc>
          <w:tcPr>
            <w:tcW w:w="5897" w:type="dxa"/>
            <w:tcBorders>
              <w:top w:val="nil"/>
              <w:left w:val="nil"/>
              <w:bottom w:val="nil"/>
              <w:right w:val="nil"/>
            </w:tcBorders>
            <w:vAlign w:val="center"/>
          </w:tcPr>
          <w:p>
            <w:pPr>
              <w:keepNext w:val="0"/>
              <w:keepLines w:val="0"/>
              <w:pageBreakBefore w:val="0"/>
              <w:kinsoku/>
              <w:wordWrap/>
              <w:overflowPunct/>
              <w:topLinePunct w:val="0"/>
              <w:bidi w:val="0"/>
              <w:snapToGrid/>
              <w:spacing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外壳防护等级(IP代码)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203" w:type="dxa"/>
            <w:tcBorders>
              <w:top w:val="nil"/>
              <w:left w:val="nil"/>
              <w:bottom w:val="nil"/>
              <w:right w:val="nil"/>
            </w:tcBorders>
          </w:tcPr>
          <w:p>
            <w:pPr>
              <w:keepNext w:val="0"/>
              <w:keepLines w:val="0"/>
              <w:pageBreakBefore w:val="0"/>
              <w:kinsoku/>
              <w:wordWrap/>
              <w:overflowPunct/>
              <w:topLinePunct w:val="0"/>
              <w:bidi w:val="0"/>
              <w:adjustRightInd w:val="0"/>
              <w:snapToGrid/>
              <w:spacing w:line="360" w:lineRule="auto"/>
              <w:ind w:firstLine="120" w:firstLineChars="50"/>
              <w:rPr>
                <w:rFonts w:cs="宋体" w:asciiTheme="minorEastAsia" w:hAnsiTheme="minorEastAsia"/>
                <w:color w:val="000000"/>
                <w:kern w:val="0"/>
                <w:sz w:val="24"/>
                <w:szCs w:val="24"/>
              </w:rPr>
            </w:pPr>
            <w:r>
              <w:rPr>
                <w:rFonts w:hint="eastAsia" w:ascii="宋体" w:hAnsi="宋体" w:eastAsia="宋体" w:cs="宋体"/>
                <w:color w:val="000000"/>
                <w:kern w:val="0"/>
                <w:sz w:val="24"/>
                <w:szCs w:val="24"/>
              </w:rPr>
              <w:t>GB/T3859.1</w:t>
            </w:r>
          </w:p>
        </w:tc>
        <w:tc>
          <w:tcPr>
            <w:tcW w:w="5897" w:type="dxa"/>
            <w:tcBorders>
              <w:top w:val="nil"/>
              <w:left w:val="nil"/>
              <w:bottom w:val="nil"/>
              <w:right w:val="nil"/>
            </w:tcBorders>
          </w:tcPr>
          <w:p>
            <w:pPr>
              <w:keepNext w:val="0"/>
              <w:keepLines w:val="0"/>
              <w:pageBreakBefore w:val="0"/>
              <w:kinsoku/>
              <w:wordWrap/>
              <w:overflowPunct/>
              <w:topLinePunct w:val="0"/>
              <w:bidi w:val="0"/>
              <w:adjustRightInd w:val="0"/>
              <w:snapToGrid/>
              <w:spacing w:line="360" w:lineRule="auto"/>
              <w:rPr>
                <w:rFonts w:cs="宋体" w:asciiTheme="minorEastAsia" w:hAnsiTheme="minorEastAsia"/>
                <w:color w:val="000000"/>
                <w:kern w:val="0"/>
                <w:sz w:val="24"/>
                <w:szCs w:val="24"/>
              </w:rPr>
            </w:pPr>
            <w:r>
              <w:rPr>
                <w:rFonts w:ascii="宋体" w:hAnsi="宋体" w:eastAsia="宋体" w:cs="宋体"/>
                <w:color w:val="000000"/>
                <w:kern w:val="0"/>
                <w:sz w:val="24"/>
                <w:szCs w:val="24"/>
              </w:rPr>
              <w:t xml:space="preserve">1993 </w:t>
            </w:r>
            <w:r>
              <w:rPr>
                <w:rFonts w:hint="eastAsia" w:ascii="宋体" w:hAnsi="宋体" w:eastAsia="宋体" w:cs="宋体"/>
                <w:color w:val="000000"/>
                <w:kern w:val="0"/>
                <w:sz w:val="24"/>
                <w:szCs w:val="24"/>
              </w:rPr>
              <w:t xml:space="preserve"> 半导体转换器基本要求规范</w:t>
            </w:r>
          </w:p>
        </w:tc>
      </w:tr>
    </w:tbl>
    <w:p>
      <w:pPr>
        <w:keepNext w:val="0"/>
        <w:keepLines w:val="0"/>
        <w:pageBreakBefore w:val="0"/>
        <w:tabs>
          <w:tab w:val="left" w:pos="9458"/>
        </w:tabs>
        <w:kinsoku/>
        <w:wordWrap/>
        <w:overflowPunct/>
        <w:topLinePunct w:val="0"/>
        <w:bidi w:val="0"/>
        <w:adjustRightInd w:val="0"/>
        <w:snapToGrid/>
        <w:spacing w:line="360" w:lineRule="auto"/>
        <w:ind w:left="552" w:leftChars="251" w:firstLine="33" w:firstLineChars="14"/>
        <w:rPr>
          <w:rFonts w:ascii="宋体" w:hAnsi="宋体" w:eastAsia="宋体" w:cs="宋体"/>
          <w:color w:val="000000"/>
          <w:kern w:val="0"/>
          <w:sz w:val="24"/>
          <w:szCs w:val="24"/>
        </w:rPr>
      </w:pPr>
      <w:r>
        <w:rPr>
          <w:rFonts w:ascii="宋体" w:hAnsi="宋体" w:eastAsia="宋体" w:cs="宋体"/>
          <w:color w:val="000000"/>
          <w:kern w:val="0"/>
          <w:sz w:val="24"/>
          <w:szCs w:val="24"/>
        </w:rPr>
        <w:t>GB6450-86</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干式电力变压器</w:t>
      </w:r>
    </w:p>
    <w:p>
      <w:pPr>
        <w:keepNext w:val="0"/>
        <w:keepLines w:val="0"/>
        <w:pageBreakBefore w:val="0"/>
        <w:tabs>
          <w:tab w:val="left" w:pos="9458"/>
        </w:tabs>
        <w:kinsoku/>
        <w:wordWrap/>
        <w:overflowPunct/>
        <w:topLinePunct w:val="0"/>
        <w:bidi w:val="0"/>
        <w:adjustRightInd w:val="0"/>
        <w:snapToGrid/>
        <w:spacing w:line="360" w:lineRule="auto"/>
        <w:ind w:firstLine="480" w:firstLineChars="200"/>
        <w:rPr>
          <w:rFonts w:ascii="宋体" w:hAnsi="宋体" w:eastAsia="宋体" w:cs="宋体"/>
          <w:color w:val="000000"/>
          <w:kern w:val="0"/>
          <w:sz w:val="24"/>
          <w:szCs w:val="24"/>
        </w:rPr>
      </w:pPr>
      <w:r>
        <w:rPr>
          <w:rFonts w:ascii="宋体" w:hAnsi="宋体" w:eastAsia="宋体" w:cs="宋体"/>
          <w:color w:val="000000"/>
          <w:kern w:val="0"/>
          <w:sz w:val="24"/>
          <w:szCs w:val="24"/>
        </w:rPr>
        <w:t>IEC</w:t>
      </w:r>
      <w:r>
        <w:rPr>
          <w:rFonts w:hint="eastAsia" w:ascii="宋体" w:hAnsi="宋体" w:eastAsia="宋体" w:cs="宋体"/>
          <w:color w:val="000000"/>
          <w:kern w:val="0"/>
          <w:sz w:val="24"/>
          <w:szCs w:val="24"/>
        </w:rPr>
        <w:t>6</w:t>
      </w:r>
      <w:r>
        <w:rPr>
          <w:rFonts w:ascii="宋体" w:hAnsi="宋体" w:eastAsia="宋体" w:cs="宋体"/>
          <w:color w:val="000000"/>
          <w:kern w:val="0"/>
          <w:sz w:val="24"/>
          <w:szCs w:val="24"/>
        </w:rPr>
        <w:t xml:space="preserve">1000 </w:t>
      </w:r>
      <w:r>
        <w:rPr>
          <w:rFonts w:hint="eastAsia" w:ascii="宋体" w:hAnsi="宋体" w:eastAsia="宋体" w:cs="宋体"/>
          <w:color w:val="000000"/>
          <w:kern w:val="0"/>
          <w:sz w:val="24"/>
          <w:szCs w:val="24"/>
        </w:rPr>
        <w:t xml:space="preserve">      电磁兼容性</w:t>
      </w:r>
    </w:p>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color w:val="000000"/>
          <w:kern w:val="0"/>
          <w:sz w:val="24"/>
          <w:szCs w:val="24"/>
        </w:rPr>
      </w:pPr>
      <w:r>
        <w:rPr>
          <w:rFonts w:ascii="宋体" w:hAnsi="宋体" w:eastAsia="宋体" w:cs="宋体"/>
          <w:color w:val="000000"/>
          <w:kern w:val="0"/>
          <w:sz w:val="24"/>
          <w:szCs w:val="24"/>
        </w:rPr>
        <w:t>IEC</w:t>
      </w:r>
      <w:r>
        <w:rPr>
          <w:rFonts w:hint="eastAsia" w:ascii="宋体" w:hAnsi="宋体" w:eastAsia="宋体" w:cs="宋体"/>
          <w:color w:val="000000"/>
          <w:kern w:val="0"/>
          <w:sz w:val="24"/>
          <w:szCs w:val="24"/>
        </w:rPr>
        <w:t>60</w:t>
      </w:r>
      <w:r>
        <w:rPr>
          <w:rFonts w:ascii="宋体" w:hAnsi="宋体" w:eastAsia="宋体" w:cs="宋体"/>
          <w:color w:val="000000"/>
          <w:kern w:val="0"/>
          <w:sz w:val="24"/>
          <w:szCs w:val="24"/>
        </w:rPr>
        <w:t>478</w:t>
      </w:r>
      <w:r>
        <w:rPr>
          <w:rFonts w:hint="eastAsia" w:ascii="宋体" w:hAnsi="宋体" w:eastAsia="宋体" w:cs="宋体"/>
          <w:color w:val="000000"/>
          <w:kern w:val="0"/>
          <w:sz w:val="24"/>
          <w:szCs w:val="24"/>
        </w:rPr>
        <w:t xml:space="preserve">       直流输入 稳定电源</w:t>
      </w:r>
    </w:p>
    <w:p>
      <w:pPr>
        <w:keepNext w:val="0"/>
        <w:keepLines w:val="0"/>
        <w:pageBreakBefore w:val="0"/>
        <w:widowControl/>
        <w:kinsoku/>
        <w:wordWrap/>
        <w:overflowPunct/>
        <w:topLinePunct w:val="0"/>
        <w:bidi w:val="0"/>
        <w:snapToGrid/>
        <w:spacing w:line="360" w:lineRule="auto"/>
        <w:ind w:firstLine="240" w:firstLineChars="100"/>
        <w:rPr>
          <w:rFonts w:asciiTheme="minorEastAsia" w:hAnsiTheme="minorEastAsia"/>
          <w:sz w:val="24"/>
          <w:szCs w:val="24"/>
        </w:rPr>
      </w:pPr>
      <w:r>
        <w:rPr>
          <w:rFonts w:hint="eastAsia" w:asciiTheme="minorEastAsia" w:hAnsiTheme="minorEastAsia"/>
          <w:sz w:val="24"/>
          <w:szCs w:val="24"/>
        </w:rPr>
        <w:t>以上所列标准并非全部标准，它仅指出了主要标准。</w:t>
      </w:r>
    </w:p>
    <w:p>
      <w:pPr>
        <w:keepNext w:val="0"/>
        <w:keepLines w:val="0"/>
        <w:pageBreakBefore w:val="0"/>
        <w:kinsoku/>
        <w:wordWrap/>
        <w:overflowPunct/>
        <w:topLinePunct w:val="0"/>
        <w:bidi w:val="0"/>
        <w:snapToGrid/>
        <w:spacing w:line="360" w:lineRule="auto"/>
        <w:ind w:left="295" w:leftChars="134"/>
        <w:rPr>
          <w:rFonts w:asciiTheme="minorEastAsia" w:hAnsiTheme="minorEastAsia"/>
          <w:kern w:val="0"/>
          <w:sz w:val="24"/>
          <w:szCs w:val="24"/>
        </w:rPr>
      </w:pPr>
      <w:r>
        <w:rPr>
          <w:rFonts w:hint="eastAsia" w:asciiTheme="minorEastAsia" w:hAnsiTheme="minorEastAsia"/>
          <w:sz w:val="24"/>
          <w:szCs w:val="24"/>
        </w:rPr>
        <w:t>以上所列标准、规范如与乙方所执行的标准不一致时，应按较高标准要求执行，且乙方应充分描述本技术规定与相关标准的不同点。</w:t>
      </w:r>
    </w:p>
    <w:p>
      <w:pPr>
        <w:keepNext w:val="0"/>
        <w:keepLines w:val="0"/>
        <w:pageBreakBefore w:val="0"/>
        <w:widowControl/>
        <w:kinsoku/>
        <w:wordWrap/>
        <w:overflowPunct/>
        <w:topLinePunct w:val="0"/>
        <w:bidi w:val="0"/>
        <w:snapToGrid/>
        <w:spacing w:line="360" w:lineRule="auto"/>
        <w:jc w:val="left"/>
        <w:rPr>
          <w:rFonts w:asciiTheme="minorEastAsia" w:hAnsiTheme="minorEastAsia"/>
          <w:sz w:val="24"/>
          <w:szCs w:val="24"/>
        </w:rPr>
      </w:pPr>
      <w:r>
        <w:rPr>
          <w:rFonts w:hint="eastAsia" w:asciiTheme="minorEastAsia" w:hAnsiTheme="minorEastAsia"/>
          <w:b/>
          <w:sz w:val="24"/>
          <w:szCs w:val="24"/>
        </w:rPr>
        <w:t>4 .技术</w:t>
      </w:r>
      <w:r>
        <w:rPr>
          <w:rFonts w:asciiTheme="minorEastAsia" w:hAnsiTheme="minorEastAsia"/>
          <w:b/>
          <w:sz w:val="24"/>
          <w:szCs w:val="24"/>
        </w:rPr>
        <w:t>要求</w:t>
      </w:r>
    </w:p>
    <w:p>
      <w:pPr>
        <w:keepNext w:val="0"/>
        <w:keepLines w:val="0"/>
        <w:pageBreakBefore w:val="0"/>
        <w:kinsoku/>
        <w:wordWrap/>
        <w:overflowPunct/>
        <w:topLinePunct w:val="0"/>
        <w:bidi w:val="0"/>
        <w:snapToGrid/>
        <w:spacing w:line="360" w:lineRule="auto"/>
        <w:ind w:firstLine="475" w:firstLineChars="198"/>
        <w:rPr>
          <w:rFonts w:asciiTheme="minorEastAsia" w:hAnsiTheme="minorEastAsia"/>
          <w:sz w:val="24"/>
          <w:szCs w:val="24"/>
        </w:rPr>
      </w:pPr>
      <w:r>
        <w:rPr>
          <w:rFonts w:hint="eastAsia" w:asciiTheme="minorEastAsia" w:hAnsiTheme="minorEastAsia"/>
          <w:sz w:val="24"/>
          <w:szCs w:val="24"/>
        </w:rPr>
        <w:t>4.1</w:t>
      </w:r>
      <w:r>
        <w:rPr>
          <w:rFonts w:asciiTheme="minorEastAsia" w:hAnsiTheme="minorEastAsia"/>
          <w:sz w:val="24"/>
          <w:szCs w:val="24"/>
        </w:rPr>
        <w:t xml:space="preserve"> </w:t>
      </w:r>
      <w:r>
        <w:rPr>
          <w:rFonts w:hint="eastAsia" w:asciiTheme="minorEastAsia" w:hAnsiTheme="minorEastAsia"/>
          <w:sz w:val="24"/>
          <w:szCs w:val="24"/>
        </w:rPr>
        <w:t>UPS参</w:t>
      </w:r>
      <w:r>
        <w:rPr>
          <w:rFonts w:asciiTheme="minorEastAsia" w:hAnsiTheme="minorEastAsia"/>
          <w:sz w:val="24"/>
          <w:szCs w:val="24"/>
        </w:rPr>
        <w:t>数</w:t>
      </w:r>
    </w:p>
    <w:tbl>
      <w:tblPr>
        <w:tblStyle w:val="4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2736"/>
        <w:gridCol w:w="1236"/>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9" w:type="dxa"/>
            <w:gridSpan w:val="4"/>
          </w:tcPr>
          <w:p>
            <w:pPr>
              <w:pStyle w:val="215"/>
              <w:keepNext w:val="0"/>
              <w:keepLines w:val="0"/>
              <w:pageBreakBefore w:val="0"/>
              <w:kinsoku/>
              <w:wordWrap/>
              <w:overflowPunct/>
              <w:topLinePunct w:val="0"/>
              <w:bidi w:val="0"/>
              <w:snapToGrid/>
              <w:spacing w:line="360" w:lineRule="auto"/>
              <w:ind w:firstLine="0" w:firstLineChars="0"/>
              <w:jc w:val="center"/>
              <w:rPr>
                <w:rFonts w:ascii="宋体" w:hAnsi="宋体"/>
                <w:b/>
                <w:bCs/>
                <w:kern w:val="0"/>
                <w:sz w:val="24"/>
                <w:szCs w:val="24"/>
              </w:rPr>
            </w:pPr>
            <w:r>
              <w:rPr>
                <w:rFonts w:hint="eastAsia" w:asciiTheme="minorEastAsia" w:hAnsiTheme="minorEastAsia"/>
                <w:kern w:val="0"/>
                <w:sz w:val="24"/>
                <w:szCs w:val="24"/>
              </w:rPr>
              <w:t>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pStyle w:val="215"/>
              <w:keepNext w:val="0"/>
              <w:keepLines w:val="0"/>
              <w:pageBreakBefore w:val="0"/>
              <w:kinsoku/>
              <w:wordWrap/>
              <w:overflowPunct/>
              <w:topLinePunct w:val="0"/>
              <w:bidi w:val="0"/>
              <w:snapToGrid/>
              <w:spacing w:line="360" w:lineRule="auto"/>
              <w:ind w:firstLine="0" w:firstLineChars="0"/>
              <w:rPr>
                <w:rFonts w:ascii="宋体" w:hAnsi="宋体"/>
                <w:bCs/>
                <w:kern w:val="0"/>
                <w:sz w:val="24"/>
                <w:szCs w:val="24"/>
              </w:rPr>
            </w:pPr>
            <w:r>
              <w:rPr>
                <w:rFonts w:hint="eastAsia" w:ascii="宋体" w:hAnsi="宋体"/>
                <w:bCs/>
                <w:kern w:val="0"/>
                <w:sz w:val="24"/>
                <w:szCs w:val="24"/>
              </w:rPr>
              <w:t>(原)型号</w:t>
            </w:r>
          </w:p>
        </w:tc>
        <w:tc>
          <w:tcPr>
            <w:tcW w:w="2268" w:type="dxa"/>
          </w:tcPr>
          <w:p>
            <w:pPr>
              <w:pStyle w:val="215"/>
              <w:keepNext w:val="0"/>
              <w:keepLines w:val="0"/>
              <w:pageBreakBefore w:val="0"/>
              <w:kinsoku/>
              <w:wordWrap/>
              <w:overflowPunct/>
              <w:topLinePunct w:val="0"/>
              <w:bidi w:val="0"/>
              <w:snapToGrid/>
              <w:spacing w:line="360" w:lineRule="auto"/>
              <w:ind w:firstLine="0" w:firstLineChars="0"/>
              <w:rPr>
                <w:rFonts w:ascii="宋体" w:hAnsi="宋体"/>
                <w:bCs/>
                <w:kern w:val="0"/>
                <w:sz w:val="24"/>
                <w:szCs w:val="24"/>
              </w:rPr>
            </w:pPr>
            <w:r>
              <w:rPr>
                <w:rFonts w:hint="eastAsia" w:ascii="宋体" w:hAnsi="宋体"/>
                <w:bCs/>
                <w:kern w:val="0"/>
                <w:sz w:val="24"/>
                <w:szCs w:val="24"/>
              </w:rPr>
              <w:t xml:space="preserve">PGP-10/20/30/40/50/60/80K系列  </w:t>
            </w:r>
            <w:r>
              <w:rPr>
                <w:rFonts w:ascii="宋体" w:hAnsi="宋体"/>
                <w:bCs/>
                <w:kern w:val="0"/>
                <w:sz w:val="24"/>
                <w:szCs w:val="24"/>
              </w:rPr>
              <w:t>PCM</w:t>
            </w:r>
          </w:p>
        </w:tc>
        <w:tc>
          <w:tcPr>
            <w:tcW w:w="1701" w:type="dxa"/>
          </w:tcPr>
          <w:p>
            <w:pPr>
              <w:pStyle w:val="215"/>
              <w:keepNext w:val="0"/>
              <w:keepLines w:val="0"/>
              <w:pageBreakBefore w:val="0"/>
              <w:kinsoku/>
              <w:wordWrap/>
              <w:overflowPunct/>
              <w:topLinePunct w:val="0"/>
              <w:bidi w:val="0"/>
              <w:snapToGrid/>
              <w:spacing w:line="360" w:lineRule="auto"/>
              <w:ind w:firstLine="0" w:firstLineChars="0"/>
              <w:rPr>
                <w:rFonts w:ascii="宋体" w:hAnsi="宋体"/>
                <w:bCs/>
                <w:kern w:val="0"/>
                <w:sz w:val="24"/>
                <w:szCs w:val="24"/>
              </w:rPr>
            </w:pPr>
            <w:r>
              <w:rPr>
                <w:rFonts w:hint="eastAsia" w:ascii="宋体" w:hAnsi="宋体"/>
                <w:kern w:val="0"/>
                <w:sz w:val="24"/>
                <w:szCs w:val="24"/>
              </w:rPr>
              <w:t>额定功率</w:t>
            </w:r>
          </w:p>
        </w:tc>
        <w:tc>
          <w:tcPr>
            <w:tcW w:w="2552" w:type="dxa"/>
          </w:tcPr>
          <w:p>
            <w:pPr>
              <w:pStyle w:val="215"/>
              <w:keepNext w:val="0"/>
              <w:keepLines w:val="0"/>
              <w:pageBreakBefore w:val="0"/>
              <w:kinsoku/>
              <w:wordWrap/>
              <w:overflowPunct/>
              <w:topLinePunct w:val="0"/>
              <w:bidi w:val="0"/>
              <w:snapToGrid/>
              <w:spacing w:line="360" w:lineRule="auto"/>
              <w:ind w:firstLine="0" w:firstLineChars="0"/>
              <w:rPr>
                <w:rFonts w:ascii="宋体" w:hAnsi="宋体"/>
                <w:bCs/>
                <w:kern w:val="0"/>
                <w:sz w:val="24"/>
                <w:szCs w:val="24"/>
              </w:rPr>
            </w:pPr>
            <w:r>
              <w:rPr>
                <w:rFonts w:hint="eastAsia" w:ascii="宋体" w:hAnsi="宋体"/>
                <w:bCs/>
                <w:kern w:val="0"/>
                <w:sz w:val="24"/>
                <w:szCs w:val="24"/>
              </w:rPr>
              <w:t>10/20/30/40/50/60/80KVA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pStyle w:val="215"/>
              <w:keepNext w:val="0"/>
              <w:keepLines w:val="0"/>
              <w:pageBreakBefore w:val="0"/>
              <w:kinsoku/>
              <w:wordWrap/>
              <w:overflowPunct/>
              <w:topLinePunct w:val="0"/>
              <w:bidi w:val="0"/>
              <w:snapToGrid/>
              <w:spacing w:line="360" w:lineRule="auto"/>
              <w:ind w:firstLine="0" w:firstLineChars="0"/>
              <w:rPr>
                <w:rFonts w:ascii="宋体" w:hAnsi="宋体"/>
                <w:bCs/>
                <w:kern w:val="0"/>
                <w:sz w:val="24"/>
                <w:szCs w:val="24"/>
              </w:rPr>
            </w:pPr>
            <w:r>
              <w:rPr>
                <w:rFonts w:hint="eastAsia" w:ascii="宋体" w:hAnsi="宋体"/>
                <w:bCs/>
                <w:kern w:val="0"/>
                <w:sz w:val="24"/>
                <w:szCs w:val="24"/>
              </w:rPr>
              <w:t>输入额定电压</w:t>
            </w:r>
          </w:p>
        </w:tc>
        <w:tc>
          <w:tcPr>
            <w:tcW w:w="2268" w:type="dxa"/>
          </w:tcPr>
          <w:p>
            <w:pPr>
              <w:pStyle w:val="215"/>
              <w:keepNext w:val="0"/>
              <w:keepLines w:val="0"/>
              <w:pageBreakBefore w:val="0"/>
              <w:kinsoku/>
              <w:wordWrap/>
              <w:overflowPunct/>
              <w:topLinePunct w:val="0"/>
              <w:bidi w:val="0"/>
              <w:snapToGrid/>
              <w:spacing w:line="360" w:lineRule="auto"/>
              <w:ind w:firstLine="0" w:firstLineChars="0"/>
              <w:rPr>
                <w:rFonts w:ascii="宋体" w:hAnsi="宋体"/>
                <w:bCs/>
                <w:kern w:val="0"/>
                <w:sz w:val="24"/>
                <w:szCs w:val="24"/>
              </w:rPr>
            </w:pPr>
            <w:r>
              <w:rPr>
                <w:rFonts w:hint="eastAsia" w:ascii="宋体" w:hAnsi="宋体"/>
                <w:bCs/>
                <w:kern w:val="0"/>
                <w:sz w:val="24"/>
                <w:szCs w:val="24"/>
              </w:rPr>
              <w:t>380V</w:t>
            </w:r>
          </w:p>
        </w:tc>
        <w:tc>
          <w:tcPr>
            <w:tcW w:w="1701" w:type="dxa"/>
          </w:tcPr>
          <w:p>
            <w:pPr>
              <w:pStyle w:val="215"/>
              <w:keepNext w:val="0"/>
              <w:keepLines w:val="0"/>
              <w:pageBreakBefore w:val="0"/>
              <w:kinsoku/>
              <w:wordWrap/>
              <w:overflowPunct/>
              <w:topLinePunct w:val="0"/>
              <w:bidi w:val="0"/>
              <w:snapToGrid/>
              <w:spacing w:line="360" w:lineRule="auto"/>
              <w:ind w:firstLine="0" w:firstLineChars="0"/>
              <w:rPr>
                <w:rFonts w:ascii="宋体" w:hAnsi="宋体"/>
                <w:bCs/>
                <w:kern w:val="0"/>
                <w:sz w:val="24"/>
                <w:szCs w:val="24"/>
              </w:rPr>
            </w:pPr>
            <w:r>
              <w:rPr>
                <w:rFonts w:hint="eastAsia" w:ascii="宋体" w:hAnsi="宋体"/>
                <w:bCs/>
                <w:kern w:val="0"/>
                <w:sz w:val="24"/>
                <w:szCs w:val="24"/>
              </w:rPr>
              <w:t>电池个数</w:t>
            </w:r>
          </w:p>
        </w:tc>
        <w:tc>
          <w:tcPr>
            <w:tcW w:w="2552" w:type="dxa"/>
          </w:tcPr>
          <w:p>
            <w:pPr>
              <w:pStyle w:val="215"/>
              <w:keepNext w:val="0"/>
              <w:keepLines w:val="0"/>
              <w:pageBreakBefore w:val="0"/>
              <w:kinsoku/>
              <w:wordWrap/>
              <w:overflowPunct/>
              <w:topLinePunct w:val="0"/>
              <w:bidi w:val="0"/>
              <w:snapToGrid/>
              <w:spacing w:line="360" w:lineRule="auto"/>
              <w:ind w:firstLine="0" w:firstLineChars="0"/>
              <w:rPr>
                <w:rFonts w:ascii="宋体" w:hAnsi="宋体"/>
                <w:bCs/>
                <w:kern w:val="0"/>
                <w:sz w:val="24"/>
                <w:szCs w:val="24"/>
              </w:rPr>
            </w:pPr>
            <w:r>
              <w:rPr>
                <w:rFonts w:hint="eastAsia" w:ascii="宋体" w:hAnsi="宋体"/>
                <w:bCs/>
                <w:kern w:val="0"/>
                <w:sz w:val="24"/>
                <w:szCs w:val="24"/>
              </w:rPr>
              <w:t>18节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pStyle w:val="215"/>
              <w:keepNext w:val="0"/>
              <w:keepLines w:val="0"/>
              <w:pageBreakBefore w:val="0"/>
              <w:kinsoku/>
              <w:wordWrap/>
              <w:overflowPunct/>
              <w:topLinePunct w:val="0"/>
              <w:bidi w:val="0"/>
              <w:snapToGrid/>
              <w:spacing w:line="360" w:lineRule="auto"/>
              <w:ind w:firstLine="0" w:firstLineChars="0"/>
              <w:rPr>
                <w:rFonts w:ascii="宋体" w:hAnsi="宋体"/>
                <w:bCs/>
                <w:kern w:val="0"/>
                <w:sz w:val="24"/>
                <w:szCs w:val="24"/>
              </w:rPr>
            </w:pPr>
            <w:r>
              <w:rPr>
                <w:rFonts w:hint="eastAsia" w:ascii="宋体" w:hAnsi="宋体"/>
                <w:bCs/>
                <w:kern w:val="0"/>
                <w:sz w:val="24"/>
                <w:szCs w:val="24"/>
              </w:rPr>
              <w:t>输出额定电压</w:t>
            </w:r>
          </w:p>
        </w:tc>
        <w:tc>
          <w:tcPr>
            <w:tcW w:w="2268" w:type="dxa"/>
          </w:tcPr>
          <w:p>
            <w:pPr>
              <w:pStyle w:val="215"/>
              <w:keepNext w:val="0"/>
              <w:keepLines w:val="0"/>
              <w:pageBreakBefore w:val="0"/>
              <w:kinsoku/>
              <w:wordWrap/>
              <w:overflowPunct/>
              <w:topLinePunct w:val="0"/>
              <w:bidi w:val="0"/>
              <w:snapToGrid/>
              <w:spacing w:line="360" w:lineRule="auto"/>
              <w:ind w:firstLine="0" w:firstLineChars="0"/>
              <w:rPr>
                <w:rFonts w:ascii="宋体" w:hAnsi="宋体"/>
                <w:bCs/>
                <w:kern w:val="0"/>
                <w:sz w:val="24"/>
                <w:szCs w:val="24"/>
              </w:rPr>
            </w:pPr>
            <w:r>
              <w:rPr>
                <w:rFonts w:hint="eastAsia" w:ascii="宋体" w:hAnsi="宋体"/>
                <w:bCs/>
                <w:kern w:val="0"/>
                <w:sz w:val="24"/>
                <w:szCs w:val="24"/>
              </w:rPr>
              <w:t>220V</w:t>
            </w:r>
          </w:p>
        </w:tc>
        <w:tc>
          <w:tcPr>
            <w:tcW w:w="1701" w:type="dxa"/>
          </w:tcPr>
          <w:p>
            <w:pPr>
              <w:pStyle w:val="215"/>
              <w:keepNext w:val="0"/>
              <w:keepLines w:val="0"/>
              <w:pageBreakBefore w:val="0"/>
              <w:kinsoku/>
              <w:wordWrap/>
              <w:overflowPunct/>
              <w:topLinePunct w:val="0"/>
              <w:bidi w:val="0"/>
              <w:snapToGrid/>
              <w:spacing w:line="360" w:lineRule="auto"/>
              <w:ind w:firstLine="0" w:firstLineChars="0"/>
              <w:rPr>
                <w:rFonts w:ascii="宋体" w:hAnsi="宋体"/>
                <w:bCs/>
                <w:kern w:val="0"/>
                <w:sz w:val="24"/>
                <w:szCs w:val="24"/>
              </w:rPr>
            </w:pPr>
            <w:r>
              <w:rPr>
                <w:rFonts w:hint="eastAsia" w:ascii="宋体" w:hAnsi="宋体"/>
                <w:bCs/>
                <w:kern w:val="0"/>
                <w:sz w:val="24"/>
                <w:szCs w:val="24"/>
              </w:rPr>
              <w:t>电池规格</w:t>
            </w:r>
          </w:p>
        </w:tc>
        <w:tc>
          <w:tcPr>
            <w:tcW w:w="2552" w:type="dxa"/>
          </w:tcPr>
          <w:p>
            <w:pPr>
              <w:pStyle w:val="215"/>
              <w:keepNext w:val="0"/>
              <w:keepLines w:val="0"/>
              <w:pageBreakBefore w:val="0"/>
              <w:kinsoku/>
              <w:wordWrap/>
              <w:overflowPunct/>
              <w:topLinePunct w:val="0"/>
              <w:bidi w:val="0"/>
              <w:snapToGrid/>
              <w:spacing w:line="360" w:lineRule="auto"/>
              <w:ind w:firstLine="0" w:firstLineChars="0"/>
              <w:rPr>
                <w:rFonts w:ascii="宋体" w:hAnsi="宋体"/>
                <w:bCs/>
                <w:kern w:val="0"/>
                <w:sz w:val="24"/>
                <w:szCs w:val="24"/>
              </w:rPr>
            </w:pPr>
            <w:r>
              <w:rPr>
                <w:rFonts w:hint="eastAsia" w:ascii="宋体" w:hAnsi="宋体"/>
                <w:bCs/>
                <w:kern w:val="0"/>
                <w:sz w:val="24"/>
                <w:szCs w:val="24"/>
              </w:rPr>
              <w:t>12V</w:t>
            </w:r>
          </w:p>
        </w:tc>
      </w:tr>
    </w:tbl>
    <w:p>
      <w:pPr>
        <w:keepNext w:val="0"/>
        <w:keepLines w:val="0"/>
        <w:pageBreakBefore w:val="0"/>
        <w:kinsoku/>
        <w:wordWrap/>
        <w:overflowPunct/>
        <w:topLinePunct w:val="0"/>
        <w:bidi w:val="0"/>
        <w:snapToGrid/>
        <w:spacing w:line="360" w:lineRule="auto"/>
        <w:ind w:firstLine="475" w:firstLineChars="198"/>
        <w:rPr>
          <w:rFonts w:asciiTheme="minorEastAsia" w:hAnsiTheme="minorEastAsia"/>
          <w:sz w:val="24"/>
          <w:szCs w:val="24"/>
        </w:rPr>
      </w:pPr>
      <w:r>
        <w:rPr>
          <w:rFonts w:cs="宋体" w:asciiTheme="minorEastAsia" w:hAnsiTheme="minorEastAsia"/>
          <w:color w:val="000000"/>
          <w:kern w:val="0"/>
          <w:sz w:val="24"/>
          <w:szCs w:val="24"/>
        </w:rPr>
        <w:t>4.2</w:t>
      </w:r>
      <w:r>
        <w:rPr>
          <w:rFonts w:hint="eastAsia" w:cs="宋体" w:asciiTheme="minorEastAsia" w:hAnsiTheme="minorEastAsia"/>
          <w:color w:val="000000"/>
          <w:kern w:val="0"/>
          <w:sz w:val="24"/>
          <w:szCs w:val="24"/>
        </w:rPr>
        <w:t xml:space="preserve"> UPS更换部分技</w:t>
      </w:r>
      <w:r>
        <w:rPr>
          <w:rFonts w:cs="宋体" w:asciiTheme="minorEastAsia" w:hAnsiTheme="minorEastAsia"/>
          <w:color w:val="000000"/>
          <w:kern w:val="0"/>
          <w:sz w:val="24"/>
          <w:szCs w:val="24"/>
        </w:rPr>
        <w:t>术</w:t>
      </w:r>
      <w:r>
        <w:rPr>
          <w:rFonts w:hint="eastAsia" w:cs="宋体" w:asciiTheme="minorEastAsia" w:hAnsiTheme="minorEastAsia"/>
          <w:color w:val="000000"/>
          <w:kern w:val="0"/>
          <w:sz w:val="24"/>
          <w:szCs w:val="24"/>
        </w:rPr>
        <w:t>性能要</w:t>
      </w:r>
      <w:r>
        <w:rPr>
          <w:rFonts w:cs="宋体" w:asciiTheme="minorEastAsia" w:hAnsiTheme="minorEastAsia"/>
          <w:color w:val="000000"/>
          <w:kern w:val="0"/>
          <w:sz w:val="24"/>
          <w:szCs w:val="24"/>
        </w:rPr>
        <w:t>求</w:t>
      </w:r>
      <w:r>
        <w:rPr>
          <w:rFonts w:hint="eastAsia" w:cs="宋体" w:asciiTheme="minorEastAsia" w:hAnsiTheme="minorEastAsia"/>
          <w:color w:val="000000"/>
          <w:kern w:val="0"/>
          <w:sz w:val="24"/>
          <w:szCs w:val="24"/>
        </w:rPr>
        <w:t>：</w:t>
      </w:r>
    </w:p>
    <w:p>
      <w:pPr>
        <w:keepNext w:val="0"/>
        <w:keepLines w:val="0"/>
        <w:pageBreakBefore w:val="0"/>
        <w:kinsoku/>
        <w:wordWrap/>
        <w:overflowPunct/>
        <w:topLinePunct w:val="0"/>
        <w:bidi w:val="0"/>
        <w:snapToGrid/>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（1）此次更换的为UPS主机柜(不包含蓄电池）；</w:t>
      </w:r>
    </w:p>
    <w:p>
      <w:pPr>
        <w:keepNext w:val="0"/>
        <w:keepLines w:val="0"/>
        <w:pageBreakBefore w:val="0"/>
        <w:kinsoku/>
        <w:wordWrap/>
        <w:overflowPunct/>
        <w:topLinePunct w:val="0"/>
        <w:bidi w:val="0"/>
        <w:snapToGrid/>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r>
        <w:rPr>
          <w:rFonts w:ascii="宋体" w:hAnsi="宋体" w:eastAsia="宋体" w:cs="宋体"/>
          <w:color w:val="000000"/>
          <w:kern w:val="0"/>
          <w:sz w:val="24"/>
          <w:szCs w:val="24"/>
        </w:rPr>
        <w:t>每</w:t>
      </w:r>
      <w:r>
        <w:rPr>
          <w:rFonts w:hint="eastAsia" w:ascii="宋体" w:hAnsi="宋体" w:eastAsia="宋体" w:cs="宋体"/>
          <w:color w:val="000000"/>
          <w:kern w:val="0"/>
          <w:sz w:val="24"/>
          <w:szCs w:val="24"/>
        </w:rPr>
        <w:t>台</w:t>
      </w:r>
      <w:r>
        <w:rPr>
          <w:rFonts w:ascii="宋体" w:hAnsi="宋体" w:eastAsia="宋体" w:cs="宋体"/>
          <w:color w:val="000000"/>
          <w:kern w:val="0"/>
          <w:sz w:val="24"/>
          <w:szCs w:val="24"/>
        </w:rPr>
        <w:t>UPS主机</w:t>
      </w:r>
      <w:r>
        <w:rPr>
          <w:rFonts w:hint="eastAsia" w:ascii="宋体" w:hAnsi="宋体" w:eastAsia="宋体" w:cs="宋体"/>
          <w:color w:val="000000"/>
          <w:kern w:val="0"/>
          <w:sz w:val="24"/>
          <w:szCs w:val="24"/>
        </w:rPr>
        <w:t>柜</w:t>
      </w:r>
      <w:r>
        <w:rPr>
          <w:rFonts w:hint="eastAsia" w:cs="宋体" w:asciiTheme="minorEastAsia" w:hAnsiTheme="minorEastAsia"/>
          <w:color w:val="000000"/>
          <w:kern w:val="0"/>
          <w:sz w:val="24"/>
          <w:szCs w:val="24"/>
        </w:rPr>
        <w:t>应</w:t>
      </w:r>
      <w:r>
        <w:rPr>
          <w:rFonts w:ascii="宋体" w:hAnsi="宋体" w:eastAsia="宋体" w:cs="宋体"/>
          <w:color w:val="000000"/>
          <w:kern w:val="0"/>
          <w:sz w:val="24"/>
          <w:szCs w:val="24"/>
        </w:rPr>
        <w:t>包括</w:t>
      </w:r>
      <w:r>
        <w:rPr>
          <w:rFonts w:hint="eastAsia" w:cs="宋体" w:asciiTheme="minorEastAsia" w:hAnsiTheme="minorEastAsia"/>
          <w:color w:val="000000"/>
          <w:kern w:val="0"/>
          <w:sz w:val="24"/>
          <w:szCs w:val="24"/>
        </w:rPr>
        <w:t>：</w:t>
      </w:r>
    </w:p>
    <w:p>
      <w:pPr>
        <w:keepNext w:val="0"/>
        <w:keepLines w:val="0"/>
        <w:pageBreakBefore w:val="0"/>
        <w:numPr>
          <w:ilvl w:val="0"/>
          <w:numId w:val="9"/>
        </w:numPr>
        <w:kinsoku/>
        <w:wordWrap/>
        <w:overflowPunct/>
        <w:topLinePunct w:val="0"/>
        <w:bidi w:val="0"/>
        <w:snapToGrid/>
        <w:spacing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静态</w:t>
      </w:r>
      <w:r>
        <w:rPr>
          <w:rFonts w:hint="eastAsia" w:cs="宋体" w:asciiTheme="minorEastAsia" w:hAnsiTheme="minorEastAsia"/>
          <w:color w:val="000000"/>
          <w:kern w:val="0"/>
          <w:sz w:val="24"/>
          <w:szCs w:val="24"/>
        </w:rPr>
        <w:t>切换</w:t>
      </w:r>
      <w:r>
        <w:rPr>
          <w:rFonts w:cs="宋体" w:asciiTheme="minorEastAsia" w:hAnsiTheme="minorEastAsia"/>
          <w:color w:val="000000"/>
          <w:kern w:val="0"/>
          <w:sz w:val="24"/>
          <w:szCs w:val="24"/>
        </w:rPr>
        <w:t>开关</w:t>
      </w:r>
    </w:p>
    <w:p>
      <w:pPr>
        <w:keepNext w:val="0"/>
        <w:keepLines w:val="0"/>
        <w:pageBreakBefore w:val="0"/>
        <w:numPr>
          <w:ilvl w:val="0"/>
          <w:numId w:val="9"/>
        </w:numPr>
        <w:kinsoku/>
        <w:wordWrap/>
        <w:overflowPunct/>
        <w:topLinePunct w:val="0"/>
        <w:bidi w:val="0"/>
        <w:snapToGrid/>
        <w:spacing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逆变器</w:t>
      </w:r>
    </w:p>
    <w:p>
      <w:pPr>
        <w:keepNext w:val="0"/>
        <w:keepLines w:val="0"/>
        <w:pageBreakBefore w:val="0"/>
        <w:numPr>
          <w:ilvl w:val="0"/>
          <w:numId w:val="9"/>
        </w:numPr>
        <w:kinsoku/>
        <w:wordWrap/>
        <w:overflowPunct/>
        <w:topLinePunct w:val="0"/>
        <w:bidi w:val="0"/>
        <w:snapToGrid/>
        <w:spacing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整流器</w:t>
      </w:r>
    </w:p>
    <w:p>
      <w:pPr>
        <w:keepNext w:val="0"/>
        <w:keepLines w:val="0"/>
        <w:pageBreakBefore w:val="0"/>
        <w:numPr>
          <w:ilvl w:val="0"/>
          <w:numId w:val="9"/>
        </w:numPr>
        <w:kinsoku/>
        <w:wordWrap/>
        <w:overflowPunct/>
        <w:topLinePunct w:val="0"/>
        <w:bidi w:val="0"/>
        <w:snapToGrid/>
        <w:spacing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整流器输入隔离变压器</w:t>
      </w:r>
      <w:r>
        <w:rPr>
          <w:rFonts w:hint="eastAsia" w:cs="宋体" w:asciiTheme="minorEastAsia" w:hAnsiTheme="minorEastAsia"/>
          <w:color w:val="000000"/>
          <w:kern w:val="0"/>
          <w:sz w:val="24"/>
          <w:szCs w:val="24"/>
        </w:rPr>
        <w:t>（温升：125K，绝缘等级：H级）</w:t>
      </w:r>
    </w:p>
    <w:p>
      <w:pPr>
        <w:keepNext w:val="0"/>
        <w:keepLines w:val="0"/>
        <w:pageBreakBefore w:val="0"/>
        <w:numPr>
          <w:ilvl w:val="0"/>
          <w:numId w:val="9"/>
        </w:numPr>
        <w:kinsoku/>
        <w:wordWrap/>
        <w:overflowPunct/>
        <w:topLinePunct w:val="0"/>
        <w:bidi w:val="0"/>
        <w:snapToGrid/>
        <w:spacing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主机输出隔离变压器</w:t>
      </w:r>
      <w:r>
        <w:rPr>
          <w:rFonts w:hint="eastAsia" w:cs="宋体" w:asciiTheme="minorEastAsia" w:hAnsiTheme="minorEastAsia"/>
          <w:color w:val="000000"/>
          <w:kern w:val="0"/>
          <w:sz w:val="24"/>
          <w:szCs w:val="24"/>
        </w:rPr>
        <w:t>（温升：125K，绝缘等级：H级）</w:t>
      </w:r>
    </w:p>
    <w:p>
      <w:pPr>
        <w:keepNext w:val="0"/>
        <w:keepLines w:val="0"/>
        <w:pageBreakBefore w:val="0"/>
        <w:numPr>
          <w:ilvl w:val="0"/>
          <w:numId w:val="9"/>
        </w:numPr>
        <w:kinsoku/>
        <w:wordWrap/>
        <w:overflowPunct/>
        <w:topLinePunct w:val="0"/>
        <w:bidi w:val="0"/>
        <w:snapToGrid/>
        <w:spacing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输入、输出开关、</w:t>
      </w:r>
      <w:r>
        <w:rPr>
          <w:rFonts w:cs="宋体" w:asciiTheme="minorEastAsia" w:hAnsiTheme="minorEastAsia"/>
          <w:color w:val="000000"/>
          <w:kern w:val="0"/>
          <w:sz w:val="24"/>
          <w:szCs w:val="24"/>
        </w:rPr>
        <w:t>旁路开关</w:t>
      </w:r>
    </w:p>
    <w:p>
      <w:pPr>
        <w:keepNext w:val="0"/>
        <w:keepLines w:val="0"/>
        <w:pageBreakBefore w:val="0"/>
        <w:widowControl/>
        <w:kinsoku/>
        <w:wordWrap/>
        <w:overflowPunct/>
        <w:topLinePunct w:val="0"/>
        <w:bidi w:val="0"/>
        <w:snapToGrid/>
        <w:spacing w:line="360" w:lineRule="auto"/>
        <w:ind w:firstLine="360" w:firstLineChars="15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r>
        <w:rPr>
          <w:rFonts w:cs="宋体" w:asciiTheme="minorEastAsia" w:hAnsiTheme="minorEastAsia"/>
          <w:color w:val="000000"/>
          <w:kern w:val="0"/>
          <w:sz w:val="24"/>
          <w:szCs w:val="24"/>
        </w:rPr>
        <w:t>UPS须具有</w:t>
      </w:r>
      <w:r>
        <w:rPr>
          <w:rFonts w:hint="eastAsia" w:cs="宋体" w:asciiTheme="minorEastAsia" w:hAnsiTheme="minorEastAsia"/>
          <w:color w:val="000000"/>
          <w:kern w:val="0"/>
          <w:sz w:val="24"/>
          <w:szCs w:val="24"/>
        </w:rPr>
        <w:t>通讯功</w:t>
      </w:r>
      <w:r>
        <w:rPr>
          <w:rFonts w:cs="宋体" w:asciiTheme="minorEastAsia" w:hAnsiTheme="minorEastAsia"/>
          <w:color w:val="000000"/>
          <w:kern w:val="0"/>
          <w:sz w:val="24"/>
          <w:szCs w:val="24"/>
        </w:rPr>
        <w:t>能</w:t>
      </w:r>
      <w:r>
        <w:rPr>
          <w:rFonts w:hint="eastAsia" w:cs="宋体" w:asciiTheme="minorEastAsia" w:hAnsiTheme="minorEastAsia"/>
          <w:color w:val="000000"/>
          <w:kern w:val="0"/>
          <w:sz w:val="24"/>
          <w:szCs w:val="24"/>
        </w:rPr>
        <w:t>，</w:t>
      </w:r>
      <w:r>
        <w:rPr>
          <w:rFonts w:cs="宋体" w:asciiTheme="minorEastAsia" w:hAnsiTheme="minorEastAsia"/>
          <w:color w:val="000000"/>
          <w:kern w:val="0"/>
          <w:sz w:val="24"/>
          <w:szCs w:val="24"/>
        </w:rPr>
        <w:t>Modbus通讯协议</w:t>
      </w:r>
      <w:r>
        <w:rPr>
          <w:rFonts w:hint="eastAsia" w:cs="宋体" w:asciiTheme="minorEastAsia" w:hAnsiTheme="minorEastAsia"/>
          <w:color w:val="000000"/>
          <w:kern w:val="0"/>
          <w:sz w:val="24"/>
          <w:szCs w:val="24"/>
        </w:rPr>
        <w:t>，通讯</w:t>
      </w:r>
      <w:r>
        <w:rPr>
          <w:rFonts w:cs="宋体" w:asciiTheme="minorEastAsia" w:hAnsiTheme="minorEastAsia"/>
          <w:color w:val="000000"/>
          <w:kern w:val="0"/>
          <w:sz w:val="24"/>
          <w:szCs w:val="24"/>
        </w:rPr>
        <w:t>内容包括输入</w:t>
      </w:r>
      <w:r>
        <w:rPr>
          <w:sz w:val="24"/>
          <w:szCs w:val="24"/>
        </w:rPr>
        <w:fldChar w:fldCharType="begin"/>
      </w:r>
      <w:r>
        <w:rPr>
          <w:sz w:val="24"/>
          <w:szCs w:val="24"/>
        </w:rPr>
        <w:instrText xml:space="preserve"> HYPERLINK "http://www.go-gddq.com/html/2005-11/%E7%94%B5%E6%BA%90" </w:instrText>
      </w:r>
      <w:r>
        <w:rPr>
          <w:sz w:val="24"/>
          <w:szCs w:val="24"/>
        </w:rPr>
        <w:fldChar w:fldCharType="separate"/>
      </w:r>
      <w:r>
        <w:rPr>
          <w:rFonts w:cs="宋体" w:asciiTheme="minorEastAsia" w:hAnsiTheme="minorEastAsia"/>
          <w:color w:val="000000"/>
          <w:kern w:val="0"/>
          <w:sz w:val="24"/>
          <w:szCs w:val="24"/>
        </w:rPr>
        <w:t>电源</w:t>
      </w:r>
      <w:r>
        <w:rPr>
          <w:rFonts w:cs="宋体" w:asciiTheme="minorEastAsia" w:hAnsiTheme="minorEastAsia"/>
          <w:color w:val="000000"/>
          <w:kern w:val="0"/>
          <w:sz w:val="24"/>
          <w:szCs w:val="24"/>
        </w:rPr>
        <w:fldChar w:fldCharType="end"/>
      </w:r>
      <w:r>
        <w:rPr>
          <w:rFonts w:cs="宋体" w:asciiTheme="minorEastAsia" w:hAnsiTheme="minorEastAsia"/>
          <w:color w:val="000000"/>
          <w:kern w:val="0"/>
          <w:sz w:val="24"/>
          <w:szCs w:val="24"/>
        </w:rPr>
        <w:t>故障、</w:t>
      </w:r>
      <w:r>
        <w:rPr>
          <w:sz w:val="24"/>
          <w:szCs w:val="24"/>
        </w:rPr>
        <w:fldChar w:fldCharType="begin"/>
      </w:r>
      <w:r>
        <w:rPr>
          <w:sz w:val="24"/>
          <w:szCs w:val="24"/>
        </w:rPr>
        <w:instrText xml:space="preserve"> HYPERLINK "http://www.go-gddq.com/html/2005-11/%E6%95%B4%E6%B5%81%E5%99%A8" </w:instrText>
      </w:r>
      <w:r>
        <w:rPr>
          <w:sz w:val="24"/>
          <w:szCs w:val="24"/>
        </w:rPr>
        <w:fldChar w:fldCharType="separate"/>
      </w:r>
      <w:r>
        <w:rPr>
          <w:rFonts w:cs="宋体" w:asciiTheme="minorEastAsia" w:hAnsiTheme="minorEastAsia"/>
          <w:color w:val="000000"/>
          <w:kern w:val="0"/>
          <w:sz w:val="24"/>
          <w:szCs w:val="24"/>
        </w:rPr>
        <w:t>整流器</w:t>
      </w:r>
      <w:r>
        <w:rPr>
          <w:rFonts w:cs="宋体" w:asciiTheme="minorEastAsia" w:hAnsiTheme="minorEastAsia"/>
          <w:color w:val="000000"/>
          <w:kern w:val="0"/>
          <w:sz w:val="24"/>
          <w:szCs w:val="24"/>
        </w:rPr>
        <w:fldChar w:fldCharType="end"/>
      </w:r>
      <w:r>
        <w:rPr>
          <w:rFonts w:cs="宋体" w:asciiTheme="minorEastAsia" w:hAnsiTheme="minorEastAsia"/>
          <w:color w:val="000000"/>
          <w:kern w:val="0"/>
          <w:sz w:val="24"/>
          <w:szCs w:val="24"/>
        </w:rPr>
        <w:t>故障、逆变器故障、工作方式（整流器、逆变器、旁路）、直流</w:t>
      </w:r>
      <w:r>
        <w:rPr>
          <w:sz w:val="24"/>
          <w:szCs w:val="24"/>
        </w:rPr>
        <w:fldChar w:fldCharType="begin"/>
      </w:r>
      <w:r>
        <w:rPr>
          <w:sz w:val="24"/>
          <w:szCs w:val="24"/>
        </w:rPr>
        <w:instrText xml:space="preserve"> HYPERLINK "http://www.go-gddq.com/html/2006-12/409055.htm" \o "电压" </w:instrText>
      </w:r>
      <w:r>
        <w:rPr>
          <w:sz w:val="24"/>
          <w:szCs w:val="24"/>
        </w:rPr>
        <w:fldChar w:fldCharType="separate"/>
      </w:r>
      <w:r>
        <w:rPr>
          <w:rFonts w:cs="宋体" w:asciiTheme="minorEastAsia" w:hAnsiTheme="minorEastAsia"/>
          <w:color w:val="000000"/>
          <w:kern w:val="0"/>
          <w:sz w:val="24"/>
          <w:szCs w:val="24"/>
        </w:rPr>
        <w:t>电压</w:t>
      </w:r>
      <w:r>
        <w:rPr>
          <w:rFonts w:cs="宋体" w:asciiTheme="minorEastAsia" w:hAnsiTheme="minorEastAsia"/>
          <w:color w:val="000000"/>
          <w:kern w:val="0"/>
          <w:sz w:val="24"/>
          <w:szCs w:val="24"/>
        </w:rPr>
        <w:fldChar w:fldCharType="end"/>
      </w:r>
      <w:r>
        <w:rPr>
          <w:rFonts w:cs="宋体" w:asciiTheme="minorEastAsia" w:hAnsiTheme="minorEastAsia"/>
          <w:color w:val="000000"/>
          <w:kern w:val="0"/>
          <w:sz w:val="24"/>
          <w:szCs w:val="24"/>
        </w:rPr>
        <w:t>低、直流电压高、过负荷、放电终止预告、放电终止</w:t>
      </w:r>
      <w:r>
        <w:rPr>
          <w:rFonts w:hint="eastAsia" w:cs="宋体" w:asciiTheme="minorEastAsia" w:hAnsiTheme="minorEastAsia"/>
          <w:color w:val="000000"/>
          <w:kern w:val="0"/>
          <w:sz w:val="24"/>
          <w:szCs w:val="24"/>
        </w:rPr>
        <w:t>的</w:t>
      </w:r>
      <w:r>
        <w:rPr>
          <w:rFonts w:cs="宋体" w:asciiTheme="minorEastAsia" w:hAnsiTheme="minorEastAsia"/>
          <w:color w:val="000000"/>
          <w:kern w:val="0"/>
          <w:sz w:val="24"/>
          <w:szCs w:val="24"/>
        </w:rPr>
        <w:t>报警信号等。包括输入三相电压、频率；输出电压、电流、频率；电池电压及电流等</w:t>
      </w:r>
      <w:r>
        <w:rPr>
          <w:rFonts w:hint="eastAsia" w:cs="宋体" w:asciiTheme="minorEastAsia" w:hAnsiTheme="minorEastAsia"/>
          <w:color w:val="000000"/>
          <w:kern w:val="0"/>
          <w:sz w:val="24"/>
          <w:szCs w:val="24"/>
        </w:rPr>
        <w:t>；</w:t>
      </w:r>
    </w:p>
    <w:p>
      <w:pPr>
        <w:keepNext w:val="0"/>
        <w:keepLines w:val="0"/>
        <w:pageBreakBefore w:val="0"/>
        <w:kinsoku/>
        <w:wordWrap/>
        <w:overflowPunct/>
        <w:topLinePunct w:val="0"/>
        <w:bidi w:val="0"/>
        <w:snapToGrid/>
        <w:spacing w:line="360" w:lineRule="auto"/>
        <w:ind w:firstLine="364" w:firstLineChars="152"/>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r>
        <w:rPr>
          <w:rFonts w:cs="宋体" w:asciiTheme="minorEastAsia" w:hAnsiTheme="minorEastAsia"/>
          <w:color w:val="000000"/>
          <w:kern w:val="0"/>
          <w:sz w:val="24"/>
          <w:szCs w:val="24"/>
        </w:rPr>
        <w:t>UPS</w:t>
      </w:r>
      <w:r>
        <w:rPr>
          <w:rFonts w:hint="eastAsia" w:cs="宋体" w:asciiTheme="minorEastAsia" w:hAnsiTheme="minorEastAsia"/>
          <w:color w:val="000000"/>
          <w:kern w:val="0"/>
          <w:sz w:val="24"/>
          <w:szCs w:val="24"/>
        </w:rPr>
        <w:t>应具有遥控、遥信、遥测功能，具有电池监测及保护系统；</w:t>
      </w:r>
    </w:p>
    <w:p>
      <w:pPr>
        <w:keepNext w:val="0"/>
        <w:keepLines w:val="0"/>
        <w:pageBreakBefore w:val="0"/>
        <w:kinsoku/>
        <w:wordWrap/>
        <w:overflowPunct/>
        <w:topLinePunct w:val="0"/>
        <w:bidi w:val="0"/>
        <w:snapToGrid/>
        <w:spacing w:line="360" w:lineRule="auto"/>
        <w:ind w:firstLine="364" w:firstLineChars="152"/>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（5）柜体颜色：RAL  7032；</w:t>
      </w:r>
    </w:p>
    <w:p>
      <w:pPr>
        <w:keepNext w:val="0"/>
        <w:keepLines w:val="0"/>
        <w:pageBreakBefore w:val="0"/>
        <w:kinsoku/>
        <w:wordWrap/>
        <w:overflowPunct/>
        <w:topLinePunct w:val="0"/>
        <w:bidi w:val="0"/>
        <w:snapToGrid/>
        <w:spacing w:line="360" w:lineRule="auto"/>
        <w:ind w:firstLine="364" w:firstLineChars="152"/>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（6）支持电网频率为 50Hz的应用场所；</w:t>
      </w:r>
    </w:p>
    <w:p>
      <w:pPr>
        <w:keepNext w:val="0"/>
        <w:keepLines w:val="0"/>
        <w:pageBreakBefore w:val="0"/>
        <w:kinsoku/>
        <w:wordWrap/>
        <w:overflowPunct/>
        <w:topLinePunct w:val="0"/>
        <w:bidi w:val="0"/>
        <w:snapToGrid/>
        <w:spacing w:line="360" w:lineRule="auto"/>
        <w:ind w:firstLine="364" w:firstLineChars="152"/>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w:t>
      </w:r>
      <w:bookmarkStart w:id="16" w:name="_Toc182798543"/>
      <w:r>
        <w:rPr>
          <w:rFonts w:hint="eastAsia" w:cs="宋体" w:asciiTheme="minorEastAsia" w:hAnsiTheme="minorEastAsia"/>
          <w:color w:val="000000"/>
          <w:kern w:val="0"/>
          <w:sz w:val="24"/>
          <w:szCs w:val="24"/>
        </w:rPr>
        <w:t>静态开关</w:t>
      </w:r>
      <w:bookmarkEnd w:id="16"/>
      <w:r>
        <w:rPr>
          <w:rFonts w:cs="宋体" w:asciiTheme="minorEastAsia" w:hAnsiTheme="minorEastAsia"/>
          <w:color w:val="000000"/>
          <w:kern w:val="0"/>
          <w:sz w:val="24"/>
          <w:szCs w:val="24"/>
        </w:rPr>
        <w:t>应</w:t>
      </w:r>
      <w:r>
        <w:rPr>
          <w:rFonts w:hint="eastAsia" w:cs="宋体" w:asciiTheme="minorEastAsia" w:hAnsiTheme="minorEastAsia"/>
          <w:color w:val="000000"/>
          <w:kern w:val="0"/>
          <w:sz w:val="24"/>
          <w:szCs w:val="24"/>
        </w:rPr>
        <w:t>有控制和</w:t>
      </w:r>
      <w:r>
        <w:rPr>
          <w:rFonts w:cs="宋体" w:asciiTheme="minorEastAsia" w:hAnsiTheme="minorEastAsia"/>
          <w:color w:val="000000"/>
          <w:kern w:val="0"/>
          <w:sz w:val="24"/>
          <w:szCs w:val="24"/>
        </w:rPr>
        <w:t>保护</w:t>
      </w:r>
      <w:r>
        <w:rPr>
          <w:rFonts w:hint="eastAsia" w:cs="宋体" w:asciiTheme="minorEastAsia" w:hAnsiTheme="minorEastAsia"/>
          <w:color w:val="000000"/>
          <w:kern w:val="0"/>
          <w:sz w:val="24"/>
          <w:szCs w:val="24"/>
        </w:rPr>
        <w:t>功能，以保证</w:t>
      </w:r>
      <w:r>
        <w:rPr>
          <w:rFonts w:cs="宋体" w:asciiTheme="minorEastAsia" w:hAnsiTheme="minorEastAsia"/>
          <w:color w:val="000000"/>
          <w:kern w:val="0"/>
          <w:sz w:val="24"/>
          <w:szCs w:val="24"/>
        </w:rPr>
        <w:t>在</w:t>
      </w:r>
      <w:r>
        <w:rPr>
          <w:rFonts w:hint="eastAsia" w:cs="宋体" w:asciiTheme="minorEastAsia" w:hAnsiTheme="minorEastAsia"/>
          <w:color w:val="000000"/>
          <w:kern w:val="0"/>
          <w:sz w:val="24"/>
          <w:szCs w:val="24"/>
        </w:rPr>
        <w:t>开关</w:t>
      </w:r>
      <w:r>
        <w:rPr>
          <w:rFonts w:cs="宋体" w:asciiTheme="minorEastAsia" w:hAnsiTheme="minorEastAsia"/>
          <w:color w:val="000000"/>
          <w:kern w:val="0"/>
          <w:sz w:val="24"/>
          <w:szCs w:val="24"/>
        </w:rPr>
        <w:t>切换</w:t>
      </w:r>
      <w:r>
        <w:rPr>
          <w:rFonts w:hint="eastAsia" w:cs="宋体" w:asciiTheme="minorEastAsia" w:hAnsiTheme="minorEastAsia"/>
          <w:color w:val="000000"/>
          <w:kern w:val="0"/>
          <w:sz w:val="24"/>
          <w:szCs w:val="24"/>
        </w:rPr>
        <w:t>过程中不中断对负荷的供电；</w:t>
      </w:r>
    </w:p>
    <w:p>
      <w:pPr>
        <w:keepNext w:val="0"/>
        <w:keepLines w:val="0"/>
        <w:pageBreakBefore w:val="0"/>
        <w:kinsoku/>
        <w:wordWrap/>
        <w:overflowPunct/>
        <w:topLinePunct w:val="0"/>
        <w:bidi w:val="0"/>
        <w:snapToGrid/>
        <w:spacing w:line="360" w:lineRule="auto"/>
        <w:ind w:firstLine="364" w:firstLineChars="152"/>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（8）风扇可不停机在线更换，冗余设计；</w:t>
      </w:r>
    </w:p>
    <w:p>
      <w:pPr>
        <w:keepNext w:val="0"/>
        <w:keepLines w:val="0"/>
        <w:pageBreakBefore w:val="0"/>
        <w:kinsoku/>
        <w:wordWrap/>
        <w:overflowPunct/>
        <w:topLinePunct w:val="0"/>
        <w:bidi w:val="0"/>
        <w:snapToGrid/>
        <w:spacing w:line="360" w:lineRule="auto"/>
        <w:ind w:firstLine="364" w:firstLineChars="152"/>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（9）</w:t>
      </w:r>
      <w:r>
        <w:rPr>
          <w:rFonts w:cs="宋体" w:asciiTheme="minorEastAsia" w:hAnsiTheme="minorEastAsia"/>
          <w:color w:val="000000"/>
          <w:kern w:val="0"/>
          <w:sz w:val="24"/>
          <w:szCs w:val="24"/>
        </w:rPr>
        <w:t>直流电压与交流输出电压须设有电气隔离措施</w:t>
      </w:r>
      <w:r>
        <w:rPr>
          <w:rFonts w:hint="eastAsia" w:cs="宋体" w:asciiTheme="minorEastAsia" w:hAnsiTheme="minorEastAsia"/>
          <w:color w:val="000000"/>
          <w:kern w:val="0"/>
          <w:sz w:val="24"/>
          <w:szCs w:val="24"/>
        </w:rPr>
        <w:t>；</w:t>
      </w:r>
    </w:p>
    <w:p>
      <w:pPr>
        <w:keepNext w:val="0"/>
        <w:keepLines w:val="0"/>
        <w:pageBreakBefore w:val="0"/>
        <w:kinsoku/>
        <w:wordWrap/>
        <w:overflowPunct/>
        <w:topLinePunct w:val="0"/>
        <w:bidi w:val="0"/>
        <w:snapToGrid/>
        <w:spacing w:line="360" w:lineRule="auto"/>
        <w:ind w:firstLine="364" w:firstLineChars="152"/>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（10）主机设计寿命</w:t>
      </w:r>
      <w:r>
        <w:rPr>
          <w:rFonts w:hint="eastAsia" w:cs="宋体" w:asciiTheme="minorEastAsia" w:hAnsiTheme="minorEastAsia"/>
          <w:b/>
          <w:bCs/>
          <w:color w:val="000000"/>
          <w:kern w:val="0"/>
          <w:sz w:val="24"/>
          <w:szCs w:val="24"/>
        </w:rPr>
        <w:t>≥</w:t>
      </w:r>
      <w:r>
        <w:rPr>
          <w:rFonts w:hint="eastAsia" w:cs="宋体" w:asciiTheme="minorEastAsia" w:hAnsiTheme="minorEastAsia"/>
          <w:color w:val="000000"/>
          <w:kern w:val="0"/>
          <w:sz w:val="24"/>
          <w:szCs w:val="24"/>
        </w:rPr>
        <w:t>20年；</w:t>
      </w:r>
    </w:p>
    <w:p>
      <w:pPr>
        <w:keepNext w:val="0"/>
        <w:keepLines w:val="0"/>
        <w:pageBreakBefore w:val="0"/>
        <w:kinsoku/>
        <w:wordWrap/>
        <w:overflowPunct/>
        <w:topLinePunct w:val="0"/>
        <w:bidi w:val="0"/>
        <w:snapToGrid/>
        <w:spacing w:line="360" w:lineRule="auto"/>
        <w:ind w:firstLine="364" w:firstLineChars="152"/>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（11）输入电压的瞬时降至（200</w:t>
      </w:r>
      <w:r>
        <w:rPr>
          <w:rFonts w:cs="宋体" w:asciiTheme="minorEastAsia" w:hAnsiTheme="minorEastAsia"/>
          <w:color w:val="000000"/>
          <w:kern w:val="0"/>
          <w:sz w:val="24"/>
          <w:szCs w:val="24"/>
        </w:rPr>
        <w:t>ms</w:t>
      </w:r>
      <w:r>
        <w:rPr>
          <w:rFonts w:hint="eastAsia" w:cs="宋体" w:asciiTheme="minorEastAsia" w:hAnsiTheme="minorEastAsia"/>
          <w:color w:val="000000"/>
          <w:kern w:val="0"/>
          <w:sz w:val="24"/>
          <w:szCs w:val="24"/>
        </w:rPr>
        <w:t>内</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额定值的80%不影响系统的性能；</w:t>
      </w:r>
    </w:p>
    <w:p>
      <w:pPr>
        <w:keepNext w:val="0"/>
        <w:keepLines w:val="0"/>
        <w:pageBreakBefore w:val="0"/>
        <w:kinsoku/>
        <w:wordWrap/>
        <w:overflowPunct/>
        <w:topLinePunct w:val="0"/>
        <w:bidi w:val="0"/>
        <w:snapToGrid/>
        <w:spacing w:line="360" w:lineRule="auto"/>
        <w:ind w:firstLine="364" w:firstLineChars="152"/>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（12）操作面板取消紧急关机（EPO）功能；</w:t>
      </w:r>
    </w:p>
    <w:p>
      <w:pPr>
        <w:keepNext w:val="0"/>
        <w:keepLines w:val="0"/>
        <w:pageBreakBefore w:val="0"/>
        <w:kinsoku/>
        <w:wordWrap/>
        <w:overflowPunct/>
        <w:topLinePunct w:val="0"/>
        <w:bidi w:val="0"/>
        <w:snapToGrid/>
        <w:spacing w:line="360" w:lineRule="auto"/>
        <w:ind w:firstLine="364" w:firstLineChars="152"/>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（13）</w:t>
      </w:r>
      <w:r>
        <w:rPr>
          <w:rFonts w:cs="宋体" w:asciiTheme="minorEastAsia" w:hAnsiTheme="minorEastAsia"/>
          <w:color w:val="000000"/>
          <w:kern w:val="0"/>
          <w:sz w:val="24"/>
          <w:szCs w:val="24"/>
        </w:rPr>
        <w:t>为减少备品备件，简化维护和修理，相同的元件、模块</w:t>
      </w:r>
      <w:r>
        <w:rPr>
          <w:rFonts w:hint="eastAsia" w:cs="宋体" w:asciiTheme="minorEastAsia" w:hAnsiTheme="minorEastAsia"/>
          <w:color w:val="000000"/>
          <w:kern w:val="0"/>
          <w:sz w:val="24"/>
          <w:szCs w:val="24"/>
        </w:rPr>
        <w:t>应</w:t>
      </w:r>
      <w:r>
        <w:rPr>
          <w:rFonts w:cs="宋体" w:asciiTheme="minorEastAsia" w:hAnsiTheme="minorEastAsia"/>
          <w:color w:val="000000"/>
          <w:kern w:val="0"/>
          <w:sz w:val="24"/>
          <w:szCs w:val="24"/>
        </w:rPr>
        <w:t>可互换</w:t>
      </w:r>
      <w:r>
        <w:rPr>
          <w:rFonts w:hint="eastAsia" w:cs="宋体" w:asciiTheme="minorEastAsia" w:hAnsiTheme="minorEastAsia"/>
          <w:color w:val="000000"/>
          <w:kern w:val="0"/>
          <w:sz w:val="24"/>
          <w:szCs w:val="24"/>
        </w:rPr>
        <w:t>；</w:t>
      </w:r>
    </w:p>
    <w:p>
      <w:pPr>
        <w:keepNext w:val="0"/>
        <w:keepLines w:val="0"/>
        <w:pageBreakBefore w:val="0"/>
        <w:kinsoku/>
        <w:wordWrap/>
        <w:overflowPunct/>
        <w:topLinePunct w:val="0"/>
        <w:bidi w:val="0"/>
        <w:snapToGrid/>
        <w:spacing w:line="360" w:lineRule="auto"/>
        <w:ind w:firstLine="364" w:firstLineChars="152"/>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（14）交流UPS的类型、参数、额定值应符合并兼容原旁路柜、电池柜及馈线柜,保证整体的性能稳定可靠；</w:t>
      </w:r>
    </w:p>
    <w:p>
      <w:pPr>
        <w:keepNext w:val="0"/>
        <w:keepLines w:val="0"/>
        <w:pageBreakBefore w:val="0"/>
        <w:widowControl/>
        <w:kinsoku/>
        <w:wordWrap/>
        <w:overflowPunct/>
        <w:topLinePunct w:val="0"/>
        <w:bidi w:val="0"/>
        <w:snapToGrid/>
        <w:spacing w:line="360" w:lineRule="auto"/>
        <w:ind w:firstLine="360" w:firstLineChars="15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（15）10KVA采用6</w:t>
      </w:r>
      <w:r>
        <w:rPr>
          <w:rFonts w:cs="宋体" w:asciiTheme="minorEastAsia" w:hAnsiTheme="minorEastAsia"/>
          <w:color w:val="000000"/>
          <w:kern w:val="0"/>
          <w:sz w:val="24"/>
          <w:szCs w:val="24"/>
        </w:rPr>
        <w:t>脉冲整流</w:t>
      </w:r>
      <w:r>
        <w:rPr>
          <w:rFonts w:hint="eastAsia" w:cs="宋体" w:asciiTheme="minorEastAsia" w:hAnsiTheme="minorEastAsia"/>
          <w:color w:val="000000"/>
          <w:kern w:val="0"/>
          <w:sz w:val="24"/>
          <w:szCs w:val="24"/>
        </w:rPr>
        <w:t>型式配输出隔离变压器，20KVA-80KVA采用</w:t>
      </w:r>
      <w:r>
        <w:rPr>
          <w:rFonts w:cs="宋体" w:asciiTheme="minorEastAsia" w:hAnsiTheme="minorEastAsia"/>
          <w:color w:val="000000"/>
          <w:kern w:val="0"/>
          <w:sz w:val="24"/>
          <w:szCs w:val="24"/>
        </w:rPr>
        <w:t>12脉冲整流</w:t>
      </w:r>
      <w:r>
        <w:rPr>
          <w:rFonts w:hint="eastAsia" w:cs="宋体" w:asciiTheme="minorEastAsia" w:hAnsiTheme="minorEastAsia"/>
          <w:color w:val="000000"/>
          <w:kern w:val="0"/>
          <w:sz w:val="24"/>
          <w:szCs w:val="24"/>
        </w:rPr>
        <w:t>型式配输入输出隔离变压器；</w:t>
      </w:r>
    </w:p>
    <w:p>
      <w:pPr>
        <w:keepNext w:val="0"/>
        <w:keepLines w:val="0"/>
        <w:pageBreakBefore w:val="0"/>
        <w:widowControl/>
        <w:kinsoku/>
        <w:wordWrap/>
        <w:overflowPunct/>
        <w:topLinePunct w:val="0"/>
        <w:bidi w:val="0"/>
        <w:snapToGrid/>
        <w:spacing w:line="360" w:lineRule="auto"/>
        <w:ind w:firstLine="360" w:firstLineChars="15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（16）主机柜防护等级10KVA IP30,20-80KVA IP31；</w:t>
      </w:r>
    </w:p>
    <w:p>
      <w:pPr>
        <w:keepNext w:val="0"/>
        <w:keepLines w:val="0"/>
        <w:pageBreakBefore w:val="0"/>
        <w:kinsoku/>
        <w:wordWrap/>
        <w:overflowPunct/>
        <w:topLinePunct w:val="0"/>
        <w:bidi w:val="0"/>
        <w:snapToGrid/>
        <w:spacing w:line="360" w:lineRule="auto"/>
        <w:ind w:firstLine="364" w:firstLineChars="152"/>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（17）逆变过载能力，在110%负荷时可运行60分钟；</w:t>
      </w:r>
    </w:p>
    <w:p>
      <w:pPr>
        <w:keepNext w:val="0"/>
        <w:keepLines w:val="0"/>
        <w:pageBreakBefore w:val="0"/>
        <w:kinsoku/>
        <w:wordWrap/>
        <w:overflowPunct/>
        <w:topLinePunct w:val="0"/>
        <w:bidi w:val="0"/>
        <w:snapToGrid/>
        <w:spacing w:line="360" w:lineRule="auto"/>
        <w:ind w:firstLine="364" w:firstLineChars="152"/>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（18）</w:t>
      </w:r>
      <w:r>
        <w:rPr>
          <w:rFonts w:cs="宋体" w:asciiTheme="minorEastAsia" w:hAnsiTheme="minorEastAsia"/>
          <w:color w:val="000000"/>
          <w:kern w:val="0"/>
          <w:sz w:val="24"/>
          <w:szCs w:val="24"/>
        </w:rPr>
        <w:t>输出</w:t>
      </w:r>
      <w:r>
        <w:rPr>
          <w:rFonts w:hint="eastAsia" w:cs="宋体" w:asciiTheme="minorEastAsia" w:hAnsiTheme="minorEastAsia"/>
          <w:color w:val="000000"/>
          <w:kern w:val="0"/>
          <w:sz w:val="24"/>
          <w:szCs w:val="24"/>
        </w:rPr>
        <w:t>电压的可调节范围为±5%；</w:t>
      </w:r>
    </w:p>
    <w:p>
      <w:pPr>
        <w:keepNext w:val="0"/>
        <w:keepLines w:val="0"/>
        <w:pageBreakBefore w:val="0"/>
        <w:kinsoku/>
        <w:wordWrap/>
        <w:overflowPunct/>
        <w:topLinePunct w:val="0"/>
        <w:bidi w:val="0"/>
        <w:snapToGrid/>
        <w:spacing w:line="360" w:lineRule="auto"/>
        <w:ind w:firstLine="364" w:firstLineChars="152"/>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（19）</w:t>
      </w:r>
      <w:r>
        <w:rPr>
          <w:rFonts w:cs="宋体" w:asciiTheme="minorEastAsia" w:hAnsiTheme="minorEastAsia"/>
          <w:color w:val="000000"/>
          <w:kern w:val="0"/>
          <w:sz w:val="24"/>
          <w:szCs w:val="24"/>
        </w:rPr>
        <w:t>正常情况下，UPS</w:t>
      </w:r>
      <w:r>
        <w:rPr>
          <w:rFonts w:hint="eastAsia" w:cs="宋体" w:asciiTheme="minorEastAsia" w:hAnsiTheme="minorEastAsia"/>
          <w:color w:val="000000"/>
          <w:kern w:val="0"/>
          <w:sz w:val="24"/>
          <w:szCs w:val="24"/>
        </w:rPr>
        <w:t>经</w:t>
      </w:r>
      <w:r>
        <w:rPr>
          <w:rFonts w:cs="宋体" w:asciiTheme="minorEastAsia" w:hAnsiTheme="minorEastAsia"/>
          <w:color w:val="000000"/>
          <w:kern w:val="0"/>
          <w:sz w:val="24"/>
          <w:szCs w:val="24"/>
        </w:rPr>
        <w:t>进线电源</w:t>
      </w:r>
      <w:r>
        <w:rPr>
          <w:rFonts w:hint="eastAsia" w:cs="宋体" w:asciiTheme="minorEastAsia" w:hAnsiTheme="minorEastAsia"/>
          <w:color w:val="000000"/>
          <w:kern w:val="0"/>
          <w:sz w:val="24"/>
          <w:szCs w:val="24"/>
        </w:rPr>
        <w:t>、</w:t>
      </w:r>
      <w:r>
        <w:rPr>
          <w:rFonts w:cs="宋体" w:asciiTheme="minorEastAsia" w:hAnsiTheme="minorEastAsia"/>
          <w:color w:val="000000"/>
          <w:kern w:val="0"/>
          <w:sz w:val="24"/>
          <w:szCs w:val="24"/>
        </w:rPr>
        <w:t>整流</w:t>
      </w:r>
      <w:r>
        <w:rPr>
          <w:rFonts w:hint="eastAsia" w:cs="宋体" w:asciiTheme="minorEastAsia" w:hAnsiTheme="minorEastAsia"/>
          <w:color w:val="000000"/>
          <w:kern w:val="0"/>
          <w:sz w:val="24"/>
          <w:szCs w:val="24"/>
        </w:rPr>
        <w:t>、逆变后输出，同时保持</w:t>
      </w:r>
      <w:r>
        <w:rPr>
          <w:rFonts w:cs="宋体" w:asciiTheme="minorEastAsia" w:hAnsiTheme="minorEastAsia"/>
          <w:color w:val="000000"/>
          <w:kern w:val="0"/>
          <w:sz w:val="24"/>
          <w:szCs w:val="24"/>
        </w:rPr>
        <w:t>电池处于浮充电状态，</w:t>
      </w:r>
      <w:r>
        <w:rPr>
          <w:rFonts w:hint="eastAsia" w:cs="宋体" w:asciiTheme="minorEastAsia" w:hAnsiTheme="minorEastAsia"/>
          <w:color w:val="000000"/>
          <w:kern w:val="0"/>
          <w:sz w:val="24"/>
          <w:szCs w:val="24"/>
        </w:rPr>
        <w:t>并能带满负荷持续运行；</w:t>
      </w:r>
    </w:p>
    <w:p>
      <w:pPr>
        <w:keepNext w:val="0"/>
        <w:keepLines w:val="0"/>
        <w:pageBreakBefore w:val="0"/>
        <w:kinsoku/>
        <w:wordWrap/>
        <w:overflowPunct/>
        <w:topLinePunct w:val="0"/>
        <w:bidi w:val="0"/>
        <w:snapToGrid/>
        <w:spacing w:line="360" w:lineRule="auto"/>
        <w:ind w:firstLine="364" w:firstLineChars="152"/>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（20）</w:t>
      </w:r>
      <w:r>
        <w:rPr>
          <w:rFonts w:cs="宋体" w:asciiTheme="minorEastAsia" w:hAnsiTheme="minorEastAsia"/>
          <w:color w:val="000000"/>
          <w:kern w:val="0"/>
          <w:sz w:val="24"/>
          <w:szCs w:val="24"/>
        </w:rPr>
        <w:t>当</w:t>
      </w:r>
      <w:r>
        <w:rPr>
          <w:rFonts w:hint="eastAsia" w:cs="宋体" w:asciiTheme="minorEastAsia" w:hAnsiTheme="minorEastAsia"/>
          <w:color w:val="000000"/>
          <w:kern w:val="0"/>
          <w:sz w:val="24"/>
          <w:szCs w:val="24"/>
        </w:rPr>
        <w:t>主</w:t>
      </w:r>
      <w:r>
        <w:rPr>
          <w:rFonts w:cs="宋体" w:asciiTheme="minorEastAsia" w:hAnsiTheme="minorEastAsia"/>
          <w:color w:val="000000"/>
          <w:kern w:val="0"/>
          <w:sz w:val="24"/>
          <w:szCs w:val="24"/>
        </w:rPr>
        <w:t>电源失电时，</w:t>
      </w:r>
      <w:r>
        <w:rPr>
          <w:rFonts w:hint="eastAsia" w:cs="宋体" w:asciiTheme="minorEastAsia" w:hAnsiTheme="minorEastAsia"/>
          <w:color w:val="000000"/>
          <w:kern w:val="0"/>
          <w:sz w:val="24"/>
          <w:szCs w:val="24"/>
        </w:rPr>
        <w:t>自动切换至</w:t>
      </w:r>
      <w:r>
        <w:rPr>
          <w:rFonts w:cs="宋体" w:asciiTheme="minorEastAsia" w:hAnsiTheme="minorEastAsia"/>
          <w:color w:val="000000"/>
          <w:kern w:val="0"/>
          <w:sz w:val="24"/>
          <w:szCs w:val="24"/>
        </w:rPr>
        <w:t>电池</w:t>
      </w:r>
      <w:r>
        <w:rPr>
          <w:rFonts w:hint="eastAsia" w:cs="宋体" w:asciiTheme="minorEastAsia" w:hAnsiTheme="minorEastAsia"/>
          <w:color w:val="000000"/>
          <w:kern w:val="0"/>
          <w:sz w:val="24"/>
          <w:szCs w:val="24"/>
        </w:rPr>
        <w:t>输出，且</w:t>
      </w:r>
      <w:r>
        <w:rPr>
          <w:rFonts w:cs="宋体" w:asciiTheme="minorEastAsia" w:hAnsiTheme="minorEastAsia"/>
          <w:color w:val="000000"/>
          <w:kern w:val="0"/>
          <w:sz w:val="24"/>
          <w:szCs w:val="24"/>
        </w:rPr>
        <w:t>电源恢复</w:t>
      </w:r>
      <w:r>
        <w:rPr>
          <w:rFonts w:hint="eastAsia" w:cs="宋体" w:asciiTheme="minorEastAsia" w:hAnsiTheme="minorEastAsia"/>
          <w:color w:val="000000"/>
          <w:kern w:val="0"/>
          <w:sz w:val="24"/>
          <w:szCs w:val="24"/>
        </w:rPr>
        <w:t>后，</w:t>
      </w:r>
      <w:r>
        <w:rPr>
          <w:rFonts w:cs="宋体" w:asciiTheme="minorEastAsia" w:hAnsiTheme="minorEastAsia"/>
          <w:color w:val="000000"/>
          <w:kern w:val="0"/>
          <w:sz w:val="24"/>
          <w:szCs w:val="24"/>
        </w:rPr>
        <w:t>整流</w:t>
      </w:r>
      <w:r>
        <w:rPr>
          <w:rFonts w:hint="eastAsia" w:cs="宋体" w:asciiTheme="minorEastAsia" w:hAnsiTheme="minorEastAsia"/>
          <w:color w:val="000000"/>
          <w:kern w:val="0"/>
          <w:sz w:val="24"/>
          <w:szCs w:val="24"/>
        </w:rPr>
        <w:t>、逆变自动重新输出；</w:t>
      </w:r>
    </w:p>
    <w:p>
      <w:pPr>
        <w:keepNext w:val="0"/>
        <w:keepLines w:val="0"/>
        <w:pageBreakBefore w:val="0"/>
        <w:kinsoku/>
        <w:wordWrap/>
        <w:overflowPunct/>
        <w:topLinePunct w:val="0"/>
        <w:bidi w:val="0"/>
        <w:snapToGrid/>
        <w:spacing w:line="360" w:lineRule="auto"/>
        <w:ind w:firstLine="364" w:firstLineChars="152"/>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（21）在逆变器</w:t>
      </w:r>
      <w:r>
        <w:rPr>
          <w:rFonts w:cs="宋体" w:asciiTheme="minorEastAsia" w:hAnsiTheme="minorEastAsia"/>
          <w:color w:val="000000"/>
          <w:kern w:val="0"/>
          <w:sz w:val="24"/>
          <w:szCs w:val="24"/>
        </w:rPr>
        <w:t>故障</w:t>
      </w:r>
      <w:r>
        <w:rPr>
          <w:rFonts w:hint="eastAsia" w:cs="宋体" w:asciiTheme="minorEastAsia" w:hAnsiTheme="minorEastAsia"/>
          <w:color w:val="000000"/>
          <w:kern w:val="0"/>
          <w:sz w:val="24"/>
          <w:szCs w:val="24"/>
        </w:rPr>
        <w:t>情况下</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静态开关将自动</w:t>
      </w:r>
      <w:r>
        <w:rPr>
          <w:rFonts w:cs="宋体" w:asciiTheme="minorEastAsia" w:hAnsiTheme="minorEastAsia"/>
          <w:color w:val="000000"/>
          <w:kern w:val="0"/>
          <w:sz w:val="24"/>
          <w:szCs w:val="24"/>
        </w:rPr>
        <w:t>切换</w:t>
      </w:r>
      <w:r>
        <w:rPr>
          <w:rFonts w:hint="eastAsia" w:cs="宋体" w:asciiTheme="minorEastAsia" w:hAnsiTheme="minorEastAsia"/>
          <w:color w:val="000000"/>
          <w:kern w:val="0"/>
          <w:sz w:val="24"/>
          <w:szCs w:val="24"/>
        </w:rPr>
        <w:t>至旁路供电模式；</w:t>
      </w:r>
    </w:p>
    <w:p>
      <w:pPr>
        <w:keepNext w:val="0"/>
        <w:keepLines w:val="0"/>
        <w:pageBreakBefore w:val="0"/>
        <w:kinsoku/>
        <w:wordWrap/>
        <w:overflowPunct/>
        <w:topLinePunct w:val="0"/>
        <w:bidi w:val="0"/>
        <w:snapToGrid/>
        <w:spacing w:line="360" w:lineRule="auto"/>
        <w:ind w:firstLine="364" w:firstLineChars="152"/>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（22）当整流电源、旁路交流电源均失电，负荷将通过逆变器由电池组供电。</w:t>
      </w:r>
    </w:p>
    <w:p>
      <w:pPr>
        <w:keepNext w:val="0"/>
        <w:keepLines w:val="0"/>
        <w:pageBreakBefore w:val="0"/>
        <w:kinsoku/>
        <w:wordWrap/>
        <w:overflowPunct/>
        <w:topLinePunct w:val="0"/>
        <w:bidi w:val="0"/>
        <w:snapToGrid/>
        <w:spacing w:line="360" w:lineRule="auto"/>
        <w:ind w:firstLine="364" w:firstLineChars="152"/>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（23）关键元器件需采用以下品牌，提升系统可靠性</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4111"/>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keepNext w:val="0"/>
              <w:keepLines w:val="0"/>
              <w:pageBreakBefore w:val="0"/>
              <w:kinsoku/>
              <w:wordWrap/>
              <w:overflowPunct/>
              <w:topLinePunct w:val="0"/>
              <w:bidi w:val="0"/>
              <w:snapToGrid/>
              <w:spacing w:line="360" w:lineRule="auto"/>
              <w:ind w:firstLine="240" w:firstLineChars="1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序号</w:t>
            </w:r>
          </w:p>
        </w:tc>
        <w:tc>
          <w:tcPr>
            <w:tcW w:w="4111" w:type="dxa"/>
          </w:tcPr>
          <w:p>
            <w:pPr>
              <w:keepNext w:val="0"/>
              <w:keepLines w:val="0"/>
              <w:pageBreakBefore w:val="0"/>
              <w:kinsoku/>
              <w:wordWrap/>
              <w:overflowPunct/>
              <w:topLinePunct w:val="0"/>
              <w:bidi w:val="0"/>
              <w:snapToGrid/>
              <w:spacing w:line="360" w:lineRule="auto"/>
              <w:ind w:firstLine="56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元件名称</w:t>
            </w:r>
          </w:p>
        </w:tc>
        <w:tc>
          <w:tcPr>
            <w:tcW w:w="3169" w:type="dxa"/>
          </w:tcPr>
          <w:p>
            <w:pPr>
              <w:keepNext w:val="0"/>
              <w:keepLines w:val="0"/>
              <w:pageBreakBefore w:val="0"/>
              <w:kinsoku/>
              <w:wordWrap/>
              <w:overflowPunct/>
              <w:topLinePunct w:val="0"/>
              <w:bidi w:val="0"/>
              <w:snapToGrid/>
              <w:spacing w:line="360" w:lineRule="auto"/>
              <w:ind w:firstLine="56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keepNext w:val="0"/>
              <w:keepLines w:val="0"/>
              <w:pageBreakBefore w:val="0"/>
              <w:kinsoku/>
              <w:wordWrap/>
              <w:overflowPunct/>
              <w:topLinePunct w:val="0"/>
              <w:bidi w:val="0"/>
              <w:snapToGrid/>
              <w:spacing w:line="360" w:lineRule="auto"/>
              <w:ind w:firstLine="360" w:firstLineChars="15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4111" w:type="dxa"/>
          </w:tcPr>
          <w:p>
            <w:pPr>
              <w:keepNext w:val="0"/>
              <w:keepLines w:val="0"/>
              <w:pageBreakBefore w:val="0"/>
              <w:kinsoku/>
              <w:wordWrap/>
              <w:overflowPunct/>
              <w:topLinePunct w:val="0"/>
              <w:bidi w:val="0"/>
              <w:snapToGrid/>
              <w:spacing w:line="360" w:lineRule="auto"/>
              <w:ind w:firstLine="56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IGBT</w:t>
            </w:r>
          </w:p>
        </w:tc>
        <w:tc>
          <w:tcPr>
            <w:tcW w:w="3169" w:type="dxa"/>
          </w:tcPr>
          <w:p>
            <w:pPr>
              <w:keepNext w:val="0"/>
              <w:keepLines w:val="0"/>
              <w:pageBreakBefore w:val="0"/>
              <w:kinsoku/>
              <w:wordWrap/>
              <w:overflowPunct/>
              <w:topLinePunct w:val="0"/>
              <w:bidi w:val="0"/>
              <w:snapToGrid/>
              <w:spacing w:line="360" w:lineRule="auto"/>
              <w:ind w:firstLine="56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英飞凌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keepNext w:val="0"/>
              <w:keepLines w:val="0"/>
              <w:pageBreakBefore w:val="0"/>
              <w:kinsoku/>
              <w:wordWrap/>
              <w:overflowPunct/>
              <w:topLinePunct w:val="0"/>
              <w:bidi w:val="0"/>
              <w:snapToGrid/>
              <w:spacing w:line="360" w:lineRule="auto"/>
              <w:ind w:firstLine="360" w:firstLineChars="15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4111" w:type="dxa"/>
          </w:tcPr>
          <w:p>
            <w:pPr>
              <w:keepNext w:val="0"/>
              <w:keepLines w:val="0"/>
              <w:pageBreakBefore w:val="0"/>
              <w:kinsoku/>
              <w:wordWrap/>
              <w:overflowPunct/>
              <w:topLinePunct w:val="0"/>
              <w:bidi w:val="0"/>
              <w:snapToGrid/>
              <w:spacing w:line="360" w:lineRule="auto"/>
              <w:ind w:firstLine="56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SCR</w:t>
            </w:r>
          </w:p>
        </w:tc>
        <w:tc>
          <w:tcPr>
            <w:tcW w:w="3169" w:type="dxa"/>
          </w:tcPr>
          <w:p>
            <w:pPr>
              <w:keepNext w:val="0"/>
              <w:keepLines w:val="0"/>
              <w:pageBreakBefore w:val="0"/>
              <w:kinsoku/>
              <w:wordWrap/>
              <w:overflowPunct/>
              <w:topLinePunct w:val="0"/>
              <w:bidi w:val="0"/>
              <w:snapToGrid/>
              <w:spacing w:line="360" w:lineRule="auto"/>
              <w:ind w:firstLine="56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塞米控</w:t>
            </w:r>
            <w:r>
              <w:rPr>
                <w:rFonts w:cs="宋体" w:asciiTheme="minorEastAsia" w:hAnsiTheme="minorEastAsia"/>
                <w:color w:val="000000"/>
                <w:kern w:val="0"/>
                <w:sz w:val="24"/>
                <w:szCs w:val="24"/>
              </w:rPr>
              <w:t>SEMIKRON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keepNext w:val="0"/>
              <w:keepLines w:val="0"/>
              <w:pageBreakBefore w:val="0"/>
              <w:kinsoku/>
              <w:wordWrap/>
              <w:overflowPunct/>
              <w:topLinePunct w:val="0"/>
              <w:bidi w:val="0"/>
              <w:snapToGrid/>
              <w:spacing w:line="360" w:lineRule="auto"/>
              <w:ind w:firstLine="360" w:firstLineChars="15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4111" w:type="dxa"/>
          </w:tcPr>
          <w:p>
            <w:pPr>
              <w:keepNext w:val="0"/>
              <w:keepLines w:val="0"/>
              <w:pageBreakBefore w:val="0"/>
              <w:kinsoku/>
              <w:wordWrap/>
              <w:overflowPunct/>
              <w:topLinePunct w:val="0"/>
              <w:bidi w:val="0"/>
              <w:snapToGrid/>
              <w:spacing w:line="360" w:lineRule="auto"/>
              <w:ind w:firstLine="56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开关</w:t>
            </w:r>
          </w:p>
        </w:tc>
        <w:tc>
          <w:tcPr>
            <w:tcW w:w="3169" w:type="dxa"/>
          </w:tcPr>
          <w:p>
            <w:pPr>
              <w:keepNext w:val="0"/>
              <w:keepLines w:val="0"/>
              <w:pageBreakBefore w:val="0"/>
              <w:kinsoku/>
              <w:wordWrap/>
              <w:overflowPunct/>
              <w:topLinePunct w:val="0"/>
              <w:bidi w:val="0"/>
              <w:snapToGrid/>
              <w:spacing w:line="360" w:lineRule="auto"/>
              <w:ind w:firstLine="56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ABB/施耐德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keepNext w:val="0"/>
              <w:keepLines w:val="0"/>
              <w:pageBreakBefore w:val="0"/>
              <w:kinsoku/>
              <w:wordWrap/>
              <w:overflowPunct/>
              <w:topLinePunct w:val="0"/>
              <w:bidi w:val="0"/>
              <w:snapToGrid/>
              <w:spacing w:line="360" w:lineRule="auto"/>
              <w:ind w:firstLine="360" w:firstLineChars="15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p>
        </w:tc>
        <w:tc>
          <w:tcPr>
            <w:tcW w:w="4111" w:type="dxa"/>
          </w:tcPr>
          <w:p>
            <w:pPr>
              <w:keepNext w:val="0"/>
              <w:keepLines w:val="0"/>
              <w:pageBreakBefore w:val="0"/>
              <w:kinsoku/>
              <w:wordWrap/>
              <w:overflowPunct/>
              <w:topLinePunct w:val="0"/>
              <w:bidi w:val="0"/>
              <w:snapToGrid/>
              <w:spacing w:line="360" w:lineRule="auto"/>
              <w:ind w:firstLine="56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电解电容</w:t>
            </w:r>
          </w:p>
        </w:tc>
        <w:tc>
          <w:tcPr>
            <w:tcW w:w="3169" w:type="dxa"/>
          </w:tcPr>
          <w:p>
            <w:pPr>
              <w:keepNext w:val="0"/>
              <w:keepLines w:val="0"/>
              <w:pageBreakBefore w:val="0"/>
              <w:kinsoku/>
              <w:wordWrap/>
              <w:overflowPunct/>
              <w:topLinePunct w:val="0"/>
              <w:bidi w:val="0"/>
              <w:snapToGrid/>
              <w:spacing w:line="360" w:lineRule="auto"/>
              <w:ind w:firstLine="56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EPCOS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keepNext w:val="0"/>
              <w:keepLines w:val="0"/>
              <w:pageBreakBefore w:val="0"/>
              <w:kinsoku/>
              <w:wordWrap/>
              <w:overflowPunct/>
              <w:topLinePunct w:val="0"/>
              <w:bidi w:val="0"/>
              <w:snapToGrid/>
              <w:spacing w:line="360" w:lineRule="auto"/>
              <w:ind w:firstLine="360" w:firstLineChars="15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w:t>
            </w:r>
          </w:p>
        </w:tc>
        <w:tc>
          <w:tcPr>
            <w:tcW w:w="4111" w:type="dxa"/>
          </w:tcPr>
          <w:p>
            <w:pPr>
              <w:keepNext w:val="0"/>
              <w:keepLines w:val="0"/>
              <w:pageBreakBefore w:val="0"/>
              <w:kinsoku/>
              <w:wordWrap/>
              <w:overflowPunct/>
              <w:topLinePunct w:val="0"/>
              <w:bidi w:val="0"/>
              <w:snapToGrid/>
              <w:spacing w:line="360" w:lineRule="auto"/>
              <w:ind w:firstLine="56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DSP</w:t>
            </w:r>
          </w:p>
        </w:tc>
        <w:tc>
          <w:tcPr>
            <w:tcW w:w="3169" w:type="dxa"/>
          </w:tcPr>
          <w:p>
            <w:pPr>
              <w:keepNext w:val="0"/>
              <w:keepLines w:val="0"/>
              <w:pageBreakBefore w:val="0"/>
              <w:kinsoku/>
              <w:wordWrap/>
              <w:overflowPunct/>
              <w:topLinePunct w:val="0"/>
              <w:bidi w:val="0"/>
              <w:snapToGrid/>
              <w:spacing w:line="360" w:lineRule="auto"/>
              <w:ind w:firstLine="56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keepNext w:val="0"/>
              <w:keepLines w:val="0"/>
              <w:pageBreakBefore w:val="0"/>
              <w:kinsoku/>
              <w:wordWrap/>
              <w:overflowPunct/>
              <w:topLinePunct w:val="0"/>
              <w:bidi w:val="0"/>
              <w:snapToGrid/>
              <w:spacing w:line="360" w:lineRule="auto"/>
              <w:ind w:firstLine="360" w:firstLineChars="15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c>
          <w:tcPr>
            <w:tcW w:w="4111" w:type="dxa"/>
          </w:tcPr>
          <w:p>
            <w:pPr>
              <w:keepNext w:val="0"/>
              <w:keepLines w:val="0"/>
              <w:pageBreakBefore w:val="0"/>
              <w:kinsoku/>
              <w:wordWrap/>
              <w:overflowPunct/>
              <w:topLinePunct w:val="0"/>
              <w:bidi w:val="0"/>
              <w:snapToGrid/>
              <w:spacing w:line="360" w:lineRule="auto"/>
              <w:ind w:firstLine="56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风扇</w:t>
            </w:r>
          </w:p>
        </w:tc>
        <w:tc>
          <w:tcPr>
            <w:tcW w:w="3169" w:type="dxa"/>
          </w:tcPr>
          <w:p>
            <w:pPr>
              <w:keepNext w:val="0"/>
              <w:keepLines w:val="0"/>
              <w:pageBreakBefore w:val="0"/>
              <w:kinsoku/>
              <w:wordWrap/>
              <w:overflowPunct/>
              <w:topLinePunct w:val="0"/>
              <w:bidi w:val="0"/>
              <w:snapToGrid/>
              <w:spacing w:line="360" w:lineRule="auto"/>
              <w:ind w:firstLine="56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建准/ADDA</w:t>
            </w:r>
          </w:p>
        </w:tc>
      </w:tr>
    </w:tbl>
    <w:p>
      <w:pPr>
        <w:keepNext w:val="0"/>
        <w:keepLines w:val="0"/>
        <w:pageBreakBefore w:val="0"/>
        <w:widowControl/>
        <w:kinsoku/>
        <w:wordWrap/>
        <w:overflowPunct/>
        <w:topLinePunct w:val="0"/>
        <w:bidi w:val="0"/>
        <w:snapToGrid/>
        <w:spacing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（24）柜体尺寸需符合下表要求: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126"/>
        <w:gridCol w:w="354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序号</w:t>
            </w:r>
          </w:p>
        </w:tc>
        <w:tc>
          <w:tcPr>
            <w:tcW w:w="2126" w:type="dxa"/>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主机容量</w:t>
            </w:r>
          </w:p>
        </w:tc>
        <w:tc>
          <w:tcPr>
            <w:tcW w:w="3544" w:type="dxa"/>
          </w:tcPr>
          <w:p>
            <w:pPr>
              <w:keepNext w:val="0"/>
              <w:keepLines w:val="0"/>
              <w:pageBreakBefore w:val="0"/>
              <w:kinsoku/>
              <w:wordWrap/>
              <w:overflowPunct/>
              <w:topLinePunct w:val="0"/>
              <w:bidi w:val="0"/>
              <w:snapToGrid/>
              <w:spacing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主机尺寸mm（长*宽*高）</w:t>
            </w:r>
          </w:p>
        </w:tc>
        <w:tc>
          <w:tcPr>
            <w:tcW w:w="1893" w:type="dxa"/>
          </w:tcPr>
          <w:p>
            <w:pPr>
              <w:keepNext w:val="0"/>
              <w:keepLines w:val="0"/>
              <w:pageBreakBefore w:val="0"/>
              <w:kinsoku/>
              <w:wordWrap/>
              <w:overflowPunct/>
              <w:topLinePunct w:val="0"/>
              <w:bidi w:val="0"/>
              <w:snapToGrid/>
              <w:spacing w:line="360" w:lineRule="auto"/>
              <w:ind w:firstLine="56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kinsoku/>
              <w:wordWrap/>
              <w:overflowPunct/>
              <w:topLinePunct w:val="0"/>
              <w:bidi w:val="0"/>
              <w:snapToGrid/>
              <w:spacing w:line="360" w:lineRule="auto"/>
              <w:ind w:firstLine="240" w:firstLineChars="1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2126" w:type="dxa"/>
          </w:tcPr>
          <w:p>
            <w:pPr>
              <w:keepNext w:val="0"/>
              <w:keepLines w:val="0"/>
              <w:pageBreakBefore w:val="0"/>
              <w:kinsoku/>
              <w:wordWrap/>
              <w:overflowPunct/>
              <w:topLinePunct w:val="0"/>
              <w:bidi w:val="0"/>
              <w:snapToGrid/>
              <w:spacing w:line="360" w:lineRule="auto"/>
              <w:ind w:firstLine="56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10KVA</w:t>
            </w:r>
          </w:p>
        </w:tc>
        <w:tc>
          <w:tcPr>
            <w:tcW w:w="3544" w:type="dxa"/>
          </w:tcPr>
          <w:p>
            <w:pPr>
              <w:keepNext w:val="0"/>
              <w:keepLines w:val="0"/>
              <w:pageBreakBefore w:val="0"/>
              <w:kinsoku/>
              <w:wordWrap/>
              <w:overflowPunct/>
              <w:topLinePunct w:val="0"/>
              <w:bidi w:val="0"/>
              <w:snapToGrid/>
              <w:spacing w:line="360" w:lineRule="auto"/>
              <w:ind w:firstLine="56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410*680*1020</w:t>
            </w:r>
          </w:p>
        </w:tc>
        <w:tc>
          <w:tcPr>
            <w:tcW w:w="1893" w:type="dxa"/>
          </w:tcPr>
          <w:p>
            <w:pPr>
              <w:keepNext w:val="0"/>
              <w:keepLines w:val="0"/>
              <w:pageBreakBefore w:val="0"/>
              <w:kinsoku/>
              <w:wordWrap/>
              <w:overflowPunct/>
              <w:topLinePunct w:val="0"/>
              <w:bidi w:val="0"/>
              <w:snapToGrid/>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小于该尺寸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kinsoku/>
              <w:wordWrap/>
              <w:overflowPunct/>
              <w:topLinePunct w:val="0"/>
              <w:bidi w:val="0"/>
              <w:snapToGrid/>
              <w:spacing w:line="360" w:lineRule="auto"/>
              <w:ind w:firstLine="240" w:firstLineChars="1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2126" w:type="dxa"/>
          </w:tcPr>
          <w:p>
            <w:pPr>
              <w:keepNext w:val="0"/>
              <w:keepLines w:val="0"/>
              <w:pageBreakBefore w:val="0"/>
              <w:kinsoku/>
              <w:wordWrap/>
              <w:overflowPunct/>
              <w:topLinePunct w:val="0"/>
              <w:bidi w:val="0"/>
              <w:snapToGrid/>
              <w:spacing w:line="360" w:lineRule="auto"/>
              <w:ind w:firstLine="56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20KVA</w:t>
            </w:r>
          </w:p>
        </w:tc>
        <w:tc>
          <w:tcPr>
            <w:tcW w:w="3544" w:type="dxa"/>
          </w:tcPr>
          <w:p>
            <w:pPr>
              <w:keepNext w:val="0"/>
              <w:keepLines w:val="0"/>
              <w:pageBreakBefore w:val="0"/>
              <w:kinsoku/>
              <w:wordWrap/>
              <w:overflowPunct/>
              <w:topLinePunct w:val="0"/>
              <w:bidi w:val="0"/>
              <w:snapToGrid/>
              <w:spacing w:line="360" w:lineRule="auto"/>
              <w:ind w:firstLine="56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800*800*1800</w:t>
            </w:r>
          </w:p>
        </w:tc>
        <w:tc>
          <w:tcPr>
            <w:tcW w:w="1893" w:type="dxa"/>
          </w:tcPr>
          <w:p>
            <w:pPr>
              <w:keepNext w:val="0"/>
              <w:keepLines w:val="0"/>
              <w:pageBreakBefore w:val="0"/>
              <w:kinsoku/>
              <w:wordWrap/>
              <w:overflowPunct/>
              <w:topLinePunct w:val="0"/>
              <w:bidi w:val="0"/>
              <w:snapToGrid/>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小于该尺寸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kinsoku/>
              <w:wordWrap/>
              <w:overflowPunct/>
              <w:topLinePunct w:val="0"/>
              <w:bidi w:val="0"/>
              <w:snapToGrid/>
              <w:spacing w:line="360" w:lineRule="auto"/>
              <w:ind w:firstLine="240" w:firstLineChars="1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2126" w:type="dxa"/>
          </w:tcPr>
          <w:p>
            <w:pPr>
              <w:keepNext w:val="0"/>
              <w:keepLines w:val="0"/>
              <w:pageBreakBefore w:val="0"/>
              <w:kinsoku/>
              <w:wordWrap/>
              <w:overflowPunct/>
              <w:topLinePunct w:val="0"/>
              <w:bidi w:val="0"/>
              <w:snapToGrid/>
              <w:spacing w:line="360" w:lineRule="auto"/>
              <w:ind w:firstLine="56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30KVA</w:t>
            </w:r>
          </w:p>
        </w:tc>
        <w:tc>
          <w:tcPr>
            <w:tcW w:w="3544" w:type="dxa"/>
          </w:tcPr>
          <w:p>
            <w:pPr>
              <w:keepNext w:val="0"/>
              <w:keepLines w:val="0"/>
              <w:pageBreakBefore w:val="0"/>
              <w:kinsoku/>
              <w:wordWrap/>
              <w:overflowPunct/>
              <w:topLinePunct w:val="0"/>
              <w:bidi w:val="0"/>
              <w:snapToGrid/>
              <w:spacing w:line="360" w:lineRule="auto"/>
              <w:ind w:firstLine="56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800*800*1800</w:t>
            </w:r>
          </w:p>
        </w:tc>
        <w:tc>
          <w:tcPr>
            <w:tcW w:w="1893" w:type="dxa"/>
          </w:tcPr>
          <w:p>
            <w:pPr>
              <w:keepNext w:val="0"/>
              <w:keepLines w:val="0"/>
              <w:pageBreakBefore w:val="0"/>
              <w:kinsoku/>
              <w:wordWrap/>
              <w:overflowPunct/>
              <w:topLinePunct w:val="0"/>
              <w:bidi w:val="0"/>
              <w:snapToGrid/>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小于该尺寸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kinsoku/>
              <w:wordWrap/>
              <w:overflowPunct/>
              <w:topLinePunct w:val="0"/>
              <w:bidi w:val="0"/>
              <w:snapToGrid/>
              <w:spacing w:line="360" w:lineRule="auto"/>
              <w:ind w:firstLine="240" w:firstLineChars="1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p>
        </w:tc>
        <w:tc>
          <w:tcPr>
            <w:tcW w:w="2126" w:type="dxa"/>
          </w:tcPr>
          <w:p>
            <w:pPr>
              <w:keepNext w:val="0"/>
              <w:keepLines w:val="0"/>
              <w:pageBreakBefore w:val="0"/>
              <w:kinsoku/>
              <w:wordWrap/>
              <w:overflowPunct/>
              <w:topLinePunct w:val="0"/>
              <w:bidi w:val="0"/>
              <w:snapToGrid/>
              <w:spacing w:line="360" w:lineRule="auto"/>
              <w:ind w:firstLine="56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40KVA</w:t>
            </w:r>
          </w:p>
        </w:tc>
        <w:tc>
          <w:tcPr>
            <w:tcW w:w="3544" w:type="dxa"/>
          </w:tcPr>
          <w:p>
            <w:pPr>
              <w:keepNext w:val="0"/>
              <w:keepLines w:val="0"/>
              <w:pageBreakBefore w:val="0"/>
              <w:kinsoku/>
              <w:wordWrap/>
              <w:overflowPunct/>
              <w:topLinePunct w:val="0"/>
              <w:bidi w:val="0"/>
              <w:snapToGrid/>
              <w:spacing w:line="360" w:lineRule="auto"/>
              <w:ind w:firstLine="56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800*800*1800</w:t>
            </w:r>
          </w:p>
        </w:tc>
        <w:tc>
          <w:tcPr>
            <w:tcW w:w="1893" w:type="dxa"/>
          </w:tcPr>
          <w:p>
            <w:pPr>
              <w:keepNext w:val="0"/>
              <w:keepLines w:val="0"/>
              <w:pageBreakBefore w:val="0"/>
              <w:kinsoku/>
              <w:wordWrap/>
              <w:overflowPunct/>
              <w:topLinePunct w:val="0"/>
              <w:bidi w:val="0"/>
              <w:snapToGrid/>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小于该尺寸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kinsoku/>
              <w:wordWrap/>
              <w:overflowPunct/>
              <w:topLinePunct w:val="0"/>
              <w:bidi w:val="0"/>
              <w:snapToGrid/>
              <w:spacing w:line="360" w:lineRule="auto"/>
              <w:ind w:firstLine="240" w:firstLineChars="1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w:t>
            </w:r>
          </w:p>
        </w:tc>
        <w:tc>
          <w:tcPr>
            <w:tcW w:w="2126" w:type="dxa"/>
          </w:tcPr>
          <w:p>
            <w:pPr>
              <w:keepNext w:val="0"/>
              <w:keepLines w:val="0"/>
              <w:pageBreakBefore w:val="0"/>
              <w:kinsoku/>
              <w:wordWrap/>
              <w:overflowPunct/>
              <w:topLinePunct w:val="0"/>
              <w:bidi w:val="0"/>
              <w:snapToGrid/>
              <w:spacing w:line="360" w:lineRule="auto"/>
              <w:ind w:firstLine="56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50KVA</w:t>
            </w:r>
          </w:p>
        </w:tc>
        <w:tc>
          <w:tcPr>
            <w:tcW w:w="3544" w:type="dxa"/>
          </w:tcPr>
          <w:p>
            <w:pPr>
              <w:keepNext w:val="0"/>
              <w:keepLines w:val="0"/>
              <w:pageBreakBefore w:val="0"/>
              <w:kinsoku/>
              <w:wordWrap/>
              <w:overflowPunct/>
              <w:topLinePunct w:val="0"/>
              <w:bidi w:val="0"/>
              <w:snapToGrid/>
              <w:spacing w:line="360" w:lineRule="auto"/>
              <w:ind w:firstLine="56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1100*800*1800</w:t>
            </w:r>
          </w:p>
        </w:tc>
        <w:tc>
          <w:tcPr>
            <w:tcW w:w="1893" w:type="dxa"/>
          </w:tcPr>
          <w:p>
            <w:pPr>
              <w:keepNext w:val="0"/>
              <w:keepLines w:val="0"/>
              <w:pageBreakBefore w:val="0"/>
              <w:kinsoku/>
              <w:wordWrap/>
              <w:overflowPunct/>
              <w:topLinePunct w:val="0"/>
              <w:bidi w:val="0"/>
              <w:snapToGrid/>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小于该尺寸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kinsoku/>
              <w:wordWrap/>
              <w:overflowPunct/>
              <w:topLinePunct w:val="0"/>
              <w:bidi w:val="0"/>
              <w:snapToGrid/>
              <w:spacing w:line="360" w:lineRule="auto"/>
              <w:ind w:firstLine="240" w:firstLineChars="1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c>
          <w:tcPr>
            <w:tcW w:w="2126" w:type="dxa"/>
          </w:tcPr>
          <w:p>
            <w:pPr>
              <w:keepNext w:val="0"/>
              <w:keepLines w:val="0"/>
              <w:pageBreakBefore w:val="0"/>
              <w:kinsoku/>
              <w:wordWrap/>
              <w:overflowPunct/>
              <w:topLinePunct w:val="0"/>
              <w:bidi w:val="0"/>
              <w:snapToGrid/>
              <w:spacing w:line="360" w:lineRule="auto"/>
              <w:ind w:firstLine="56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60KVA</w:t>
            </w:r>
          </w:p>
        </w:tc>
        <w:tc>
          <w:tcPr>
            <w:tcW w:w="3544" w:type="dxa"/>
          </w:tcPr>
          <w:p>
            <w:pPr>
              <w:keepNext w:val="0"/>
              <w:keepLines w:val="0"/>
              <w:pageBreakBefore w:val="0"/>
              <w:kinsoku/>
              <w:wordWrap/>
              <w:overflowPunct/>
              <w:topLinePunct w:val="0"/>
              <w:bidi w:val="0"/>
              <w:snapToGrid/>
              <w:spacing w:line="360" w:lineRule="auto"/>
              <w:ind w:firstLine="56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1100*800*1800</w:t>
            </w:r>
          </w:p>
        </w:tc>
        <w:tc>
          <w:tcPr>
            <w:tcW w:w="1893" w:type="dxa"/>
          </w:tcPr>
          <w:p>
            <w:pPr>
              <w:keepNext w:val="0"/>
              <w:keepLines w:val="0"/>
              <w:pageBreakBefore w:val="0"/>
              <w:kinsoku/>
              <w:wordWrap/>
              <w:overflowPunct/>
              <w:topLinePunct w:val="0"/>
              <w:bidi w:val="0"/>
              <w:snapToGrid/>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小于该尺寸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kinsoku/>
              <w:wordWrap/>
              <w:overflowPunct/>
              <w:topLinePunct w:val="0"/>
              <w:bidi w:val="0"/>
              <w:snapToGrid/>
              <w:spacing w:line="360" w:lineRule="auto"/>
              <w:ind w:firstLine="240" w:firstLineChars="1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w:t>
            </w:r>
          </w:p>
        </w:tc>
        <w:tc>
          <w:tcPr>
            <w:tcW w:w="2126" w:type="dxa"/>
          </w:tcPr>
          <w:p>
            <w:pPr>
              <w:keepNext w:val="0"/>
              <w:keepLines w:val="0"/>
              <w:pageBreakBefore w:val="0"/>
              <w:kinsoku/>
              <w:wordWrap/>
              <w:overflowPunct/>
              <w:topLinePunct w:val="0"/>
              <w:bidi w:val="0"/>
              <w:snapToGrid/>
              <w:spacing w:line="360" w:lineRule="auto"/>
              <w:ind w:firstLine="56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80KVA</w:t>
            </w:r>
          </w:p>
        </w:tc>
        <w:tc>
          <w:tcPr>
            <w:tcW w:w="3544" w:type="dxa"/>
          </w:tcPr>
          <w:p>
            <w:pPr>
              <w:keepNext w:val="0"/>
              <w:keepLines w:val="0"/>
              <w:pageBreakBefore w:val="0"/>
              <w:kinsoku/>
              <w:wordWrap/>
              <w:overflowPunct/>
              <w:topLinePunct w:val="0"/>
              <w:bidi w:val="0"/>
              <w:snapToGrid/>
              <w:spacing w:line="360" w:lineRule="auto"/>
              <w:ind w:firstLine="56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1100*800*1800</w:t>
            </w:r>
          </w:p>
        </w:tc>
        <w:tc>
          <w:tcPr>
            <w:tcW w:w="1893" w:type="dxa"/>
          </w:tcPr>
          <w:p>
            <w:pPr>
              <w:keepNext w:val="0"/>
              <w:keepLines w:val="0"/>
              <w:pageBreakBefore w:val="0"/>
              <w:kinsoku/>
              <w:wordWrap/>
              <w:overflowPunct/>
              <w:topLinePunct w:val="0"/>
              <w:bidi w:val="0"/>
              <w:snapToGrid/>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小于该尺寸</w:t>
            </w:r>
          </w:p>
        </w:tc>
      </w:tr>
    </w:tbl>
    <w:p>
      <w:pPr>
        <w:keepNext w:val="0"/>
        <w:keepLines w:val="0"/>
        <w:pageBreakBefore w:val="0"/>
        <w:kinsoku/>
        <w:wordWrap/>
        <w:overflowPunct/>
        <w:topLinePunct w:val="0"/>
        <w:bidi w:val="0"/>
        <w:snapToGrid/>
        <w:spacing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5．现场服务</w:t>
      </w:r>
    </w:p>
    <w:p>
      <w:pPr>
        <w:keepNext w:val="0"/>
        <w:keepLines w:val="0"/>
        <w:pageBreakBefore w:val="0"/>
        <w:kinsoku/>
        <w:wordWrap/>
        <w:overflowPunct/>
        <w:topLinePunct w:val="0"/>
        <w:bidi w:val="0"/>
        <w:snapToGrid/>
        <w:spacing w:line="360" w:lineRule="auto"/>
        <w:ind w:firstLine="475" w:firstLineChars="198"/>
        <w:rPr>
          <w:rFonts w:asciiTheme="majorEastAsia" w:hAnsiTheme="majorEastAsia" w:eastAsiaTheme="majorEastAsia"/>
          <w:sz w:val="24"/>
          <w:szCs w:val="24"/>
        </w:rPr>
      </w:pPr>
      <w:r>
        <w:rPr>
          <w:rFonts w:hint="eastAsia" w:asciiTheme="majorEastAsia" w:hAnsiTheme="majorEastAsia" w:eastAsiaTheme="majorEastAsia"/>
          <w:sz w:val="24"/>
          <w:szCs w:val="24"/>
        </w:rPr>
        <w:t>5.1</w:t>
      </w:r>
      <w:r>
        <w:rPr>
          <w:rFonts w:hint="eastAsia" w:asciiTheme="minorEastAsia" w:hAnsiTheme="minorEastAsia"/>
          <w:sz w:val="24"/>
          <w:szCs w:val="24"/>
        </w:rPr>
        <w:t>乙</w:t>
      </w:r>
      <w:r>
        <w:rPr>
          <w:rFonts w:hint="eastAsia" w:asciiTheme="majorEastAsia" w:hAnsiTheme="majorEastAsia" w:eastAsiaTheme="majorEastAsia"/>
          <w:sz w:val="24"/>
          <w:szCs w:val="24"/>
        </w:rPr>
        <w:t>方负责更换前的方案制定工作；技术人员到厂指导安装，负责现场测试并投运；提供相关产品图纸的、测试报告的提供和维护方法的提供。</w:t>
      </w:r>
    </w:p>
    <w:p>
      <w:pPr>
        <w:keepNext w:val="0"/>
        <w:keepLines w:val="0"/>
        <w:pageBreakBefore w:val="0"/>
        <w:kinsoku/>
        <w:wordWrap/>
        <w:overflowPunct/>
        <w:topLinePunct w:val="0"/>
        <w:bidi w:val="0"/>
        <w:snapToGrid/>
        <w:spacing w:line="360" w:lineRule="auto"/>
        <w:ind w:firstLine="475" w:firstLineChars="198"/>
        <w:rPr>
          <w:rFonts w:asciiTheme="majorEastAsia" w:hAnsiTheme="majorEastAsia" w:eastAsiaTheme="majorEastAsia"/>
          <w:sz w:val="24"/>
          <w:szCs w:val="24"/>
        </w:rPr>
      </w:pPr>
      <w:r>
        <w:rPr>
          <w:rFonts w:hint="eastAsia" w:asciiTheme="majorEastAsia" w:hAnsiTheme="majorEastAsia" w:eastAsiaTheme="majorEastAsia"/>
          <w:sz w:val="24"/>
          <w:szCs w:val="24"/>
        </w:rPr>
        <w:t>5.2甲方负责组织改造方案可行性的审定；原产品运行的相关技术资料的提供；负责现场施工，配合厂家测试并投运。</w:t>
      </w:r>
    </w:p>
    <w:p>
      <w:pPr>
        <w:keepNext w:val="0"/>
        <w:keepLines w:val="0"/>
        <w:pageBreakBefore w:val="0"/>
        <w:kinsoku/>
        <w:wordWrap/>
        <w:overflowPunct/>
        <w:topLinePunct w:val="0"/>
        <w:bidi w:val="0"/>
        <w:snapToGrid/>
        <w:spacing w:line="360" w:lineRule="auto"/>
        <w:ind w:firstLine="475" w:firstLineChars="198"/>
        <w:rPr>
          <w:rFonts w:asciiTheme="majorEastAsia" w:hAnsiTheme="majorEastAsia" w:eastAsiaTheme="majorEastAsia"/>
          <w:sz w:val="24"/>
          <w:szCs w:val="24"/>
        </w:rPr>
      </w:pPr>
      <w:r>
        <w:rPr>
          <w:rFonts w:hint="eastAsia" w:asciiTheme="majorEastAsia" w:hAnsiTheme="majorEastAsia" w:eastAsiaTheme="majorEastAsia"/>
          <w:sz w:val="24"/>
          <w:szCs w:val="24"/>
        </w:rPr>
        <w:t>5.3 UPS主机质量保证期限为投入运行后2年或自设备交付之日起30个月，在保修期内，提供主机的免费维修（含元器</w:t>
      </w:r>
      <w:r>
        <w:rPr>
          <w:rFonts w:asciiTheme="majorEastAsia" w:hAnsiTheme="majorEastAsia" w:eastAsiaTheme="majorEastAsia"/>
          <w:sz w:val="24"/>
          <w:szCs w:val="24"/>
        </w:rPr>
        <w:t>件）</w:t>
      </w:r>
      <w:r>
        <w:rPr>
          <w:rFonts w:hint="eastAsia" w:asciiTheme="majorEastAsia" w:hAnsiTheme="majorEastAsia" w:eastAsiaTheme="majorEastAsia"/>
          <w:sz w:val="24"/>
          <w:szCs w:val="24"/>
        </w:rPr>
        <w:t>，保修期内一次免费例行巡检。保修期后，双方可根据可选择的维修合同处理相关技术服务及费用事宜，</w:t>
      </w:r>
      <w:r>
        <w:rPr>
          <w:rFonts w:hint="eastAsia"/>
          <w:sz w:val="24"/>
          <w:szCs w:val="24"/>
        </w:rPr>
        <w:t>保证以合理的价格长期提供备品备件。</w:t>
      </w:r>
    </w:p>
    <w:p>
      <w:pPr>
        <w:keepNext w:val="0"/>
        <w:keepLines w:val="0"/>
        <w:pageBreakBefore w:val="0"/>
        <w:kinsoku/>
        <w:wordWrap/>
        <w:overflowPunct/>
        <w:topLinePunct w:val="0"/>
        <w:bidi w:val="0"/>
        <w:snapToGrid/>
        <w:spacing w:line="360" w:lineRule="auto"/>
        <w:ind w:firstLine="475" w:firstLineChars="198"/>
        <w:rPr>
          <w:sz w:val="24"/>
          <w:szCs w:val="24"/>
        </w:rPr>
      </w:pPr>
      <w:r>
        <w:rPr>
          <w:rFonts w:hint="eastAsia" w:asciiTheme="majorEastAsia" w:hAnsiTheme="majorEastAsia" w:eastAsiaTheme="majorEastAsia"/>
          <w:sz w:val="24"/>
          <w:szCs w:val="24"/>
        </w:rPr>
        <w:t>5.4</w:t>
      </w:r>
      <w:r>
        <w:rPr>
          <w:rFonts w:hint="eastAsia"/>
          <w:sz w:val="24"/>
          <w:szCs w:val="24"/>
        </w:rPr>
        <w:t>接到产品故障通知后</w:t>
      </w:r>
      <w:r>
        <w:rPr>
          <w:sz w:val="24"/>
          <w:szCs w:val="24"/>
        </w:rPr>
        <w:t>12</w:t>
      </w:r>
      <w:r>
        <w:rPr>
          <w:rFonts w:hint="eastAsia"/>
          <w:sz w:val="24"/>
          <w:szCs w:val="24"/>
        </w:rPr>
        <w:t>小时内提供解决方案，如甲方提出需要应能在</w:t>
      </w:r>
      <w:r>
        <w:rPr>
          <w:sz w:val="24"/>
          <w:szCs w:val="24"/>
        </w:rPr>
        <w:t>24</w:t>
      </w:r>
      <w:r>
        <w:rPr>
          <w:rFonts w:hint="eastAsia"/>
          <w:sz w:val="24"/>
          <w:szCs w:val="24"/>
        </w:rPr>
        <w:t>小时内赶到现场。</w:t>
      </w:r>
    </w:p>
    <w:p>
      <w:pPr>
        <w:keepNext w:val="0"/>
        <w:keepLines w:val="0"/>
        <w:pageBreakBefore w:val="0"/>
        <w:widowControl/>
        <w:kinsoku/>
        <w:wordWrap/>
        <w:overflowPunct/>
        <w:topLinePunct w:val="0"/>
        <w:bidi w:val="0"/>
        <w:snapToGrid/>
        <w:spacing w:line="360" w:lineRule="auto"/>
        <w:ind w:firstLine="360" w:firstLineChars="150"/>
        <w:rPr>
          <w:sz w:val="24"/>
          <w:szCs w:val="24"/>
        </w:rPr>
      </w:pPr>
      <w:r>
        <w:rPr>
          <w:rFonts w:hint="eastAsia" w:asciiTheme="majorEastAsia" w:hAnsiTheme="majorEastAsia" w:eastAsiaTheme="majorEastAsia"/>
          <w:sz w:val="24"/>
          <w:szCs w:val="24"/>
        </w:rPr>
        <w:t>5.5</w:t>
      </w:r>
      <w:r>
        <w:rPr>
          <w:rFonts w:hint="eastAsia" w:asciiTheme="minorEastAsia" w:hAnsiTheme="minorEastAsia"/>
          <w:sz w:val="24"/>
          <w:szCs w:val="24"/>
        </w:rPr>
        <w:t>乙</w:t>
      </w:r>
      <w:r>
        <w:rPr>
          <w:rFonts w:hint="eastAsia"/>
          <w:sz w:val="24"/>
          <w:szCs w:val="24"/>
        </w:rPr>
        <w:t>方负责免费对用户相关电气人员进行原理性讲解和操作培</w:t>
      </w:r>
      <w:r>
        <w:rPr>
          <w:sz w:val="24"/>
          <w:szCs w:val="24"/>
        </w:rPr>
        <w:br w:type="page"/>
      </w:r>
    </w:p>
    <w:p>
      <w:pPr>
        <w:keepNext w:val="0"/>
        <w:keepLines w:val="0"/>
        <w:pageBreakBefore w:val="0"/>
        <w:kinsoku/>
        <w:wordWrap/>
        <w:overflowPunct/>
        <w:topLinePunct w:val="0"/>
        <w:bidi w:val="0"/>
        <w:snapToGrid/>
        <w:spacing w:line="360" w:lineRule="auto"/>
        <w:ind w:firstLine="475" w:firstLineChars="198"/>
        <w:rPr>
          <w:sz w:val="24"/>
          <w:szCs w:val="24"/>
        </w:rPr>
      </w:pPr>
      <w:r>
        <w:rPr>
          <w:rFonts w:hint="eastAsia"/>
          <w:sz w:val="24"/>
          <w:szCs w:val="24"/>
        </w:rPr>
        <w:t>训，培训不得少于</w:t>
      </w:r>
      <w:r>
        <w:rPr>
          <w:sz w:val="24"/>
          <w:szCs w:val="24"/>
        </w:rPr>
        <w:t>2</w:t>
      </w:r>
      <w:r>
        <w:rPr>
          <w:rFonts w:hint="eastAsia"/>
          <w:sz w:val="24"/>
          <w:szCs w:val="24"/>
        </w:rPr>
        <w:t>批次，每批次不少于10人次。</w:t>
      </w:r>
    </w:p>
    <w:p>
      <w:pPr>
        <w:keepNext w:val="0"/>
        <w:keepLines w:val="0"/>
        <w:pageBreakBefore w:val="0"/>
        <w:kinsoku/>
        <w:wordWrap/>
        <w:overflowPunct/>
        <w:topLinePunct w:val="0"/>
        <w:bidi w:val="0"/>
        <w:snapToGrid/>
        <w:spacing w:line="360" w:lineRule="auto"/>
        <w:rPr>
          <w:rFonts w:ascii="仿宋_GB2312" w:hAnsi="宋体" w:eastAsia="仿宋_GB2312" w:cs="宋体"/>
          <w:color w:val="000000"/>
          <w:kern w:val="0"/>
          <w:sz w:val="24"/>
          <w:szCs w:val="24"/>
        </w:rPr>
      </w:pPr>
      <w:r>
        <w:rPr>
          <w:rFonts w:hint="eastAsia" w:asciiTheme="majorEastAsia" w:hAnsiTheme="majorEastAsia" w:eastAsiaTheme="majorEastAsia"/>
          <w:b/>
          <w:sz w:val="24"/>
          <w:szCs w:val="24"/>
        </w:rPr>
        <w:t>6．主机关键器件材料明细</w:t>
      </w:r>
    </w:p>
    <w:tbl>
      <w:tblPr>
        <w:tblStyle w:val="47"/>
        <w:tblpPr w:leftFromText="180" w:rightFromText="180" w:vertAnchor="text" w:horzAnchor="margin" w:tblpXSpec="center" w:tblpY="282"/>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35"/>
        <w:gridCol w:w="1985"/>
        <w:gridCol w:w="70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993"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序号</w:t>
            </w:r>
          </w:p>
        </w:tc>
        <w:tc>
          <w:tcPr>
            <w:tcW w:w="2835"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名称</w:t>
            </w:r>
          </w:p>
        </w:tc>
        <w:tc>
          <w:tcPr>
            <w:tcW w:w="1985"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型号</w:t>
            </w:r>
          </w:p>
        </w:tc>
        <w:tc>
          <w:tcPr>
            <w:tcW w:w="708"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数量</w:t>
            </w:r>
          </w:p>
        </w:tc>
        <w:tc>
          <w:tcPr>
            <w:tcW w:w="2127"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93"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2835"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cs="宋体" w:asciiTheme="minorEastAsia" w:hAnsiTheme="minorEastAsia"/>
                <w:color w:val="000000"/>
                <w:kern w:val="0"/>
                <w:sz w:val="24"/>
                <w:szCs w:val="24"/>
              </w:rPr>
              <w:t>静态</w:t>
            </w:r>
            <w:r>
              <w:rPr>
                <w:rFonts w:hint="eastAsia" w:cs="宋体" w:asciiTheme="minorEastAsia" w:hAnsiTheme="minorEastAsia"/>
                <w:color w:val="000000"/>
                <w:kern w:val="0"/>
                <w:sz w:val="24"/>
                <w:szCs w:val="24"/>
              </w:rPr>
              <w:t>切换</w:t>
            </w:r>
            <w:r>
              <w:rPr>
                <w:rFonts w:cs="宋体" w:asciiTheme="minorEastAsia" w:hAnsiTheme="minorEastAsia"/>
                <w:color w:val="000000"/>
                <w:kern w:val="0"/>
                <w:sz w:val="24"/>
                <w:szCs w:val="24"/>
              </w:rPr>
              <w:t>开关</w:t>
            </w:r>
          </w:p>
        </w:tc>
        <w:tc>
          <w:tcPr>
            <w:tcW w:w="1985"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w:t>
            </w:r>
          </w:p>
        </w:tc>
        <w:tc>
          <w:tcPr>
            <w:tcW w:w="708"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2127"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93"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2835" w:type="dxa"/>
            <w:vAlign w:val="center"/>
          </w:tcPr>
          <w:p>
            <w:pPr>
              <w:keepNext w:val="0"/>
              <w:keepLines w:val="0"/>
              <w:pageBreakBefore w:val="0"/>
              <w:kinsoku/>
              <w:wordWrap/>
              <w:overflowPunct/>
              <w:topLinePunct w:val="0"/>
              <w:bidi w:val="0"/>
              <w:snapToGrid/>
              <w:spacing w:line="360" w:lineRule="auto"/>
              <w:ind w:firstLine="720" w:firstLineChars="300"/>
              <w:rPr>
                <w:rFonts w:cs="宋体" w:asciiTheme="minorEastAsia" w:hAnsiTheme="minorEastAsia"/>
                <w:color w:val="000000"/>
                <w:kern w:val="0"/>
                <w:sz w:val="24"/>
                <w:szCs w:val="24"/>
              </w:rPr>
            </w:pPr>
            <w:r>
              <w:rPr>
                <w:rFonts w:cs="宋体" w:asciiTheme="minorEastAsia" w:hAnsiTheme="minorEastAsia"/>
                <w:color w:val="000000"/>
                <w:kern w:val="0"/>
                <w:sz w:val="24"/>
                <w:szCs w:val="24"/>
              </w:rPr>
              <w:t>逆变器</w:t>
            </w:r>
          </w:p>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p>
        </w:tc>
        <w:tc>
          <w:tcPr>
            <w:tcW w:w="1985"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w:t>
            </w:r>
          </w:p>
        </w:tc>
        <w:tc>
          <w:tcPr>
            <w:tcW w:w="708"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2127"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93"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2835"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cs="宋体" w:asciiTheme="minorEastAsia" w:hAnsiTheme="minorEastAsia"/>
                <w:color w:val="000000"/>
                <w:kern w:val="0"/>
                <w:sz w:val="24"/>
                <w:szCs w:val="24"/>
              </w:rPr>
              <w:t>整流器</w:t>
            </w:r>
          </w:p>
        </w:tc>
        <w:tc>
          <w:tcPr>
            <w:tcW w:w="1985"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w:t>
            </w:r>
          </w:p>
        </w:tc>
        <w:tc>
          <w:tcPr>
            <w:tcW w:w="708"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2127"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993"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p>
        </w:tc>
        <w:tc>
          <w:tcPr>
            <w:tcW w:w="2835"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cs="宋体" w:asciiTheme="minorEastAsia" w:hAnsiTheme="minorEastAsia"/>
                <w:color w:val="000000"/>
                <w:kern w:val="0"/>
                <w:sz w:val="24"/>
                <w:szCs w:val="24"/>
              </w:rPr>
              <w:t>整流器输入隔离变压器</w:t>
            </w:r>
          </w:p>
        </w:tc>
        <w:tc>
          <w:tcPr>
            <w:tcW w:w="1985"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w:t>
            </w:r>
          </w:p>
        </w:tc>
        <w:tc>
          <w:tcPr>
            <w:tcW w:w="708"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2127"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93"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w:t>
            </w:r>
          </w:p>
        </w:tc>
        <w:tc>
          <w:tcPr>
            <w:tcW w:w="2835"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cs="宋体" w:asciiTheme="minorEastAsia" w:hAnsiTheme="minorEastAsia"/>
                <w:color w:val="000000"/>
                <w:kern w:val="0"/>
                <w:sz w:val="24"/>
                <w:szCs w:val="24"/>
              </w:rPr>
              <w:t>主机输出隔离变压器</w:t>
            </w:r>
          </w:p>
        </w:tc>
        <w:tc>
          <w:tcPr>
            <w:tcW w:w="1985"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w:t>
            </w:r>
          </w:p>
        </w:tc>
        <w:tc>
          <w:tcPr>
            <w:tcW w:w="708"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2127"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p>
        </w:tc>
      </w:tr>
    </w:tbl>
    <w:p>
      <w:pPr>
        <w:keepNext w:val="0"/>
        <w:keepLines w:val="0"/>
        <w:pageBreakBefore w:val="0"/>
        <w:kinsoku/>
        <w:wordWrap/>
        <w:overflowPunct/>
        <w:topLinePunct w:val="0"/>
        <w:bidi w:val="0"/>
        <w:snapToGrid/>
        <w:spacing w:line="360" w:lineRule="auto"/>
        <w:rPr>
          <w:rFonts w:asciiTheme="majorEastAsia" w:hAnsiTheme="majorEastAsia" w:eastAsiaTheme="majorEastAsia"/>
          <w:b/>
          <w:sz w:val="24"/>
          <w:szCs w:val="24"/>
        </w:rPr>
      </w:pPr>
      <w:r>
        <w:rPr>
          <w:rFonts w:asciiTheme="majorEastAsia" w:hAnsiTheme="majorEastAsia" w:eastAsiaTheme="majorEastAsia"/>
          <w:b/>
          <w:sz w:val="24"/>
          <w:szCs w:val="24"/>
        </w:rPr>
        <w:t>7</w:t>
      </w:r>
      <w:r>
        <w:rPr>
          <w:rFonts w:hint="eastAsia" w:asciiTheme="majorEastAsia" w:hAnsiTheme="majorEastAsia" w:eastAsiaTheme="majorEastAsia"/>
          <w:b/>
          <w:sz w:val="24"/>
          <w:szCs w:val="24"/>
        </w:rPr>
        <w:t>．工程验收</w:t>
      </w:r>
    </w:p>
    <w:p>
      <w:pPr>
        <w:keepNext w:val="0"/>
        <w:keepLines w:val="0"/>
        <w:pageBreakBefore w:val="0"/>
        <w:kinsoku/>
        <w:wordWrap/>
        <w:overflowPunct/>
        <w:topLinePunct w:val="0"/>
        <w:bidi w:val="0"/>
        <w:snapToGrid/>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由甲、</w:t>
      </w:r>
      <w:r>
        <w:rPr>
          <w:rFonts w:hint="eastAsia" w:asciiTheme="minorEastAsia" w:hAnsiTheme="minorEastAsia"/>
          <w:sz w:val="24"/>
          <w:szCs w:val="24"/>
        </w:rPr>
        <w:t>乙</w:t>
      </w:r>
      <w:r>
        <w:rPr>
          <w:rFonts w:hint="eastAsia" w:asciiTheme="majorEastAsia" w:hAnsiTheme="majorEastAsia" w:eastAsiaTheme="majorEastAsia"/>
          <w:sz w:val="24"/>
          <w:szCs w:val="24"/>
        </w:rPr>
        <w:t>双方共同组成验收小组，以本合同和各清单的有效附件、本次项目的招投标文件及会议纪要、国家有关行业标准与技术规范为依据进行验收。</w:t>
      </w:r>
    </w:p>
    <w:p>
      <w:pPr>
        <w:keepNext w:val="0"/>
        <w:keepLines w:val="0"/>
        <w:pageBreakBefore w:val="0"/>
        <w:kinsoku/>
        <w:wordWrap/>
        <w:overflowPunct/>
        <w:topLinePunct w:val="0"/>
        <w:bidi w:val="0"/>
        <w:snapToGrid/>
        <w:spacing w:line="360" w:lineRule="auto"/>
        <w:rPr>
          <w:rFonts w:asciiTheme="majorEastAsia" w:hAnsiTheme="majorEastAsia" w:eastAsiaTheme="majorEastAsia"/>
          <w:b/>
          <w:sz w:val="24"/>
          <w:szCs w:val="24"/>
        </w:rPr>
      </w:pPr>
      <w:r>
        <w:rPr>
          <w:rFonts w:asciiTheme="majorEastAsia" w:hAnsiTheme="majorEastAsia" w:eastAsiaTheme="majorEastAsia"/>
          <w:b/>
          <w:sz w:val="24"/>
          <w:szCs w:val="24"/>
        </w:rPr>
        <w:t>8</w:t>
      </w:r>
      <w:r>
        <w:rPr>
          <w:rFonts w:hint="eastAsia" w:asciiTheme="majorEastAsia" w:hAnsiTheme="majorEastAsia" w:eastAsiaTheme="majorEastAsia"/>
          <w:b/>
          <w:sz w:val="24"/>
          <w:szCs w:val="24"/>
        </w:rPr>
        <w:t>．资料提供</w:t>
      </w:r>
    </w:p>
    <w:tbl>
      <w:tblPr>
        <w:tblStyle w:val="47"/>
        <w:tblpPr w:leftFromText="180" w:rightFromText="180" w:vertAnchor="text" w:horzAnchor="margin" w:tblpXSpec="center" w:tblpY="28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104"/>
        <w:gridCol w:w="1096"/>
        <w:gridCol w:w="1183"/>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925"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序号</w:t>
            </w:r>
          </w:p>
        </w:tc>
        <w:tc>
          <w:tcPr>
            <w:tcW w:w="2104"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名称</w:t>
            </w:r>
          </w:p>
        </w:tc>
        <w:tc>
          <w:tcPr>
            <w:tcW w:w="1096"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型号</w:t>
            </w:r>
          </w:p>
        </w:tc>
        <w:tc>
          <w:tcPr>
            <w:tcW w:w="1183"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数量</w:t>
            </w:r>
          </w:p>
        </w:tc>
        <w:tc>
          <w:tcPr>
            <w:tcW w:w="3305"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925" w:type="dxa"/>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2104" w:type="dxa"/>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产品合格证明</w:t>
            </w:r>
          </w:p>
        </w:tc>
        <w:tc>
          <w:tcPr>
            <w:tcW w:w="1096" w:type="dxa"/>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w:t>
            </w:r>
          </w:p>
        </w:tc>
        <w:tc>
          <w:tcPr>
            <w:tcW w:w="1183" w:type="dxa"/>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1套</w:t>
            </w:r>
          </w:p>
        </w:tc>
        <w:tc>
          <w:tcPr>
            <w:tcW w:w="3305" w:type="dxa"/>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纸质版和电子版各1套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925" w:type="dxa"/>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2104" w:type="dxa"/>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sz w:val="24"/>
                <w:szCs w:val="24"/>
              </w:rPr>
              <w:t>现场测试报告</w:t>
            </w:r>
          </w:p>
        </w:tc>
        <w:tc>
          <w:tcPr>
            <w:tcW w:w="1096" w:type="dxa"/>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w:t>
            </w:r>
          </w:p>
        </w:tc>
        <w:tc>
          <w:tcPr>
            <w:tcW w:w="1183" w:type="dxa"/>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1份</w:t>
            </w:r>
          </w:p>
        </w:tc>
        <w:tc>
          <w:tcPr>
            <w:tcW w:w="3305" w:type="dxa"/>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纸质版和电子版各1套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925" w:type="dxa"/>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2104" w:type="dxa"/>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产品图纸</w:t>
            </w:r>
          </w:p>
        </w:tc>
        <w:tc>
          <w:tcPr>
            <w:tcW w:w="1096" w:type="dxa"/>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w:t>
            </w:r>
          </w:p>
        </w:tc>
        <w:tc>
          <w:tcPr>
            <w:tcW w:w="1183" w:type="dxa"/>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1套</w:t>
            </w:r>
          </w:p>
        </w:tc>
        <w:tc>
          <w:tcPr>
            <w:tcW w:w="3305" w:type="dxa"/>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纸质版和电子版各1套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925" w:type="dxa"/>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p>
        </w:tc>
        <w:tc>
          <w:tcPr>
            <w:tcW w:w="2104" w:type="dxa"/>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产品使用手册</w:t>
            </w:r>
          </w:p>
        </w:tc>
        <w:tc>
          <w:tcPr>
            <w:tcW w:w="1096" w:type="dxa"/>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w:t>
            </w:r>
          </w:p>
        </w:tc>
        <w:tc>
          <w:tcPr>
            <w:tcW w:w="1183" w:type="dxa"/>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1份</w:t>
            </w:r>
          </w:p>
        </w:tc>
        <w:tc>
          <w:tcPr>
            <w:tcW w:w="3305" w:type="dxa"/>
          </w:tcPr>
          <w:p>
            <w:pPr>
              <w:keepNext w:val="0"/>
              <w:keepLines w:val="0"/>
              <w:pageBreakBefore w:val="0"/>
              <w:kinsoku/>
              <w:wordWrap/>
              <w:overflowPunct/>
              <w:topLinePunct w:val="0"/>
              <w:bidi w:val="0"/>
              <w:snapToGrid/>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纸质版和电子版各1套</w:t>
            </w:r>
          </w:p>
        </w:tc>
      </w:tr>
    </w:tbl>
    <w:p>
      <w:pPr>
        <w:keepNext w:val="0"/>
        <w:keepLines w:val="0"/>
        <w:pageBreakBefore w:val="0"/>
        <w:kinsoku/>
        <w:wordWrap/>
        <w:overflowPunct/>
        <w:topLinePunct w:val="0"/>
        <w:bidi w:val="0"/>
        <w:snapToGrid/>
        <w:spacing w:line="360" w:lineRule="auto"/>
        <w:rPr>
          <w:rFonts w:asciiTheme="majorEastAsia" w:hAnsiTheme="majorEastAsia" w:eastAsiaTheme="majorEastAsia"/>
          <w:b/>
          <w:sz w:val="24"/>
          <w:szCs w:val="24"/>
        </w:rPr>
      </w:pPr>
      <w:r>
        <w:rPr>
          <w:rFonts w:asciiTheme="majorEastAsia" w:hAnsiTheme="majorEastAsia" w:eastAsiaTheme="majorEastAsia"/>
          <w:b/>
          <w:sz w:val="24"/>
          <w:szCs w:val="24"/>
        </w:rPr>
        <w:t xml:space="preserve">9. </w:t>
      </w:r>
      <w:r>
        <w:rPr>
          <w:rFonts w:hint="eastAsia" w:asciiTheme="majorEastAsia" w:hAnsiTheme="majorEastAsia" w:eastAsiaTheme="majorEastAsia"/>
          <w:b/>
          <w:sz w:val="24"/>
          <w:szCs w:val="24"/>
        </w:rPr>
        <w:t>随机</w:t>
      </w:r>
      <w:r>
        <w:rPr>
          <w:rFonts w:asciiTheme="majorEastAsia" w:hAnsiTheme="majorEastAsia" w:eastAsiaTheme="majorEastAsia"/>
          <w:b/>
          <w:sz w:val="24"/>
          <w:szCs w:val="24"/>
        </w:rPr>
        <w:t>备品备件</w:t>
      </w:r>
      <w:r>
        <w:rPr>
          <w:rFonts w:hint="eastAsia" w:asciiTheme="majorEastAsia" w:hAnsiTheme="majorEastAsia" w:eastAsiaTheme="majorEastAsia"/>
          <w:b/>
          <w:sz w:val="24"/>
          <w:szCs w:val="24"/>
        </w:rPr>
        <w:t>（10-80KVA每个规格配以下一套备件）</w:t>
      </w:r>
    </w:p>
    <w:tbl>
      <w:tblPr>
        <w:tblStyle w:val="47"/>
        <w:tblpPr w:leftFromText="180" w:rightFromText="180" w:vertAnchor="text" w:horzAnchor="margin" w:tblpX="-68" w:tblpY="302"/>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701"/>
        <w:gridCol w:w="1134"/>
        <w:gridCol w:w="1276"/>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885"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序号</w:t>
            </w:r>
          </w:p>
        </w:tc>
        <w:tc>
          <w:tcPr>
            <w:tcW w:w="1701"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名称</w:t>
            </w:r>
          </w:p>
        </w:tc>
        <w:tc>
          <w:tcPr>
            <w:tcW w:w="1134"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型号</w:t>
            </w:r>
          </w:p>
        </w:tc>
        <w:tc>
          <w:tcPr>
            <w:tcW w:w="1276"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数量</w:t>
            </w:r>
          </w:p>
        </w:tc>
        <w:tc>
          <w:tcPr>
            <w:tcW w:w="3685"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885"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701"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熔断器</w:t>
            </w:r>
          </w:p>
        </w:tc>
        <w:tc>
          <w:tcPr>
            <w:tcW w:w="1134"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276"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2个</w:t>
            </w:r>
          </w:p>
        </w:tc>
        <w:tc>
          <w:tcPr>
            <w:tcW w:w="3685"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885"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701"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 </w:t>
            </w:r>
            <w:r>
              <w:rPr>
                <w:rFonts w:cs="宋体" w:asciiTheme="minorEastAsia" w:hAnsiTheme="minorEastAsia"/>
                <w:kern w:val="0"/>
                <w:sz w:val="24"/>
                <w:szCs w:val="24"/>
              </w:rPr>
              <w:t>风扇</w:t>
            </w:r>
          </w:p>
        </w:tc>
        <w:tc>
          <w:tcPr>
            <w:tcW w:w="1134"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276"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4个</w:t>
            </w:r>
          </w:p>
        </w:tc>
        <w:tc>
          <w:tcPr>
            <w:tcW w:w="3685"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主机柜散热风扇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885"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701"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IGBT模块</w:t>
            </w:r>
          </w:p>
        </w:tc>
        <w:tc>
          <w:tcPr>
            <w:tcW w:w="1134"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276"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2个</w:t>
            </w:r>
          </w:p>
        </w:tc>
        <w:tc>
          <w:tcPr>
            <w:tcW w:w="3685" w:type="dxa"/>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885" w:type="dxa"/>
            <w:tcBorders>
              <w:bottom w:val="single" w:color="auto" w:sz="4" w:space="0"/>
            </w:tcBorders>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1701" w:type="dxa"/>
            <w:tcBorders>
              <w:bottom w:val="single" w:color="auto" w:sz="4" w:space="0"/>
            </w:tcBorders>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spacing w:val="2"/>
                <w:sz w:val="24"/>
                <w:szCs w:val="24"/>
              </w:rPr>
              <w:t>整流模块</w:t>
            </w:r>
          </w:p>
        </w:tc>
        <w:tc>
          <w:tcPr>
            <w:tcW w:w="1134" w:type="dxa"/>
            <w:tcBorders>
              <w:bottom w:val="single" w:color="auto" w:sz="4" w:space="0"/>
            </w:tcBorders>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1276" w:type="dxa"/>
            <w:tcBorders>
              <w:bottom w:val="single" w:color="auto" w:sz="4" w:space="0"/>
            </w:tcBorders>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3个</w:t>
            </w:r>
          </w:p>
        </w:tc>
        <w:tc>
          <w:tcPr>
            <w:tcW w:w="3685" w:type="dxa"/>
            <w:tcBorders>
              <w:bottom w:val="single" w:color="auto" w:sz="4" w:space="0"/>
            </w:tcBorders>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885" w:type="dxa"/>
            <w:tcBorders>
              <w:bottom w:val="single" w:color="auto" w:sz="4" w:space="0"/>
            </w:tcBorders>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1701" w:type="dxa"/>
            <w:tcBorders>
              <w:bottom w:val="single" w:color="auto" w:sz="4" w:space="0"/>
            </w:tcBorders>
            <w:vAlign w:val="center"/>
          </w:tcPr>
          <w:p>
            <w:pPr>
              <w:keepNext w:val="0"/>
              <w:keepLines w:val="0"/>
              <w:pageBreakBefore w:val="0"/>
              <w:kinsoku/>
              <w:wordWrap/>
              <w:overflowPunct/>
              <w:topLinePunct w:val="0"/>
              <w:bidi w:val="0"/>
              <w:snapToGrid/>
              <w:spacing w:line="360" w:lineRule="auto"/>
              <w:jc w:val="center"/>
              <w:rPr>
                <w:spacing w:val="2"/>
                <w:sz w:val="24"/>
                <w:szCs w:val="24"/>
              </w:rPr>
            </w:pPr>
            <w:r>
              <w:rPr>
                <w:rFonts w:hint="eastAsia"/>
                <w:spacing w:val="2"/>
                <w:sz w:val="24"/>
                <w:szCs w:val="24"/>
              </w:rPr>
              <w:t>专用工具</w:t>
            </w:r>
          </w:p>
        </w:tc>
        <w:tc>
          <w:tcPr>
            <w:tcW w:w="1134" w:type="dxa"/>
            <w:tcBorders>
              <w:bottom w:val="single" w:color="auto" w:sz="4" w:space="0"/>
            </w:tcBorders>
            <w:vAlign w:val="center"/>
          </w:tcPr>
          <w:p>
            <w:pPr>
              <w:keepNext w:val="0"/>
              <w:keepLines w:val="0"/>
              <w:pageBreakBefore w:val="0"/>
              <w:kinsoku/>
              <w:wordWrap/>
              <w:overflowPunct/>
              <w:topLinePunct w:val="0"/>
              <w:bidi w:val="0"/>
              <w:snapToGrid/>
              <w:spacing w:line="360" w:lineRule="auto"/>
              <w:jc w:val="center"/>
              <w:rPr>
                <w:spacing w:val="2"/>
                <w:sz w:val="24"/>
                <w:szCs w:val="24"/>
              </w:rPr>
            </w:pPr>
            <w:r>
              <w:rPr>
                <w:rFonts w:hint="eastAsia"/>
                <w:spacing w:val="2"/>
                <w:sz w:val="24"/>
                <w:szCs w:val="24"/>
              </w:rPr>
              <w:t>工具</w:t>
            </w:r>
          </w:p>
        </w:tc>
        <w:tc>
          <w:tcPr>
            <w:tcW w:w="1276" w:type="dxa"/>
            <w:tcBorders>
              <w:bottom w:val="single" w:color="auto" w:sz="4" w:space="0"/>
            </w:tcBorders>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1套</w:t>
            </w:r>
          </w:p>
        </w:tc>
        <w:tc>
          <w:tcPr>
            <w:tcW w:w="3685" w:type="dxa"/>
            <w:tcBorders>
              <w:bottom w:val="single" w:color="auto" w:sz="4" w:space="0"/>
            </w:tcBorders>
            <w:vAlign w:val="center"/>
          </w:tcPr>
          <w:p>
            <w:pPr>
              <w:keepNext w:val="0"/>
              <w:keepLines w:val="0"/>
              <w:pageBreakBefore w:val="0"/>
              <w:kinsoku/>
              <w:wordWrap/>
              <w:overflowPunct/>
              <w:topLinePunct w:val="0"/>
              <w:bidi w:val="0"/>
              <w:snapToGrid/>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如有专用工具，需提供</w:t>
            </w:r>
          </w:p>
        </w:tc>
      </w:tr>
    </w:tbl>
    <w:p>
      <w:pPr>
        <w:keepNext w:val="0"/>
        <w:keepLines w:val="0"/>
        <w:pageBreakBefore w:val="0"/>
        <w:kinsoku/>
        <w:wordWrap/>
        <w:overflowPunct/>
        <w:topLinePunct w:val="0"/>
        <w:bidi w:val="0"/>
        <w:snapToGrid/>
        <w:spacing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10.技术偏差表</w:t>
      </w:r>
    </w:p>
    <w:tbl>
      <w:tblPr>
        <w:tblStyle w:val="48"/>
        <w:tblpPr w:leftFromText="180" w:rightFromText="180" w:vertAnchor="text" w:horzAnchor="page" w:tblpX="1831" w:tblpY="87"/>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11"/>
        <w:gridCol w:w="356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7" w:type="dxa"/>
          </w:tcPr>
          <w:p>
            <w:pPr>
              <w:keepNext w:val="0"/>
              <w:keepLines w:val="0"/>
              <w:pageBreakBefore w:val="0"/>
              <w:kinsoku/>
              <w:wordWrap/>
              <w:overflowPunct/>
              <w:topLinePunct w:val="0"/>
              <w:bidi w:val="0"/>
              <w:snapToGrid/>
              <w:spacing w:line="360" w:lineRule="auto"/>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序号</w:t>
            </w:r>
          </w:p>
        </w:tc>
        <w:tc>
          <w:tcPr>
            <w:tcW w:w="3011" w:type="dxa"/>
          </w:tcPr>
          <w:p>
            <w:pPr>
              <w:keepNext w:val="0"/>
              <w:keepLines w:val="0"/>
              <w:pageBreakBefore w:val="0"/>
              <w:kinsoku/>
              <w:wordWrap/>
              <w:overflowPunct/>
              <w:topLinePunct w:val="0"/>
              <w:bidi w:val="0"/>
              <w:snapToGrid/>
              <w:spacing w:line="360" w:lineRule="auto"/>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偏差项目</w:t>
            </w:r>
          </w:p>
        </w:tc>
        <w:tc>
          <w:tcPr>
            <w:tcW w:w="3567" w:type="dxa"/>
          </w:tcPr>
          <w:p>
            <w:pPr>
              <w:keepNext w:val="0"/>
              <w:keepLines w:val="0"/>
              <w:pageBreakBefore w:val="0"/>
              <w:kinsoku/>
              <w:wordWrap/>
              <w:overflowPunct/>
              <w:topLinePunct w:val="0"/>
              <w:bidi w:val="0"/>
              <w:snapToGrid/>
              <w:spacing w:line="360" w:lineRule="auto"/>
              <w:ind w:firstLine="560"/>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说明</w:t>
            </w:r>
          </w:p>
        </w:tc>
        <w:tc>
          <w:tcPr>
            <w:tcW w:w="1218" w:type="dxa"/>
          </w:tcPr>
          <w:p>
            <w:pPr>
              <w:keepNext w:val="0"/>
              <w:keepLines w:val="0"/>
              <w:pageBreakBefore w:val="0"/>
              <w:kinsoku/>
              <w:wordWrap/>
              <w:overflowPunct/>
              <w:topLinePunct w:val="0"/>
              <w:bidi w:val="0"/>
              <w:snapToGrid/>
              <w:spacing w:line="360" w:lineRule="auto"/>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7" w:type="dxa"/>
          </w:tcPr>
          <w:p>
            <w:pPr>
              <w:keepNext w:val="0"/>
              <w:keepLines w:val="0"/>
              <w:pageBreakBefore w:val="0"/>
              <w:kinsoku/>
              <w:wordWrap/>
              <w:overflowPunct/>
              <w:topLinePunct w:val="0"/>
              <w:bidi w:val="0"/>
              <w:snapToGrid/>
              <w:spacing w:line="360" w:lineRule="auto"/>
              <w:ind w:firstLine="240" w:firstLineChars="100"/>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1</w:t>
            </w:r>
          </w:p>
        </w:tc>
        <w:tc>
          <w:tcPr>
            <w:tcW w:w="3011" w:type="dxa"/>
          </w:tcPr>
          <w:p>
            <w:pPr>
              <w:keepNext w:val="0"/>
              <w:keepLines w:val="0"/>
              <w:pageBreakBefore w:val="0"/>
              <w:kinsoku/>
              <w:wordWrap/>
              <w:overflowPunct/>
              <w:topLinePunct w:val="0"/>
              <w:bidi w:val="0"/>
              <w:snapToGrid/>
              <w:spacing w:line="360" w:lineRule="auto"/>
              <w:ind w:firstLine="560"/>
              <w:rPr>
                <w:rFonts w:asciiTheme="majorEastAsia" w:hAnsiTheme="majorEastAsia" w:eastAsiaTheme="majorEastAsia"/>
                <w:color w:val="FF0000"/>
                <w:kern w:val="0"/>
                <w:sz w:val="24"/>
                <w:szCs w:val="24"/>
              </w:rPr>
            </w:pPr>
          </w:p>
        </w:tc>
        <w:tc>
          <w:tcPr>
            <w:tcW w:w="3567" w:type="dxa"/>
          </w:tcPr>
          <w:p>
            <w:pPr>
              <w:keepNext w:val="0"/>
              <w:keepLines w:val="0"/>
              <w:pageBreakBefore w:val="0"/>
              <w:kinsoku/>
              <w:wordWrap/>
              <w:overflowPunct/>
              <w:topLinePunct w:val="0"/>
              <w:bidi w:val="0"/>
              <w:snapToGrid/>
              <w:spacing w:line="360" w:lineRule="auto"/>
              <w:ind w:firstLine="560"/>
              <w:rPr>
                <w:rFonts w:asciiTheme="majorEastAsia" w:hAnsiTheme="majorEastAsia" w:eastAsiaTheme="majorEastAsia"/>
                <w:color w:val="FF0000"/>
                <w:kern w:val="0"/>
                <w:sz w:val="24"/>
                <w:szCs w:val="24"/>
              </w:rPr>
            </w:pPr>
          </w:p>
        </w:tc>
        <w:tc>
          <w:tcPr>
            <w:tcW w:w="1218" w:type="dxa"/>
          </w:tcPr>
          <w:p>
            <w:pPr>
              <w:keepNext w:val="0"/>
              <w:keepLines w:val="0"/>
              <w:pageBreakBefore w:val="0"/>
              <w:kinsoku/>
              <w:wordWrap/>
              <w:overflowPunct/>
              <w:topLinePunct w:val="0"/>
              <w:bidi w:val="0"/>
              <w:snapToGrid/>
              <w:spacing w:line="360" w:lineRule="auto"/>
              <w:ind w:firstLine="560"/>
              <w:rPr>
                <w:rFonts w:asciiTheme="majorEastAsia" w:hAnsiTheme="majorEastAsia" w:eastAsia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7" w:type="dxa"/>
          </w:tcPr>
          <w:p>
            <w:pPr>
              <w:keepNext w:val="0"/>
              <w:keepLines w:val="0"/>
              <w:pageBreakBefore w:val="0"/>
              <w:kinsoku/>
              <w:wordWrap/>
              <w:overflowPunct/>
              <w:topLinePunct w:val="0"/>
              <w:bidi w:val="0"/>
              <w:snapToGrid/>
              <w:spacing w:line="360" w:lineRule="auto"/>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 xml:space="preserve">  2</w:t>
            </w:r>
          </w:p>
        </w:tc>
        <w:tc>
          <w:tcPr>
            <w:tcW w:w="3011" w:type="dxa"/>
          </w:tcPr>
          <w:p>
            <w:pPr>
              <w:keepNext w:val="0"/>
              <w:keepLines w:val="0"/>
              <w:pageBreakBefore w:val="0"/>
              <w:kinsoku/>
              <w:wordWrap/>
              <w:overflowPunct/>
              <w:topLinePunct w:val="0"/>
              <w:bidi w:val="0"/>
              <w:snapToGrid/>
              <w:spacing w:line="360" w:lineRule="auto"/>
              <w:ind w:firstLine="560"/>
              <w:rPr>
                <w:rFonts w:asciiTheme="majorEastAsia" w:hAnsiTheme="majorEastAsia" w:eastAsiaTheme="majorEastAsia"/>
                <w:color w:val="FF0000"/>
                <w:kern w:val="0"/>
                <w:sz w:val="24"/>
                <w:szCs w:val="24"/>
              </w:rPr>
            </w:pPr>
          </w:p>
        </w:tc>
        <w:tc>
          <w:tcPr>
            <w:tcW w:w="3567" w:type="dxa"/>
          </w:tcPr>
          <w:p>
            <w:pPr>
              <w:keepNext w:val="0"/>
              <w:keepLines w:val="0"/>
              <w:pageBreakBefore w:val="0"/>
              <w:kinsoku/>
              <w:wordWrap/>
              <w:overflowPunct/>
              <w:topLinePunct w:val="0"/>
              <w:bidi w:val="0"/>
              <w:snapToGrid/>
              <w:spacing w:line="360" w:lineRule="auto"/>
              <w:ind w:firstLine="560"/>
              <w:rPr>
                <w:rFonts w:asciiTheme="majorEastAsia" w:hAnsiTheme="majorEastAsia" w:eastAsiaTheme="majorEastAsia"/>
                <w:color w:val="FF0000"/>
                <w:kern w:val="0"/>
                <w:sz w:val="24"/>
                <w:szCs w:val="24"/>
              </w:rPr>
            </w:pPr>
          </w:p>
        </w:tc>
        <w:tc>
          <w:tcPr>
            <w:tcW w:w="1218" w:type="dxa"/>
          </w:tcPr>
          <w:p>
            <w:pPr>
              <w:keepNext w:val="0"/>
              <w:keepLines w:val="0"/>
              <w:pageBreakBefore w:val="0"/>
              <w:kinsoku/>
              <w:wordWrap/>
              <w:overflowPunct/>
              <w:topLinePunct w:val="0"/>
              <w:bidi w:val="0"/>
              <w:snapToGrid/>
              <w:spacing w:line="360" w:lineRule="auto"/>
              <w:ind w:firstLine="560"/>
              <w:rPr>
                <w:rFonts w:asciiTheme="majorEastAsia" w:hAnsiTheme="majorEastAsia" w:eastAsia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17" w:type="dxa"/>
          </w:tcPr>
          <w:p>
            <w:pPr>
              <w:keepNext w:val="0"/>
              <w:keepLines w:val="0"/>
              <w:pageBreakBefore w:val="0"/>
              <w:kinsoku/>
              <w:wordWrap/>
              <w:overflowPunct/>
              <w:topLinePunct w:val="0"/>
              <w:bidi w:val="0"/>
              <w:snapToGrid/>
              <w:spacing w:line="360" w:lineRule="auto"/>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 xml:space="preserve">  3</w:t>
            </w:r>
          </w:p>
        </w:tc>
        <w:tc>
          <w:tcPr>
            <w:tcW w:w="3011" w:type="dxa"/>
          </w:tcPr>
          <w:p>
            <w:pPr>
              <w:keepNext w:val="0"/>
              <w:keepLines w:val="0"/>
              <w:pageBreakBefore w:val="0"/>
              <w:kinsoku/>
              <w:wordWrap/>
              <w:overflowPunct/>
              <w:topLinePunct w:val="0"/>
              <w:bidi w:val="0"/>
              <w:snapToGrid/>
              <w:spacing w:line="360" w:lineRule="auto"/>
              <w:ind w:firstLine="560"/>
              <w:rPr>
                <w:rFonts w:asciiTheme="majorEastAsia" w:hAnsiTheme="majorEastAsia" w:eastAsiaTheme="majorEastAsia"/>
                <w:color w:val="FF0000"/>
                <w:kern w:val="0"/>
                <w:sz w:val="24"/>
                <w:szCs w:val="24"/>
              </w:rPr>
            </w:pPr>
          </w:p>
        </w:tc>
        <w:tc>
          <w:tcPr>
            <w:tcW w:w="3567" w:type="dxa"/>
          </w:tcPr>
          <w:p>
            <w:pPr>
              <w:keepNext w:val="0"/>
              <w:keepLines w:val="0"/>
              <w:pageBreakBefore w:val="0"/>
              <w:kinsoku/>
              <w:wordWrap/>
              <w:overflowPunct/>
              <w:topLinePunct w:val="0"/>
              <w:bidi w:val="0"/>
              <w:snapToGrid/>
              <w:spacing w:line="360" w:lineRule="auto"/>
              <w:ind w:firstLine="560"/>
              <w:rPr>
                <w:rFonts w:asciiTheme="majorEastAsia" w:hAnsiTheme="majorEastAsia" w:eastAsiaTheme="majorEastAsia"/>
                <w:kern w:val="0"/>
                <w:sz w:val="24"/>
                <w:szCs w:val="24"/>
              </w:rPr>
            </w:pPr>
          </w:p>
        </w:tc>
        <w:tc>
          <w:tcPr>
            <w:tcW w:w="1218" w:type="dxa"/>
          </w:tcPr>
          <w:p>
            <w:pPr>
              <w:keepNext w:val="0"/>
              <w:keepLines w:val="0"/>
              <w:pageBreakBefore w:val="0"/>
              <w:kinsoku/>
              <w:wordWrap/>
              <w:overflowPunct/>
              <w:topLinePunct w:val="0"/>
              <w:bidi w:val="0"/>
              <w:snapToGrid/>
              <w:spacing w:line="360" w:lineRule="auto"/>
              <w:ind w:firstLine="560"/>
              <w:rPr>
                <w:rFonts w:asciiTheme="majorEastAsia" w:hAnsiTheme="majorEastAsia" w:eastAsiaTheme="majorEastAsia"/>
                <w:kern w:val="0"/>
                <w:sz w:val="24"/>
                <w:szCs w:val="24"/>
              </w:rPr>
            </w:pPr>
          </w:p>
        </w:tc>
      </w:tr>
    </w:tbl>
    <w:p>
      <w:pPr>
        <w:pStyle w:val="2"/>
        <w:keepNext w:val="0"/>
        <w:keepLines w:val="0"/>
        <w:pageBreakBefore w:val="0"/>
        <w:kinsoku/>
        <w:wordWrap/>
        <w:overflowPunct/>
        <w:topLinePunct w:val="0"/>
        <w:bidi w:val="0"/>
        <w:snapToGrid/>
        <w:spacing w:line="360" w:lineRule="auto"/>
        <w:rPr>
          <w:rFonts w:hint="default"/>
          <w:b w:val="0"/>
          <w:bCs w:val="0"/>
          <w:sz w:val="24"/>
          <w:szCs w:val="24"/>
          <w:lang w:val="en-US" w:eastAsia="zh-CN"/>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电气团队11台UPS主机采购项目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
          <w:bCs/>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平装。所有参选文件应增加统一外层包封。提交参选文件时提供两个包装，商务参选文件（报价单）一个包装、技术参选文件一个包装,封口处均需加盖骑缝章。</w:t>
      </w:r>
      <w:r>
        <w:rPr>
          <w:rFonts w:hint="eastAsia" w:cs="Times New Roman"/>
          <w:b/>
          <w:bCs/>
          <w:color w:val="C00000"/>
          <w:sz w:val="24"/>
          <w:szCs w:val="24"/>
          <w:lang w:eastAsia="zh-CN"/>
        </w:rPr>
        <w:t>商务参选文件和技术参选文件</w:t>
      </w:r>
      <w:r>
        <w:rPr>
          <w:rFonts w:hint="eastAsia" w:cs="Times New Roman"/>
          <w:b/>
          <w:bCs/>
          <w:color w:val="C00000"/>
          <w:sz w:val="24"/>
          <w:szCs w:val="24"/>
          <w:lang w:val="en-US" w:eastAsia="zh-CN"/>
        </w:rPr>
        <w:t>U盘</w:t>
      </w:r>
      <w:r>
        <w:rPr>
          <w:rFonts w:hint="eastAsia" w:cs="Times New Roman"/>
          <w:b/>
          <w:bCs/>
          <w:color w:val="C00000"/>
          <w:sz w:val="24"/>
          <w:szCs w:val="24"/>
          <w:lang w:eastAsia="zh-CN"/>
        </w:rPr>
        <w:t>电子</w:t>
      </w:r>
      <w:r>
        <w:rPr>
          <w:rFonts w:hint="eastAsia" w:cs="Times New Roman"/>
          <w:b/>
          <w:bCs/>
          <w:color w:val="C00000"/>
          <w:sz w:val="24"/>
          <w:szCs w:val="24"/>
          <w:lang w:val="en-US" w:eastAsia="zh-CN"/>
        </w:rPr>
        <w:t>扫描件</w:t>
      </w:r>
      <w:r>
        <w:rPr>
          <w:rFonts w:hint="eastAsia" w:cs="Times New Roman"/>
          <w:b/>
          <w:bCs/>
          <w:color w:val="C00000"/>
          <w:sz w:val="24"/>
          <w:szCs w:val="24"/>
          <w:lang w:eastAsia="zh-CN"/>
        </w:rPr>
        <w:t>拷贝一份（随商务参选文件包装）。</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.参选文件正本必须逐页或骑缝加盖参选人公章或由法人代表或法人代表授权人逐页签字方视为有效，同时应注明提交日期，否则视为废标。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5</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5</w:t>
            </w:r>
          </w:p>
        </w:tc>
        <w:tc>
          <w:tcPr>
            <w:tcW w:w="6023" w:type="dxa"/>
          </w:tcPr>
          <w:p>
            <w:pPr>
              <w:spacing w:line="500" w:lineRule="exact"/>
              <w:rPr>
                <w:rFonts w:hint="default"/>
                <w:sz w:val="24"/>
                <w:lang w:val="en-US" w:eastAsia="zh-CN"/>
              </w:rPr>
            </w:pPr>
            <w:r>
              <w:rPr>
                <w:rFonts w:hint="eastAsia"/>
                <w:sz w:val="24"/>
                <w:lang w:val="en-US" w:eastAsia="zh-CN"/>
              </w:rPr>
              <w:t>技术协议书</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val="en-US" w:eastAsia="zh-CN"/>
              </w:rPr>
              <w:t>6</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spacing w:line="500" w:lineRule="exact"/>
        <w:jc w:val="both"/>
        <w:rPr>
          <w:b/>
          <w:bCs/>
          <w:sz w:val="36"/>
          <w:szCs w:val="36"/>
          <w:lang w:eastAsia="zh-CN"/>
        </w:rPr>
      </w:pPr>
    </w:p>
    <w:p>
      <w:pPr>
        <w:spacing w:line="500" w:lineRule="exact"/>
        <w:jc w:val="center"/>
        <w:rPr>
          <w:b/>
          <w:bCs/>
          <w:sz w:val="36"/>
          <w:szCs w:val="36"/>
          <w:lang w:eastAsia="zh-CN"/>
        </w:rPr>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hint="default"/>
          <w:b/>
          <w:bCs/>
          <w:sz w:val="36"/>
          <w:szCs w:val="36"/>
          <w:lang w:val="en-US" w:eastAsia="zh-CN"/>
        </w:rPr>
      </w:pPr>
      <w:r>
        <w:rPr>
          <w:rFonts w:hint="eastAsia"/>
          <w:b/>
          <w:bCs/>
          <w:sz w:val="36"/>
          <w:szCs w:val="36"/>
          <w:lang w:val="en-US" w:eastAsia="zh-CN"/>
        </w:rPr>
        <w:t>技术协议书</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val="en-US" w:eastAsia="zh-CN"/>
        </w:rPr>
        <w:t>电气团队11台UPS主机采购</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eastAsia="zh-CN"/>
        </w:rPr>
        <w:t>电气团队11台UPS主机采购项目价格清单</w:t>
      </w:r>
    </w:p>
    <w:tbl>
      <w:tblPr>
        <w:tblStyle w:val="47"/>
        <w:tblpPr w:leftFromText="180" w:rightFromText="180" w:vertAnchor="text" w:horzAnchor="page" w:tblpXSpec="center" w:tblpY="287"/>
        <w:tblOverlap w:val="never"/>
        <w:tblW w:w="10587" w:type="dxa"/>
        <w:tblInd w:w="754" w:type="dxa"/>
        <w:tblLayout w:type="fixed"/>
        <w:tblCellMar>
          <w:top w:w="15" w:type="dxa"/>
          <w:left w:w="15" w:type="dxa"/>
          <w:bottom w:w="15" w:type="dxa"/>
          <w:right w:w="15" w:type="dxa"/>
        </w:tblCellMar>
      </w:tblPr>
      <w:tblGrid>
        <w:gridCol w:w="537"/>
        <w:gridCol w:w="1344"/>
        <w:gridCol w:w="1347"/>
        <w:gridCol w:w="1237"/>
        <w:gridCol w:w="1735"/>
        <w:gridCol w:w="1075"/>
        <w:gridCol w:w="625"/>
        <w:gridCol w:w="600"/>
        <w:gridCol w:w="1063"/>
        <w:gridCol w:w="505"/>
        <w:gridCol w:w="519"/>
      </w:tblGrid>
      <w:tr>
        <w:tblPrEx>
          <w:tblCellMar>
            <w:top w:w="15" w:type="dxa"/>
            <w:left w:w="15" w:type="dxa"/>
            <w:bottom w:w="15" w:type="dxa"/>
            <w:right w:w="15" w:type="dxa"/>
          </w:tblCellMar>
        </w:tblPrEx>
        <w:trPr>
          <w:trHeight w:val="64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cs="宋体"/>
                <w:color w:val="000000"/>
                <w:kern w:val="0"/>
                <w:sz w:val="18"/>
                <w:szCs w:val="18"/>
                <w:lang w:val="en-US" w:eastAsia="zh-CN" w:bidi="ar"/>
              </w:rPr>
              <w:t>序号</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cs="宋体"/>
                <w:color w:val="000000"/>
                <w:kern w:val="0"/>
                <w:sz w:val="18"/>
                <w:szCs w:val="18"/>
                <w:lang w:val="en-US" w:eastAsia="zh-CN" w:bidi="ar"/>
              </w:rPr>
              <w:t>品牌</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554"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QG2202150082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2235980128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UPS主机</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10kVA   380V 50Hz</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科华、易事特、科士达</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olor w:val="000000"/>
                <w:sz w:val="18"/>
                <w:szCs w:val="18"/>
                <w:lang w:val="en-US" w:eastAsia="zh-CN"/>
              </w:rPr>
            </w:pPr>
            <w:r>
              <w:rPr>
                <w:rFonts w:hint="eastAsia"/>
                <w:color w:val="000000"/>
                <w:sz w:val="18"/>
                <w:szCs w:val="18"/>
                <w:lang w:val="en-US" w:eastAsia="zh-CN"/>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678"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QG2202150083</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2235980129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UPS主机</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20kVA  380V 50Hz</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科华、易事特、科士达</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lang w:val="en-US" w:eastAsia="zh-CN"/>
              </w:rPr>
            </w:pPr>
            <w:r>
              <w:rPr>
                <w:rFonts w:hint="eastAsia"/>
                <w:color w:val="000000"/>
                <w:sz w:val="18"/>
                <w:szCs w:val="18"/>
                <w:lang w:val="en-US" w:eastAsia="zh-CN"/>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71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QG2202150084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2235980130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UPS主机</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30kVA  380V 50Hz</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科华、易事特、科士达</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lang w:val="en-US" w:eastAsia="zh-CN"/>
              </w:rPr>
            </w:pPr>
            <w:r>
              <w:rPr>
                <w:rFonts w:hint="eastAsia"/>
                <w:color w:val="000000"/>
                <w:sz w:val="18"/>
                <w:szCs w:val="18"/>
                <w:lang w:val="en-US" w:eastAsia="zh-CN"/>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71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QG2202150085</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2235980130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UPS主机</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30kVA  380V 50Hz</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科华、易事特、科士达</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lang w:val="en-US" w:eastAsia="zh-CN"/>
              </w:rPr>
            </w:pPr>
            <w:r>
              <w:rPr>
                <w:rFonts w:hint="eastAsia"/>
                <w:color w:val="000000"/>
                <w:sz w:val="18"/>
                <w:szCs w:val="18"/>
                <w:lang w:val="en-US" w:eastAsia="zh-CN"/>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71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QG2202150086</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2235980131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UPS主机</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40kVA  380V 50Hz</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科华、易事特、科士达</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lang w:val="en-US" w:eastAsia="zh-CN"/>
              </w:rPr>
            </w:pPr>
            <w:r>
              <w:rPr>
                <w:rFonts w:hint="eastAsia"/>
                <w:color w:val="000000"/>
                <w:sz w:val="18"/>
                <w:szCs w:val="18"/>
                <w:lang w:val="en-US" w:eastAsia="zh-CN"/>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71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QG2202150087</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2235980131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UPS主机</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40kVA  380V 50Hz</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科华、易事特、科士达</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lang w:val="en-US" w:eastAsia="zh-CN"/>
              </w:rPr>
            </w:pPr>
            <w:r>
              <w:rPr>
                <w:rFonts w:hint="eastAsia"/>
                <w:color w:val="000000"/>
                <w:sz w:val="18"/>
                <w:szCs w:val="18"/>
                <w:lang w:val="en-US" w:eastAsia="zh-CN"/>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71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QG2202150088</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2235980132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UPS主机</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60kVA  380V 50Hz</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科华、易事特、科士达</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lang w:val="en-US" w:eastAsia="zh-CN"/>
              </w:rPr>
            </w:pPr>
            <w:r>
              <w:rPr>
                <w:rFonts w:hint="eastAsia"/>
                <w:color w:val="000000"/>
                <w:sz w:val="18"/>
                <w:szCs w:val="18"/>
                <w:lang w:val="en-US" w:eastAsia="zh-CN"/>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71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QG2202150089</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2235980133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UPS主机</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80kVA  380V 50Hz</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科华、易事特、科士达</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lang w:val="en-US" w:eastAsia="zh-CN"/>
              </w:rPr>
            </w:pPr>
            <w:r>
              <w:rPr>
                <w:rFonts w:hint="eastAsia"/>
                <w:color w:val="000000"/>
                <w:sz w:val="18"/>
                <w:szCs w:val="18"/>
                <w:lang w:val="en-US" w:eastAsia="zh-CN"/>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71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QG2202150079</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2235980110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UPS主机</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50kVA  380V 50Hz</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科华、易事特、科士达</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lang w:val="en-US" w:eastAsia="zh-CN"/>
              </w:rPr>
            </w:pPr>
            <w:r>
              <w:rPr>
                <w:rFonts w:hint="eastAsia"/>
                <w:color w:val="000000"/>
                <w:sz w:val="18"/>
                <w:szCs w:val="18"/>
                <w:lang w:val="en-US" w:eastAsia="zh-CN"/>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71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QG2202150080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2235980110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UPS主机</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50kVA  380V 50Hz</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科华、易事特、科士达</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lang w:val="en-US" w:eastAsia="zh-CN"/>
              </w:rPr>
            </w:pPr>
            <w:r>
              <w:rPr>
                <w:rFonts w:hint="eastAsia"/>
                <w:color w:val="000000"/>
                <w:sz w:val="18"/>
                <w:szCs w:val="18"/>
                <w:lang w:val="en-US" w:eastAsia="zh-CN"/>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71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QG2202150081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2235980128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UPS主机</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10kVA   380V 50Hz</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科华、易事特、科士达</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lang w:val="en-US" w:eastAsia="zh-CN"/>
              </w:rPr>
            </w:pPr>
            <w:r>
              <w:rPr>
                <w:rFonts w:hint="eastAsia"/>
                <w:color w:val="000000"/>
                <w:sz w:val="18"/>
                <w:szCs w:val="18"/>
                <w:lang w:val="en-US" w:eastAsia="zh-CN"/>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69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color w:val="000000"/>
                <w:szCs w:val="21"/>
                <w:lang w:val="en-US" w:eastAsia="zh-CN"/>
              </w:rPr>
            </w:pP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68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p>
      <w:pPr>
        <w:pStyle w:val="2"/>
        <w:rPr>
          <w:lang w:eastAsia="zh-CN"/>
        </w:rPr>
      </w:pPr>
    </w:p>
    <w:p>
      <w:pPr>
        <w:pStyle w:val="2"/>
        <w:rPr>
          <w:lang w:eastAsia="zh-CN"/>
        </w:rPr>
      </w:pP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w:t>
            </w:r>
            <w:r>
              <w:rPr>
                <w:rFonts w:hint="eastAsia"/>
                <w:b w:val="0"/>
                <w:bCs w:val="0"/>
                <w:sz w:val="24"/>
                <w:u w:val="single"/>
                <w:shd w:val="clear" w:color="FFFFFF" w:fill="D9D9D9"/>
                <w:lang w:val="en-US" w:eastAsia="zh-CN"/>
              </w:rPr>
              <w:t xml:space="preserve">13 </w:t>
            </w:r>
            <w:r>
              <w:rPr>
                <w:rFonts w:hint="eastAsia" w:ascii="宋体" w:hAnsi="宋体"/>
                <w:b w:val="0"/>
                <w:bCs w:val="0"/>
                <w:sz w:val="24"/>
                <w:u w:val="single"/>
                <w:shd w:val="clear" w:color="FFFFFF" w:fill="D9D9D9"/>
              </w:rPr>
              <w:t xml:space="preserve">%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pStyle w:val="2"/>
      </w:pPr>
    </w:p>
    <w:p>
      <w:pPr>
        <w:pStyle w:val="2"/>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pStyle w:val="2"/>
        <w:rPr>
          <w:rFonts w:hint="default"/>
          <w:color w:val="00B050"/>
          <w:sz w:val="28"/>
          <w:u w:val="single"/>
          <w:lang w:val="en-US" w:eastAsia="zh-CN"/>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 xml:space="preserve">  联系电话：</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4CCBED0"/>
    <w:multiLevelType w:val="singleLevel"/>
    <w:tmpl w:val="04CCBED0"/>
    <w:lvl w:ilvl="0" w:tentative="0">
      <w:start w:val="2"/>
      <w:numFmt w:val="decimal"/>
      <w:suff w:val="nothing"/>
      <w:lvlText w:val="%1．"/>
      <w:lvlJc w:val="left"/>
    </w:lvl>
  </w:abstractNum>
  <w:abstractNum w:abstractNumId="2">
    <w:nsid w:val="17F12625"/>
    <w:multiLevelType w:val="multilevel"/>
    <w:tmpl w:val="17F12625"/>
    <w:lvl w:ilvl="0" w:tentative="0">
      <w:start w:val="1"/>
      <w:numFmt w:val="lowerLetter"/>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42612CC5"/>
    <w:multiLevelType w:val="singleLevel"/>
    <w:tmpl w:val="42612CC5"/>
    <w:lvl w:ilvl="0" w:tentative="0">
      <w:start w:val="1"/>
      <w:numFmt w:val="chineseCounting"/>
      <w:suff w:val="space"/>
      <w:lvlText w:val="第%1部分"/>
      <w:lvlJc w:val="left"/>
      <w:rPr>
        <w:rFonts w:hint="eastAsia"/>
      </w:rPr>
    </w:lvl>
  </w:abstractNum>
  <w:abstractNum w:abstractNumId="7">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7"/>
  </w:num>
  <w:num w:numId="2">
    <w:abstractNumId w:val="0"/>
  </w:num>
  <w:num w:numId="3">
    <w:abstractNumId w:val="3"/>
  </w:num>
  <w:num w:numId="4">
    <w:abstractNumId w:val="4"/>
  </w:num>
  <w:num w:numId="5">
    <w:abstractNumId w:val="5"/>
  </w:num>
  <w:num w:numId="6">
    <w:abstractNumId w:val="8"/>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39452D6"/>
    <w:rsid w:val="061139E5"/>
    <w:rsid w:val="06F50B00"/>
    <w:rsid w:val="076E1278"/>
    <w:rsid w:val="087D5A4F"/>
    <w:rsid w:val="08D1141D"/>
    <w:rsid w:val="0B296DE2"/>
    <w:rsid w:val="0D0126E0"/>
    <w:rsid w:val="0FB5725B"/>
    <w:rsid w:val="10294AA3"/>
    <w:rsid w:val="10E40CA0"/>
    <w:rsid w:val="12584C20"/>
    <w:rsid w:val="136130D9"/>
    <w:rsid w:val="13805E8A"/>
    <w:rsid w:val="14762538"/>
    <w:rsid w:val="15800409"/>
    <w:rsid w:val="16B72867"/>
    <w:rsid w:val="173600E6"/>
    <w:rsid w:val="18DD4F7E"/>
    <w:rsid w:val="195B58A2"/>
    <w:rsid w:val="1989465C"/>
    <w:rsid w:val="1A2360C8"/>
    <w:rsid w:val="1B6947A7"/>
    <w:rsid w:val="1E085A14"/>
    <w:rsid w:val="1E657D90"/>
    <w:rsid w:val="1FF43DDB"/>
    <w:rsid w:val="20625E24"/>
    <w:rsid w:val="21933AA2"/>
    <w:rsid w:val="25BF356F"/>
    <w:rsid w:val="25DB0C2D"/>
    <w:rsid w:val="267F6210"/>
    <w:rsid w:val="269469E7"/>
    <w:rsid w:val="26EF5299"/>
    <w:rsid w:val="27EE0826"/>
    <w:rsid w:val="2998140D"/>
    <w:rsid w:val="29FC3B14"/>
    <w:rsid w:val="2A056A4F"/>
    <w:rsid w:val="2B11792E"/>
    <w:rsid w:val="2F724BD0"/>
    <w:rsid w:val="31C54755"/>
    <w:rsid w:val="3216608C"/>
    <w:rsid w:val="328F13DA"/>
    <w:rsid w:val="34CE14C6"/>
    <w:rsid w:val="34D84CEC"/>
    <w:rsid w:val="35DC515B"/>
    <w:rsid w:val="37AF5AB7"/>
    <w:rsid w:val="3B1C3371"/>
    <w:rsid w:val="3CC23198"/>
    <w:rsid w:val="3DDF4815"/>
    <w:rsid w:val="3F286F3A"/>
    <w:rsid w:val="3FE669E5"/>
    <w:rsid w:val="44B70186"/>
    <w:rsid w:val="459C39D0"/>
    <w:rsid w:val="462A54F2"/>
    <w:rsid w:val="4A6A5207"/>
    <w:rsid w:val="4B876203"/>
    <w:rsid w:val="4CB30FFF"/>
    <w:rsid w:val="50F63E28"/>
    <w:rsid w:val="5221007F"/>
    <w:rsid w:val="52926B5A"/>
    <w:rsid w:val="52F74B88"/>
    <w:rsid w:val="545C5E51"/>
    <w:rsid w:val="5486175B"/>
    <w:rsid w:val="57667D24"/>
    <w:rsid w:val="57CE5BC3"/>
    <w:rsid w:val="59C5385A"/>
    <w:rsid w:val="5A2D3E44"/>
    <w:rsid w:val="5A3260D4"/>
    <w:rsid w:val="5AD75FB8"/>
    <w:rsid w:val="5AE1516A"/>
    <w:rsid w:val="5B6A3A79"/>
    <w:rsid w:val="5C1A5F7B"/>
    <w:rsid w:val="5D7A3273"/>
    <w:rsid w:val="5E2B4120"/>
    <w:rsid w:val="601675AC"/>
    <w:rsid w:val="628D3982"/>
    <w:rsid w:val="62E96122"/>
    <w:rsid w:val="63CC04E6"/>
    <w:rsid w:val="64540594"/>
    <w:rsid w:val="645771F8"/>
    <w:rsid w:val="66CC0AF0"/>
    <w:rsid w:val="693C3D94"/>
    <w:rsid w:val="6A54112D"/>
    <w:rsid w:val="6A701C86"/>
    <w:rsid w:val="6AA035AE"/>
    <w:rsid w:val="6BCB034D"/>
    <w:rsid w:val="6C0E1756"/>
    <w:rsid w:val="6C2B2406"/>
    <w:rsid w:val="6E0F2E14"/>
    <w:rsid w:val="6E14011E"/>
    <w:rsid w:val="6F1E141D"/>
    <w:rsid w:val="6F5354F8"/>
    <w:rsid w:val="727810B8"/>
    <w:rsid w:val="7293546A"/>
    <w:rsid w:val="72E05B2C"/>
    <w:rsid w:val="740A2BDE"/>
    <w:rsid w:val="74BD5288"/>
    <w:rsid w:val="751839E0"/>
    <w:rsid w:val="76274F93"/>
    <w:rsid w:val="79670CA0"/>
    <w:rsid w:val="79EB3F2F"/>
    <w:rsid w:val="79FD3C4B"/>
    <w:rsid w:val="7A1D7427"/>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 w:type="paragraph" w:customStyle="1" w:styleId="215">
    <w:name w:val="样式 SINOPEC-0"/>
    <w:basedOn w:val="1"/>
    <w:qFormat/>
    <w:uiPriority w:val="0"/>
    <w:pPr>
      <w:spacing w:line="360" w:lineRule="auto"/>
      <w:ind w:firstLine="200" w:firstLineChars="200"/>
    </w:pPr>
    <w:rPr>
      <w:rFonts w:ascii="Arial" w:hAnsi="Arial"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20</Pages>
  <Words>9925</Words>
  <Characters>10407</Characters>
  <Lines>79</Lines>
  <Paragraphs>22</Paragraphs>
  <TotalTime>12</TotalTime>
  <ScaleCrop>false</ScaleCrop>
  <LinksUpToDate>false</LinksUpToDate>
  <CharactersWithSpaces>11161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2022-05-20T06:08:45Z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