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南8号泊位工程和排海口工程项目评价服务项目</w:t>
      </w:r>
      <w:r>
        <w:rPr>
          <w:rFonts w:ascii="微软雅黑" w:eastAsia="微软雅黑"/>
          <w:b/>
          <w:sz w:val="52"/>
          <w:szCs w:val="22"/>
          <w:u w:val="single"/>
          <w:lang w:eastAsia="zh-CN"/>
        </w:rPr>
        <w:t>采购</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9"/>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 xml:space="preserve"> FHC-PTCG20220407001</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9"/>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9"/>
      </w:pPr>
    </w:p>
    <w:p>
      <w:pPr>
        <w:jc w:val="center"/>
        <w:rPr>
          <w:b/>
          <w:bCs/>
          <w:sz w:val="32"/>
          <w:lang w:eastAsia="zh-CN"/>
        </w:rPr>
      </w:pPr>
      <w:r>
        <w:rPr>
          <w:rFonts w:hint="eastAsia"/>
          <w:b/>
          <w:bCs/>
          <w:sz w:val="32"/>
          <w:lang w:eastAsia="zh-CN"/>
        </w:rPr>
        <w:t>福建福海创石油化工有限公司南8号泊位工程和排海口工程项目评价服务项目</w:t>
      </w:r>
      <w:r>
        <w:rPr>
          <w:b/>
          <w:bCs/>
          <w:sz w:val="32"/>
          <w:lang w:eastAsia="zh-CN"/>
        </w:rPr>
        <w:t>采购</w:t>
      </w:r>
      <w:r>
        <w:rPr>
          <w:rFonts w:hint="eastAsia"/>
          <w:b/>
          <w:bCs/>
          <w:sz w:val="32"/>
          <w:lang w:eastAsia="zh-CN"/>
        </w:rPr>
        <w:t>比选公告</w:t>
      </w:r>
    </w:p>
    <w:p>
      <w:pPr>
        <w:pStyle w:val="19"/>
        <w:rPr>
          <w:b/>
          <w:sz w:val="28"/>
          <w:lang w:eastAsia="zh-CN"/>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福建福海创石油化工有限公司南8号泊位工程和排海口工程项目评价服务项目</w:t>
      </w:r>
      <w:r>
        <w:rPr>
          <w:color w:val="000000" w:themeColor="text1"/>
          <w:u w:val="single"/>
          <w:lang w:eastAsia="zh-CN"/>
        </w:rPr>
        <w:t>采购</w:t>
      </w:r>
      <w:r>
        <w:rPr>
          <w:rFonts w:hint="eastAsia"/>
          <w:color w:val="000000" w:themeColor="text1"/>
          <w:u w:val="single"/>
          <w:lang w:eastAsia="zh-CN"/>
        </w:rPr>
        <w:t>（项目编号： FHC-PTCG20220407001</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项目名称：福建福海创石油化工有限公司南8号泊位工程和排海口工程项目评价服务项目</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40</w:t>
      </w:r>
      <w:r>
        <w:rPr>
          <w:sz w:val="24"/>
          <w:szCs w:val="24"/>
          <w:lang w:eastAsia="zh-CN"/>
        </w:rPr>
        <w:t>万元</w:t>
      </w:r>
      <w:r>
        <w:rPr>
          <w:rFonts w:hint="eastAsia"/>
          <w:sz w:val="24"/>
          <w:szCs w:val="24"/>
          <w:lang w:eastAsia="zh-CN"/>
        </w:rPr>
        <w:t>（</w:t>
      </w:r>
      <w:r>
        <w:rPr>
          <w:rFonts w:hint="eastAsia"/>
          <w:color w:val="000000" w:themeColor="text1"/>
          <w:u w:val="single"/>
          <w:lang w:eastAsia="zh-CN"/>
        </w:rPr>
        <w:t>南8号泊位工程评</w:t>
      </w:r>
      <w:r>
        <w:rPr>
          <w:rFonts w:hint="eastAsia"/>
          <w:color w:val="000000" w:themeColor="text1"/>
          <w:u w:val="single"/>
          <w:lang w:val="en-US" w:eastAsia="zh-CN"/>
        </w:rPr>
        <w:t>价服务控制价20万元</w:t>
      </w:r>
      <w:r>
        <w:rPr>
          <w:rFonts w:hint="eastAsia"/>
          <w:color w:val="000000" w:themeColor="text1"/>
          <w:u w:val="single"/>
          <w:lang w:eastAsia="zh-CN"/>
        </w:rPr>
        <w:t>、排海口工程项目后评价</w:t>
      </w:r>
      <w:r>
        <w:rPr>
          <w:rFonts w:hint="eastAsia"/>
          <w:color w:val="000000" w:themeColor="text1"/>
          <w:u w:val="single"/>
          <w:lang w:val="en-US" w:eastAsia="zh-CN"/>
        </w:rPr>
        <w:t>服务控制价20万元</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1.参选人必须具备有效的企业法人营业执照，须具有独立法人资格，具备有效的营业执照或事业单位法人证书，并具备工程设计资质：水运行业甲级及以上资质。</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2.参选人没有失信黑名单记录（以最高院失信被执行人系统发布信息为准）。</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4.参选单位项目负责人资格要求： 1 人，担任本招标项目的项目负责人应具备注册咨询工程师且应是参选单位正式在岗职工（提供近一年社保缴交证明）。</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5.项目其他参与人员资格要求：至少有1人为港口航道高级工程师为本项目提供服务且应是参选单位正式在岗职工（提供近一年社保缴交证明）。</w:t>
      </w:r>
    </w:p>
    <w:p>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身份证复印件（正反面加盖单位公章)</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spacing w:line="360" w:lineRule="auto"/>
        <w:ind w:firstLine="480" w:firstLineChars="200"/>
        <w:rPr>
          <w:rFonts w:hint="eastAsia"/>
          <w:color w:val="000000" w:themeColor="text1"/>
          <w:sz w:val="24"/>
          <w:szCs w:val="24"/>
          <w:lang w:val="en-US" w:eastAsia="zh-CN"/>
        </w:rPr>
      </w:pPr>
      <w:bookmarkStart w:id="405" w:name="_GoBack"/>
      <w:r>
        <w:rPr>
          <w:rFonts w:hint="eastAsia"/>
          <w:color w:val="000000" w:themeColor="text1"/>
          <w:sz w:val="24"/>
          <w:szCs w:val="24"/>
          <w:lang w:eastAsia="zh-CN"/>
        </w:rPr>
        <w:t>（3）</w:t>
      </w:r>
      <w:r>
        <w:rPr>
          <w:rFonts w:hint="eastAsia"/>
          <w:color w:val="000000" w:themeColor="text1"/>
          <w:sz w:val="24"/>
          <w:szCs w:val="24"/>
          <w:lang w:val="en-US" w:eastAsia="zh-CN"/>
        </w:rPr>
        <w:t>水运行业甲级及以上工程设计资质证明</w:t>
      </w:r>
      <w:r>
        <w:rPr>
          <w:rFonts w:hint="eastAsia"/>
          <w:color w:val="000000" w:themeColor="text1"/>
          <w:sz w:val="24"/>
          <w:szCs w:val="24"/>
          <w:lang w:eastAsia="zh-CN"/>
        </w:rPr>
        <w:t>（加盖单位公章的扫描件）</w:t>
      </w:r>
      <w:r>
        <w:rPr>
          <w:rFonts w:hint="eastAsia"/>
          <w:color w:val="000000" w:themeColor="text1"/>
          <w:sz w:val="24"/>
          <w:szCs w:val="24"/>
          <w:lang w:val="en-US" w:eastAsia="zh-CN"/>
        </w:rPr>
        <w:t>；</w:t>
      </w:r>
    </w:p>
    <w:p>
      <w:pPr>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（4）需提供担任本项目负责人的注册咨询工程师证明文件及近一年社保缴交证明（加盖单位公章的扫描件）；</w:t>
      </w:r>
    </w:p>
    <w:p>
      <w:pPr>
        <w:tabs>
          <w:tab w:val="left" w:pos="709"/>
        </w:tabs>
        <w:spacing w:line="360" w:lineRule="auto"/>
        <w:ind w:firstLine="480" w:firstLineChars="200"/>
        <w:rPr>
          <w:rFonts w:hint="default" w:ascii="宋体" w:hAnsi="宋体" w:eastAsia="宋体" w:cs="宋体"/>
          <w:b w:val="0"/>
          <w:bCs w:val="0"/>
          <w:color w:val="000000" w:themeColor="text1"/>
          <w:sz w:val="24"/>
          <w:szCs w:val="24"/>
          <w:lang w:val="en-US" w:eastAsia="zh-CN" w:bidi="ar-SA"/>
        </w:rPr>
      </w:pPr>
      <w:r>
        <w:rPr>
          <w:rFonts w:hint="eastAsia" w:ascii="宋体" w:hAnsi="宋体" w:eastAsia="宋体" w:cs="宋体"/>
          <w:b w:val="0"/>
          <w:bCs w:val="0"/>
          <w:color w:val="000000" w:themeColor="text1"/>
          <w:sz w:val="24"/>
          <w:szCs w:val="24"/>
          <w:lang w:val="en-US" w:eastAsia="zh-CN" w:bidi="ar-SA"/>
        </w:rPr>
        <w:t>（5）</w:t>
      </w:r>
      <w:r>
        <w:rPr>
          <w:rFonts w:hint="eastAsia" w:cs="宋体"/>
          <w:b w:val="0"/>
          <w:bCs w:val="0"/>
          <w:color w:val="000000" w:themeColor="text1"/>
          <w:sz w:val="24"/>
          <w:szCs w:val="24"/>
          <w:lang w:val="en-US" w:eastAsia="zh-CN" w:bidi="ar-SA"/>
        </w:rPr>
        <w:t>需提供</w:t>
      </w:r>
      <w:r>
        <w:rPr>
          <w:rFonts w:hint="eastAsia"/>
          <w:color w:val="000000" w:themeColor="text1"/>
          <w:sz w:val="24"/>
          <w:szCs w:val="24"/>
          <w:lang w:val="en-US" w:eastAsia="zh-CN"/>
        </w:rPr>
        <w:t>至少1名港口航道高级工程师证明文件及近一年社保缴交证明</w:t>
      </w:r>
      <w:r>
        <w:rPr>
          <w:rFonts w:hint="eastAsia"/>
          <w:color w:val="000000" w:themeColor="text1"/>
          <w:sz w:val="24"/>
          <w:szCs w:val="24"/>
          <w:lang w:eastAsia="zh-CN"/>
        </w:rPr>
        <w:t>（加盖单位公章的扫描件）</w:t>
      </w:r>
      <w:r>
        <w:rPr>
          <w:rFonts w:hint="eastAsia"/>
          <w:color w:val="000000" w:themeColor="text1"/>
          <w:sz w:val="24"/>
          <w:szCs w:val="24"/>
          <w:lang w:val="en-US" w:eastAsia="zh-CN"/>
        </w:rPr>
        <w:t>。</w:t>
      </w:r>
    </w:p>
    <w:bookmarkEnd w:id="405"/>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r>
        <w:rPr>
          <w:rFonts w:hint="eastAsia"/>
          <w:color w:val="000000" w:themeColor="text1"/>
          <w:sz w:val="24"/>
          <w:szCs w:val="24"/>
          <w:lang w:val="en-US" w:eastAsia="zh-CN"/>
        </w:rPr>
        <w:t>17时</w:t>
      </w:r>
      <w:r>
        <w:rPr>
          <w:rFonts w:hint="eastAsia"/>
          <w:color w:val="000000" w:themeColor="text1"/>
          <w:sz w:val="24"/>
          <w:szCs w:val="24"/>
          <w:lang w:eastAsia="zh-CN"/>
        </w:rPr>
        <w:t>。</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五、参选保证金</w:t>
      </w:r>
    </w:p>
    <w:p>
      <w:pPr>
        <w:pStyle w:val="1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b/>
          <w:bCs/>
          <w:color w:val="000000" w:themeColor="text1"/>
          <w:lang w:val="en-US" w:eastAsia="zh-CN"/>
        </w:rPr>
        <w:t>8000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spacing w:line="360" w:lineRule="auto"/>
        <w:ind w:right="121"/>
        <w:jc w:val="both"/>
        <w:rPr>
          <w:color w:val="000000" w:themeColor="text1"/>
          <w:lang w:eastAsia="zh-CN"/>
        </w:rPr>
      </w:pPr>
      <w:r>
        <w:rPr>
          <w:rFonts w:hint="eastAsia"/>
          <w:color w:val="000000" w:themeColor="text1"/>
          <w:lang w:eastAsia="zh-CN"/>
        </w:rPr>
        <w:t xml:space="preserve">    注明用途：南8号泊位工程和排海口工程项目评价服务项目采购参选</w:t>
      </w:r>
      <w:r>
        <w:rPr>
          <w:color w:val="000000" w:themeColor="text1"/>
          <w:lang w:eastAsia="zh-CN"/>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9"/>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9"/>
        <w:spacing w:line="360" w:lineRule="auto"/>
        <w:ind w:right="121"/>
        <w:jc w:val="both"/>
        <w:rPr>
          <w:color w:val="000000" w:themeColor="text1"/>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19"/>
        <w:spacing w:line="360" w:lineRule="auto"/>
        <w:ind w:right="121"/>
        <w:jc w:val="both"/>
        <w:rPr>
          <w:lang w:eastAsia="zh-CN"/>
        </w:rPr>
      </w:pPr>
      <w:r>
        <w:rPr>
          <w:rFonts w:hint="eastAsia"/>
          <w:lang w:eastAsia="zh-CN"/>
        </w:rPr>
        <w:t xml:space="preserve">    5.如有下列情况发生，将被没收参选保证金：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 xml:space="preserve">技术联系人：冯怀伟 </w:t>
      </w:r>
      <w:r>
        <w:rPr>
          <w:rFonts w:hint="eastAsia"/>
          <w:color w:val="000000" w:themeColor="text1"/>
          <w:sz w:val="24"/>
          <w:szCs w:val="24"/>
          <w:lang w:eastAsia="zh-CN"/>
        </w:rPr>
        <w:t>电话：</w:t>
      </w:r>
      <w:r>
        <w:rPr>
          <w:rFonts w:hint="eastAsia"/>
          <w:color w:val="000000" w:themeColor="text1"/>
          <w:sz w:val="24"/>
          <w:szCs w:val="24"/>
          <w:lang w:val="en-US" w:eastAsia="zh-CN"/>
        </w:rPr>
        <w:t>0596-6310562 邮箱：</w:t>
      </w:r>
      <w:r>
        <w:rPr>
          <w:rFonts w:hint="eastAsia"/>
          <w:color w:val="000000" w:themeColor="text1"/>
          <w:sz w:val="24"/>
          <w:szCs w:val="24"/>
          <w:lang w:eastAsia="zh-CN"/>
        </w:rPr>
        <w:t>hwfeng@fhcpec.com.cn</w:t>
      </w:r>
      <w:r>
        <w:rPr>
          <w:rFonts w:ascii="Arial" w:hAnsi="Arial" w:eastAsia="宋体" w:cs="Arial"/>
          <w:color w:val="111111"/>
          <w:sz w:val="18"/>
          <w:szCs w:val="18"/>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16</w:t>
      </w:r>
      <w:r>
        <w:rPr>
          <w:rFonts w:hint="eastAsia"/>
          <w:color w:val="000000" w:themeColor="text1"/>
          <w:sz w:val="24"/>
          <w:szCs w:val="24"/>
          <w:lang w:eastAsia="zh-CN"/>
        </w:rPr>
        <w:t>日</w:t>
      </w:r>
    </w:p>
    <w:p>
      <w:pPr>
        <w:pStyle w:val="3"/>
        <w:tabs>
          <w:tab w:val="left" w:pos="1262"/>
        </w:tabs>
        <w:spacing w:line="360" w:lineRule="auto"/>
        <w:ind w:left="0" w:right="108"/>
        <w:jc w:val="center"/>
        <w:rPr>
          <w:sz w:val="24"/>
          <w:szCs w:val="24"/>
          <w:lang w:eastAsia="zh-CN"/>
        </w:rPr>
      </w:pPr>
    </w:p>
    <w:p>
      <w:pPr>
        <w:rPr>
          <w:lang w:eastAsia="zh-CN"/>
        </w:rPr>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福建福海创石油化工有限公司南8号泊位工程和排海口工程项目评价服务项目</w:t>
      </w:r>
      <w:r>
        <w:rPr>
          <w:color w:val="000000" w:themeColor="text1"/>
          <w:lang w:eastAsia="zh-CN"/>
        </w:rPr>
        <w:t>采购</w:t>
      </w:r>
    </w:p>
    <w:p>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19"/>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jc w:val="both"/>
        <w:rPr>
          <w:rFonts w:hint="eastAsia"/>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冯怀伟</w:t>
      </w:r>
      <w:r>
        <w:rPr>
          <w:rFonts w:hint="eastAsia"/>
          <w:lang w:eastAsia="zh-CN"/>
        </w:rPr>
        <w:t xml:space="preserve"> </w:t>
      </w:r>
      <w:r>
        <w:rPr>
          <w:rFonts w:hint="eastAsia"/>
          <w:lang w:val="en-US" w:eastAsia="zh-CN"/>
        </w:rPr>
        <w:t xml:space="preserve"> </w:t>
      </w:r>
      <w:r>
        <w:rPr>
          <w:rFonts w:hint="eastAsia"/>
          <w:color w:val="000000" w:themeColor="text1"/>
          <w:sz w:val="24"/>
          <w:szCs w:val="24"/>
          <w:lang w:val="en-US" w:eastAsia="zh-CN"/>
        </w:rPr>
        <w:t>0596-6310562，</w:t>
      </w:r>
      <w:r>
        <w:rPr>
          <w:rFonts w:hint="eastAsia"/>
          <w:color w:val="000000" w:themeColor="text1"/>
          <w:sz w:val="24"/>
          <w:szCs w:val="24"/>
          <w:lang w:eastAsia="zh-CN"/>
        </w:rPr>
        <w:t>hwfeng@fhcpec.com.cn</w:t>
      </w:r>
      <w:r>
        <w:rPr>
          <w:rFonts w:hint="eastAsia"/>
          <w:lang w:eastAsia="zh-CN"/>
        </w:rPr>
        <w:t>n</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1.参选人必须具备有效的企业法人营业执照，须具有独立法人资格，具备有效的营业执照或事业单位法人证书，并具备工程设计资质：水运行业甲级及以上资质。</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2.参选人没有失信黑名单记录（以最高院失信被执行人系统发布信息为准）。</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4.参选单位项目负责人资格要求： 1 人，担任本招标项目的项目负责人应具备注册咨询工程师且应是参选人单位正式在岗职工（提供近一年社保缴交证明）。</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5.项目其他参与人员资格要求：至少有1人为港口航道高级工程师为本项目提供服务且应是参选单位正式在岗职工（提供近一年社保缴交证明）。</w:t>
      </w:r>
    </w:p>
    <w:p>
      <w:pPr>
        <w:pStyle w:val="19"/>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1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b/>
          <w:bCs/>
          <w:color w:val="000000" w:themeColor="text1"/>
          <w:lang w:val="en-US" w:eastAsia="zh-CN"/>
        </w:rPr>
        <w:t>8000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spacing w:line="360" w:lineRule="auto"/>
        <w:ind w:right="121"/>
        <w:jc w:val="both"/>
        <w:rPr>
          <w:color w:val="000000" w:themeColor="text1"/>
          <w:lang w:eastAsia="zh-CN"/>
        </w:rPr>
      </w:pPr>
      <w:r>
        <w:rPr>
          <w:rFonts w:hint="eastAsia"/>
          <w:color w:val="000000" w:themeColor="text1"/>
          <w:lang w:eastAsia="zh-CN"/>
        </w:rPr>
        <w:t xml:space="preserve">    注明用途：南8号泊位工程和排海口工程项目评价服务项目采购参选</w:t>
      </w:r>
      <w:r>
        <w:rPr>
          <w:color w:val="000000" w:themeColor="text1"/>
          <w:lang w:eastAsia="zh-CN"/>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9"/>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9"/>
        <w:spacing w:line="360" w:lineRule="auto"/>
        <w:ind w:right="121"/>
        <w:jc w:val="both"/>
        <w:rPr>
          <w:color w:val="000000" w:themeColor="text1"/>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19"/>
        <w:spacing w:line="360" w:lineRule="auto"/>
        <w:ind w:right="121"/>
        <w:jc w:val="both"/>
        <w:rPr>
          <w:lang w:eastAsia="zh-CN"/>
        </w:rPr>
      </w:pPr>
      <w:r>
        <w:rPr>
          <w:rFonts w:hint="eastAsia"/>
          <w:lang w:eastAsia="zh-CN"/>
        </w:rPr>
        <w:t xml:space="preserve">    5.如有下列情况发生，将被没收参选保证金：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2"/>
        <w:tabs>
          <w:tab w:val="left" w:pos="6879"/>
        </w:tabs>
        <w:spacing w:before="107" w:line="321" w:lineRule="auto"/>
        <w:ind w:left="0" w:right="106"/>
        <w:rPr>
          <w:rFonts w:hint="default"/>
          <w:b w:val="0"/>
          <w:color w:val="000000" w:themeColor="text1"/>
          <w:lang w:val="en-US"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2022年   月    日17时。</w:t>
      </w:r>
    </w:p>
    <w:p>
      <w:pPr>
        <w:pStyle w:val="2"/>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2"/>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9"/>
        <w:spacing w:line="360" w:lineRule="auto"/>
        <w:ind w:right="121" w:firstLine="480" w:firstLineChars="200"/>
        <w:jc w:val="both"/>
        <w:rPr>
          <w:rFonts w:hint="default"/>
          <w:lang w:val="en-US" w:eastAsia="zh-CN"/>
        </w:rPr>
      </w:pPr>
      <w:r>
        <w:rPr>
          <w:rFonts w:hint="eastAsia"/>
          <w:lang w:val="en-US" w:eastAsia="zh-CN"/>
        </w:rPr>
        <w:t>技术参选文件，见附件各格式，平装或胶装。</w:t>
      </w:r>
    </w:p>
    <w:p>
      <w:pPr>
        <w:pStyle w:val="19"/>
        <w:spacing w:line="360" w:lineRule="auto"/>
        <w:ind w:right="121" w:firstLine="480" w:firstLineChars="200"/>
        <w:jc w:val="both"/>
        <w:rPr>
          <w:rFonts w:hint="eastAsia"/>
          <w:lang w:eastAsia="zh-CN"/>
        </w:rPr>
      </w:pPr>
      <w:r>
        <w:rPr>
          <w:rFonts w:hint="eastAsia"/>
          <w:lang w:eastAsia="zh-CN"/>
        </w:rPr>
        <w:t>商务报价文件，见附件商务报价函格式,</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w:t>
      </w:r>
      <w:r>
        <w:rPr>
          <w:rFonts w:hint="eastAsia"/>
          <w:lang w:val="en-US" w:eastAsia="zh-CN"/>
        </w:rPr>
        <w:t>资质</w:t>
      </w:r>
      <w:r>
        <w:rPr>
          <w:rFonts w:hint="eastAsia"/>
          <w:lang w:eastAsia="zh-CN"/>
        </w:rPr>
        <w:t>文件进行评选，</w:t>
      </w:r>
      <w:r>
        <w:rPr>
          <w:rFonts w:hint="eastAsia"/>
          <w:lang w:val="en-US" w:eastAsia="zh-CN"/>
        </w:rPr>
        <w:t>资质</w:t>
      </w:r>
      <w:r>
        <w:rPr>
          <w:rFonts w:hint="eastAsia"/>
          <w:lang w:eastAsia="zh-CN"/>
        </w:rPr>
        <w:t>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w:t>
      </w:r>
      <w:r>
        <w:rPr>
          <w:b/>
          <w:bCs/>
          <w:lang w:eastAsia="zh-CN"/>
        </w:rPr>
        <w:t>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rFonts w:hint="eastAsia"/>
        </w:rPr>
      </w:pPr>
      <w:r>
        <w:rPr>
          <w:rFonts w:hint="eastAsia"/>
          <w:lang w:eastAsia="zh-CN"/>
        </w:rPr>
        <w:t>本项目采用商务报价决标的评标办法，选择未税包干总价最低者作为中选单位。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color w:val="FF0000"/>
          <w:lang w:val="en-US" w:eastAsia="zh-CN"/>
        </w:rPr>
        <w:t>翔鹭石化（漳州）有限公司</w:t>
      </w:r>
      <w:r>
        <w:rPr>
          <w:rStyle w:val="49"/>
          <w:rFonts w:hint="eastAsia"/>
          <w:color w:val="FF0000"/>
          <w:lang w:eastAsia="zh-CN"/>
        </w:rPr>
        <w:t>”、“翔鹭码头投资管理（漳州）有限公司”作为本合同执行主体，将于中选结果公示流程结束之日起30日内与中选人完成合同签订事宜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59"/>
      </w:pPr>
    </w:p>
    <w:p>
      <w:pPr>
        <w:pStyle w:val="59"/>
      </w:pPr>
    </w:p>
    <w:p>
      <w:pPr>
        <w:pStyle w:val="59"/>
      </w:pPr>
    </w:p>
    <w:p>
      <w:pPr>
        <w:pStyle w:val="59"/>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pStyle w:val="24"/>
        <w:spacing w:line="400" w:lineRule="exact"/>
        <w:jc w:val="center"/>
        <w:rPr>
          <w:rFonts w:hAnsi="宋体"/>
          <w:b/>
          <w:sz w:val="28"/>
          <w:szCs w:val="28"/>
        </w:rPr>
      </w:pPr>
      <w:r>
        <w:rPr>
          <w:rFonts w:hint="eastAsia" w:hAnsi="宋体"/>
          <w:b/>
          <w:sz w:val="28"/>
          <w:szCs w:val="28"/>
        </w:rPr>
        <w:t>技术服务合同</w:t>
      </w:r>
    </w:p>
    <w:p>
      <w:pPr>
        <w:pStyle w:val="24"/>
        <w:spacing w:line="400" w:lineRule="exact"/>
        <w:jc w:val="center"/>
        <w:rPr>
          <w:rFonts w:hAnsi="宋体"/>
          <w:b/>
          <w:sz w:val="28"/>
          <w:szCs w:val="28"/>
        </w:rPr>
      </w:pPr>
      <w:r>
        <w:rPr>
          <w:rFonts w:hint="eastAsia" w:hAnsi="宋体"/>
          <w:szCs w:val="21"/>
        </w:rPr>
        <w:t xml:space="preserve">       合同编号：</w:t>
      </w:r>
    </w:p>
    <w:p>
      <w:pPr>
        <w:pStyle w:val="24"/>
        <w:spacing w:line="400" w:lineRule="exact"/>
        <w:jc w:val="left"/>
        <w:rPr>
          <w:rFonts w:hAnsi="宋体"/>
          <w:szCs w:val="21"/>
        </w:rPr>
      </w:pPr>
      <w:r>
        <w:rPr>
          <w:rFonts w:hint="eastAsia" w:hAnsi="宋体"/>
          <w:szCs w:val="21"/>
        </w:rPr>
        <w:t xml:space="preserve">                                          </w:t>
      </w:r>
      <w:r>
        <w:rPr>
          <w:rFonts w:hint="eastAsia" w:hAnsi="宋体"/>
          <w:szCs w:val="21"/>
          <w:lang w:val="en-US" w:eastAsia="zh-CN"/>
        </w:rPr>
        <w:t xml:space="preserve"> </w:t>
      </w:r>
      <w:r>
        <w:rPr>
          <w:rFonts w:hint="eastAsia" w:hAnsi="宋体"/>
          <w:szCs w:val="21"/>
        </w:rPr>
        <w:t>签订日期：    年    月    日</w:t>
      </w:r>
    </w:p>
    <w:p>
      <w:pPr>
        <w:pStyle w:val="24"/>
        <w:spacing w:line="400" w:lineRule="exact"/>
        <w:jc w:val="left"/>
        <w:rPr>
          <w:rFonts w:hAnsi="宋体"/>
          <w:szCs w:val="21"/>
        </w:rPr>
      </w:pPr>
      <w:r>
        <w:rPr>
          <w:rFonts w:hint="eastAsia" w:hAnsi="宋体"/>
          <w:szCs w:val="21"/>
        </w:rPr>
        <w:t xml:space="preserve">                                          </w:t>
      </w:r>
      <w:r>
        <w:rPr>
          <w:rFonts w:hint="eastAsia" w:hAnsi="宋体"/>
          <w:szCs w:val="21"/>
          <w:lang w:val="en-US" w:eastAsia="zh-CN"/>
        </w:rPr>
        <w:t xml:space="preserve"> </w:t>
      </w:r>
      <w:r>
        <w:rPr>
          <w:rFonts w:hint="eastAsia" w:hAnsi="宋体"/>
          <w:szCs w:val="21"/>
        </w:rPr>
        <w:t>签订地点：福建漳州杜浔</w:t>
      </w:r>
    </w:p>
    <w:p>
      <w:pPr>
        <w:pStyle w:val="24"/>
        <w:spacing w:line="400" w:lineRule="exact"/>
        <w:jc w:val="left"/>
        <w:rPr>
          <w:rFonts w:hAnsi="宋体"/>
          <w:szCs w:val="21"/>
        </w:rPr>
      </w:pPr>
    </w:p>
    <w:p>
      <w:pPr>
        <w:pStyle w:val="24"/>
        <w:spacing w:line="400" w:lineRule="exact"/>
        <w:jc w:val="left"/>
        <w:rPr>
          <w:rFonts w:eastAsia="仿宋_GB2312"/>
          <w:b/>
          <w:color w:val="000000"/>
          <w:sz w:val="28"/>
          <w:u w:val="single"/>
        </w:rPr>
      </w:pPr>
      <w:r>
        <w:rPr>
          <w:rFonts w:hAnsi="宋体"/>
          <w:szCs w:val="21"/>
        </w:rPr>
        <w:t>委托方（甲方）</w:t>
      </w:r>
      <w:r>
        <w:rPr>
          <w:rFonts w:hint="eastAsia" w:hAnsi="宋体"/>
          <w:szCs w:val="21"/>
        </w:rPr>
        <w:t>：</w:t>
      </w:r>
      <w:r>
        <w:rPr>
          <w:rFonts w:hint="eastAsia" w:eastAsia="仿宋_GB2312"/>
          <w:b/>
          <w:color w:val="000000"/>
          <w:sz w:val="28"/>
          <w:u w:val="single"/>
        </w:rPr>
        <w:t>翔鹭石化（漳州）有限公司</w:t>
      </w:r>
    </w:p>
    <w:p>
      <w:pPr>
        <w:pStyle w:val="24"/>
        <w:spacing w:line="400" w:lineRule="exact"/>
        <w:jc w:val="left"/>
        <w:rPr>
          <w:rFonts w:hint="eastAsia" w:hAnsi="宋体"/>
          <w:szCs w:val="21"/>
        </w:rPr>
      </w:pPr>
    </w:p>
    <w:p>
      <w:pPr>
        <w:pStyle w:val="24"/>
        <w:spacing w:line="400" w:lineRule="exact"/>
        <w:ind w:firstLine="1687" w:firstLineChars="600"/>
        <w:jc w:val="left"/>
        <w:rPr>
          <w:rFonts w:eastAsia="仿宋_GB2312"/>
          <w:b/>
          <w:color w:val="000000"/>
          <w:sz w:val="28"/>
          <w:u w:val="single"/>
        </w:rPr>
      </w:pPr>
      <w:r>
        <w:rPr>
          <w:rFonts w:hint="eastAsia" w:eastAsia="仿宋_GB2312"/>
          <w:b/>
          <w:color w:val="000000"/>
          <w:sz w:val="28"/>
          <w:u w:val="single"/>
        </w:rPr>
        <w:t>翔鹭码头投资管理（漳州）有限公司</w:t>
      </w:r>
    </w:p>
    <w:p>
      <w:pPr>
        <w:pStyle w:val="24"/>
        <w:spacing w:line="400" w:lineRule="exact"/>
        <w:jc w:val="left"/>
        <w:rPr>
          <w:rFonts w:eastAsia="仿宋_GB2312"/>
          <w:b/>
          <w:color w:val="000000"/>
          <w:sz w:val="28"/>
          <w:u w:val="single"/>
        </w:rPr>
      </w:pPr>
    </w:p>
    <w:p>
      <w:pPr>
        <w:pStyle w:val="24"/>
        <w:spacing w:line="400" w:lineRule="exact"/>
        <w:jc w:val="left"/>
        <w:rPr>
          <w:rFonts w:hint="default" w:hAnsi="宋体" w:eastAsia="宋体"/>
          <w:szCs w:val="21"/>
          <w:u w:val="single"/>
          <w:lang w:val="en-US" w:eastAsia="zh-CN"/>
        </w:rPr>
      </w:pPr>
      <w:r>
        <w:rPr>
          <w:rFonts w:hAnsi="宋体"/>
          <w:szCs w:val="21"/>
        </w:rPr>
        <w:t>项目联系人</w:t>
      </w:r>
      <w:r>
        <w:rPr>
          <w:rFonts w:hint="eastAsia" w:hAnsi="宋体"/>
          <w:szCs w:val="21"/>
        </w:rPr>
        <w:t>：</w:t>
      </w:r>
      <w:r>
        <w:rPr>
          <w:rFonts w:hint="eastAsia" w:hAnsi="宋体"/>
          <w:szCs w:val="21"/>
          <w:u w:val="single"/>
          <w:lang w:val="en-US" w:eastAsia="zh-CN"/>
        </w:rPr>
        <w:t xml:space="preserve">冯怀伟 </w:t>
      </w:r>
    </w:p>
    <w:p>
      <w:pPr>
        <w:pStyle w:val="24"/>
        <w:spacing w:line="400" w:lineRule="exact"/>
        <w:jc w:val="left"/>
        <w:rPr>
          <w:rFonts w:hint="default" w:hAnsi="宋体" w:eastAsia="仿宋_GB2312"/>
          <w:szCs w:val="21"/>
          <w:u w:val="single"/>
          <w:lang w:val="en-US" w:eastAsia="zh-CN"/>
        </w:rPr>
      </w:pPr>
      <w:r>
        <w:rPr>
          <w:rFonts w:hAnsi="宋体"/>
          <w:szCs w:val="21"/>
        </w:rPr>
        <w:t>电    话</w:t>
      </w:r>
      <w:r>
        <w:rPr>
          <w:rFonts w:hint="eastAsia" w:hAnsi="宋体"/>
          <w:szCs w:val="21"/>
        </w:rPr>
        <w:t>：</w:t>
      </w:r>
      <w:r>
        <w:rPr>
          <w:rFonts w:hint="eastAsia" w:hAnsi="宋体"/>
          <w:szCs w:val="21"/>
          <w:u w:val="single"/>
          <w:lang w:val="en-US" w:eastAsia="zh-CN"/>
        </w:rPr>
        <w:t xml:space="preserve"> 0596-6310562</w:t>
      </w:r>
    </w:p>
    <w:p>
      <w:pPr>
        <w:pStyle w:val="24"/>
        <w:spacing w:line="400" w:lineRule="exact"/>
        <w:jc w:val="left"/>
        <w:rPr>
          <w:rFonts w:hAnsi="宋体"/>
          <w:szCs w:val="21"/>
        </w:rPr>
      </w:pPr>
    </w:p>
    <w:p>
      <w:pPr>
        <w:pStyle w:val="24"/>
        <w:spacing w:line="400" w:lineRule="exact"/>
        <w:jc w:val="left"/>
        <w:rPr>
          <w:rFonts w:hint="default" w:hAnsi="宋体" w:eastAsia="宋体"/>
          <w:szCs w:val="21"/>
          <w:u w:val="single"/>
          <w:lang w:val="en-US" w:eastAsia="zh-CN"/>
        </w:rPr>
      </w:pPr>
      <w:r>
        <w:rPr>
          <w:rFonts w:hAnsi="宋体"/>
          <w:szCs w:val="21"/>
        </w:rPr>
        <w:t>受托方（乙方）</w:t>
      </w:r>
      <w:r>
        <w:rPr>
          <w:rFonts w:hint="eastAsia" w:hAnsi="宋体"/>
          <w:szCs w:val="21"/>
        </w:rPr>
        <w:t>：</w:t>
      </w:r>
      <w:r>
        <w:rPr>
          <w:rFonts w:hint="eastAsia" w:hAnsi="宋体"/>
          <w:szCs w:val="21"/>
          <w:u w:val="single"/>
          <w:lang w:val="en-US" w:eastAsia="zh-CN"/>
        </w:rPr>
        <w:t xml:space="preserve">                        </w:t>
      </w:r>
    </w:p>
    <w:p>
      <w:pPr>
        <w:pStyle w:val="24"/>
        <w:spacing w:line="400" w:lineRule="exact"/>
        <w:jc w:val="left"/>
        <w:rPr>
          <w:rFonts w:hAnsi="宋体"/>
          <w:szCs w:val="21"/>
        </w:rPr>
      </w:pPr>
      <w:r>
        <w:rPr>
          <w:rFonts w:hAnsi="宋体"/>
          <w:szCs w:val="21"/>
        </w:rPr>
        <w:t>住  所  地</w:t>
      </w:r>
      <w:r>
        <w:rPr>
          <w:rFonts w:hint="eastAsia" w:hAnsi="宋体"/>
          <w:szCs w:val="21"/>
        </w:rPr>
        <w:t>：</w:t>
      </w:r>
      <w:r>
        <w:rPr>
          <w:rFonts w:hint="eastAsia" w:hAnsi="宋体"/>
          <w:szCs w:val="21"/>
          <w:u w:val="single"/>
          <w:lang w:val="en-US" w:eastAsia="zh-CN"/>
        </w:rPr>
        <w:t xml:space="preserve">                        </w:t>
      </w:r>
    </w:p>
    <w:p>
      <w:pPr>
        <w:pStyle w:val="24"/>
        <w:spacing w:line="400" w:lineRule="exact"/>
        <w:jc w:val="left"/>
        <w:rPr>
          <w:rFonts w:hAnsi="宋体"/>
          <w:szCs w:val="21"/>
        </w:rPr>
      </w:pPr>
      <w:r>
        <w:rPr>
          <w:rFonts w:hAnsi="宋体"/>
          <w:szCs w:val="21"/>
        </w:rPr>
        <w:t>法定代表人</w:t>
      </w:r>
      <w:r>
        <w:rPr>
          <w:rFonts w:hint="eastAsia" w:hAnsi="宋体"/>
          <w:szCs w:val="21"/>
        </w:rPr>
        <w:t>：</w:t>
      </w:r>
      <w:r>
        <w:rPr>
          <w:rFonts w:hint="eastAsia" w:hAnsi="宋体"/>
          <w:szCs w:val="21"/>
          <w:u w:val="single"/>
          <w:lang w:val="en-US" w:eastAsia="zh-CN"/>
        </w:rPr>
        <w:t xml:space="preserve">                        </w:t>
      </w:r>
    </w:p>
    <w:p>
      <w:pPr>
        <w:pStyle w:val="24"/>
        <w:spacing w:line="400" w:lineRule="exact"/>
        <w:jc w:val="left"/>
        <w:rPr>
          <w:rFonts w:hAnsi="宋体"/>
          <w:szCs w:val="21"/>
        </w:rPr>
      </w:pPr>
      <w:r>
        <w:rPr>
          <w:rFonts w:hAnsi="宋体"/>
          <w:szCs w:val="21"/>
        </w:rPr>
        <w:t>通讯地址</w:t>
      </w:r>
      <w:r>
        <w:rPr>
          <w:rFonts w:hint="eastAsia" w:hAnsi="宋体"/>
          <w:szCs w:val="21"/>
        </w:rPr>
        <w:t>：</w:t>
      </w:r>
      <w:r>
        <w:rPr>
          <w:rFonts w:hint="eastAsia" w:hAnsi="宋体"/>
          <w:szCs w:val="21"/>
          <w:u w:val="single"/>
          <w:lang w:val="en-US" w:eastAsia="zh-CN"/>
        </w:rPr>
        <w:t xml:space="preserve">                        </w:t>
      </w:r>
    </w:p>
    <w:p>
      <w:pPr>
        <w:pStyle w:val="24"/>
        <w:spacing w:line="400" w:lineRule="exact"/>
        <w:jc w:val="left"/>
        <w:rPr>
          <w:rFonts w:hAnsi="宋体"/>
          <w:szCs w:val="21"/>
        </w:rPr>
      </w:pPr>
      <w:r>
        <w:rPr>
          <w:rFonts w:hAnsi="宋体"/>
          <w:szCs w:val="21"/>
        </w:rPr>
        <w:t>电    话</w:t>
      </w:r>
      <w:r>
        <w:rPr>
          <w:rFonts w:hint="eastAsia" w:hAnsi="宋体"/>
          <w:szCs w:val="21"/>
        </w:rPr>
        <w:t>：</w:t>
      </w:r>
      <w:r>
        <w:rPr>
          <w:rFonts w:hint="eastAsia" w:hAnsi="宋体"/>
          <w:szCs w:val="21"/>
          <w:u w:val="single"/>
          <w:lang w:val="en-US" w:eastAsia="zh-CN"/>
        </w:rPr>
        <w:t xml:space="preserve">                        </w:t>
      </w:r>
    </w:p>
    <w:p>
      <w:pPr>
        <w:pStyle w:val="24"/>
        <w:spacing w:line="400" w:lineRule="exact"/>
        <w:jc w:val="left"/>
        <w:rPr>
          <w:rFonts w:hAnsi="宋体"/>
          <w:szCs w:val="21"/>
        </w:rPr>
      </w:pPr>
      <w:r>
        <w:rPr>
          <w:rFonts w:hAnsi="宋体"/>
          <w:szCs w:val="21"/>
        </w:rPr>
        <w:t>传    真：</w:t>
      </w:r>
      <w:r>
        <w:rPr>
          <w:rFonts w:hint="eastAsia" w:hAnsi="宋体"/>
          <w:szCs w:val="21"/>
          <w:u w:val="single"/>
          <w:lang w:val="en-US" w:eastAsia="zh-CN"/>
        </w:rPr>
        <w:t xml:space="preserve">                        </w:t>
      </w:r>
    </w:p>
    <w:p>
      <w:pPr>
        <w:pStyle w:val="24"/>
        <w:spacing w:line="400" w:lineRule="exact"/>
        <w:jc w:val="left"/>
        <w:rPr>
          <w:rFonts w:hAnsi="宋体"/>
          <w:szCs w:val="21"/>
        </w:rPr>
      </w:pPr>
      <w:r>
        <w:rPr>
          <w:rFonts w:hAnsi="宋体"/>
          <w:szCs w:val="21"/>
        </w:rPr>
        <w:t>电子信箱</w:t>
      </w:r>
      <w:r>
        <w:rPr>
          <w:rFonts w:hint="eastAsia" w:hAnsi="宋体"/>
          <w:szCs w:val="21"/>
        </w:rPr>
        <w:t>：</w:t>
      </w:r>
      <w:r>
        <w:rPr>
          <w:rFonts w:hint="eastAsia" w:hAnsi="宋体"/>
          <w:szCs w:val="21"/>
          <w:u w:val="single"/>
          <w:lang w:val="en-US" w:eastAsia="zh-CN"/>
        </w:rPr>
        <w:t xml:space="preserve">                        </w:t>
      </w:r>
    </w:p>
    <w:p>
      <w:pPr>
        <w:pStyle w:val="24"/>
        <w:spacing w:line="400" w:lineRule="exact"/>
        <w:jc w:val="left"/>
        <w:rPr>
          <w:rFonts w:hAnsi="宋体"/>
          <w:szCs w:val="21"/>
        </w:rPr>
      </w:pPr>
      <w:r>
        <w:rPr>
          <w:rFonts w:hint="eastAsia" w:hAnsi="宋体"/>
          <w:szCs w:val="21"/>
        </w:rPr>
        <w:t xml:space="preserve">    </w:t>
      </w:r>
    </w:p>
    <w:p>
      <w:pPr>
        <w:pStyle w:val="24"/>
        <w:spacing w:line="400" w:lineRule="exact"/>
        <w:jc w:val="left"/>
        <w:rPr>
          <w:rFonts w:hAnsi="宋体"/>
          <w:szCs w:val="21"/>
        </w:rPr>
      </w:pPr>
    </w:p>
    <w:p>
      <w:pPr>
        <w:pStyle w:val="24"/>
        <w:spacing w:line="400" w:lineRule="exact"/>
        <w:jc w:val="left"/>
        <w:rPr>
          <w:rFonts w:hAnsi="宋体"/>
          <w:szCs w:val="21"/>
        </w:rPr>
      </w:pPr>
      <w:r>
        <w:rPr>
          <w:rFonts w:hint="eastAsia" w:hAnsi="宋体"/>
          <w:szCs w:val="21"/>
        </w:rPr>
        <w:t xml:space="preserve">    本合同由甲方委托乙方就</w:t>
      </w:r>
      <w:r>
        <w:rPr>
          <w:rFonts w:hint="eastAsia" w:hAnsi="宋体"/>
          <w:szCs w:val="21"/>
          <w:u w:val="single"/>
        </w:rPr>
        <w:t xml:space="preserve">  福建福海创石油化工有限公司</w:t>
      </w:r>
      <w:r>
        <w:rPr>
          <w:rFonts w:hint="eastAsia" w:hAnsi="宋体"/>
          <w:szCs w:val="21"/>
          <w:u w:val="single"/>
          <w:lang w:eastAsia="zh-CN"/>
        </w:rPr>
        <w:t>南8号泊位工程和排海口工程项目评价服务</w:t>
      </w:r>
      <w:r>
        <w:rPr>
          <w:rFonts w:hint="eastAsia" w:hAnsi="宋体"/>
          <w:szCs w:val="21"/>
          <w:u w:val="single"/>
        </w:rPr>
        <w:t>项目</w:t>
      </w:r>
      <w:r>
        <w:rPr>
          <w:rFonts w:hint="eastAsia" w:hAnsi="宋体"/>
          <w:szCs w:val="21"/>
          <w:u w:val="single"/>
          <w:lang w:val="en-US" w:eastAsia="zh-CN"/>
        </w:rPr>
        <w:t xml:space="preserve"> </w:t>
      </w:r>
      <w:r>
        <w:rPr>
          <w:rFonts w:hint="eastAsia" w:hAnsi="宋体"/>
          <w:szCs w:val="21"/>
        </w:rPr>
        <w:t>进行技术服务及咨询，并支付技术服务及咨询报酬。双方经过平等协商，在真实、充分地表达各自意愿的基础上，根据《中华人民共和国</w:t>
      </w:r>
      <w:r>
        <w:rPr>
          <w:rFonts w:hint="eastAsia" w:hAnsi="宋体"/>
          <w:szCs w:val="21"/>
          <w:lang w:val="en-US" w:eastAsia="zh-CN"/>
        </w:rPr>
        <w:t>民法典</w:t>
      </w:r>
      <w:r>
        <w:rPr>
          <w:rFonts w:hint="eastAsia" w:hAnsi="宋体"/>
          <w:szCs w:val="21"/>
        </w:rPr>
        <w:t>》的规定，达成如下协议，并由双方共同恪守。</w:t>
      </w:r>
    </w:p>
    <w:p>
      <w:pPr>
        <w:pStyle w:val="24"/>
        <w:spacing w:line="400" w:lineRule="exact"/>
        <w:jc w:val="left"/>
        <w:rPr>
          <w:rFonts w:hAnsi="宋体"/>
          <w:szCs w:val="21"/>
        </w:rPr>
      </w:pPr>
      <w:r>
        <w:rPr>
          <w:rFonts w:hint="eastAsia" w:hAnsi="宋体"/>
          <w:szCs w:val="21"/>
        </w:rPr>
        <w:t xml:space="preserve">    第一条　乙方进行技术咨询的内容、要求、方式：</w:t>
      </w:r>
    </w:p>
    <w:p>
      <w:pPr>
        <w:pStyle w:val="24"/>
        <w:spacing w:line="400" w:lineRule="exact"/>
        <w:jc w:val="left"/>
        <w:rPr>
          <w:rFonts w:hAnsi="宋体"/>
          <w:szCs w:val="21"/>
        </w:rPr>
      </w:pPr>
      <w:r>
        <w:rPr>
          <w:rFonts w:hint="eastAsia" w:hAnsi="宋体"/>
          <w:szCs w:val="21"/>
        </w:rPr>
        <w:t xml:space="preserve">   本合同由甲方委托乙方就</w:t>
      </w:r>
      <w:r>
        <w:rPr>
          <w:rFonts w:hint="eastAsia" w:hAnsi="宋体"/>
          <w:szCs w:val="21"/>
          <w:u w:val="single"/>
        </w:rPr>
        <w:t xml:space="preserve"> 福建福海创石油化工有限公司</w:t>
      </w:r>
      <w:r>
        <w:rPr>
          <w:rFonts w:hint="eastAsia" w:hAnsi="宋体"/>
          <w:szCs w:val="21"/>
          <w:u w:val="single"/>
          <w:lang w:eastAsia="zh-CN"/>
        </w:rPr>
        <w:t>南8号泊位工程和排海口工程项目评价服务</w:t>
      </w:r>
      <w:r>
        <w:rPr>
          <w:rFonts w:hint="eastAsia" w:hAnsi="宋体"/>
          <w:szCs w:val="21"/>
          <w:u w:val="single"/>
        </w:rPr>
        <w:t>项目</w:t>
      </w:r>
      <w:r>
        <w:rPr>
          <w:rFonts w:hint="eastAsia" w:hAnsi="宋体"/>
          <w:szCs w:val="21"/>
        </w:rPr>
        <w:t>进行技术服务及咨询，并支付技术服务及咨询报酬。双方经过平等协商，在真实、充分地表达各自意愿的基础上，根据《中华人民共和国合同法》的规定，达成如下协议，并由双方共同恪守。</w:t>
      </w:r>
    </w:p>
    <w:p>
      <w:pPr>
        <w:pStyle w:val="24"/>
        <w:spacing w:line="400" w:lineRule="exact"/>
        <w:jc w:val="left"/>
        <w:rPr>
          <w:rFonts w:hAnsi="宋体"/>
          <w:szCs w:val="21"/>
        </w:rPr>
      </w:pPr>
      <w:r>
        <w:rPr>
          <w:rFonts w:hint="eastAsia" w:hAnsi="宋体"/>
          <w:szCs w:val="21"/>
        </w:rPr>
        <w:t xml:space="preserve">    第一条　乙方进行技术咨询的内容、要求、方式：</w:t>
      </w:r>
    </w:p>
    <w:p>
      <w:pPr>
        <w:pStyle w:val="24"/>
        <w:spacing w:line="400" w:lineRule="exact"/>
        <w:jc w:val="left"/>
        <w:rPr>
          <w:rFonts w:hAnsi="宋体"/>
          <w:szCs w:val="21"/>
        </w:rPr>
      </w:pPr>
      <w:r>
        <w:rPr>
          <w:rFonts w:hint="eastAsia" w:hAnsi="宋体"/>
          <w:szCs w:val="21"/>
        </w:rPr>
        <w:t xml:space="preserve">    1.技术服务及咨询内容：</w:t>
      </w:r>
      <w:r>
        <w:rPr>
          <w:rFonts w:hint="eastAsia" w:hAnsi="宋体"/>
          <w:szCs w:val="21"/>
          <w:u w:val="single"/>
        </w:rPr>
        <w:t xml:space="preserve">   </w:t>
      </w:r>
      <w:r>
        <w:rPr>
          <w:rFonts w:hint="eastAsia" w:hAnsi="宋体"/>
          <w:szCs w:val="21"/>
          <w:u w:val="single"/>
          <w:lang w:val="en-US" w:eastAsia="zh-CN"/>
        </w:rPr>
        <w:t>详见附件发包说明</w:t>
      </w:r>
      <w:r>
        <w:rPr>
          <w:rFonts w:hint="eastAsia" w:hAnsi="宋体"/>
          <w:szCs w:val="21"/>
          <w:u w:val="single"/>
        </w:rPr>
        <w:t xml:space="preserve">             </w:t>
      </w:r>
    </w:p>
    <w:p>
      <w:pPr>
        <w:pStyle w:val="24"/>
        <w:spacing w:line="400" w:lineRule="exact"/>
        <w:jc w:val="left"/>
        <w:rPr>
          <w:rFonts w:hAnsi="宋体"/>
          <w:szCs w:val="21"/>
        </w:rPr>
      </w:pPr>
      <w:r>
        <w:rPr>
          <w:rFonts w:hint="eastAsia" w:hAnsi="宋体"/>
          <w:szCs w:val="21"/>
        </w:rPr>
        <w:t xml:space="preserve">    2.技术服务及咨询要求：</w:t>
      </w:r>
      <w:r>
        <w:rPr>
          <w:rFonts w:hint="eastAsia" w:hAnsi="宋体"/>
          <w:szCs w:val="21"/>
          <w:u w:val="single"/>
        </w:rPr>
        <w:t xml:space="preserve">    </w:t>
      </w:r>
      <w:r>
        <w:rPr>
          <w:rFonts w:hint="eastAsia" w:hAnsi="宋体"/>
          <w:szCs w:val="21"/>
          <w:u w:val="single"/>
          <w:lang w:val="en-US" w:eastAsia="zh-CN"/>
        </w:rPr>
        <w:t>详见附件发包说明</w:t>
      </w:r>
      <w:r>
        <w:rPr>
          <w:rFonts w:hint="eastAsia" w:hAnsi="宋体"/>
          <w:szCs w:val="21"/>
          <w:u w:val="single"/>
        </w:rPr>
        <w:t xml:space="preserve">            </w:t>
      </w:r>
    </w:p>
    <w:p>
      <w:pPr>
        <w:pStyle w:val="24"/>
        <w:spacing w:line="400" w:lineRule="exact"/>
        <w:jc w:val="left"/>
        <w:rPr>
          <w:rFonts w:hAnsi="宋体"/>
          <w:szCs w:val="21"/>
        </w:rPr>
      </w:pPr>
      <w:r>
        <w:rPr>
          <w:rFonts w:hint="eastAsia" w:hAnsi="宋体"/>
          <w:szCs w:val="21"/>
        </w:rPr>
        <w:t xml:space="preserve">    第二条 乙方按照下列要求进行本合同项目的技术咨询工作：</w:t>
      </w:r>
    </w:p>
    <w:p>
      <w:pPr>
        <w:pStyle w:val="24"/>
        <w:spacing w:line="400" w:lineRule="exact"/>
        <w:jc w:val="left"/>
        <w:rPr>
          <w:rFonts w:hAnsi="宋体"/>
          <w:szCs w:val="21"/>
        </w:rPr>
      </w:pPr>
      <w:r>
        <w:rPr>
          <w:rFonts w:hint="eastAsia" w:hAnsi="宋体"/>
          <w:szCs w:val="21"/>
        </w:rPr>
        <w:t xml:space="preserve">    1.技术服务及咨询地点：</w:t>
      </w:r>
      <w:r>
        <w:rPr>
          <w:rFonts w:hint="eastAsia" w:hAnsi="宋体"/>
          <w:szCs w:val="21"/>
          <w:u w:val="single"/>
        </w:rPr>
        <w:t xml:space="preserve">                                              </w:t>
      </w:r>
    </w:p>
    <w:p>
      <w:pPr>
        <w:pStyle w:val="24"/>
        <w:spacing w:line="400" w:lineRule="exact"/>
        <w:jc w:val="left"/>
        <w:rPr>
          <w:rFonts w:hAnsi="宋体"/>
          <w:szCs w:val="21"/>
        </w:rPr>
      </w:pPr>
      <w:r>
        <w:rPr>
          <w:rFonts w:hint="eastAsia" w:hAnsi="宋体"/>
          <w:szCs w:val="21"/>
        </w:rPr>
        <w:t xml:space="preserve">    2.技术服务及咨询期限：</w:t>
      </w:r>
      <w:r>
        <w:rPr>
          <w:rFonts w:hint="eastAsia" w:hAnsi="宋体"/>
          <w:szCs w:val="21"/>
          <w:u w:val="single"/>
        </w:rPr>
        <w:t xml:space="preserve"> 合同签订后，3个日历天内</w:t>
      </w:r>
      <w:r>
        <w:rPr>
          <w:rFonts w:hint="eastAsia" w:hAnsi="宋体"/>
          <w:szCs w:val="21"/>
          <w:u w:val="single"/>
          <w:lang w:val="en-US" w:eastAsia="zh-CN"/>
        </w:rPr>
        <w:t>乙方</w:t>
      </w:r>
      <w:r>
        <w:rPr>
          <w:rFonts w:hint="eastAsia" w:hAnsi="宋体"/>
          <w:szCs w:val="21"/>
          <w:u w:val="single"/>
        </w:rPr>
        <w:t>提交资料需求，收到</w:t>
      </w:r>
      <w:r>
        <w:rPr>
          <w:rFonts w:hint="eastAsia" w:hAnsi="宋体"/>
          <w:szCs w:val="21"/>
          <w:u w:val="single"/>
          <w:lang w:val="en-US" w:eastAsia="zh-CN"/>
        </w:rPr>
        <w:t>甲方</w:t>
      </w:r>
      <w:r>
        <w:rPr>
          <w:rFonts w:hint="eastAsia" w:hAnsi="宋体"/>
          <w:szCs w:val="21"/>
          <w:u w:val="single"/>
        </w:rPr>
        <w:t>资料后30个工作日内提交初审报告，专家评审会后15个工作日完成报批版报告。</w:t>
      </w:r>
    </w:p>
    <w:p>
      <w:pPr>
        <w:pStyle w:val="24"/>
        <w:spacing w:line="400" w:lineRule="exact"/>
        <w:jc w:val="left"/>
        <w:rPr>
          <w:rFonts w:hAnsi="宋体"/>
          <w:szCs w:val="21"/>
        </w:rPr>
      </w:pPr>
      <w:r>
        <w:rPr>
          <w:rFonts w:hint="eastAsia" w:hAnsi="宋体"/>
          <w:szCs w:val="21"/>
        </w:rPr>
        <w:t xml:space="preserve">    3.技术服务及咨询进度：</w:t>
      </w:r>
      <w:r>
        <w:rPr>
          <w:rFonts w:hint="eastAsia" w:hAnsi="宋体"/>
          <w:szCs w:val="21"/>
          <w:u w:val="single"/>
        </w:rPr>
        <w:t xml:space="preserve">                                              </w:t>
      </w:r>
    </w:p>
    <w:p>
      <w:pPr>
        <w:pStyle w:val="24"/>
        <w:spacing w:line="400" w:lineRule="exact"/>
        <w:jc w:val="left"/>
        <w:rPr>
          <w:rFonts w:hAnsi="宋体"/>
          <w:szCs w:val="21"/>
        </w:rPr>
      </w:pPr>
      <w:r>
        <w:rPr>
          <w:rFonts w:hint="eastAsia" w:hAnsi="宋体"/>
          <w:szCs w:val="21"/>
        </w:rPr>
        <w:t xml:space="preserve">    4、技术服务及咨询质量要求：</w:t>
      </w:r>
      <w:r>
        <w:rPr>
          <w:rFonts w:hint="eastAsia"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rPr>
        <w:t>5、技术服务及咨询质量期限要求：</w:t>
      </w:r>
      <w:r>
        <w:rPr>
          <w:rFonts w:hint="eastAsia"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rPr>
        <w:t>第三条 为保证乙方有效进行技术咨询工作，甲方应当向乙方提供下列协作事项：</w:t>
      </w:r>
    </w:p>
    <w:p>
      <w:pPr>
        <w:pStyle w:val="24"/>
        <w:spacing w:line="400" w:lineRule="exact"/>
        <w:ind w:firstLine="440" w:firstLineChars="200"/>
        <w:jc w:val="left"/>
        <w:rPr>
          <w:rFonts w:hAnsi="宋体"/>
          <w:szCs w:val="21"/>
        </w:rPr>
      </w:pPr>
      <w:r>
        <w:rPr>
          <w:rFonts w:hint="eastAsia" w:hAnsi="宋体"/>
          <w:szCs w:val="21"/>
        </w:rPr>
        <w:t>提供技术资料：</w:t>
      </w:r>
      <w:r>
        <w:rPr>
          <w:rFonts w:hint="eastAsia" w:hAnsi="宋体"/>
          <w:szCs w:val="21"/>
          <w:u w:val="single"/>
        </w:rPr>
        <w:t xml:space="preserve">                                              </w:t>
      </w:r>
      <w:r>
        <w:rPr>
          <w:rFonts w:hint="eastAsia" w:hAnsi="宋体"/>
          <w:szCs w:val="21"/>
        </w:rPr>
        <w:t xml:space="preserve"> </w:t>
      </w:r>
    </w:p>
    <w:p>
      <w:pPr>
        <w:pStyle w:val="24"/>
        <w:spacing w:line="400" w:lineRule="exact"/>
        <w:ind w:firstLine="440" w:firstLineChars="200"/>
        <w:jc w:val="left"/>
        <w:rPr>
          <w:rFonts w:hAnsi="宋体"/>
          <w:szCs w:val="21"/>
        </w:rPr>
      </w:pPr>
      <w:r>
        <w:rPr>
          <w:rFonts w:hint="eastAsia" w:hAnsi="宋体"/>
          <w:szCs w:val="21"/>
        </w:rPr>
        <w:t>提供工作条件：</w:t>
      </w:r>
      <w:r>
        <w:rPr>
          <w:rFonts w:hint="eastAsia"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rPr>
        <w:t>其他：</w:t>
      </w:r>
      <w:r>
        <w:rPr>
          <w:rFonts w:hint="eastAsia"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rPr>
        <w:t>甲方提供上述协作事项的时间及方式：</w:t>
      </w:r>
      <w:r>
        <w:rPr>
          <w:rFonts w:hint="eastAsia"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rPr>
        <w:t>第四条 甲方向乙方支付技术服务及咨询报酬及支付方式为：</w:t>
      </w:r>
    </w:p>
    <w:p>
      <w:pPr>
        <w:pStyle w:val="24"/>
        <w:spacing w:line="400" w:lineRule="exact"/>
        <w:ind w:firstLine="440" w:firstLineChars="200"/>
        <w:jc w:val="left"/>
        <w:rPr>
          <w:rFonts w:hAnsi="宋体"/>
          <w:szCs w:val="21"/>
        </w:rPr>
      </w:pPr>
      <w:r>
        <w:rPr>
          <w:rFonts w:hint="eastAsia" w:hAnsi="宋体"/>
          <w:szCs w:val="21"/>
        </w:rPr>
        <w:t>1. 技术服务及咨询报酬总价款为：</w:t>
      </w:r>
      <w:r>
        <w:rPr>
          <w:rFonts w:hAnsi="宋体"/>
          <w:szCs w:val="21"/>
        </w:rPr>
        <w:t>人民币</w:t>
      </w:r>
      <w:r>
        <w:rPr>
          <w:rFonts w:hint="eastAsia" w:hAnsi="宋体"/>
          <w:szCs w:val="21"/>
          <w:u w:val="single"/>
        </w:rPr>
        <w:t xml:space="preserve">           </w:t>
      </w:r>
      <w:r>
        <w:rPr>
          <w:rFonts w:hint="eastAsia" w:hAnsi="宋体"/>
          <w:szCs w:val="21"/>
        </w:rPr>
        <w:t>元（含6%增值税专用发票），其中两个项目费用分摊如下：</w:t>
      </w:r>
    </w:p>
    <w:p>
      <w:pPr>
        <w:pStyle w:val="24"/>
        <w:spacing w:line="400" w:lineRule="exact"/>
        <w:ind w:firstLine="440" w:firstLineChars="200"/>
        <w:jc w:val="left"/>
        <w:rPr>
          <w:rFonts w:hint="eastAsia" w:hAnsi="宋体"/>
          <w:szCs w:val="21"/>
        </w:rPr>
      </w:pPr>
      <w:r>
        <w:rPr>
          <w:rFonts w:hint="eastAsia" w:hAnsi="宋体"/>
          <w:szCs w:val="21"/>
        </w:rPr>
        <w:t>翔鹭石化（漳州）有限公司：RMB</w:t>
      </w:r>
      <w:r>
        <w:rPr>
          <w:rFonts w:hint="eastAsia" w:hAnsi="宋体"/>
          <w:szCs w:val="21"/>
          <w:u w:val="none"/>
          <w:lang w:val="en-US" w:eastAsia="zh-CN"/>
        </w:rPr>
        <w:t xml:space="preserve"> </w:t>
      </w:r>
      <w:r>
        <w:rPr>
          <w:rFonts w:hint="eastAsia" w:hAnsi="宋体"/>
          <w:szCs w:val="21"/>
          <w:u w:val="single"/>
          <w:lang w:val="en-US" w:eastAsia="zh-CN"/>
        </w:rPr>
        <w:t xml:space="preserve">       </w:t>
      </w:r>
      <w:r>
        <w:rPr>
          <w:rFonts w:hint="eastAsia" w:hAnsi="宋体"/>
          <w:szCs w:val="21"/>
        </w:rPr>
        <w:t>元。</w:t>
      </w:r>
    </w:p>
    <w:p>
      <w:pPr>
        <w:pStyle w:val="24"/>
        <w:spacing w:line="400" w:lineRule="exact"/>
        <w:ind w:firstLine="440" w:firstLineChars="200"/>
        <w:jc w:val="left"/>
        <w:rPr>
          <w:rFonts w:hAnsi="宋体"/>
          <w:szCs w:val="21"/>
        </w:rPr>
      </w:pPr>
      <w:r>
        <w:rPr>
          <w:rFonts w:hint="eastAsia" w:hAnsi="宋体"/>
          <w:szCs w:val="21"/>
        </w:rPr>
        <w:t>翔鹭码头投资管理（漳州）有限公司：RMB</w:t>
      </w:r>
      <w:r>
        <w:rPr>
          <w:rFonts w:hint="eastAsia" w:hAnsi="宋体"/>
          <w:szCs w:val="21"/>
          <w:lang w:val="en-US" w:eastAsia="zh-CN"/>
        </w:rPr>
        <w:t xml:space="preserve"> </w:t>
      </w:r>
      <w:r>
        <w:rPr>
          <w:rFonts w:hint="eastAsia" w:hAnsi="宋体"/>
          <w:szCs w:val="21"/>
          <w:u w:val="single"/>
          <w:lang w:val="en-US" w:eastAsia="zh-CN"/>
        </w:rPr>
        <w:t xml:space="preserve">      </w:t>
      </w:r>
      <w:r>
        <w:rPr>
          <w:rFonts w:hint="eastAsia" w:hAnsi="宋体"/>
          <w:szCs w:val="21"/>
        </w:rPr>
        <w:t>元，</w:t>
      </w:r>
    </w:p>
    <w:p>
      <w:pPr>
        <w:pStyle w:val="24"/>
        <w:spacing w:line="400" w:lineRule="exact"/>
        <w:ind w:firstLine="440" w:firstLineChars="200"/>
        <w:jc w:val="left"/>
        <w:rPr>
          <w:rFonts w:hAnsi="宋体"/>
          <w:szCs w:val="21"/>
        </w:rPr>
      </w:pPr>
      <w:r>
        <w:rPr>
          <w:rFonts w:hint="eastAsia" w:hAnsi="宋体" w:cs="宋体"/>
          <w:kern w:val="0"/>
          <w:sz w:val="22"/>
          <w:szCs w:val="22"/>
        </w:rPr>
        <w:t>以上价格均为含税包干总价，包含成本，人工服务费，差旅费，发票税费等所有相关费用，除非合同另外有约定外，否则询价人不再另外支付任何费用。</w:t>
      </w:r>
    </w:p>
    <w:p>
      <w:pPr>
        <w:pStyle w:val="24"/>
        <w:spacing w:line="400" w:lineRule="exact"/>
        <w:jc w:val="left"/>
        <w:rPr>
          <w:rFonts w:hAnsi="宋体"/>
          <w:szCs w:val="21"/>
        </w:rPr>
      </w:pPr>
      <w:r>
        <w:rPr>
          <w:rFonts w:hAnsi="宋体"/>
          <w:szCs w:val="21"/>
        </w:rPr>
        <w:t xml:space="preserve"> </w:t>
      </w:r>
      <w:r>
        <w:rPr>
          <w:rFonts w:hint="eastAsia" w:hAnsi="宋体"/>
          <w:szCs w:val="21"/>
        </w:rPr>
        <w:t xml:space="preserve">  具体支付方式和时间分配如下：</w:t>
      </w:r>
    </w:p>
    <w:p>
      <w:pPr>
        <w:pStyle w:val="24"/>
        <w:spacing w:line="400" w:lineRule="exact"/>
        <w:jc w:val="left"/>
        <w:rPr>
          <w:rFonts w:hAnsi="宋体"/>
          <w:szCs w:val="21"/>
        </w:rPr>
      </w:pPr>
      <w:r>
        <w:rPr>
          <w:rFonts w:hAnsi="宋体"/>
          <w:szCs w:val="21"/>
        </w:rPr>
        <w:t xml:space="preserve">   </w:t>
      </w:r>
      <w:r>
        <w:rPr>
          <w:rFonts w:hint="eastAsia" w:hAnsi="宋体"/>
          <w:szCs w:val="21"/>
        </w:rPr>
        <w:t>（1）乙方按照合同约定提供</w:t>
      </w:r>
      <w:r>
        <w:rPr>
          <w:rFonts w:hAnsi="宋体"/>
          <w:szCs w:val="21"/>
        </w:rPr>
        <w:t>完整</w:t>
      </w:r>
      <w:r>
        <w:rPr>
          <w:rFonts w:hint="eastAsia" w:hAnsi="宋体"/>
          <w:szCs w:val="21"/>
        </w:rPr>
        <w:t>的服务，出具经甲方认可的正式</w:t>
      </w:r>
      <w:r>
        <w:rPr>
          <w:rFonts w:hAnsi="宋体"/>
          <w:szCs w:val="21"/>
        </w:rPr>
        <w:t>报告</w:t>
      </w:r>
      <w:r>
        <w:rPr>
          <w:rFonts w:hint="eastAsia" w:hAnsi="宋体"/>
          <w:szCs w:val="21"/>
        </w:rPr>
        <w:t>并</w:t>
      </w:r>
      <w:r>
        <w:rPr>
          <w:rFonts w:hint="eastAsia" w:ascii="宋体" w:hAnsi="宋体" w:eastAsia="宋体" w:cs="黑体"/>
          <w:szCs w:val="22"/>
        </w:rPr>
        <w:t>通过专家评审</w:t>
      </w:r>
      <w:r>
        <w:rPr>
          <w:rFonts w:hint="eastAsia" w:hAnsi="宋体"/>
          <w:szCs w:val="21"/>
        </w:rPr>
        <w:t>后且甲方收到乙方开具的全额增值税专用发票原件后</w:t>
      </w:r>
      <w:r>
        <w:rPr>
          <w:rFonts w:hint="eastAsia" w:hAnsi="宋体"/>
          <w:szCs w:val="21"/>
          <w:u w:val="single"/>
          <w:lang w:val="en-US" w:eastAsia="zh-CN"/>
        </w:rPr>
        <w:t>60</w:t>
      </w:r>
      <w:r>
        <w:rPr>
          <w:rFonts w:hint="eastAsia" w:hAnsi="宋体"/>
          <w:szCs w:val="21"/>
        </w:rPr>
        <w:t>日内，甲方支付合同约定总价款的</w:t>
      </w:r>
      <w:r>
        <w:rPr>
          <w:rFonts w:hint="eastAsia" w:hAnsi="宋体"/>
          <w:szCs w:val="21"/>
          <w:u w:val="single"/>
          <w:lang w:val="en-US" w:eastAsia="zh-CN"/>
        </w:rPr>
        <w:t>100</w:t>
      </w:r>
      <w:r>
        <w:rPr>
          <w:rFonts w:hint="eastAsia" w:hAnsi="宋体"/>
          <w:szCs w:val="21"/>
        </w:rPr>
        <w:t xml:space="preserve"> %，即人民币</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元</w:t>
      </w:r>
      <w:r>
        <w:rPr>
          <w:rFonts w:hint="eastAsia" w:hAnsi="宋体"/>
          <w:szCs w:val="21"/>
        </w:rPr>
        <w:t>整（￥</w:t>
      </w:r>
      <w:r>
        <w:rPr>
          <w:rFonts w:hint="eastAsia" w:hAnsi="宋体"/>
          <w:szCs w:val="21"/>
          <w:u w:val="single"/>
          <w:lang w:val="en-US" w:eastAsia="zh-CN"/>
        </w:rPr>
        <w:t xml:space="preserve">            </w:t>
      </w:r>
      <w:r>
        <w:rPr>
          <w:rFonts w:hint="eastAsia" w:hAnsi="宋体"/>
          <w:szCs w:val="21"/>
        </w:rPr>
        <w:t>元）。</w:t>
      </w:r>
    </w:p>
    <w:p>
      <w:pPr>
        <w:pStyle w:val="24"/>
        <w:spacing w:line="400" w:lineRule="exact"/>
        <w:jc w:val="left"/>
        <w:rPr>
          <w:rFonts w:hAnsi="宋体"/>
          <w:szCs w:val="21"/>
        </w:rPr>
      </w:pPr>
      <w:r>
        <w:rPr>
          <w:rFonts w:hint="eastAsia" w:hAnsi="宋体"/>
          <w:szCs w:val="21"/>
        </w:rPr>
        <w:t xml:space="preserve">   （2）乙方开具发票时，应按合同约定费用比例进行分别开具体甲方</w:t>
      </w:r>
      <w:r>
        <w:rPr>
          <w:rFonts w:hint="eastAsia" w:hAnsi="宋体"/>
          <w:szCs w:val="21"/>
          <w:lang w:val="en-US" w:eastAsia="zh-CN"/>
        </w:rPr>
        <w:t>两</w:t>
      </w:r>
      <w:r>
        <w:rPr>
          <w:rFonts w:hint="eastAsia" w:hAnsi="宋体"/>
          <w:szCs w:val="21"/>
        </w:rPr>
        <w:t>个抬头公司发票，其翔鹭石化（漳州）有限公司费用为RMB</w:t>
      </w:r>
      <w:r>
        <w:rPr>
          <w:rFonts w:hint="eastAsia" w:hAnsi="宋体"/>
          <w:szCs w:val="21"/>
          <w:u w:val="single"/>
          <w:lang w:val="en-US" w:eastAsia="zh-CN"/>
        </w:rPr>
        <w:t xml:space="preserve">      </w:t>
      </w:r>
      <w:r>
        <w:rPr>
          <w:rFonts w:hint="eastAsia" w:hAnsi="宋体"/>
          <w:szCs w:val="21"/>
        </w:rPr>
        <w:t>元，翔鹭码头投资管理（漳州）有限公司费用为RMB</w:t>
      </w:r>
      <w:r>
        <w:rPr>
          <w:rFonts w:hint="eastAsia" w:hAnsi="宋体"/>
          <w:szCs w:val="21"/>
          <w:u w:val="single"/>
          <w:lang w:val="en-US" w:eastAsia="zh-CN"/>
        </w:rPr>
        <w:t xml:space="preserve">      </w:t>
      </w:r>
      <w:r>
        <w:rPr>
          <w:rFonts w:hint="eastAsia" w:hAnsi="宋体"/>
          <w:szCs w:val="21"/>
        </w:rPr>
        <w:t>元,然后甲方根据相应发票金额由</w:t>
      </w:r>
      <w:r>
        <w:rPr>
          <w:rFonts w:hint="eastAsia" w:hAnsi="宋体"/>
          <w:szCs w:val="21"/>
          <w:lang w:val="en-US" w:eastAsia="zh-CN"/>
        </w:rPr>
        <w:t>两</w:t>
      </w:r>
      <w:r>
        <w:rPr>
          <w:rFonts w:hint="eastAsia" w:hAnsi="宋体"/>
          <w:szCs w:val="21"/>
        </w:rPr>
        <w:t>家公司分别支付相应金额费用。</w:t>
      </w:r>
    </w:p>
    <w:p>
      <w:pPr>
        <w:pStyle w:val="24"/>
        <w:spacing w:line="400" w:lineRule="exact"/>
        <w:ind w:firstLine="440" w:firstLineChars="200"/>
        <w:jc w:val="left"/>
        <w:rPr>
          <w:rFonts w:hAnsi="宋体"/>
          <w:szCs w:val="21"/>
        </w:rPr>
      </w:pPr>
      <w:r>
        <w:rPr>
          <w:rFonts w:hint="eastAsia" w:hAnsi="宋体"/>
          <w:szCs w:val="21"/>
        </w:rPr>
        <w:t>（</w:t>
      </w:r>
      <w:r>
        <w:rPr>
          <w:rFonts w:hint="eastAsia" w:hAnsi="宋体"/>
          <w:szCs w:val="21"/>
          <w:lang w:val="en-US" w:eastAsia="zh-CN"/>
        </w:rPr>
        <w:t>3</w:t>
      </w:r>
      <w:r>
        <w:rPr>
          <w:rFonts w:hint="eastAsia" w:hAnsi="宋体"/>
          <w:szCs w:val="21"/>
        </w:rPr>
        <w:t>）乙方应在甲方付款期限届满</w:t>
      </w:r>
      <w:r>
        <w:rPr>
          <w:rFonts w:hint="eastAsia" w:hAnsi="宋体"/>
          <w:szCs w:val="21"/>
          <w:u w:val="single"/>
        </w:rPr>
        <w:t xml:space="preserve"> </w:t>
      </w:r>
      <w:r>
        <w:rPr>
          <w:rFonts w:hint="eastAsia" w:hAnsi="宋体"/>
          <w:szCs w:val="21"/>
          <w:u w:val="single"/>
          <w:lang w:val="en-US" w:eastAsia="zh-CN"/>
        </w:rPr>
        <w:t>60</w:t>
      </w:r>
      <w:r>
        <w:rPr>
          <w:rFonts w:hAnsi="宋体"/>
          <w:szCs w:val="21"/>
          <w:u w:val="single"/>
        </w:rPr>
        <w:t xml:space="preserve"> </w:t>
      </w:r>
      <w:r>
        <w:rPr>
          <w:rFonts w:hint="eastAsia" w:hAnsi="宋体"/>
          <w:szCs w:val="21"/>
        </w:rPr>
        <w:t>日前提供正式税务发票，否则甲方有权顺延付款。上述技术服务及咨询报酬直接支付至乙方指定的下列账号：</w:t>
      </w:r>
    </w:p>
    <w:p>
      <w:pPr>
        <w:pStyle w:val="24"/>
        <w:spacing w:line="400" w:lineRule="exact"/>
        <w:ind w:firstLine="440" w:firstLineChars="200"/>
        <w:jc w:val="left"/>
        <w:rPr>
          <w:rFonts w:hAnsi="宋体"/>
          <w:szCs w:val="21"/>
        </w:rPr>
      </w:pPr>
      <w:r>
        <w:rPr>
          <w:rFonts w:hint="eastAsia" w:hAnsi="宋体"/>
          <w:szCs w:val="21"/>
        </w:rPr>
        <w:t>乙方开户银行：</w:t>
      </w:r>
      <w:r>
        <w:rPr>
          <w:rFonts w:hint="eastAsia" w:hAnsi="宋体"/>
          <w:szCs w:val="21"/>
          <w:u w:val="single"/>
        </w:rPr>
        <w:t xml:space="preserve">    </w:t>
      </w:r>
      <w:r>
        <w:rPr>
          <w:rFonts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rPr>
        <w:t>公司名称：</w:t>
      </w:r>
      <w:r>
        <w:rPr>
          <w:rFonts w:hint="eastAsia" w:hAnsi="宋体"/>
          <w:szCs w:val="21"/>
          <w:u w:val="single"/>
        </w:rPr>
        <w:t xml:space="preserve">    </w:t>
      </w:r>
      <w:r>
        <w:rPr>
          <w:rFonts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rPr>
        <w:t>账号：</w:t>
      </w:r>
      <w:r>
        <w:rPr>
          <w:rFonts w:hint="eastAsia" w:hAnsi="宋体"/>
          <w:szCs w:val="21"/>
          <w:u w:val="single"/>
        </w:rPr>
        <w:t xml:space="preserve">    </w:t>
      </w:r>
      <w:r>
        <w:rPr>
          <w:rFonts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rPr>
        <w:t>第五条 双方确定因履行本合同应遵守的保密义务如下：</w:t>
      </w:r>
    </w:p>
    <w:p>
      <w:pPr>
        <w:pStyle w:val="24"/>
        <w:spacing w:line="400" w:lineRule="exact"/>
        <w:ind w:firstLine="440" w:firstLineChars="200"/>
        <w:jc w:val="left"/>
        <w:rPr>
          <w:rFonts w:hAnsi="宋体"/>
          <w:szCs w:val="21"/>
        </w:rPr>
      </w:pPr>
      <w:r>
        <w:rPr>
          <w:rFonts w:hint="eastAsia" w:hAnsi="宋体"/>
          <w:szCs w:val="21"/>
        </w:rPr>
        <w:t>甲方：</w:t>
      </w:r>
    </w:p>
    <w:p>
      <w:pPr>
        <w:pStyle w:val="24"/>
        <w:spacing w:line="400" w:lineRule="exact"/>
        <w:ind w:firstLine="440" w:firstLineChars="200"/>
        <w:jc w:val="left"/>
        <w:rPr>
          <w:rFonts w:hAnsi="宋体"/>
          <w:szCs w:val="21"/>
        </w:rPr>
      </w:pPr>
      <w:r>
        <w:rPr>
          <w:rFonts w:hint="eastAsia" w:hAnsi="宋体"/>
          <w:szCs w:val="21"/>
        </w:rPr>
        <w:t>1.保密内容：乙方提供的资料，服务咨询报告及该服务咨询报告的附件资料除外。</w:t>
      </w:r>
    </w:p>
    <w:p>
      <w:pPr>
        <w:pStyle w:val="24"/>
        <w:spacing w:line="400" w:lineRule="exact"/>
        <w:ind w:firstLine="440" w:firstLineChars="200"/>
        <w:jc w:val="left"/>
        <w:rPr>
          <w:rFonts w:hAnsi="宋体"/>
          <w:szCs w:val="21"/>
        </w:rPr>
      </w:pPr>
      <w:r>
        <w:rPr>
          <w:rFonts w:hint="eastAsia" w:hAnsi="宋体"/>
          <w:szCs w:val="21"/>
        </w:rPr>
        <w:t xml:space="preserve">2.涉密人员范围：甲方及甲方工作人员 </w:t>
      </w:r>
    </w:p>
    <w:p>
      <w:pPr>
        <w:pStyle w:val="24"/>
        <w:spacing w:line="400" w:lineRule="exact"/>
        <w:ind w:firstLine="440" w:firstLineChars="200"/>
        <w:jc w:val="left"/>
        <w:rPr>
          <w:rFonts w:hAnsi="宋体"/>
          <w:szCs w:val="21"/>
        </w:rPr>
      </w:pPr>
      <w:r>
        <w:rPr>
          <w:rFonts w:hint="eastAsia" w:hAnsi="宋体"/>
          <w:szCs w:val="21"/>
        </w:rPr>
        <w:t>3.泄密责任</w:t>
      </w:r>
      <w:r>
        <w:rPr>
          <w:rFonts w:hint="eastAsia" w:hAnsi="宋体"/>
          <w:szCs w:val="21"/>
          <w:lang w:eastAsia="zh-CN"/>
        </w:rPr>
        <w:t>：</w:t>
      </w:r>
      <w:r>
        <w:rPr>
          <w:rFonts w:hint="eastAsia" w:hAnsi="宋体"/>
          <w:szCs w:val="21"/>
        </w:rPr>
        <w:t xml:space="preserve">按本合同约定及国家有关保密法的规定执行 </w:t>
      </w:r>
    </w:p>
    <w:p>
      <w:pPr>
        <w:pStyle w:val="24"/>
        <w:spacing w:line="400" w:lineRule="exact"/>
        <w:ind w:firstLine="440" w:firstLineChars="200"/>
        <w:jc w:val="left"/>
        <w:rPr>
          <w:rFonts w:hAnsi="宋体"/>
          <w:szCs w:val="21"/>
        </w:rPr>
      </w:pPr>
      <w:r>
        <w:rPr>
          <w:rFonts w:hint="eastAsia" w:hAnsi="宋体"/>
          <w:szCs w:val="21"/>
        </w:rPr>
        <w:t>乙方：</w:t>
      </w:r>
    </w:p>
    <w:p>
      <w:pPr>
        <w:pStyle w:val="24"/>
        <w:numPr>
          <w:ilvl w:val="0"/>
          <w:numId w:val="7"/>
        </w:numPr>
        <w:spacing w:line="400" w:lineRule="exact"/>
        <w:ind w:firstLine="440" w:firstLineChars="200"/>
        <w:jc w:val="left"/>
        <w:rPr>
          <w:rFonts w:hint="eastAsia" w:hAnsi="宋体"/>
          <w:szCs w:val="21"/>
        </w:rPr>
      </w:pPr>
      <w:r>
        <w:rPr>
          <w:rFonts w:hint="eastAsia" w:hAnsi="宋体"/>
          <w:szCs w:val="21"/>
        </w:rPr>
        <w:t>保密内容：</w:t>
      </w:r>
    </w:p>
    <w:p>
      <w:pPr>
        <w:spacing w:line="520" w:lineRule="exact"/>
        <w:ind w:firstLine="440" w:firstLineChars="200"/>
        <w:rPr>
          <w:rFonts w:ascii="宋体" w:hAnsi="宋体"/>
          <w:szCs w:val="21"/>
          <w:u w:val="single"/>
        </w:rPr>
      </w:pPr>
      <w:r>
        <w:rPr>
          <w:rFonts w:hint="eastAsia" w:ascii="宋体" w:hAnsi="宋体"/>
          <w:szCs w:val="21"/>
          <w:u w:val="single"/>
        </w:rPr>
        <w:t xml:space="preserve">（1）甲方提供的资料以及乙方在提供本合同约定服务过程中知悉的甲方技术信息、经营信息、生产工艺、操作流程等。 </w:t>
      </w:r>
    </w:p>
    <w:p>
      <w:pPr>
        <w:spacing w:line="520" w:lineRule="exact"/>
        <w:ind w:firstLine="440" w:firstLineChars="200"/>
        <w:rPr>
          <w:rFonts w:ascii="宋体" w:hAnsi="宋体"/>
          <w:szCs w:val="21"/>
          <w:u w:val="single"/>
        </w:rPr>
      </w:pPr>
      <w:r>
        <w:rPr>
          <w:rFonts w:hint="eastAsia" w:ascii="宋体" w:hAnsi="宋体"/>
          <w:szCs w:val="21"/>
          <w:u w:val="single"/>
        </w:rPr>
        <w:t>（2）乙方对甲方提供的有关资料应妥善保存，并负责保密，不得对外泄密；</w:t>
      </w:r>
    </w:p>
    <w:p>
      <w:pPr>
        <w:spacing w:line="520" w:lineRule="exact"/>
        <w:ind w:firstLine="440" w:firstLineChars="200"/>
        <w:rPr>
          <w:rFonts w:hAnsi="宋体"/>
          <w:szCs w:val="21"/>
        </w:rPr>
      </w:pPr>
      <w:r>
        <w:rPr>
          <w:rFonts w:hint="eastAsia" w:ascii="宋体" w:hAnsi="宋体"/>
          <w:szCs w:val="21"/>
          <w:u w:val="single"/>
        </w:rPr>
        <w:t>（3）报告书属技术性资料、知识产权，未经双方同意，任何一方不得向第三方提供该报告书。</w:t>
      </w:r>
      <w:r>
        <w:rPr>
          <w:rFonts w:hint="eastAsia" w:hAnsi="宋体"/>
          <w:szCs w:val="21"/>
        </w:rPr>
        <w:t xml:space="preserve"> </w:t>
      </w:r>
    </w:p>
    <w:p>
      <w:pPr>
        <w:pStyle w:val="24"/>
        <w:spacing w:line="400" w:lineRule="exact"/>
        <w:ind w:firstLine="440" w:firstLineChars="200"/>
        <w:jc w:val="left"/>
        <w:rPr>
          <w:rFonts w:hAnsi="宋体"/>
          <w:szCs w:val="21"/>
        </w:rPr>
      </w:pPr>
      <w:r>
        <w:rPr>
          <w:rFonts w:hint="eastAsia" w:hAnsi="宋体"/>
          <w:szCs w:val="21"/>
        </w:rPr>
        <w:t>2.涉密人员范围：</w:t>
      </w:r>
      <w:r>
        <w:rPr>
          <w:rFonts w:hint="eastAsia" w:hAnsi="宋体"/>
          <w:szCs w:val="21"/>
          <w:u w:val="single"/>
        </w:rPr>
        <w:t>项目管理人员、参与人员和其他涉密人员。</w:t>
      </w:r>
    </w:p>
    <w:p>
      <w:pPr>
        <w:pStyle w:val="24"/>
        <w:spacing w:line="400" w:lineRule="exact"/>
        <w:ind w:firstLine="440" w:firstLineChars="200"/>
        <w:jc w:val="left"/>
        <w:rPr>
          <w:rFonts w:hAnsi="宋体"/>
          <w:szCs w:val="21"/>
        </w:rPr>
      </w:pPr>
      <w:r>
        <w:rPr>
          <w:rFonts w:hint="eastAsia" w:hAnsi="宋体"/>
          <w:szCs w:val="21"/>
        </w:rPr>
        <w:t xml:space="preserve">3.泄密责任：按本合同约定及国家有关保密法的规定执行 </w:t>
      </w:r>
    </w:p>
    <w:p>
      <w:pPr>
        <w:pStyle w:val="24"/>
        <w:spacing w:line="400" w:lineRule="exact"/>
        <w:ind w:firstLine="440" w:firstLineChars="200"/>
        <w:jc w:val="left"/>
        <w:rPr>
          <w:rFonts w:hAnsi="宋体"/>
          <w:szCs w:val="21"/>
        </w:rPr>
      </w:pPr>
      <w:r>
        <w:rPr>
          <w:rFonts w:hint="eastAsia" w:hAnsi="宋体"/>
          <w:szCs w:val="21"/>
        </w:rPr>
        <w:t>第六条 本合同的变更必须由双方协商一致，并以书面形式确定。</w:t>
      </w:r>
    </w:p>
    <w:p>
      <w:pPr>
        <w:pStyle w:val="24"/>
        <w:spacing w:line="400" w:lineRule="exact"/>
        <w:ind w:firstLine="440" w:firstLineChars="200"/>
        <w:jc w:val="left"/>
        <w:rPr>
          <w:rFonts w:hAnsi="宋体"/>
          <w:szCs w:val="21"/>
        </w:rPr>
      </w:pPr>
      <w:r>
        <w:rPr>
          <w:rFonts w:hint="eastAsia" w:hAnsi="宋体"/>
          <w:szCs w:val="21"/>
        </w:rPr>
        <w:t>第七条 双方确定，按以下标准和方式对乙方提交的技术咨询工作成果进行验收：</w:t>
      </w:r>
    </w:p>
    <w:p>
      <w:pPr>
        <w:pStyle w:val="24"/>
        <w:spacing w:line="400" w:lineRule="exact"/>
        <w:ind w:firstLine="440" w:firstLineChars="200"/>
        <w:jc w:val="left"/>
        <w:rPr>
          <w:rFonts w:hAnsi="宋体"/>
          <w:szCs w:val="21"/>
        </w:rPr>
      </w:pPr>
      <w:r>
        <w:rPr>
          <w:rFonts w:hint="eastAsia" w:hAnsi="宋体"/>
          <w:szCs w:val="21"/>
        </w:rPr>
        <w:t>1、乙方提交技术</w:t>
      </w:r>
      <w:r>
        <w:rPr>
          <w:rFonts w:hint="eastAsia" w:hAnsi="宋体"/>
          <w:szCs w:val="21"/>
          <w:u w:val="single"/>
          <w:lang w:val="en-US" w:eastAsia="zh-CN"/>
        </w:rPr>
        <w:t>评价服务</w:t>
      </w:r>
      <w:r>
        <w:rPr>
          <w:rFonts w:hint="eastAsia" w:hAnsi="宋体"/>
          <w:szCs w:val="21"/>
        </w:rPr>
        <w:t>工作成果的形式：</w:t>
      </w:r>
      <w:r>
        <w:rPr>
          <w:rFonts w:hint="eastAsia" w:hAnsi="宋体"/>
          <w:szCs w:val="21"/>
          <w:u w:val="single"/>
        </w:rPr>
        <w:t xml:space="preserve">    </w:t>
      </w:r>
      <w:r>
        <w:rPr>
          <w:rFonts w:hAnsi="宋体"/>
          <w:szCs w:val="21"/>
          <w:u w:val="single"/>
        </w:rPr>
        <w:t xml:space="preserve">                             </w:t>
      </w:r>
    </w:p>
    <w:p>
      <w:pPr>
        <w:pStyle w:val="24"/>
        <w:spacing w:line="400" w:lineRule="exact"/>
        <w:ind w:firstLine="440" w:firstLineChars="200"/>
        <w:jc w:val="left"/>
        <w:rPr>
          <w:rFonts w:hint="eastAsia" w:hAnsi="宋体"/>
          <w:szCs w:val="21"/>
        </w:rPr>
      </w:pPr>
      <w:r>
        <w:rPr>
          <w:rFonts w:hint="eastAsia" w:hAnsi="宋体"/>
          <w:szCs w:val="21"/>
        </w:rPr>
        <w:t>2、技术</w:t>
      </w:r>
      <w:r>
        <w:rPr>
          <w:rFonts w:hint="eastAsia" w:hAnsi="宋体"/>
          <w:b/>
          <w:bCs/>
          <w:szCs w:val="21"/>
          <w:u w:val="single"/>
        </w:rPr>
        <w:t xml:space="preserve">     </w:t>
      </w:r>
      <w:r>
        <w:rPr>
          <w:rFonts w:hint="eastAsia" w:hAnsi="宋体"/>
          <w:szCs w:val="21"/>
        </w:rPr>
        <w:t xml:space="preserve">工作成果的验收标准： </w:t>
      </w:r>
      <w:r>
        <w:rPr>
          <w:rFonts w:hint="eastAsia" w:hAnsi="宋体"/>
          <w:szCs w:val="21"/>
          <w:u w:val="single"/>
        </w:rPr>
        <w:t xml:space="preserve">                               </w:t>
      </w:r>
      <w:r>
        <w:rPr>
          <w:rFonts w:hint="eastAsia" w:hAnsi="宋体"/>
          <w:szCs w:val="21"/>
        </w:rPr>
        <w:t xml:space="preserve">     </w:t>
      </w:r>
    </w:p>
    <w:p>
      <w:pPr>
        <w:pStyle w:val="24"/>
        <w:spacing w:line="400" w:lineRule="exact"/>
        <w:ind w:firstLine="440" w:firstLineChars="200"/>
        <w:jc w:val="left"/>
        <w:rPr>
          <w:rFonts w:hint="eastAsia" w:hAnsi="宋体"/>
          <w:szCs w:val="21"/>
        </w:rPr>
      </w:pPr>
      <w:r>
        <w:rPr>
          <w:rFonts w:hint="eastAsia" w:hAnsi="宋体"/>
          <w:szCs w:val="21"/>
        </w:rPr>
        <w:t>3、验收地点：</w:t>
      </w:r>
      <w:r>
        <w:rPr>
          <w:rFonts w:hint="eastAsia" w:hAnsi="宋体"/>
          <w:szCs w:val="21"/>
          <w:u w:val="single"/>
        </w:rPr>
        <w:t xml:space="preserve">        </w:t>
      </w:r>
      <w:r>
        <w:rPr>
          <w:rFonts w:hint="eastAsia" w:hAnsi="宋体"/>
          <w:szCs w:val="21"/>
          <w:u w:val="single"/>
          <w:lang w:val="en-US" w:eastAsia="zh-CN"/>
        </w:rPr>
        <w:t>/</w:t>
      </w:r>
      <w:r>
        <w:rPr>
          <w:rFonts w:hint="eastAsia" w:hAnsi="宋体"/>
          <w:szCs w:val="21"/>
          <w:u w:val="single"/>
        </w:rPr>
        <w:t xml:space="preserve">                          </w:t>
      </w:r>
      <w:r>
        <w:rPr>
          <w:rFonts w:hint="eastAsia" w:hAnsi="宋体"/>
          <w:szCs w:val="21"/>
        </w:rPr>
        <w:t xml:space="preserve">  </w:t>
      </w:r>
    </w:p>
    <w:p>
      <w:pPr>
        <w:pStyle w:val="24"/>
        <w:spacing w:line="400" w:lineRule="exact"/>
        <w:ind w:firstLine="440" w:firstLineChars="200"/>
        <w:jc w:val="left"/>
        <w:rPr>
          <w:rFonts w:hint="eastAsia" w:hAnsi="宋体"/>
          <w:szCs w:val="21"/>
        </w:rPr>
      </w:pPr>
      <w:r>
        <w:rPr>
          <w:rFonts w:hint="eastAsia" w:hAnsi="宋体"/>
          <w:szCs w:val="21"/>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4"/>
        <w:spacing w:line="400" w:lineRule="exact"/>
        <w:ind w:firstLine="440" w:firstLineChars="200"/>
        <w:jc w:val="left"/>
        <w:rPr>
          <w:rFonts w:hint="eastAsia" w:hAnsi="宋体"/>
          <w:szCs w:val="21"/>
        </w:rPr>
      </w:pPr>
      <w:r>
        <w:rPr>
          <w:rFonts w:hint="eastAsia" w:hAnsi="宋体"/>
          <w:szCs w:val="21"/>
        </w:rPr>
        <w:t>第八条 双方确定，甲方指定</w:t>
      </w:r>
      <w:r>
        <w:rPr>
          <w:rFonts w:hint="eastAsia" w:hAnsi="宋体"/>
          <w:szCs w:val="21"/>
          <w:lang w:val="en-US" w:eastAsia="zh-CN"/>
        </w:rPr>
        <w:t>冯怀伟 0596-6310562</w:t>
      </w:r>
      <w:r>
        <w:rPr>
          <w:rFonts w:hint="eastAsia" w:hAnsi="宋体"/>
          <w:szCs w:val="21"/>
        </w:rPr>
        <w:t>为甲方项目联系人，乙方指定     为乙方项目联系人。项目联系人承担以下责任：</w:t>
      </w:r>
    </w:p>
    <w:p>
      <w:pPr>
        <w:pStyle w:val="24"/>
        <w:spacing w:line="400" w:lineRule="exact"/>
        <w:ind w:firstLine="440" w:firstLineChars="200"/>
        <w:jc w:val="left"/>
        <w:rPr>
          <w:rFonts w:hAnsi="宋体"/>
          <w:szCs w:val="21"/>
          <w:u w:val="single"/>
        </w:rPr>
      </w:pPr>
      <w:r>
        <w:rPr>
          <w:rFonts w:hint="eastAsia" w:hAnsi="宋体"/>
          <w:szCs w:val="21"/>
          <w:u w:val="single"/>
        </w:rPr>
        <w:t xml:space="preserve">    </w:t>
      </w:r>
      <w:r>
        <w:rPr>
          <w:rFonts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rPr>
        <w:t>一方变更项目联系人的，应当及时以书面形式通知另一方。未及时通知并影响本合同履行或造成损失的，应承担相应的责任。</w:t>
      </w:r>
    </w:p>
    <w:p>
      <w:pPr>
        <w:pStyle w:val="24"/>
        <w:spacing w:line="400" w:lineRule="exact"/>
        <w:ind w:firstLine="442" w:firstLineChars="200"/>
        <w:jc w:val="left"/>
        <w:rPr>
          <w:rFonts w:hAnsi="宋体"/>
          <w:b/>
          <w:szCs w:val="21"/>
        </w:rPr>
      </w:pPr>
      <w:r>
        <w:rPr>
          <w:rFonts w:hint="eastAsia" w:hAnsi="宋体"/>
          <w:b/>
          <w:szCs w:val="21"/>
        </w:rPr>
        <w:t>第九条  违约责任</w:t>
      </w:r>
    </w:p>
    <w:p>
      <w:pPr>
        <w:spacing w:line="400" w:lineRule="exact"/>
        <w:ind w:firstLine="442" w:firstLineChars="200"/>
        <w:rPr>
          <w:rStyle w:val="83"/>
          <w:b/>
          <w:color w:val="000000"/>
        </w:rPr>
      </w:pPr>
      <w:r>
        <w:rPr>
          <w:rStyle w:val="83"/>
          <w:rFonts w:hint="eastAsia"/>
          <w:b/>
          <w:color w:val="000000"/>
        </w:rPr>
        <w:t>1．乙方逾期提交服务咨询报告的，每日应向甲方支付违约金人民币</w:t>
      </w:r>
      <w:r>
        <w:rPr>
          <w:rFonts w:hint="eastAsia" w:hAnsi="宋体"/>
          <w:b/>
          <w:szCs w:val="21"/>
          <w:u w:val="single"/>
        </w:rPr>
        <w:t xml:space="preserve"> </w:t>
      </w:r>
      <w:r>
        <w:rPr>
          <w:rFonts w:hint="eastAsia"/>
          <w:b/>
          <w:szCs w:val="21"/>
          <w:u w:val="single"/>
          <w:lang w:val="en-US" w:eastAsia="zh-CN"/>
        </w:rPr>
        <w:t>500</w:t>
      </w:r>
      <w:r>
        <w:rPr>
          <w:rFonts w:hAnsi="宋体"/>
          <w:b/>
          <w:szCs w:val="21"/>
          <w:u w:val="single"/>
        </w:rPr>
        <w:t xml:space="preserve"> </w:t>
      </w:r>
      <w:r>
        <w:rPr>
          <w:rStyle w:val="83"/>
          <w:rFonts w:hint="eastAsia"/>
          <w:b/>
          <w:color w:val="000000"/>
        </w:rPr>
        <w:t>元，逾期超过</w:t>
      </w:r>
      <w:r>
        <w:rPr>
          <w:rFonts w:hint="eastAsia" w:hAnsi="宋体"/>
          <w:b/>
          <w:szCs w:val="21"/>
          <w:u w:val="single"/>
        </w:rPr>
        <w:t xml:space="preserve">  </w:t>
      </w:r>
      <w:r>
        <w:rPr>
          <w:rFonts w:hint="eastAsia"/>
          <w:b/>
          <w:szCs w:val="21"/>
          <w:u w:val="single"/>
          <w:lang w:val="en-US" w:eastAsia="zh-CN"/>
        </w:rPr>
        <w:t xml:space="preserve">30 </w:t>
      </w:r>
      <w:r>
        <w:rPr>
          <w:rStyle w:val="83"/>
          <w:rFonts w:hint="eastAsia"/>
          <w:b/>
          <w:color w:val="000000"/>
        </w:rPr>
        <w:t>日的，甲方还有权解除本合同并要求乙方一次性支付合同总额</w:t>
      </w:r>
      <w:r>
        <w:rPr>
          <w:rStyle w:val="83"/>
          <w:rFonts w:hint="eastAsia"/>
          <w:b/>
          <w:color w:val="000000"/>
          <w:u w:val="single"/>
        </w:rPr>
        <w:t xml:space="preserve"> </w:t>
      </w:r>
      <w:r>
        <w:rPr>
          <w:rStyle w:val="83"/>
          <w:rFonts w:hint="eastAsia"/>
          <w:b/>
          <w:color w:val="000000"/>
          <w:u w:val="single"/>
          <w:lang w:val="en-US" w:eastAsia="zh-CN"/>
        </w:rPr>
        <w:t xml:space="preserve">10 </w:t>
      </w:r>
      <w:r>
        <w:rPr>
          <w:rStyle w:val="83"/>
          <w:rFonts w:hint="eastAsia"/>
          <w:b/>
          <w:color w:val="000000"/>
        </w:rPr>
        <w:t>%的违约金。</w:t>
      </w:r>
    </w:p>
    <w:p>
      <w:pPr>
        <w:pStyle w:val="24"/>
        <w:spacing w:line="400" w:lineRule="exact"/>
        <w:ind w:firstLine="442" w:firstLineChars="200"/>
        <w:jc w:val="left"/>
        <w:rPr>
          <w:rStyle w:val="83"/>
          <w:b/>
          <w:color w:val="000000"/>
        </w:rPr>
      </w:pPr>
      <w:r>
        <w:rPr>
          <w:rStyle w:val="83"/>
          <w:rFonts w:hint="eastAsia"/>
          <w:b/>
          <w:color w:val="000000"/>
        </w:rPr>
        <w:t>2．乙方提交的服务咨询报告不符合合同约定的，应在甲方指定期限内修改完善直至符合合同约定为止，由此造成逾期提交的，按照第1款约定执行。</w:t>
      </w:r>
    </w:p>
    <w:p>
      <w:pPr>
        <w:pStyle w:val="24"/>
        <w:spacing w:line="400" w:lineRule="exact"/>
        <w:ind w:firstLine="442" w:firstLineChars="200"/>
        <w:jc w:val="left"/>
        <w:rPr>
          <w:rStyle w:val="83"/>
          <w:rFonts w:hint="eastAsia"/>
          <w:b/>
          <w:color w:val="000000"/>
        </w:rPr>
      </w:pPr>
      <w:r>
        <w:rPr>
          <w:rStyle w:val="83"/>
          <w:rFonts w:hint="eastAsia"/>
          <w:b/>
          <w:color w:val="000000"/>
        </w:rPr>
        <w:t>3．任何一方违反保密义务的，应向对方支付违约金人民币</w:t>
      </w:r>
      <w:r>
        <w:rPr>
          <w:rFonts w:hint="eastAsia" w:hAnsi="宋体"/>
          <w:b/>
          <w:szCs w:val="21"/>
          <w:u w:val="single"/>
        </w:rPr>
        <w:t xml:space="preserve"> </w:t>
      </w:r>
      <w:r>
        <w:rPr>
          <w:rFonts w:hint="eastAsia" w:hAnsi="宋体"/>
          <w:b/>
          <w:szCs w:val="21"/>
          <w:u w:val="single"/>
          <w:lang w:val="en-US" w:eastAsia="zh-CN"/>
        </w:rPr>
        <w:t>20万</w:t>
      </w:r>
      <w:r>
        <w:rPr>
          <w:rStyle w:val="83"/>
          <w:rFonts w:hint="eastAsia"/>
          <w:b/>
          <w:color w:val="000000"/>
        </w:rPr>
        <w:t>元；赔偿由此给对方造成的损失。</w:t>
      </w:r>
    </w:p>
    <w:p>
      <w:pPr>
        <w:pStyle w:val="24"/>
        <w:spacing w:line="400" w:lineRule="exact"/>
        <w:ind w:firstLine="442" w:firstLineChars="200"/>
        <w:jc w:val="left"/>
        <w:rPr>
          <w:rFonts w:hAnsi="宋体"/>
          <w:b/>
          <w:szCs w:val="21"/>
        </w:rPr>
      </w:pPr>
      <w:r>
        <w:rPr>
          <w:rStyle w:val="83"/>
          <w:rFonts w:hint="eastAsia"/>
          <w:b/>
          <w:color w:val="000000"/>
        </w:rPr>
        <w:t>4.甲方已就本合同项下涉及乙方重大利害关系的条款向乙方作出详细说明，乙方充分理解上述条款含义，并自愿签订本合同。</w:t>
      </w:r>
    </w:p>
    <w:p>
      <w:pPr>
        <w:pStyle w:val="24"/>
        <w:spacing w:line="400" w:lineRule="exact"/>
        <w:ind w:firstLine="440" w:firstLineChars="200"/>
        <w:jc w:val="left"/>
        <w:rPr>
          <w:rFonts w:hAnsi="宋体"/>
          <w:szCs w:val="21"/>
        </w:rPr>
      </w:pPr>
      <w:r>
        <w:rPr>
          <w:rFonts w:hint="eastAsia" w:hAnsi="宋体"/>
          <w:szCs w:val="21"/>
        </w:rPr>
        <w:t>第十条 双方因履行本合同而发生的争议，可协商、调解解决，也可直接向甲方所在地人民法院提起诉讼。</w:t>
      </w:r>
    </w:p>
    <w:p>
      <w:pPr>
        <w:pStyle w:val="24"/>
        <w:spacing w:line="400" w:lineRule="exact"/>
        <w:ind w:firstLine="440" w:firstLineChars="200"/>
        <w:jc w:val="left"/>
        <w:rPr>
          <w:rFonts w:hAnsi="宋体"/>
          <w:szCs w:val="21"/>
        </w:rPr>
      </w:pPr>
      <w:r>
        <w:rPr>
          <w:rFonts w:hint="eastAsia" w:hAnsi="宋体"/>
          <w:szCs w:val="21"/>
        </w:rPr>
        <w:t>第十一条 其他</w:t>
      </w:r>
    </w:p>
    <w:p>
      <w:pPr>
        <w:pStyle w:val="24"/>
        <w:spacing w:line="400" w:lineRule="exact"/>
        <w:ind w:firstLine="440" w:firstLineChars="200"/>
        <w:jc w:val="left"/>
        <w:rPr>
          <w:rStyle w:val="83"/>
          <w:color w:val="000000"/>
        </w:rPr>
      </w:pPr>
      <w:r>
        <w:rPr>
          <w:rStyle w:val="83"/>
          <w:rFonts w:hint="eastAsia"/>
          <w:color w:val="000000"/>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4"/>
        <w:spacing w:line="400" w:lineRule="exact"/>
        <w:ind w:firstLine="440" w:firstLineChars="200"/>
        <w:jc w:val="left"/>
        <w:rPr>
          <w:rFonts w:hAnsi="宋体"/>
          <w:szCs w:val="21"/>
        </w:rPr>
      </w:pPr>
      <w:r>
        <w:rPr>
          <w:rFonts w:hint="eastAsia" w:hAnsi="宋体"/>
          <w:szCs w:val="21"/>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4"/>
        <w:spacing w:line="400" w:lineRule="exact"/>
        <w:ind w:firstLine="440" w:firstLineChars="200"/>
        <w:jc w:val="left"/>
        <w:rPr>
          <w:rFonts w:hAnsi="宋体"/>
          <w:szCs w:val="21"/>
        </w:rPr>
      </w:pPr>
      <w:r>
        <w:rPr>
          <w:rFonts w:hint="eastAsia" w:hAnsi="宋体"/>
          <w:szCs w:val="21"/>
        </w:rPr>
        <w:t>第十二条 本合同经双方签订后生效。本合同一式</w:t>
      </w:r>
      <w:r>
        <w:rPr>
          <w:rFonts w:hint="eastAsia" w:hAnsi="宋体"/>
          <w:szCs w:val="21"/>
          <w:u w:val="single"/>
        </w:rPr>
        <w:t xml:space="preserve">    </w:t>
      </w:r>
      <w:r>
        <w:rPr>
          <w:rFonts w:hAnsi="宋体"/>
          <w:szCs w:val="21"/>
          <w:u w:val="single"/>
        </w:rPr>
        <w:t xml:space="preserve"> </w:t>
      </w:r>
      <w:r>
        <w:rPr>
          <w:rFonts w:hint="eastAsia" w:hAnsi="宋体"/>
          <w:szCs w:val="21"/>
        </w:rPr>
        <w:t>份，甲方执</w:t>
      </w:r>
      <w:r>
        <w:rPr>
          <w:rFonts w:hint="eastAsia" w:hAnsi="宋体"/>
          <w:szCs w:val="21"/>
          <w:u w:val="single"/>
        </w:rPr>
        <w:t xml:space="preserve">    </w:t>
      </w:r>
      <w:r>
        <w:rPr>
          <w:rFonts w:hAnsi="宋体"/>
          <w:szCs w:val="21"/>
          <w:u w:val="single"/>
        </w:rPr>
        <w:t xml:space="preserve"> </w:t>
      </w:r>
      <w:r>
        <w:rPr>
          <w:rFonts w:hint="eastAsia" w:hAnsi="宋体"/>
          <w:szCs w:val="21"/>
        </w:rPr>
        <w:t>份，乙方执</w:t>
      </w:r>
      <w:r>
        <w:rPr>
          <w:rFonts w:hint="eastAsia" w:hAnsi="宋体"/>
          <w:szCs w:val="21"/>
          <w:u w:val="single"/>
        </w:rPr>
        <w:t xml:space="preserve">    </w:t>
      </w:r>
      <w:r>
        <w:rPr>
          <w:rFonts w:hAnsi="宋体"/>
          <w:szCs w:val="21"/>
          <w:u w:val="single"/>
        </w:rPr>
        <w:t xml:space="preserve"> </w:t>
      </w:r>
      <w:r>
        <w:rPr>
          <w:rFonts w:hint="eastAsia" w:hAnsi="宋体"/>
          <w:szCs w:val="21"/>
        </w:rPr>
        <w:t>份，具有同等法律效力。</w:t>
      </w:r>
    </w:p>
    <w:p>
      <w:pPr>
        <w:pStyle w:val="24"/>
        <w:spacing w:line="400" w:lineRule="exact"/>
        <w:jc w:val="left"/>
        <w:rPr>
          <w:rFonts w:hAnsi="宋体"/>
          <w:szCs w:val="21"/>
        </w:rPr>
      </w:pPr>
    </w:p>
    <w:p>
      <w:pPr>
        <w:pStyle w:val="24"/>
        <w:spacing w:line="400" w:lineRule="exact"/>
        <w:ind w:firstLine="440" w:firstLineChars="200"/>
        <w:jc w:val="left"/>
        <w:rPr>
          <w:rFonts w:hAnsi="宋体"/>
          <w:szCs w:val="21"/>
        </w:rPr>
      </w:pPr>
    </w:p>
    <w:p>
      <w:pPr>
        <w:pStyle w:val="24"/>
        <w:spacing w:line="400" w:lineRule="exact"/>
        <w:ind w:firstLine="440" w:firstLineChars="200"/>
        <w:jc w:val="left"/>
        <w:rPr>
          <w:rFonts w:hAnsi="宋体"/>
          <w:szCs w:val="21"/>
        </w:rPr>
      </w:pPr>
    </w:p>
    <w:p>
      <w:pPr>
        <w:pStyle w:val="24"/>
        <w:spacing w:line="400" w:lineRule="exact"/>
        <w:jc w:val="left"/>
        <w:rPr>
          <w:rFonts w:hint="eastAsia" w:hAnsi="宋体" w:eastAsia="宋体"/>
          <w:b/>
          <w:szCs w:val="21"/>
          <w:lang w:val="en-US" w:eastAsia="zh-CN"/>
        </w:rPr>
      </w:pPr>
      <w:r>
        <w:rPr>
          <w:rFonts w:hint="eastAsia" w:hAnsi="宋体"/>
          <w:szCs w:val="21"/>
        </w:rPr>
        <w:t>甲方:</w:t>
      </w:r>
      <w:r>
        <w:rPr>
          <w:rFonts w:hint="eastAsia"/>
          <w:sz w:val="36"/>
          <w:szCs w:val="36"/>
        </w:rPr>
        <w:t xml:space="preserve"> </w:t>
      </w:r>
      <w:r>
        <w:rPr>
          <w:rFonts w:hint="eastAsia" w:hAnsi="宋体"/>
          <w:b/>
          <w:szCs w:val="21"/>
        </w:rPr>
        <w:t>翔鹭石化（漳州）有限公司</w:t>
      </w:r>
      <w:r>
        <w:rPr>
          <w:rFonts w:hint="eastAsia" w:hAnsi="宋体"/>
          <w:b/>
          <w:szCs w:val="21"/>
          <w:lang w:val="en-US" w:eastAsia="zh-CN"/>
        </w:rPr>
        <w:t xml:space="preserve">             </w:t>
      </w:r>
      <w:r>
        <w:rPr>
          <w:rFonts w:hint="eastAsia" w:hAnsi="宋体"/>
          <w:szCs w:val="21"/>
        </w:rPr>
        <w:t>乙方：</w:t>
      </w:r>
      <w:r>
        <w:rPr>
          <w:rFonts w:hint="eastAsia" w:hAnsi="宋体"/>
          <w:b/>
          <w:szCs w:val="21"/>
          <w:lang w:val="en-US" w:eastAsia="zh-CN"/>
        </w:rPr>
        <w:t xml:space="preserve"> </w:t>
      </w:r>
    </w:p>
    <w:p>
      <w:pPr>
        <w:pStyle w:val="24"/>
        <w:spacing w:line="400" w:lineRule="exact"/>
        <w:ind w:firstLine="442" w:firstLineChars="200"/>
        <w:jc w:val="left"/>
        <w:rPr>
          <w:rFonts w:hAnsi="宋体"/>
          <w:b/>
          <w:szCs w:val="21"/>
        </w:rPr>
      </w:pPr>
      <w:r>
        <w:rPr>
          <w:rFonts w:hint="eastAsia" w:hAnsi="宋体"/>
          <w:b/>
          <w:szCs w:val="21"/>
        </w:rPr>
        <w:t xml:space="preserve">                    </w:t>
      </w:r>
    </w:p>
    <w:p>
      <w:pPr>
        <w:pStyle w:val="24"/>
        <w:spacing w:line="400" w:lineRule="exact"/>
        <w:ind w:firstLine="442" w:firstLineChars="200"/>
        <w:jc w:val="left"/>
        <w:rPr>
          <w:rFonts w:hAnsi="宋体"/>
          <w:b/>
          <w:szCs w:val="21"/>
        </w:rPr>
      </w:pPr>
    </w:p>
    <w:p>
      <w:pPr>
        <w:pStyle w:val="24"/>
        <w:spacing w:line="400" w:lineRule="exact"/>
        <w:ind w:firstLine="663" w:firstLineChars="300"/>
        <w:jc w:val="left"/>
        <w:rPr>
          <w:rFonts w:hint="eastAsia" w:hAnsi="宋体"/>
          <w:b/>
          <w:szCs w:val="21"/>
        </w:rPr>
      </w:pPr>
    </w:p>
    <w:p>
      <w:pPr>
        <w:pStyle w:val="24"/>
        <w:spacing w:line="400" w:lineRule="exact"/>
        <w:ind w:firstLine="663" w:firstLineChars="300"/>
        <w:jc w:val="left"/>
        <w:rPr>
          <w:rFonts w:hAnsi="宋体"/>
          <w:b/>
          <w:szCs w:val="21"/>
        </w:rPr>
      </w:pPr>
      <w:r>
        <w:rPr>
          <w:rFonts w:hint="eastAsia" w:hAnsi="宋体"/>
          <w:b/>
          <w:szCs w:val="21"/>
        </w:rPr>
        <w:t>翔鹭码头投资管理（漳州）有限公司</w:t>
      </w:r>
    </w:p>
    <w:p>
      <w:pPr>
        <w:pStyle w:val="24"/>
        <w:spacing w:line="400" w:lineRule="exact"/>
        <w:ind w:firstLine="552" w:firstLineChars="250"/>
        <w:jc w:val="left"/>
        <w:rPr>
          <w:rFonts w:hint="eastAsia" w:hAnsi="宋体"/>
          <w:b/>
          <w:szCs w:val="21"/>
        </w:rPr>
      </w:pPr>
    </w:p>
    <w:p>
      <w:pPr>
        <w:pStyle w:val="59"/>
      </w:pPr>
    </w:p>
    <w:p>
      <w:pPr>
        <w:jc w:val="center"/>
        <w:rPr>
          <w:b/>
          <w:sz w:val="36"/>
          <w:szCs w:val="36"/>
          <w:lang w:eastAsia="zh-CN"/>
        </w:rPr>
      </w:pPr>
    </w:p>
    <w:p>
      <w:pPr>
        <w:pStyle w:val="59"/>
      </w:pPr>
    </w:p>
    <w:p>
      <w:pPr>
        <w:tabs>
          <w:tab w:val="center" w:pos="4923"/>
          <w:tab w:val="right" w:pos="9525"/>
        </w:tabs>
        <w:spacing w:line="276" w:lineRule="auto"/>
        <w:rPr>
          <w:rFonts w:hint="eastAsia"/>
          <w:lang w:eastAsia="zh-CN"/>
        </w:rPr>
      </w:pPr>
    </w:p>
    <w:p>
      <w:pPr>
        <w:tabs>
          <w:tab w:val="center" w:pos="4923"/>
          <w:tab w:val="right" w:pos="9525"/>
        </w:tabs>
        <w:spacing w:line="276" w:lineRule="auto"/>
        <w:rPr>
          <w:lang w:eastAsia="zh-CN"/>
        </w:rPr>
      </w:pPr>
      <w:r>
        <w:rPr>
          <w:rFonts w:hint="eastAsia"/>
          <w:lang w:eastAsia="zh-CN"/>
        </w:rPr>
        <w:t>附件1、</w:t>
      </w:r>
    </w:p>
    <w:p>
      <w:pPr>
        <w:pStyle w:val="250"/>
        <w:widowControl/>
        <w:tabs>
          <w:tab w:val="center" w:pos="4649"/>
          <w:tab w:val="right" w:pos="9299"/>
        </w:tabs>
        <w:adjustRightInd w:val="0"/>
        <w:spacing w:after="200" w:line="540" w:lineRule="exact"/>
        <w:jc w:val="center"/>
        <w:rPr>
          <w:rFonts w:hint="eastAsia" w:ascii="黑体" w:hAnsi="黑体" w:eastAsia="黑体"/>
          <w:kern w:val="0"/>
          <w:sz w:val="44"/>
          <w:szCs w:val="44"/>
          <w:lang w:val="en-US" w:eastAsia="zh-CN"/>
        </w:rPr>
      </w:pPr>
      <w:r>
        <w:rPr>
          <w:rFonts w:hint="eastAsia" w:ascii="黑体" w:hAnsi="黑体" w:eastAsia="黑体"/>
          <w:kern w:val="0"/>
          <w:sz w:val="44"/>
          <w:szCs w:val="44"/>
          <w:lang w:val="en-US" w:eastAsia="zh-CN"/>
        </w:rPr>
        <w:t xml:space="preserve">  </w:t>
      </w:r>
    </w:p>
    <w:p>
      <w:pPr>
        <w:pStyle w:val="250"/>
        <w:widowControl/>
        <w:tabs>
          <w:tab w:val="center" w:pos="4649"/>
          <w:tab w:val="right" w:pos="9299"/>
        </w:tabs>
        <w:adjustRightInd w:val="0"/>
        <w:spacing w:after="200" w:line="540" w:lineRule="exact"/>
        <w:jc w:val="center"/>
        <w:rPr>
          <w:rFonts w:hint="eastAsia" w:ascii="黑体" w:hAnsi="黑体" w:eastAsia="黑体"/>
          <w:kern w:val="0"/>
          <w:sz w:val="44"/>
          <w:szCs w:val="44"/>
          <w:lang w:val="en-US" w:eastAsia="zh-CN"/>
        </w:rPr>
      </w:pPr>
    </w:p>
    <w:p>
      <w:pPr>
        <w:pStyle w:val="250"/>
        <w:widowControl/>
        <w:tabs>
          <w:tab w:val="center" w:pos="4649"/>
          <w:tab w:val="right" w:pos="9299"/>
        </w:tabs>
        <w:adjustRightInd w:val="0"/>
        <w:spacing w:after="200" w:line="540" w:lineRule="exact"/>
        <w:jc w:val="center"/>
        <w:rPr>
          <w:rFonts w:hint="eastAsia" w:ascii="黑体" w:hAnsi="黑体" w:eastAsia="黑体"/>
          <w:kern w:val="0"/>
          <w:sz w:val="44"/>
          <w:szCs w:val="44"/>
          <w:lang w:val="en-US" w:eastAsia="zh-CN"/>
        </w:rPr>
      </w:pPr>
    </w:p>
    <w:p>
      <w:pPr>
        <w:pStyle w:val="250"/>
        <w:widowControl/>
        <w:tabs>
          <w:tab w:val="center" w:pos="4649"/>
          <w:tab w:val="right" w:pos="9299"/>
        </w:tabs>
        <w:adjustRightInd w:val="0"/>
        <w:spacing w:after="200" w:line="540" w:lineRule="exact"/>
        <w:jc w:val="center"/>
        <w:rPr>
          <w:rFonts w:hint="eastAsia" w:ascii="黑体" w:hAnsi="黑体" w:eastAsia="黑体"/>
          <w:kern w:val="0"/>
          <w:sz w:val="44"/>
          <w:szCs w:val="44"/>
        </w:rPr>
      </w:pPr>
      <w:r>
        <w:rPr>
          <w:rFonts w:hint="eastAsia" w:ascii="黑体" w:hAnsi="黑体" w:eastAsia="黑体"/>
          <w:kern w:val="0"/>
          <w:sz w:val="44"/>
          <w:szCs w:val="44"/>
        </w:rPr>
        <w:t>厦门港古雷港区古雷作业区南8号泊位工程&amp;翔鹭石化海水冷却系统排海工程</w:t>
      </w:r>
    </w:p>
    <w:p>
      <w:pPr>
        <w:pStyle w:val="250"/>
        <w:widowControl/>
        <w:tabs>
          <w:tab w:val="center" w:pos="4649"/>
          <w:tab w:val="right" w:pos="9299"/>
        </w:tabs>
        <w:adjustRightInd w:val="0"/>
        <w:spacing w:after="200" w:line="540" w:lineRule="exact"/>
        <w:jc w:val="center"/>
        <w:rPr>
          <w:rFonts w:ascii="黑体" w:hAnsi="黑体" w:eastAsia="黑体"/>
          <w:kern w:val="0"/>
          <w:sz w:val="44"/>
          <w:szCs w:val="44"/>
        </w:rPr>
      </w:pPr>
      <w:r>
        <w:rPr>
          <w:rFonts w:hint="eastAsia" w:ascii="黑体" w:hAnsi="黑体" w:eastAsia="黑体"/>
          <w:kern w:val="0"/>
          <w:sz w:val="44"/>
          <w:szCs w:val="44"/>
        </w:rPr>
        <w:t>项目后评价服务发包说明</w:t>
      </w:r>
    </w:p>
    <w:p>
      <w:pPr>
        <w:pStyle w:val="250"/>
        <w:widowControl/>
        <w:tabs>
          <w:tab w:val="center" w:pos="4649"/>
          <w:tab w:val="right" w:pos="9299"/>
        </w:tabs>
        <w:adjustRightInd w:val="0"/>
        <w:spacing w:after="200" w:line="540" w:lineRule="exact"/>
        <w:jc w:val="center"/>
        <w:rPr>
          <w:rFonts w:hint="eastAsia" w:ascii="黑体" w:hAnsi="黑体" w:eastAsia="黑体"/>
          <w:kern w:val="0"/>
          <w:sz w:val="44"/>
          <w:szCs w:val="44"/>
          <w:u w:val="single"/>
        </w:rPr>
      </w:pPr>
    </w:p>
    <w:p>
      <w:pPr>
        <w:widowControl/>
        <w:tabs>
          <w:tab w:val="center" w:pos="4649"/>
          <w:tab w:val="right" w:pos="9299"/>
        </w:tabs>
        <w:adjustRightInd w:val="0"/>
        <w:snapToGrid w:val="0"/>
        <w:spacing w:line="540" w:lineRule="exact"/>
        <w:ind w:firstLine="1040"/>
        <w:jc w:val="center"/>
        <w:rPr>
          <w:rFonts w:ascii="黑体" w:hAnsi="黑体" w:eastAsia="黑体"/>
          <w:kern w:val="0"/>
          <w:sz w:val="52"/>
          <w:szCs w:val="52"/>
        </w:rPr>
      </w:pPr>
    </w:p>
    <w:p>
      <w:pPr>
        <w:widowControl/>
        <w:tabs>
          <w:tab w:val="center" w:pos="4649"/>
          <w:tab w:val="right" w:pos="9299"/>
        </w:tabs>
        <w:adjustRightInd w:val="0"/>
        <w:snapToGrid w:val="0"/>
        <w:spacing w:line="540" w:lineRule="exact"/>
        <w:ind w:firstLine="1040"/>
        <w:jc w:val="center"/>
        <w:rPr>
          <w:rFonts w:ascii="黑体" w:hAnsi="黑体" w:eastAsia="黑体"/>
          <w:kern w:val="0"/>
          <w:sz w:val="52"/>
          <w:szCs w:val="52"/>
        </w:rPr>
      </w:pPr>
    </w:p>
    <w:p>
      <w:pPr>
        <w:pStyle w:val="2"/>
        <w:ind w:firstLine="643"/>
      </w:pPr>
    </w:p>
    <w:p>
      <w:pPr>
        <w:widowControl/>
        <w:tabs>
          <w:tab w:val="center" w:pos="4649"/>
          <w:tab w:val="right" w:pos="9299"/>
        </w:tabs>
        <w:adjustRightInd w:val="0"/>
        <w:snapToGrid w:val="0"/>
        <w:spacing w:before="60" w:after="200" w:line="540" w:lineRule="exact"/>
        <w:ind w:firstLine="0" w:firstLineChars="0"/>
        <w:rPr>
          <w:rFonts w:ascii="黑体" w:hAnsi="宋体" w:eastAsia="黑体"/>
          <w:kern w:val="0"/>
          <w:sz w:val="44"/>
          <w:szCs w:val="44"/>
        </w:rPr>
      </w:pPr>
    </w:p>
    <w:p>
      <w:pPr>
        <w:pStyle w:val="2"/>
        <w:ind w:firstLine="883"/>
        <w:rPr>
          <w:rFonts w:ascii="黑体" w:hAnsi="宋体" w:eastAsia="黑体"/>
          <w:kern w:val="0"/>
          <w:sz w:val="44"/>
          <w:szCs w:val="44"/>
        </w:rPr>
      </w:pPr>
    </w:p>
    <w:p>
      <w:pPr>
        <w:pStyle w:val="2"/>
        <w:ind w:firstLine="643"/>
      </w:pPr>
    </w:p>
    <w:p>
      <w:pPr>
        <w:pStyle w:val="250"/>
        <w:widowControl/>
        <w:tabs>
          <w:tab w:val="center" w:pos="4649"/>
          <w:tab w:val="right" w:pos="9299"/>
        </w:tabs>
        <w:adjustRightInd w:val="0"/>
        <w:spacing w:after="200" w:line="540" w:lineRule="exact"/>
        <w:jc w:val="center"/>
        <w:rPr>
          <w:rFonts w:hint="eastAsia" w:ascii="黑体" w:hAnsi="宋体" w:eastAsia="黑体"/>
          <w:kern w:val="0"/>
          <w:sz w:val="44"/>
          <w:szCs w:val="44"/>
        </w:rPr>
      </w:pPr>
      <w:r>
        <w:rPr>
          <w:rFonts w:hint="eastAsia" w:ascii="黑体" w:hAnsi="宋体" w:eastAsia="黑体"/>
          <w:kern w:val="0"/>
          <w:sz w:val="44"/>
          <w:szCs w:val="44"/>
        </w:rPr>
        <w:t>翔鹭码头投资管理（漳州）有限公司</w:t>
      </w:r>
    </w:p>
    <w:p>
      <w:pPr>
        <w:pStyle w:val="250"/>
        <w:widowControl/>
        <w:tabs>
          <w:tab w:val="center" w:pos="4649"/>
          <w:tab w:val="right" w:pos="9299"/>
        </w:tabs>
        <w:adjustRightInd w:val="0"/>
        <w:spacing w:after="200" w:line="540" w:lineRule="exact"/>
        <w:jc w:val="center"/>
        <w:rPr>
          <w:rFonts w:ascii="黑体" w:hAnsi="宋体" w:eastAsia="黑体"/>
          <w:kern w:val="0"/>
          <w:sz w:val="44"/>
          <w:szCs w:val="44"/>
        </w:rPr>
      </w:pPr>
      <w:r>
        <w:rPr>
          <w:rFonts w:hint="eastAsia" w:ascii="黑体" w:hAnsi="宋体" w:eastAsia="黑体"/>
          <w:kern w:val="0"/>
          <w:sz w:val="44"/>
          <w:szCs w:val="44"/>
        </w:rPr>
        <w:t>翔鹭石化（漳州）有限公司</w:t>
      </w:r>
    </w:p>
    <w:p>
      <w:pPr>
        <w:pStyle w:val="251"/>
        <w:tabs>
          <w:tab w:val="right" w:leader="dot" w:pos="8306"/>
        </w:tabs>
        <w:spacing w:line="540" w:lineRule="exact"/>
        <w:rPr>
          <w:rFonts w:hint="eastAsia"/>
          <w:b/>
          <w:bCs/>
        </w:rPr>
      </w:pPr>
    </w:p>
    <w:p>
      <w:pPr>
        <w:pStyle w:val="251"/>
        <w:tabs>
          <w:tab w:val="right" w:leader="dot" w:pos="8306"/>
        </w:tabs>
        <w:spacing w:line="540" w:lineRule="exact"/>
        <w:rPr>
          <w:rFonts w:hint="eastAsia"/>
          <w:b/>
          <w:bCs/>
        </w:rPr>
      </w:pPr>
    </w:p>
    <w:p>
      <w:pPr>
        <w:pStyle w:val="251"/>
        <w:tabs>
          <w:tab w:val="right" w:leader="dot" w:pos="8306"/>
        </w:tabs>
        <w:spacing w:line="540" w:lineRule="exact"/>
        <w:rPr>
          <w:b/>
          <w:bCs/>
        </w:rPr>
      </w:pPr>
    </w:p>
    <w:p>
      <w:pPr>
        <w:spacing w:line="540" w:lineRule="exact"/>
        <w:ind w:firstLine="560"/>
      </w:pPr>
    </w:p>
    <w:p>
      <w:pPr>
        <w:tabs>
          <w:tab w:val="center" w:pos="4363"/>
          <w:tab w:val="left" w:pos="5100"/>
        </w:tabs>
        <w:spacing w:line="540" w:lineRule="exact"/>
        <w:ind w:firstLine="420"/>
        <w:jc w:val="left"/>
        <w:rPr>
          <w:rFonts w:ascii="宋体" w:hAnsi="宋体" w:eastAsia="宋体"/>
          <w:sz w:val="21"/>
        </w:rPr>
      </w:pPr>
    </w:p>
    <w:p>
      <w:pPr>
        <w:tabs>
          <w:tab w:val="center" w:pos="4363"/>
          <w:tab w:val="left" w:pos="5100"/>
        </w:tabs>
        <w:spacing w:line="540" w:lineRule="exact"/>
        <w:ind w:firstLine="420"/>
        <w:jc w:val="left"/>
        <w:rPr>
          <w:rFonts w:ascii="宋体" w:hAnsi="宋体" w:eastAsia="宋体"/>
          <w:sz w:val="21"/>
        </w:rPr>
      </w:pPr>
    </w:p>
    <w:p>
      <w:pPr>
        <w:tabs>
          <w:tab w:val="center" w:pos="4363"/>
          <w:tab w:val="left" w:pos="5100"/>
        </w:tabs>
        <w:spacing w:line="540" w:lineRule="exact"/>
        <w:ind w:firstLine="420"/>
        <w:jc w:val="left"/>
      </w:pPr>
      <w:r>
        <w:rPr>
          <w:rFonts w:ascii="宋体" w:hAnsi="宋体" w:eastAsia="宋体"/>
          <w:sz w:val="21"/>
        </w:rPr>
        <w:tab/>
      </w:r>
    </w:p>
    <w:p>
      <w:pPr>
        <w:pStyle w:val="3"/>
        <w:numPr>
          <w:ilvl w:val="0"/>
          <w:numId w:val="8"/>
        </w:numPr>
        <w:adjustRightInd w:val="0"/>
        <w:snapToGrid w:val="0"/>
        <w:spacing w:before="0" w:after="0" w:line="540" w:lineRule="exact"/>
        <w:ind w:left="0" w:firstLine="560"/>
        <w:rPr>
          <w:rFonts w:hint="eastAsia" w:ascii="黑体" w:hAnsi="黑体" w:eastAsia="黑体" w:cs="黑体"/>
          <w:b w:val="0"/>
          <w:bCs w:val="0"/>
          <w:sz w:val="28"/>
          <w:szCs w:val="28"/>
        </w:rPr>
      </w:pPr>
      <w:bookmarkStart w:id="1" w:name="_Toc23745"/>
      <w:bookmarkStart w:id="2" w:name="_Toc18388_WPSOffice_Level1"/>
      <w:bookmarkStart w:id="3" w:name="_Toc23897"/>
      <w:bookmarkStart w:id="4" w:name="_Toc7722"/>
      <w:bookmarkStart w:id="5" w:name="_Toc18085"/>
      <w:bookmarkStart w:id="6" w:name="_Toc28735"/>
      <w:bookmarkStart w:id="7" w:name="_Toc30565_WPSOffice_Level1"/>
      <w:bookmarkStart w:id="8" w:name="_Toc1833"/>
      <w:bookmarkStart w:id="9" w:name="_Toc96585513"/>
      <w:bookmarkStart w:id="10" w:name="_Toc92450777"/>
      <w:bookmarkStart w:id="11" w:name="_Toc7768"/>
      <w:bookmarkStart w:id="12" w:name="_Toc32423_WPSOffice_Level1"/>
      <w:bookmarkStart w:id="13" w:name="_Toc31747"/>
      <w:bookmarkStart w:id="14" w:name="_Toc25483"/>
      <w:bookmarkStart w:id="15" w:name="_Toc3996"/>
      <w:bookmarkStart w:id="16" w:name="_Toc2518"/>
      <w:bookmarkStart w:id="17" w:name="_Toc23874"/>
      <w:bookmarkStart w:id="18" w:name="_Toc24968"/>
      <w:r>
        <w:rPr>
          <w:rFonts w:hint="eastAsia" w:ascii="黑体" w:hAnsi="黑体" w:eastAsia="黑体" w:cs="黑体"/>
          <w:b w:val="0"/>
          <w:bCs w:val="0"/>
          <w:sz w:val="28"/>
          <w:szCs w:val="28"/>
        </w:rPr>
        <w:t>总体要求</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adjustRightInd w:val="0"/>
        <w:snapToGrid w:val="0"/>
        <w:spacing w:line="540" w:lineRule="exact"/>
        <w:ind w:firstLine="560"/>
        <w:rPr>
          <w:rFonts w:hint="eastAsia" w:ascii="宋体" w:hAnsi="宋体" w:eastAsia="宋体" w:cs="宋体"/>
        </w:rPr>
      </w:pPr>
      <w:r>
        <w:rPr>
          <w:rFonts w:hint="eastAsia" w:ascii="宋体" w:hAnsi="宋体" w:eastAsia="宋体" w:cs="宋体"/>
        </w:rPr>
        <w:t>1.1本技术部分仅适用于本服务项目。</w:t>
      </w:r>
    </w:p>
    <w:p>
      <w:pPr>
        <w:adjustRightInd w:val="0"/>
        <w:snapToGrid w:val="0"/>
        <w:spacing w:line="540" w:lineRule="exact"/>
        <w:ind w:firstLine="560"/>
        <w:rPr>
          <w:rFonts w:hint="eastAsia" w:ascii="宋体" w:hAnsi="宋体" w:eastAsia="宋体" w:cs="宋体"/>
        </w:rPr>
      </w:pPr>
      <w:r>
        <w:rPr>
          <w:rFonts w:hint="eastAsia" w:ascii="宋体" w:hAnsi="宋体" w:eastAsia="宋体" w:cs="宋体"/>
        </w:rPr>
        <w:t>1.2本技术部分提出的是最低限度的要求，并未对一切细节作出规定，也并未规定所有的技术要求和适用的标准，报价人应保证按照本技术部分和相关规范的要求进行服务。对国家、地方及行业有关强制性标准，必须满足其要求。</w:t>
      </w:r>
    </w:p>
    <w:p>
      <w:pPr>
        <w:adjustRightInd w:val="0"/>
        <w:snapToGrid w:val="0"/>
        <w:spacing w:line="540" w:lineRule="exact"/>
        <w:ind w:firstLine="560"/>
        <w:rPr>
          <w:rFonts w:hint="eastAsia" w:ascii="宋体" w:hAnsi="宋体" w:eastAsia="宋体" w:cs="宋体"/>
        </w:rPr>
      </w:pPr>
      <w:r>
        <w:rPr>
          <w:rFonts w:hint="eastAsia" w:ascii="宋体" w:hAnsi="宋体" w:eastAsia="宋体" w:cs="宋体"/>
        </w:rPr>
        <w:t xml:space="preserve">1.3本采购文件使用的标准，如遇与报价人所执行的标准不一致时，按较高的标准执行。在合同生效后，采购人有权提出因规范标准发生变化而产生的一些补充修改要求，报价人应遵守这个要求。 </w:t>
      </w:r>
    </w:p>
    <w:p>
      <w:p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1.4本技术部分可能存在未能全面反映现场实际状况的微小偏差，报价人应根据规范要求、行业标准，结合自身经验和收集的相关信息综合考虑项目工作内容。报价人不得拒绝完成本项目任务所必须的工作，相关费用包含在报价中。</w:t>
      </w:r>
    </w:p>
    <w:p>
      <w:p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1.5本项目涉及到的知识产权费用均已包含在报价中，因知识产权产生的纠纷由报价人自行承担或解决，采购人不承担相应责任。</w:t>
      </w:r>
    </w:p>
    <w:p>
      <w:pPr>
        <w:adjustRightInd w:val="0"/>
        <w:snapToGrid w:val="0"/>
        <w:spacing w:line="540" w:lineRule="exact"/>
        <w:ind w:firstLine="560"/>
        <w:rPr>
          <w:rFonts w:hint="eastAsia" w:ascii="宋体" w:hAnsi="宋体" w:eastAsia="宋体" w:cs="宋体"/>
        </w:rPr>
      </w:pPr>
      <w:r>
        <w:rPr>
          <w:rFonts w:hint="eastAsia" w:ascii="宋体" w:hAnsi="宋体" w:eastAsia="宋体" w:cs="宋体"/>
        </w:rPr>
        <w:t>1.6除采购文件另有规定外，列入本技术部分的所有工作内容均应包含在本项目报价中。</w:t>
      </w:r>
    </w:p>
    <w:p>
      <w:pPr>
        <w:adjustRightInd w:val="0"/>
        <w:snapToGrid w:val="0"/>
        <w:spacing w:line="540" w:lineRule="exact"/>
        <w:ind w:firstLine="560"/>
        <w:rPr>
          <w:rFonts w:hint="eastAsia" w:ascii="宋体" w:hAnsi="宋体" w:eastAsia="宋体" w:cs="宋体"/>
        </w:rPr>
      </w:pPr>
      <w:r>
        <w:rPr>
          <w:rFonts w:hint="eastAsia" w:ascii="宋体" w:hAnsi="宋体" w:eastAsia="宋体" w:cs="宋体"/>
        </w:rPr>
        <w:t>1.7本技术部分为合同的附件，与合同正文具有同等效力。</w:t>
      </w:r>
    </w:p>
    <w:p>
      <w:pPr>
        <w:adjustRightInd w:val="0"/>
        <w:snapToGrid w:val="0"/>
        <w:spacing w:line="540" w:lineRule="exact"/>
        <w:ind w:firstLine="560"/>
        <w:rPr>
          <w:rFonts w:hint="eastAsia" w:ascii="宋体" w:hAnsi="宋体" w:eastAsia="宋体" w:cs="宋体"/>
        </w:rPr>
      </w:pPr>
      <w:r>
        <w:rPr>
          <w:rFonts w:hint="eastAsia" w:ascii="宋体" w:hAnsi="宋体" w:eastAsia="宋体" w:cs="宋体"/>
        </w:rPr>
        <w:t>1.8本技术部分中如若出现资质、业绩等方面要求，如与商务部分不一致，以技术部分为准。</w:t>
      </w:r>
    </w:p>
    <w:p>
      <w:pPr>
        <w:spacing w:line="540" w:lineRule="exact"/>
        <w:ind w:firstLine="0" w:firstLineChars="0"/>
        <w:rPr>
          <w:rFonts w:hint="eastAsia"/>
        </w:rPr>
      </w:pPr>
    </w:p>
    <w:p>
      <w:pPr>
        <w:pStyle w:val="3"/>
        <w:pageBreakBefore/>
        <w:numPr>
          <w:ilvl w:val="0"/>
          <w:numId w:val="8"/>
        </w:numPr>
        <w:spacing w:before="0" w:after="0" w:line="540" w:lineRule="exact"/>
        <w:ind w:left="0" w:firstLine="0" w:firstLineChars="0"/>
        <w:rPr>
          <w:rFonts w:hint="eastAsia" w:ascii="黑体" w:hAnsi="黑体" w:eastAsia="黑体" w:cs="黑体"/>
          <w:b w:val="0"/>
          <w:bCs w:val="0"/>
          <w:sz w:val="28"/>
          <w:szCs w:val="28"/>
        </w:rPr>
      </w:pPr>
      <w:bookmarkStart w:id="19" w:name="_Toc6594"/>
      <w:bookmarkStart w:id="20" w:name="_Toc96585514"/>
      <w:bookmarkStart w:id="21" w:name="_Toc22253"/>
      <w:bookmarkStart w:id="22" w:name="_Toc10029977"/>
      <w:bookmarkStart w:id="23" w:name="_Toc706"/>
      <w:bookmarkStart w:id="24" w:name="_Toc12135_WPSOffice_Level1"/>
      <w:bookmarkStart w:id="25" w:name="_Toc2451"/>
      <w:bookmarkStart w:id="26" w:name="_Toc29527"/>
      <w:bookmarkStart w:id="27" w:name="_Toc24508"/>
      <w:bookmarkStart w:id="28" w:name="_Toc4246"/>
      <w:bookmarkStart w:id="29" w:name="_Toc14514_WPSOffice_Level1"/>
      <w:bookmarkStart w:id="30" w:name="_Toc16105_WPSOffice_Level1"/>
      <w:bookmarkStart w:id="31" w:name="_Toc28085"/>
      <w:bookmarkStart w:id="32" w:name="_Toc10216685"/>
      <w:bookmarkStart w:id="33" w:name="_Toc18773"/>
      <w:bookmarkStart w:id="34" w:name="_Toc10034"/>
      <w:bookmarkStart w:id="35" w:name="_Toc25593"/>
      <w:bookmarkStart w:id="36" w:name="_Toc92450778"/>
      <w:bookmarkStart w:id="37" w:name="_Toc17468"/>
      <w:bookmarkStart w:id="38" w:name="_Toc25316"/>
      <w:bookmarkStart w:id="39" w:name="_Toc9328"/>
      <w:r>
        <w:rPr>
          <w:rFonts w:hint="eastAsia" w:ascii="黑体" w:hAnsi="黑体" w:eastAsia="黑体" w:cs="黑体"/>
          <w:b w:val="0"/>
          <w:bCs w:val="0"/>
          <w:sz w:val="28"/>
          <w:szCs w:val="28"/>
        </w:rPr>
        <w:t>项目概况</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spacing w:line="540" w:lineRule="exact"/>
        <w:ind w:firstLine="560"/>
        <w:rPr>
          <w:rFonts w:hint="eastAsia" w:ascii="宋体" w:hAnsi="宋体" w:eastAsia="宋体" w:cs="宋体"/>
          <w:szCs w:val="22"/>
        </w:rPr>
      </w:pPr>
      <w:r>
        <w:rPr>
          <w:rFonts w:hint="eastAsia" w:ascii="宋体" w:hAnsi="宋体" w:eastAsia="宋体" w:cs="宋体"/>
          <w:szCs w:val="22"/>
        </w:rPr>
        <w:t>厦门港古雷港区古雷作业区南8号泊位工程建设规模为1个15万吨级通用泊位。码头长度349m，纵深475m，陆域总面积约22.7万平米。码头设计年吞吐量560万吨/年，其中散货（煤炭）480万吨/年、件杂货为80万吨/年。项目于2020年12月通过竣工验收，正式投入运营。</w:t>
      </w:r>
    </w:p>
    <w:p>
      <w:pPr>
        <w:spacing w:line="540" w:lineRule="exact"/>
        <w:ind w:firstLine="560"/>
        <w:rPr>
          <w:rFonts w:hint="eastAsia" w:ascii="宋体" w:hAnsi="宋体" w:eastAsia="宋体" w:cs="宋体"/>
          <w:szCs w:val="22"/>
        </w:rPr>
      </w:pPr>
      <w:r>
        <w:rPr>
          <w:rFonts w:hint="eastAsia" w:ascii="宋体" w:hAnsi="宋体" w:eastAsia="宋体" w:cs="宋体"/>
          <w:szCs w:val="22"/>
        </w:rPr>
        <w:t>翔鹭石化海水冷却系统排海工程，工程建设约382m排水箱涵，同步配套建设消浪堤、护砂堤等设施。项目于2020年12月通水运行。</w:t>
      </w:r>
    </w:p>
    <w:p>
      <w:pPr>
        <w:spacing w:line="540" w:lineRule="exact"/>
        <w:ind w:firstLine="560"/>
        <w:rPr>
          <w:rFonts w:hint="eastAsia" w:ascii="宋体" w:hAnsi="宋体" w:eastAsia="宋体" w:cs="宋体"/>
          <w:szCs w:val="22"/>
        </w:rPr>
      </w:pPr>
    </w:p>
    <w:p>
      <w:pPr>
        <w:spacing w:line="540" w:lineRule="exact"/>
        <w:ind w:firstLine="560"/>
        <w:rPr>
          <w:rFonts w:hint="eastAsia" w:ascii="宋体" w:hAnsi="宋体" w:eastAsia="宋体" w:cs="宋体"/>
          <w:szCs w:val="22"/>
        </w:rPr>
      </w:pPr>
    </w:p>
    <w:p>
      <w:pPr>
        <w:spacing w:line="540" w:lineRule="exact"/>
        <w:ind w:firstLine="560"/>
        <w:rPr>
          <w:rFonts w:hint="eastAsia" w:ascii="宋体" w:hAnsi="宋体" w:eastAsia="宋体" w:cs="宋体"/>
          <w:szCs w:val="22"/>
        </w:rPr>
      </w:pPr>
    </w:p>
    <w:p>
      <w:pPr>
        <w:spacing w:line="540" w:lineRule="exact"/>
        <w:ind w:firstLine="560"/>
        <w:rPr>
          <w:rFonts w:ascii="宋体" w:hAnsi="宋体" w:eastAsia="宋体" w:cs="宋体"/>
          <w:u w:val="single"/>
        </w:rPr>
      </w:pPr>
    </w:p>
    <w:p>
      <w:pPr>
        <w:spacing w:line="540" w:lineRule="exact"/>
        <w:ind w:firstLine="560"/>
        <w:rPr>
          <w:rFonts w:hint="eastAsia"/>
        </w:rPr>
      </w:pPr>
    </w:p>
    <w:p>
      <w:pPr>
        <w:spacing w:line="540" w:lineRule="exact"/>
        <w:ind w:firstLine="0" w:firstLineChars="0"/>
        <w:rPr>
          <w:rFonts w:hint="eastAsia"/>
        </w:rPr>
      </w:pPr>
      <w:r>
        <w:br w:type="page"/>
      </w:r>
    </w:p>
    <w:p>
      <w:pPr>
        <w:pStyle w:val="3"/>
        <w:numPr>
          <w:ilvl w:val="0"/>
          <w:numId w:val="8"/>
        </w:numPr>
        <w:spacing w:before="0" w:after="0" w:line="540" w:lineRule="exact"/>
        <w:ind w:left="0" w:firstLine="0" w:firstLineChars="0"/>
        <w:rPr>
          <w:rFonts w:hint="eastAsia" w:ascii="黑体" w:hAnsi="黑体" w:eastAsia="黑体" w:cs="黑体"/>
          <w:b w:val="0"/>
          <w:bCs w:val="0"/>
          <w:sz w:val="28"/>
          <w:szCs w:val="28"/>
        </w:rPr>
      </w:pPr>
      <w:bookmarkStart w:id="40" w:name="_Toc9021"/>
      <w:bookmarkStart w:id="41" w:name="_Toc372"/>
      <w:bookmarkStart w:id="42" w:name="_Toc96585515"/>
      <w:bookmarkStart w:id="43" w:name="_Toc24371"/>
      <w:bookmarkStart w:id="44" w:name="_Toc14378"/>
      <w:bookmarkStart w:id="45" w:name="_Toc25662"/>
      <w:bookmarkStart w:id="46" w:name="_Toc12118"/>
      <w:bookmarkStart w:id="47" w:name="_Toc13372"/>
      <w:bookmarkStart w:id="48" w:name="_Toc92450779"/>
      <w:bookmarkStart w:id="49" w:name="_Toc7653"/>
      <w:bookmarkStart w:id="50" w:name="_Toc7115"/>
      <w:bookmarkStart w:id="51" w:name="_Toc19002"/>
      <w:bookmarkStart w:id="52" w:name="_Toc25687_WPSOffice_Level1"/>
      <w:bookmarkStart w:id="53" w:name="_Toc17680"/>
      <w:bookmarkStart w:id="54" w:name="_Toc19781"/>
      <w:bookmarkStart w:id="55" w:name="_Toc20731"/>
      <w:bookmarkStart w:id="56" w:name="_Toc1631_WPSOffice_Level1"/>
      <w:bookmarkStart w:id="57" w:name="_Toc30111"/>
      <w:bookmarkStart w:id="58" w:name="_Toc25498_WPSOffice_Level1"/>
      <w:bookmarkStart w:id="59" w:name="_Toc10216686"/>
      <w:r>
        <w:rPr>
          <w:rFonts w:hint="eastAsia" w:ascii="黑体" w:hAnsi="黑体" w:eastAsia="黑体" w:cs="黑体"/>
          <w:b w:val="0"/>
          <w:bCs w:val="0"/>
          <w:sz w:val="28"/>
          <w:szCs w:val="28"/>
        </w:rPr>
        <w:t>采购范围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spacing w:line="540" w:lineRule="exact"/>
        <w:ind w:firstLine="560"/>
        <w:outlineLvl w:val="1"/>
        <w:rPr>
          <w:rFonts w:hint="eastAsia" w:ascii="黑体" w:hAnsi="黑体" w:eastAsia="黑体" w:cs="黑体"/>
          <w:szCs w:val="22"/>
        </w:rPr>
      </w:pPr>
      <w:bookmarkStart w:id="60" w:name="_Toc23284"/>
      <w:bookmarkStart w:id="61" w:name="_Toc12882"/>
      <w:bookmarkStart w:id="62" w:name="_Toc18388_WPSOffice_Level2"/>
      <w:bookmarkStart w:id="63" w:name="_Toc1585"/>
      <w:bookmarkStart w:id="64" w:name="_Toc16105_WPSOffice_Level2"/>
      <w:bookmarkStart w:id="65" w:name="_Toc27518"/>
      <w:bookmarkStart w:id="66" w:name="_Toc92450780"/>
      <w:bookmarkStart w:id="67" w:name="_Toc30030"/>
      <w:bookmarkStart w:id="68" w:name="_Toc32737"/>
      <w:bookmarkStart w:id="69" w:name="_Toc5223"/>
      <w:bookmarkStart w:id="70" w:name="_Toc32739"/>
      <w:bookmarkStart w:id="71" w:name="_Toc4810"/>
      <w:bookmarkStart w:id="72" w:name="_Toc96585516"/>
      <w:bookmarkStart w:id="73" w:name="_Toc17031"/>
      <w:bookmarkStart w:id="74" w:name="_Toc6155"/>
      <w:bookmarkStart w:id="75" w:name="_Toc2249_WPSOffice_Level2"/>
      <w:bookmarkStart w:id="76" w:name="_Toc5202"/>
      <w:bookmarkStart w:id="77" w:name="_Toc24512"/>
      <w:r>
        <w:rPr>
          <w:rFonts w:hint="eastAsia" w:ascii="黑体" w:hAnsi="黑体" w:eastAsia="黑体" w:cs="黑体"/>
          <w:szCs w:val="22"/>
        </w:rPr>
        <w:t>3.1服务范围</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spacing w:line="540" w:lineRule="exact"/>
        <w:ind w:firstLine="560"/>
        <w:rPr>
          <w:rFonts w:hint="eastAsia" w:ascii="宋体" w:hAnsi="宋体" w:eastAsia="宋体" w:cs="宋体"/>
          <w:szCs w:val="22"/>
        </w:rPr>
      </w:pPr>
      <w:r>
        <w:rPr>
          <w:rFonts w:hint="eastAsia" w:ascii="宋体" w:hAnsi="宋体" w:eastAsia="宋体" w:cs="黑体"/>
        </w:rPr>
        <w:t>本采购项目主要服务范围包括：</w:t>
      </w:r>
      <w:bookmarkStart w:id="78" w:name="_Toc22755"/>
      <w:bookmarkStart w:id="79" w:name="_Toc10516"/>
      <w:bookmarkStart w:id="80" w:name="_Toc25498_WPSOffice_Level2"/>
      <w:bookmarkStart w:id="81" w:name="_Toc8183"/>
      <w:bookmarkStart w:id="82" w:name="_Toc31197"/>
      <w:bookmarkStart w:id="83" w:name="_Toc994"/>
      <w:bookmarkStart w:id="84" w:name="_Toc15495"/>
      <w:bookmarkStart w:id="85" w:name="_Toc22569"/>
      <w:bookmarkStart w:id="86" w:name="_Toc12135_WPSOffice_Level2"/>
      <w:bookmarkStart w:id="87" w:name="_Toc29616"/>
      <w:bookmarkStart w:id="88" w:name="_Toc3573"/>
      <w:bookmarkStart w:id="89" w:name="_Toc30277"/>
      <w:bookmarkStart w:id="90" w:name="_Toc10916"/>
      <w:bookmarkStart w:id="91" w:name="_Toc16510"/>
      <w:bookmarkStart w:id="92" w:name="_Toc18243_WPSOffice_Level2"/>
      <w:bookmarkStart w:id="93" w:name="_Toc20805"/>
      <w:r>
        <w:rPr>
          <w:rFonts w:hint="eastAsia" w:ascii="宋体" w:hAnsi="宋体" w:eastAsia="宋体" w:cs="黑体"/>
        </w:rPr>
        <w:t>按项目分别</w:t>
      </w:r>
      <w:r>
        <w:rPr>
          <w:rFonts w:hint="eastAsia" w:ascii="宋体" w:hAnsi="宋体" w:eastAsia="宋体" w:cs="宋体"/>
          <w:szCs w:val="22"/>
        </w:rPr>
        <w:t>提供厦门港古雷港区古雷作业区南8号泊位工程&amp;翔鹭石化海水冷却系统排海工程项目后评价过程中的技术指导咨询服务及评审、报告编制（两个项目，两份独立报告），并按照专家要求修改完善后报业主审核等的全过程技术服务。</w:t>
      </w:r>
    </w:p>
    <w:p>
      <w:pPr>
        <w:spacing w:line="540" w:lineRule="exact"/>
        <w:ind w:firstLine="560"/>
        <w:outlineLvl w:val="1"/>
        <w:rPr>
          <w:rFonts w:hint="eastAsia" w:ascii="黑体" w:hAnsi="黑体" w:eastAsia="黑体" w:cs="黑体"/>
          <w:szCs w:val="22"/>
        </w:rPr>
      </w:pPr>
      <w:bookmarkStart w:id="94" w:name="_Toc96585517"/>
      <w:bookmarkStart w:id="95" w:name="_Toc92450781"/>
      <w:r>
        <w:rPr>
          <w:rFonts w:hint="eastAsia" w:ascii="黑体" w:hAnsi="黑体" w:eastAsia="黑体" w:cs="黑体"/>
          <w:szCs w:val="22"/>
        </w:rPr>
        <w:t>3.2服务期限</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spacing w:line="540" w:lineRule="exact"/>
        <w:ind w:firstLine="560"/>
        <w:jc w:val="left"/>
        <w:rPr>
          <w:rFonts w:hint="eastAsia" w:ascii="宋体" w:hAnsi="宋体" w:eastAsia="宋体" w:cs="黑体"/>
        </w:rPr>
      </w:pPr>
      <w:r>
        <w:rPr>
          <w:rFonts w:hint="eastAsia" w:ascii="宋体" w:hAnsi="宋体" w:eastAsia="宋体" w:cs="黑体"/>
        </w:rPr>
        <w:t>合同签订后，3个日历天内报价人提交资料需求，收到采购人资料后30个工作日内提交初审报告，专家评审会后15个工作日完成报批版报告。</w:t>
      </w:r>
      <w:r>
        <w:rPr>
          <w:rFonts w:ascii="宋体" w:hAnsi="宋体" w:eastAsia="宋体" w:cs="黑体"/>
        </w:rPr>
        <w:t xml:space="preserve">                               </w:t>
      </w:r>
      <w:r>
        <w:rPr>
          <w:rFonts w:hint="eastAsia" w:ascii="宋体" w:hAnsi="宋体" w:eastAsia="宋体" w:cs="黑体"/>
        </w:rPr>
        <w:t xml:space="preserve">                               </w:t>
      </w:r>
      <w:r>
        <w:rPr>
          <w:rFonts w:ascii="宋体" w:hAnsi="宋体" w:eastAsia="宋体" w:cs="黑体"/>
        </w:rPr>
        <w:t xml:space="preserve">                     </w:t>
      </w:r>
    </w:p>
    <w:p>
      <w:pPr>
        <w:spacing w:line="540" w:lineRule="exact"/>
        <w:ind w:firstLine="560"/>
        <w:outlineLvl w:val="1"/>
        <w:rPr>
          <w:rFonts w:hint="eastAsia" w:ascii="黑体" w:hAnsi="黑体" w:eastAsia="黑体" w:cs="黑体"/>
          <w:szCs w:val="22"/>
        </w:rPr>
      </w:pPr>
      <w:bookmarkStart w:id="96" w:name="_Toc4730"/>
      <w:bookmarkStart w:id="97" w:name="_Toc14911"/>
      <w:bookmarkStart w:id="98" w:name="_Toc1272_WPSOffice_Level2"/>
      <w:bookmarkStart w:id="99" w:name="_Toc20187"/>
      <w:bookmarkStart w:id="100" w:name="_Toc20248"/>
      <w:bookmarkStart w:id="101" w:name="_Toc32095"/>
      <w:bookmarkStart w:id="102" w:name="_Toc96585518"/>
      <w:bookmarkStart w:id="103" w:name="_Toc25235_WPSOffice_Level2"/>
      <w:bookmarkStart w:id="104" w:name="_Toc1631_WPSOffice_Level2"/>
      <w:bookmarkStart w:id="105" w:name="_Toc7206"/>
      <w:bookmarkStart w:id="106" w:name="_Toc13706"/>
      <w:bookmarkStart w:id="107" w:name="_Toc13630"/>
      <w:bookmarkStart w:id="108" w:name="_Toc4595"/>
      <w:bookmarkStart w:id="109" w:name="_Toc22070"/>
      <w:bookmarkStart w:id="110" w:name="_Toc92450782"/>
      <w:bookmarkStart w:id="111" w:name="_Toc2351"/>
      <w:bookmarkStart w:id="112" w:name="_Toc21456"/>
      <w:bookmarkStart w:id="113" w:name="_Toc12395"/>
      <w:r>
        <w:rPr>
          <w:rFonts w:hint="eastAsia" w:ascii="黑体" w:hAnsi="黑体" w:eastAsia="黑体" w:cs="黑体"/>
          <w:szCs w:val="22"/>
        </w:rPr>
        <w:t>3.3</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黑体" w:hAnsi="黑体" w:eastAsia="黑体" w:cs="黑体"/>
          <w:szCs w:val="22"/>
        </w:rPr>
        <w:t>项目地点</w:t>
      </w:r>
    </w:p>
    <w:p>
      <w:pPr>
        <w:adjustRightInd w:val="0"/>
        <w:snapToGrid w:val="0"/>
        <w:spacing w:line="540" w:lineRule="exact"/>
        <w:ind w:firstLine="560"/>
        <w:rPr>
          <w:rFonts w:hint="eastAsia"/>
          <w:szCs w:val="21"/>
          <w:u w:val="single"/>
        </w:rPr>
      </w:pPr>
      <w:r>
        <w:rPr>
          <w:rFonts w:hint="eastAsia" w:ascii="宋体" w:hAnsi="宋体" w:eastAsia="宋体" w:cs="宋体"/>
          <w:szCs w:val="22"/>
        </w:rPr>
        <w:t>漳州古雷经济开发区。</w:t>
      </w:r>
    </w:p>
    <w:p>
      <w:pPr>
        <w:spacing w:line="540" w:lineRule="exact"/>
        <w:ind w:firstLine="560"/>
        <w:outlineLvl w:val="1"/>
        <w:rPr>
          <w:rFonts w:hint="eastAsia" w:ascii="黑体" w:hAnsi="黑体" w:eastAsia="黑体" w:cs="黑体"/>
          <w:szCs w:val="22"/>
        </w:rPr>
      </w:pPr>
      <w:bookmarkStart w:id="114" w:name="_Toc4899"/>
      <w:bookmarkStart w:id="115" w:name="_Toc16916"/>
      <w:bookmarkStart w:id="116" w:name="_Toc5935"/>
      <w:bookmarkStart w:id="117" w:name="_Toc4613"/>
      <w:bookmarkStart w:id="118" w:name="_Toc15835_WPSOffice_Level2"/>
      <w:bookmarkStart w:id="119" w:name="_Toc28324"/>
      <w:bookmarkStart w:id="120" w:name="_Toc29321"/>
      <w:bookmarkStart w:id="121" w:name="_Toc96585519"/>
      <w:bookmarkStart w:id="122" w:name="_Toc17015"/>
      <w:bookmarkStart w:id="123" w:name="_Toc24663"/>
      <w:bookmarkStart w:id="124" w:name="_Toc5567_WPSOffice_Level2"/>
      <w:bookmarkStart w:id="125" w:name="_Toc24147"/>
      <w:bookmarkStart w:id="126" w:name="_Toc19983"/>
      <w:bookmarkStart w:id="127" w:name="_Toc12971"/>
      <w:bookmarkStart w:id="128" w:name="_Toc92450783"/>
      <w:bookmarkStart w:id="129" w:name="_Toc4211"/>
      <w:bookmarkStart w:id="130" w:name="_Toc18478"/>
      <w:bookmarkStart w:id="131" w:name="_Toc22994_WPSOffice_Level2"/>
      <w:r>
        <w:rPr>
          <w:rFonts w:hint="eastAsia" w:ascii="黑体" w:hAnsi="黑体" w:eastAsia="黑体" w:cs="黑体"/>
          <w:szCs w:val="22"/>
        </w:rPr>
        <w:t>3.4采购人提供的条件</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3.4.1通用部分</w:t>
      </w:r>
    </w:p>
    <w:p>
      <w:pPr>
        <w:numPr>
          <w:ilvl w:val="0"/>
          <w:numId w:val="9"/>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采购人可提供的本项目相关技术资料及图纸。</w:t>
      </w:r>
    </w:p>
    <w:p>
      <w:pPr>
        <w:numPr>
          <w:ilvl w:val="0"/>
          <w:numId w:val="9"/>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采购人提供配合的管理人员。</w:t>
      </w:r>
    </w:p>
    <w:p>
      <w:p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3.4.2专用部分</w:t>
      </w:r>
    </w:p>
    <w:p>
      <w:pPr>
        <w:adjustRightInd w:val="0"/>
        <w:snapToGrid w:val="0"/>
        <w:spacing w:line="540" w:lineRule="exact"/>
        <w:ind w:firstLine="560"/>
        <w:rPr>
          <w:rFonts w:ascii="宋体" w:hAnsi="宋体" w:eastAsia="宋体" w:cs="宋体"/>
          <w:szCs w:val="22"/>
        </w:rPr>
      </w:pPr>
      <w:bookmarkStart w:id="132" w:name="_Toc4632_WPSOffice_Level2"/>
      <w:bookmarkStart w:id="133" w:name="_Toc23347_WPSOffice_Level2"/>
      <w:bookmarkStart w:id="134" w:name="_Toc28554"/>
      <w:bookmarkStart w:id="135" w:name="_Toc11983"/>
      <w:bookmarkStart w:id="136" w:name="_Toc31601"/>
      <w:bookmarkStart w:id="137" w:name="_Toc4771"/>
      <w:bookmarkStart w:id="138" w:name="_Toc10953"/>
      <w:bookmarkStart w:id="139" w:name="_Toc20493_WPSOffice_Level2"/>
      <w:bookmarkStart w:id="140" w:name="_Toc15865"/>
      <w:r>
        <w:rPr>
          <w:rFonts w:hint="eastAsia" w:ascii="宋体" w:hAnsi="宋体" w:eastAsia="宋体" w:cs="宋体"/>
          <w:szCs w:val="22"/>
        </w:rPr>
        <w:t>（1）资料：由报价人提供资料清单，采购人按资料清单提供资料。</w:t>
      </w:r>
    </w:p>
    <w:p>
      <w:pPr>
        <w:adjustRightInd w:val="0"/>
        <w:snapToGrid w:val="0"/>
        <w:spacing w:line="540" w:lineRule="exact"/>
        <w:ind w:firstLine="560"/>
        <w:rPr>
          <w:rFonts w:ascii="宋体" w:hAnsi="宋体" w:eastAsia="宋体" w:cs="宋体"/>
          <w:szCs w:val="22"/>
        </w:rPr>
      </w:pPr>
      <w:r>
        <w:rPr>
          <w:rFonts w:hint="eastAsia" w:ascii="宋体" w:hAnsi="宋体" w:eastAsia="宋体" w:cs="宋体"/>
          <w:szCs w:val="22"/>
        </w:rPr>
        <w:t>（2）现场服务时，采购人提供条件：安排人员陪同等便利条件。</w:t>
      </w:r>
    </w:p>
    <w:p>
      <w:pPr>
        <w:numPr>
          <w:ilvl w:val="0"/>
          <w:numId w:val="9"/>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报价人需求的资料，如采购人无法提供或不方便提供的，报价人需自行解决或调整报告内容，不能因此延误报告出版。</w:t>
      </w:r>
    </w:p>
    <w:p>
      <w:pPr>
        <w:spacing w:line="540" w:lineRule="exact"/>
        <w:ind w:firstLine="560"/>
        <w:outlineLvl w:val="1"/>
        <w:rPr>
          <w:rFonts w:hint="eastAsia" w:ascii="黑体" w:hAnsi="黑体" w:eastAsia="黑体" w:cs="黑体"/>
          <w:szCs w:val="22"/>
        </w:rPr>
      </w:pPr>
      <w:bookmarkStart w:id="141" w:name="_Toc3112"/>
      <w:bookmarkStart w:id="142" w:name="_Toc10303"/>
      <w:bookmarkStart w:id="143" w:name="_Toc32371"/>
      <w:bookmarkStart w:id="144" w:name="_Toc9811"/>
      <w:bookmarkStart w:id="145" w:name="_Toc19367"/>
      <w:bookmarkStart w:id="146" w:name="_Toc25517"/>
      <w:bookmarkStart w:id="147" w:name="_Toc92450784"/>
      <w:bookmarkStart w:id="148" w:name="_Toc5782"/>
      <w:bookmarkStart w:id="149" w:name="_Toc96585520"/>
      <w:r>
        <w:rPr>
          <w:rFonts w:hint="eastAsia" w:ascii="黑体" w:hAnsi="黑体" w:eastAsia="黑体" w:cs="黑体"/>
          <w:szCs w:val="22"/>
        </w:rPr>
        <w:t>3.5服务内容</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adjustRightInd w:val="0"/>
        <w:snapToGrid w:val="0"/>
        <w:spacing w:line="540" w:lineRule="exact"/>
        <w:ind w:firstLine="560"/>
        <w:rPr>
          <w:rFonts w:hint="eastAsia" w:ascii="宋体" w:hAnsi="宋体" w:eastAsia="宋体" w:cs="黑体"/>
        </w:rPr>
      </w:pPr>
      <w:r>
        <w:rPr>
          <w:rFonts w:hint="eastAsia" w:ascii="宋体" w:hAnsi="宋体" w:eastAsia="宋体" w:cs="黑体"/>
        </w:rPr>
        <w:t>3.5.1具体服务内容如下包括但不限于：</w:t>
      </w:r>
    </w:p>
    <w:p>
      <w:pPr>
        <w:numPr>
          <w:ilvl w:val="0"/>
          <w:numId w:val="10"/>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查看现场，收集分析所需技术资料和图纸；</w:t>
      </w:r>
    </w:p>
    <w:p>
      <w:pPr>
        <w:numPr>
          <w:ilvl w:val="0"/>
          <w:numId w:val="10"/>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按照国家、地方、行业有效的法规、标准、规范、条例，开展项目后评价报告编制等工作；</w:t>
      </w:r>
    </w:p>
    <w:p>
      <w:pPr>
        <w:numPr>
          <w:ilvl w:val="0"/>
          <w:numId w:val="10"/>
        </w:numPr>
        <w:adjustRightInd w:val="0"/>
        <w:snapToGrid w:val="0"/>
        <w:spacing w:line="540" w:lineRule="exact"/>
        <w:ind w:firstLine="560"/>
        <w:rPr>
          <w:rFonts w:ascii="宋体" w:hAnsi="宋体" w:eastAsia="宋体" w:cs="宋体"/>
          <w:szCs w:val="22"/>
        </w:rPr>
      </w:pPr>
      <w:bookmarkStart w:id="150" w:name="_Toc13031"/>
      <w:bookmarkStart w:id="151" w:name="_Toc2459"/>
      <w:bookmarkStart w:id="152" w:name="_Toc20122"/>
      <w:r>
        <w:rPr>
          <w:rFonts w:hint="eastAsia" w:ascii="宋体" w:hAnsi="宋体" w:eastAsia="宋体" w:cs="宋体"/>
          <w:szCs w:val="22"/>
        </w:rPr>
        <w:t>对项目后评价过程提供相应的技术指导咨询服务，开展技术咨询指导工作。</w:t>
      </w:r>
    </w:p>
    <w:p>
      <w:pPr>
        <w:numPr>
          <w:ilvl w:val="0"/>
          <w:numId w:val="10"/>
        </w:numPr>
        <w:adjustRightInd w:val="0"/>
        <w:snapToGrid w:val="0"/>
        <w:spacing w:line="540" w:lineRule="exact"/>
        <w:ind w:firstLine="560"/>
        <w:rPr>
          <w:rFonts w:ascii="宋体" w:hAnsi="宋体" w:eastAsia="宋体" w:cs="宋体"/>
          <w:szCs w:val="22"/>
        </w:rPr>
      </w:pPr>
      <w:r>
        <w:rPr>
          <w:rFonts w:hint="eastAsia" w:ascii="宋体" w:hAnsi="宋体" w:eastAsia="宋体" w:cs="宋体"/>
          <w:szCs w:val="22"/>
        </w:rPr>
        <w:t>确保项目后评价编制工作顺利完成。</w:t>
      </w:r>
    </w:p>
    <w:p>
      <w:pPr>
        <w:numPr>
          <w:ilvl w:val="0"/>
          <w:numId w:val="10"/>
        </w:numPr>
        <w:adjustRightInd w:val="0"/>
        <w:snapToGrid w:val="0"/>
        <w:spacing w:line="540" w:lineRule="exact"/>
        <w:ind w:firstLine="560"/>
        <w:rPr>
          <w:rFonts w:ascii="宋体" w:hAnsi="宋体" w:eastAsia="宋体" w:cs="宋体"/>
          <w:szCs w:val="22"/>
        </w:rPr>
      </w:pPr>
      <w:r>
        <w:rPr>
          <w:rFonts w:hint="eastAsia" w:ascii="宋体" w:hAnsi="宋体" w:eastAsia="宋体" w:cs="宋体"/>
          <w:szCs w:val="22"/>
        </w:rPr>
        <w:t>服从采购方的时间安排。</w:t>
      </w:r>
    </w:p>
    <w:p>
      <w:pPr>
        <w:numPr>
          <w:ilvl w:val="0"/>
          <w:numId w:val="10"/>
        </w:numPr>
        <w:adjustRightInd w:val="0"/>
        <w:snapToGrid w:val="0"/>
        <w:spacing w:line="540" w:lineRule="exact"/>
        <w:ind w:firstLine="560"/>
        <w:rPr>
          <w:rFonts w:ascii="宋体" w:hAnsi="宋体" w:eastAsia="宋体" w:cs="宋体"/>
          <w:szCs w:val="22"/>
        </w:rPr>
      </w:pPr>
      <w:r>
        <w:rPr>
          <w:rFonts w:hint="eastAsia" w:ascii="宋体" w:hAnsi="宋体" w:eastAsia="宋体" w:cs="宋体"/>
          <w:szCs w:val="22"/>
        </w:rPr>
        <w:t>安排具有丰富的经验的专业人员配合采购方工作。</w:t>
      </w:r>
    </w:p>
    <w:p>
      <w:pPr>
        <w:numPr>
          <w:ilvl w:val="0"/>
          <w:numId w:val="10"/>
        </w:numPr>
        <w:adjustRightInd w:val="0"/>
        <w:snapToGrid w:val="0"/>
        <w:spacing w:line="540" w:lineRule="exact"/>
        <w:ind w:firstLine="560"/>
        <w:rPr>
          <w:rFonts w:ascii="宋体" w:hAnsi="宋体" w:eastAsia="宋体" w:cs="宋体"/>
          <w:szCs w:val="22"/>
        </w:rPr>
      </w:pPr>
      <w:r>
        <w:rPr>
          <w:rFonts w:hint="eastAsia" w:ascii="宋体" w:hAnsi="宋体" w:eastAsia="宋体" w:cs="宋体"/>
          <w:szCs w:val="22"/>
        </w:rPr>
        <w:t>负责报告评审工作（含会务费、专家费等一切相关费用）及相关事宜。</w:t>
      </w:r>
    </w:p>
    <w:p>
      <w:pPr>
        <w:spacing w:line="540" w:lineRule="exact"/>
        <w:ind w:firstLine="560"/>
        <w:outlineLvl w:val="1"/>
        <w:rPr>
          <w:rFonts w:hint="eastAsia" w:ascii="黑体" w:hAnsi="黑体" w:eastAsia="黑体" w:cs="黑体"/>
          <w:szCs w:val="22"/>
        </w:rPr>
      </w:pPr>
      <w:bookmarkStart w:id="153" w:name="_Toc96585521"/>
      <w:bookmarkStart w:id="154" w:name="_Toc92450785"/>
      <w:r>
        <w:rPr>
          <w:rFonts w:hint="eastAsia" w:ascii="黑体" w:hAnsi="黑体" w:eastAsia="黑体" w:cs="黑体"/>
          <w:szCs w:val="22"/>
        </w:rPr>
        <w:t>3.6</w:t>
      </w:r>
      <w:bookmarkEnd w:id="150"/>
      <w:bookmarkEnd w:id="151"/>
      <w:bookmarkEnd w:id="152"/>
      <w:bookmarkEnd w:id="153"/>
      <w:bookmarkEnd w:id="154"/>
      <w:r>
        <w:rPr>
          <w:rFonts w:hint="eastAsia" w:ascii="黑体" w:hAnsi="黑体" w:eastAsia="黑体" w:cs="黑体"/>
          <w:szCs w:val="22"/>
        </w:rPr>
        <w:t>验收及支付</w:t>
      </w:r>
    </w:p>
    <w:p>
      <w:pPr>
        <w:adjustRightInd w:val="0"/>
        <w:snapToGrid w:val="0"/>
        <w:spacing w:line="540" w:lineRule="exact"/>
        <w:ind w:firstLine="560"/>
        <w:rPr>
          <w:rFonts w:hint="eastAsia" w:ascii="宋体" w:hAnsi="宋体" w:eastAsia="宋体" w:cs="黑体"/>
          <w:szCs w:val="22"/>
        </w:rPr>
      </w:pPr>
      <w:r>
        <w:rPr>
          <w:rFonts w:hint="eastAsia" w:ascii="宋体" w:hAnsi="宋体" w:eastAsia="宋体" w:cs="黑体"/>
          <w:szCs w:val="22"/>
        </w:rPr>
        <w:t>（1）实行总价包干原则，即本发包说明约定范围内的一切费用实行总价包干。</w:t>
      </w:r>
    </w:p>
    <w:p>
      <w:pPr>
        <w:adjustRightInd w:val="0"/>
        <w:snapToGrid w:val="0"/>
        <w:spacing w:line="540" w:lineRule="exact"/>
        <w:ind w:firstLine="560"/>
        <w:rPr>
          <w:rFonts w:hint="eastAsia" w:ascii="宋体" w:hAnsi="宋体" w:eastAsia="宋体" w:cs="黑体"/>
          <w:szCs w:val="22"/>
        </w:rPr>
      </w:pPr>
      <w:r>
        <w:rPr>
          <w:rFonts w:hint="eastAsia" w:ascii="宋体" w:hAnsi="宋体" w:eastAsia="宋体" w:cs="黑体"/>
          <w:szCs w:val="22"/>
        </w:rPr>
        <w:t>（2）无预付款，两份报告皆通过专家评审后一次性办理支付。</w:t>
      </w:r>
    </w:p>
    <w:p>
      <w:pPr>
        <w:spacing w:line="540" w:lineRule="exact"/>
        <w:ind w:firstLine="560"/>
      </w:pPr>
    </w:p>
    <w:p>
      <w:pPr>
        <w:pStyle w:val="3"/>
        <w:numPr>
          <w:ilvl w:val="0"/>
          <w:numId w:val="8"/>
        </w:numPr>
        <w:spacing w:before="0" w:after="0" w:line="540" w:lineRule="exact"/>
        <w:ind w:left="0" w:firstLine="0" w:firstLineChars="0"/>
        <w:rPr>
          <w:rFonts w:hint="eastAsia" w:ascii="黑体" w:hAnsi="黑体" w:eastAsia="黑体" w:cs="黑体"/>
          <w:b w:val="0"/>
          <w:bCs w:val="0"/>
          <w:sz w:val="28"/>
          <w:szCs w:val="28"/>
        </w:rPr>
      </w:pPr>
      <w:bookmarkStart w:id="155" w:name="_Toc1272_WPSOffice_Level1"/>
      <w:bookmarkStart w:id="156" w:name="_Toc10029979"/>
      <w:bookmarkStart w:id="157" w:name="_Toc4944"/>
      <w:bookmarkStart w:id="158" w:name="_Toc10216687"/>
      <w:bookmarkStart w:id="159" w:name="_Toc22994_WPSOffice_Level1"/>
      <w:bookmarkStart w:id="160" w:name="_Toc27207_WPSOffice_Level1"/>
      <w:r>
        <w:rPr>
          <w:rFonts w:hint="eastAsia" w:ascii="黑体" w:hAnsi="黑体" w:eastAsia="黑体" w:cs="黑体"/>
          <w:b w:val="0"/>
          <w:bCs w:val="0"/>
          <w:sz w:val="28"/>
          <w:szCs w:val="28"/>
        </w:rPr>
        <w:br w:type="page"/>
      </w:r>
      <w:bookmarkStart w:id="161" w:name="_Toc20308"/>
      <w:bookmarkStart w:id="162" w:name="_Toc9571"/>
      <w:bookmarkStart w:id="163" w:name="_Toc30899"/>
      <w:bookmarkStart w:id="164" w:name="_Toc1784"/>
      <w:bookmarkStart w:id="165" w:name="_Toc19074"/>
      <w:bookmarkStart w:id="166" w:name="_Toc20245"/>
      <w:bookmarkStart w:id="167" w:name="_Toc11637"/>
      <w:bookmarkStart w:id="168" w:name="_Toc22365"/>
      <w:bookmarkStart w:id="169" w:name="_Toc96585522"/>
      <w:bookmarkStart w:id="170" w:name="_Toc25095"/>
      <w:bookmarkStart w:id="171" w:name="_Toc92450786"/>
      <w:bookmarkStart w:id="172" w:name="_Toc24197"/>
      <w:bookmarkStart w:id="173" w:name="_Toc9378"/>
      <w:bookmarkStart w:id="174" w:name="_Toc15283"/>
      <w:bookmarkStart w:id="175" w:name="_Toc26532"/>
      <w:r>
        <w:rPr>
          <w:rFonts w:hint="eastAsia" w:ascii="黑体" w:hAnsi="黑体" w:eastAsia="黑体" w:cs="黑体"/>
          <w:b w:val="0"/>
          <w:bCs w:val="0"/>
          <w:sz w:val="28"/>
          <w:szCs w:val="28"/>
        </w:rPr>
        <w:t>标准与规范</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540" w:lineRule="exact"/>
        <w:ind w:firstLine="560"/>
        <w:outlineLvl w:val="1"/>
        <w:rPr>
          <w:rFonts w:hint="eastAsia" w:ascii="黑体" w:hAnsi="黑体" w:eastAsia="黑体" w:cs="黑体"/>
          <w:szCs w:val="22"/>
        </w:rPr>
      </w:pPr>
      <w:bookmarkStart w:id="176" w:name="_Toc31823"/>
      <w:bookmarkStart w:id="177" w:name="_Toc21735"/>
      <w:bookmarkStart w:id="178" w:name="_Toc26639"/>
      <w:bookmarkStart w:id="179" w:name="_Toc12933"/>
      <w:bookmarkStart w:id="180" w:name="_Toc4337"/>
      <w:bookmarkStart w:id="181" w:name="_Toc10040"/>
      <w:bookmarkStart w:id="182" w:name="_Toc92450787"/>
      <w:bookmarkStart w:id="183" w:name="_Toc24625_WPSOffice_Level2"/>
      <w:bookmarkStart w:id="184" w:name="_Toc14943_WPSOffice_Level2"/>
      <w:bookmarkStart w:id="185" w:name="_Toc30918"/>
      <w:bookmarkStart w:id="186" w:name="_Toc1012"/>
      <w:bookmarkStart w:id="187" w:name="_Toc96585523"/>
      <w:bookmarkStart w:id="188" w:name="_Toc15870"/>
      <w:bookmarkStart w:id="189" w:name="_Toc19991"/>
      <w:bookmarkStart w:id="190" w:name="_Toc15412"/>
      <w:bookmarkStart w:id="191" w:name="_Toc24154_WPSOffice_Level2"/>
      <w:bookmarkStart w:id="192" w:name="_Toc6618"/>
      <w:bookmarkStart w:id="193" w:name="_Toc3045"/>
      <w:bookmarkStart w:id="194" w:name="_Toc9784"/>
      <w:bookmarkStart w:id="195" w:name="_Toc8582"/>
      <w:bookmarkStart w:id="196" w:name="_Toc16633"/>
      <w:r>
        <w:rPr>
          <w:rFonts w:hint="eastAsia" w:ascii="黑体" w:hAnsi="黑体" w:eastAsia="黑体" w:cs="黑体"/>
          <w:szCs w:val="22"/>
        </w:rPr>
        <w:t>4.1通用部分</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adjustRightInd w:val="0"/>
        <w:snapToGrid w:val="0"/>
        <w:spacing w:line="540" w:lineRule="exact"/>
        <w:ind w:firstLine="560"/>
        <w:rPr>
          <w:rFonts w:hint="eastAsia" w:ascii="宋体" w:hAnsi="宋体" w:eastAsia="宋体" w:cs="宋体"/>
          <w:szCs w:val="22"/>
        </w:rPr>
      </w:pPr>
      <w:bookmarkStart w:id="197" w:name="_Toc13191_WPSOffice_Level2"/>
      <w:bookmarkStart w:id="198" w:name="_Toc23320_WPSOffice_Level2"/>
      <w:bookmarkStart w:id="199" w:name="_Toc28875"/>
      <w:bookmarkStart w:id="200" w:name="_Toc14844"/>
      <w:bookmarkStart w:id="201" w:name="_Toc14464"/>
      <w:bookmarkStart w:id="202" w:name="_Toc27225"/>
      <w:bookmarkStart w:id="203" w:name="_Toc26234"/>
      <w:bookmarkStart w:id="204" w:name="_Toc21591_WPSOffice_Level2"/>
      <w:bookmarkStart w:id="205" w:name="_Toc20062"/>
      <w:r>
        <w:rPr>
          <w:rFonts w:hint="eastAsia" w:ascii="宋体" w:hAnsi="宋体" w:eastAsia="宋体" w:cs="宋体"/>
          <w:szCs w:val="22"/>
        </w:rPr>
        <w:t>4.1.1本项目所适用的法律、标准、规范为国家、地方及行业现行的法律、标准、规范，以及在合同实施期间国家、地方及行业对相应法律、标准或规范的修改，以及新颁布的法律、标准和规范。具体法律、标准和规范见专用部分，如专用部分未单独列出法律、规范和标准，则按国家、地方及行业相应最高要求实施。</w:t>
      </w:r>
    </w:p>
    <w:p>
      <w:p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4.1.2本项目在执行法律要求外，还须执行采购人的相关管理文件要求。</w:t>
      </w:r>
    </w:p>
    <w:p>
      <w:pPr>
        <w:spacing w:line="540" w:lineRule="exact"/>
        <w:ind w:firstLine="560"/>
        <w:outlineLvl w:val="1"/>
        <w:rPr>
          <w:rFonts w:hint="eastAsia" w:ascii="黑体" w:hAnsi="黑体" w:eastAsia="黑体" w:cs="黑体"/>
          <w:szCs w:val="22"/>
        </w:rPr>
      </w:pPr>
      <w:bookmarkStart w:id="206" w:name="_Toc32602"/>
      <w:bookmarkStart w:id="207" w:name="_Toc32320"/>
      <w:bookmarkStart w:id="208" w:name="_Toc7882"/>
      <w:bookmarkStart w:id="209" w:name="_Toc96585524"/>
      <w:bookmarkStart w:id="210" w:name="_Toc18624"/>
      <w:bookmarkStart w:id="211" w:name="_Toc7363"/>
      <w:bookmarkStart w:id="212" w:name="_Toc6022"/>
      <w:bookmarkStart w:id="213" w:name="_Toc10245"/>
      <w:bookmarkStart w:id="214" w:name="_Toc92450788"/>
      <w:r>
        <w:rPr>
          <w:rFonts w:hint="eastAsia" w:ascii="黑体" w:hAnsi="黑体" w:eastAsia="黑体" w:cs="黑体"/>
          <w:szCs w:val="22"/>
        </w:rPr>
        <w:t>4.2专用部分</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本项目所适用标准和规范见下（包括但不限于，其中没有标注日期的标准，其最新版本适用于本项目）：</w:t>
      </w:r>
    </w:p>
    <w:p>
      <w:pPr>
        <w:adjustRightInd w:val="0"/>
        <w:snapToGrid w:val="0"/>
        <w:spacing w:line="540" w:lineRule="exact"/>
        <w:ind w:firstLine="560"/>
        <w:rPr>
          <w:rFonts w:hint="eastAsia" w:ascii="宋体" w:hAnsi="宋体" w:eastAsia="宋体" w:cs="宋体"/>
          <w:szCs w:val="22"/>
        </w:rPr>
      </w:pPr>
      <w:r>
        <w:rPr>
          <w:rFonts w:ascii="宋体" w:hAnsi="宋体" w:eastAsia="宋体" w:cs="宋体"/>
          <w:szCs w:val="22"/>
        </w:rPr>
        <w:t>（1）《港口建设项目后评价报告编制办法》</w:t>
      </w:r>
      <w:r>
        <w:rPr>
          <w:rFonts w:hint="eastAsia" w:ascii="宋体" w:hAnsi="宋体" w:eastAsia="宋体" w:cs="宋体"/>
          <w:szCs w:val="22"/>
        </w:rPr>
        <w:t>交通部</w:t>
      </w:r>
      <w:r>
        <w:rPr>
          <w:rFonts w:ascii="宋体" w:hAnsi="宋体" w:eastAsia="宋体" w:cs="宋体"/>
          <w:szCs w:val="22"/>
        </w:rPr>
        <w:t>(89)交计字701号</w:t>
      </w:r>
    </w:p>
    <w:p>
      <w:p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rPr>
        <w:t>（2）《中央政府投资项目后评价管理办法》、《福建省省级政府投资项目后评价管理办法（试行）》等国家和福建省地方管理办法、制度、指南等的要求。</w:t>
      </w:r>
    </w:p>
    <w:p>
      <w:pPr>
        <w:pStyle w:val="3"/>
        <w:numPr>
          <w:ilvl w:val="0"/>
          <w:numId w:val="8"/>
        </w:numPr>
        <w:spacing w:before="0" w:after="0" w:line="540" w:lineRule="exact"/>
        <w:ind w:left="0" w:firstLine="0" w:firstLineChars="0"/>
        <w:rPr>
          <w:rFonts w:hint="eastAsia" w:ascii="黑体" w:hAnsi="黑体" w:eastAsia="黑体" w:cs="黑体"/>
          <w:b w:val="0"/>
          <w:bCs w:val="0"/>
          <w:sz w:val="28"/>
          <w:szCs w:val="28"/>
        </w:rPr>
      </w:pPr>
      <w:bookmarkStart w:id="215" w:name="_Toc4632_WPSOffice_Level1"/>
      <w:bookmarkStart w:id="216" w:name="_Toc20946"/>
      <w:bookmarkStart w:id="217" w:name="_Toc22485"/>
      <w:bookmarkStart w:id="218" w:name="_Toc10029980"/>
      <w:bookmarkStart w:id="219" w:name="_Toc10216688"/>
      <w:bookmarkStart w:id="220" w:name="_Toc28656"/>
      <w:bookmarkStart w:id="221" w:name="_Toc14379_WPSOffice_Level1"/>
      <w:bookmarkStart w:id="222" w:name="_Toc5567_WPSOffice_Level1"/>
      <w:r>
        <w:rPr>
          <w:rFonts w:hint="eastAsia" w:ascii="黑体" w:hAnsi="黑体" w:eastAsia="黑体" w:cs="黑体"/>
          <w:b w:val="0"/>
          <w:bCs w:val="0"/>
          <w:sz w:val="28"/>
          <w:szCs w:val="28"/>
        </w:rPr>
        <w:br w:type="page"/>
      </w:r>
      <w:bookmarkStart w:id="223" w:name="_Toc3192"/>
      <w:bookmarkStart w:id="224" w:name="_Toc10719"/>
      <w:bookmarkStart w:id="225" w:name="_Toc92450789"/>
      <w:bookmarkStart w:id="226" w:name="_Toc96585525"/>
      <w:bookmarkStart w:id="227" w:name="_Toc22656"/>
      <w:bookmarkStart w:id="228" w:name="_Toc7187"/>
      <w:bookmarkStart w:id="229" w:name="_Toc2780"/>
      <w:bookmarkStart w:id="230" w:name="_Toc25658"/>
      <w:bookmarkStart w:id="231" w:name="_Toc1413"/>
      <w:bookmarkStart w:id="232" w:name="_Toc29436"/>
      <w:bookmarkStart w:id="233" w:name="_Toc19126"/>
      <w:bookmarkStart w:id="234" w:name="_Toc11583"/>
      <w:bookmarkStart w:id="235" w:name="_Toc32225"/>
      <w:r>
        <w:rPr>
          <w:rFonts w:hint="eastAsia" w:ascii="黑体" w:hAnsi="黑体" w:eastAsia="黑体" w:cs="黑体"/>
          <w:b w:val="0"/>
          <w:bCs w:val="0"/>
          <w:sz w:val="28"/>
          <w:szCs w:val="28"/>
        </w:rPr>
        <w:t>技术要求</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540" w:lineRule="exact"/>
        <w:ind w:firstLine="560"/>
        <w:outlineLvl w:val="1"/>
        <w:rPr>
          <w:rFonts w:hint="eastAsia" w:ascii="黑体" w:hAnsi="黑体" w:eastAsia="黑体" w:cs="黑体"/>
          <w:szCs w:val="22"/>
        </w:rPr>
      </w:pPr>
      <w:bookmarkStart w:id="236" w:name="_Toc5492"/>
      <w:bookmarkStart w:id="237" w:name="_Toc24530"/>
      <w:bookmarkStart w:id="238" w:name="_Toc92450790"/>
      <w:bookmarkStart w:id="239" w:name="_Toc32080_WPSOffice_Level2"/>
      <w:bookmarkStart w:id="240" w:name="_Toc26674"/>
      <w:bookmarkStart w:id="241" w:name="_Toc7132"/>
      <w:bookmarkStart w:id="242" w:name="_Toc96585526"/>
      <w:bookmarkStart w:id="243" w:name="_Toc16034"/>
      <w:bookmarkStart w:id="244" w:name="_Toc32663"/>
      <w:bookmarkStart w:id="245" w:name="_Toc16449_WPSOffice_Level2"/>
      <w:bookmarkStart w:id="246" w:name="_Toc10233"/>
      <w:bookmarkStart w:id="247" w:name="_Toc23347_WPSOffice_Level1"/>
      <w:bookmarkStart w:id="248" w:name="_Toc12116"/>
      <w:r>
        <w:rPr>
          <w:rFonts w:hint="eastAsia" w:ascii="黑体" w:hAnsi="黑体" w:eastAsia="黑体" w:cs="黑体"/>
          <w:szCs w:val="22"/>
        </w:rPr>
        <w:t>5.1通用部分</w:t>
      </w:r>
      <w:bookmarkEnd w:id="236"/>
      <w:bookmarkEnd w:id="237"/>
      <w:bookmarkEnd w:id="238"/>
      <w:bookmarkEnd w:id="239"/>
      <w:bookmarkEnd w:id="240"/>
      <w:bookmarkEnd w:id="241"/>
      <w:bookmarkEnd w:id="242"/>
      <w:bookmarkEnd w:id="243"/>
      <w:bookmarkEnd w:id="244"/>
      <w:bookmarkEnd w:id="245"/>
      <w:bookmarkEnd w:id="246"/>
    </w:p>
    <w:p>
      <w:pPr>
        <w:adjustRightInd w:val="0"/>
        <w:snapToGrid w:val="0"/>
        <w:spacing w:line="540" w:lineRule="exact"/>
        <w:ind w:firstLine="560"/>
        <w:rPr>
          <w:rFonts w:hint="eastAsia" w:ascii="宋体" w:hAnsi="宋体" w:eastAsia="宋体" w:cs="黑体"/>
          <w:szCs w:val="22"/>
        </w:rPr>
      </w:pPr>
      <w:r>
        <w:rPr>
          <w:rFonts w:hint="eastAsia" w:ascii="宋体" w:hAnsi="宋体" w:eastAsia="宋体" w:cs="黑体"/>
          <w:szCs w:val="22"/>
        </w:rPr>
        <w:t>5.1.1严格按照适用标准和规范开展工作。</w:t>
      </w:r>
    </w:p>
    <w:p>
      <w:pPr>
        <w:adjustRightInd w:val="0"/>
        <w:snapToGrid w:val="0"/>
        <w:spacing w:line="540" w:lineRule="exact"/>
        <w:ind w:firstLine="560"/>
        <w:rPr>
          <w:rFonts w:hint="eastAsia" w:ascii="宋体" w:hAnsi="宋体" w:eastAsia="宋体" w:cs="黑体"/>
          <w:szCs w:val="22"/>
        </w:rPr>
      </w:pPr>
      <w:r>
        <w:rPr>
          <w:rFonts w:hint="eastAsia" w:ascii="宋体" w:hAnsi="宋体" w:eastAsia="宋体" w:cs="黑体"/>
          <w:szCs w:val="22"/>
        </w:rPr>
        <w:t>5.1.2报价人应做好本项目实施过程资料的整理工作，符合采购人归档要求，并及时提供给采购人。</w:t>
      </w:r>
    </w:p>
    <w:p>
      <w:pPr>
        <w:spacing w:line="540" w:lineRule="exact"/>
        <w:ind w:firstLine="560"/>
        <w:outlineLvl w:val="1"/>
        <w:rPr>
          <w:rFonts w:hint="eastAsia" w:ascii="黑体" w:hAnsi="黑体" w:eastAsia="黑体" w:cs="黑体"/>
          <w:szCs w:val="22"/>
        </w:rPr>
      </w:pPr>
      <w:bookmarkStart w:id="249" w:name="_Toc12098"/>
      <w:bookmarkStart w:id="250" w:name="_Toc15175_WPSOffice_Level2"/>
      <w:bookmarkStart w:id="251" w:name="_Toc18779"/>
      <w:bookmarkStart w:id="252" w:name="_Toc96585527"/>
      <w:bookmarkStart w:id="253" w:name="_Toc9319"/>
      <w:bookmarkStart w:id="254" w:name="_Toc20993"/>
      <w:bookmarkStart w:id="255" w:name="_Toc10306"/>
      <w:bookmarkStart w:id="256" w:name="_Toc7263"/>
      <w:bookmarkStart w:id="257" w:name="_Toc92450791"/>
      <w:bookmarkStart w:id="258" w:name="_Toc2843"/>
      <w:bookmarkStart w:id="259" w:name="_Toc20088_WPSOffice_Level2"/>
      <w:r>
        <w:rPr>
          <w:rFonts w:hint="eastAsia" w:ascii="黑体" w:hAnsi="黑体" w:eastAsia="黑体" w:cs="黑体"/>
          <w:szCs w:val="22"/>
        </w:rPr>
        <w:t>5.2专用部分</w:t>
      </w:r>
      <w:bookmarkEnd w:id="249"/>
      <w:bookmarkEnd w:id="250"/>
      <w:bookmarkEnd w:id="251"/>
      <w:bookmarkEnd w:id="252"/>
      <w:bookmarkEnd w:id="253"/>
      <w:bookmarkEnd w:id="254"/>
      <w:bookmarkEnd w:id="255"/>
      <w:bookmarkEnd w:id="256"/>
      <w:bookmarkEnd w:id="257"/>
      <w:bookmarkEnd w:id="258"/>
      <w:bookmarkEnd w:id="259"/>
    </w:p>
    <w:p>
      <w:pPr>
        <w:spacing w:line="540" w:lineRule="exact"/>
        <w:ind w:firstLine="560"/>
        <w:rPr>
          <w:rFonts w:hint="eastAsia" w:ascii="宋体" w:hAnsi="宋体" w:eastAsia="宋体" w:cs="宋体"/>
          <w:szCs w:val="28"/>
        </w:rPr>
      </w:pPr>
      <w:r>
        <w:rPr>
          <w:rFonts w:hint="eastAsia" w:ascii="宋体" w:hAnsi="宋体" w:eastAsia="宋体" w:cs="黑体"/>
          <w:szCs w:val="22"/>
        </w:rPr>
        <w:t>报价人</w:t>
      </w:r>
      <w:r>
        <w:rPr>
          <w:rFonts w:hint="eastAsia" w:ascii="宋体" w:hAnsi="宋体" w:eastAsia="宋体" w:cs="宋体"/>
          <w:szCs w:val="28"/>
        </w:rPr>
        <w:t>必须对</w:t>
      </w:r>
      <w:r>
        <w:rPr>
          <w:rFonts w:hint="eastAsia" w:ascii="宋体" w:hAnsi="宋体" w:eastAsia="宋体" w:cs="宋体"/>
          <w:bCs/>
          <w:szCs w:val="28"/>
        </w:rPr>
        <w:t>项目后评价编制、评审工作</w:t>
      </w:r>
      <w:r>
        <w:rPr>
          <w:rFonts w:hint="eastAsia" w:ascii="宋体" w:hAnsi="宋体" w:eastAsia="宋体" w:cs="宋体"/>
          <w:szCs w:val="28"/>
        </w:rPr>
        <w:t>制定工作计划。</w:t>
      </w:r>
      <w:r>
        <w:rPr>
          <w:rFonts w:hint="eastAsia" w:ascii="宋体" w:hAnsi="宋体" w:eastAsia="宋体" w:cs="黑体"/>
          <w:szCs w:val="22"/>
        </w:rPr>
        <w:t>报价人</w:t>
      </w:r>
      <w:r>
        <w:rPr>
          <w:rFonts w:hint="eastAsia" w:ascii="宋体" w:hAnsi="宋体" w:eastAsia="宋体" w:cs="宋体"/>
          <w:szCs w:val="28"/>
        </w:rPr>
        <w:t>必须按照本技术规范及国家、行业相关法律、规章、制度、标准完成</w:t>
      </w:r>
      <w:r>
        <w:rPr>
          <w:rFonts w:hint="eastAsia" w:ascii="宋体" w:hAnsi="宋体" w:eastAsia="宋体" w:cs="宋体"/>
          <w:bCs/>
          <w:szCs w:val="28"/>
        </w:rPr>
        <w:t>项目后评价</w:t>
      </w:r>
      <w:r>
        <w:rPr>
          <w:rFonts w:hint="eastAsia" w:ascii="宋体" w:hAnsi="宋体" w:eastAsia="宋体" w:cs="宋体"/>
          <w:szCs w:val="28"/>
        </w:rPr>
        <w:t>编制、评审工作，包括但不限于以下要求：</w:t>
      </w:r>
    </w:p>
    <w:p>
      <w:pPr>
        <w:spacing w:line="540" w:lineRule="exact"/>
        <w:ind w:firstLine="560"/>
        <w:rPr>
          <w:rFonts w:hint="eastAsia" w:ascii="宋体" w:hAnsi="宋体" w:eastAsia="宋体" w:cs="宋体"/>
          <w:szCs w:val="28"/>
        </w:rPr>
      </w:pPr>
      <w:r>
        <w:rPr>
          <w:rFonts w:hint="eastAsia" w:ascii="宋体" w:hAnsi="宋体" w:eastAsia="宋体" w:cs="宋体"/>
          <w:szCs w:val="28"/>
        </w:rPr>
        <w:t>（1）项目设计、建设、运营资料收集，编制项目后评价报告；</w:t>
      </w:r>
    </w:p>
    <w:p>
      <w:pPr>
        <w:spacing w:line="540" w:lineRule="exact"/>
        <w:ind w:firstLine="560"/>
        <w:rPr>
          <w:rFonts w:hint="eastAsia" w:ascii="宋体" w:hAnsi="宋体" w:eastAsia="宋体" w:cs="宋体"/>
          <w:szCs w:val="28"/>
        </w:rPr>
      </w:pPr>
      <w:r>
        <w:rPr>
          <w:rFonts w:hint="eastAsia" w:ascii="宋体" w:hAnsi="宋体" w:eastAsia="宋体" w:cs="宋体"/>
          <w:szCs w:val="28"/>
        </w:rPr>
        <w:t>（2）配合采购方完成项目后评价专家审查工作。</w:t>
      </w:r>
    </w:p>
    <w:p>
      <w:pPr>
        <w:spacing w:line="540" w:lineRule="exact"/>
        <w:ind w:firstLine="560"/>
        <w:rPr>
          <w:rFonts w:hint="eastAsia" w:ascii="宋体" w:hAnsi="宋体" w:eastAsia="宋体" w:cs="宋体"/>
          <w:szCs w:val="28"/>
        </w:rPr>
      </w:pPr>
      <w:r>
        <w:rPr>
          <w:rFonts w:hint="eastAsia" w:ascii="宋体" w:hAnsi="宋体" w:eastAsia="宋体" w:cs="宋体"/>
          <w:szCs w:val="28"/>
        </w:rPr>
        <w:t>（</w:t>
      </w:r>
      <w:r>
        <w:rPr>
          <w:rFonts w:ascii="宋体" w:hAnsi="宋体" w:eastAsia="宋体" w:cs="宋体"/>
          <w:szCs w:val="28"/>
        </w:rPr>
        <w:t>4</w:t>
      </w:r>
      <w:r>
        <w:rPr>
          <w:rFonts w:hint="eastAsia" w:ascii="宋体" w:hAnsi="宋体" w:eastAsia="宋体" w:cs="宋体"/>
          <w:szCs w:val="28"/>
        </w:rPr>
        <w:t>）服务效果：通过专家审查，并出版后评报告正式版。</w:t>
      </w:r>
    </w:p>
    <w:p>
      <w:pPr>
        <w:spacing w:line="540" w:lineRule="exact"/>
        <w:ind w:firstLine="560"/>
      </w:pPr>
    </w:p>
    <w:p>
      <w:pPr>
        <w:spacing w:line="540" w:lineRule="exact"/>
        <w:ind w:firstLine="560"/>
        <w:rPr>
          <w:rFonts w:ascii="宋体" w:hAnsi="宋体" w:eastAsia="宋体" w:cs="宋体"/>
          <w:szCs w:val="28"/>
        </w:rPr>
      </w:pPr>
    </w:p>
    <w:p>
      <w:pPr>
        <w:spacing w:line="540" w:lineRule="exact"/>
        <w:ind w:firstLine="560"/>
        <w:rPr>
          <w:rFonts w:hint="eastAsia"/>
        </w:rPr>
      </w:pPr>
    </w:p>
    <w:p>
      <w:pPr>
        <w:spacing w:line="540" w:lineRule="exact"/>
        <w:ind w:firstLine="560"/>
        <w:rPr>
          <w:rFonts w:hint="eastAsia"/>
        </w:rPr>
      </w:pPr>
    </w:p>
    <w:p>
      <w:pPr>
        <w:spacing w:line="540" w:lineRule="exact"/>
        <w:ind w:firstLine="560"/>
        <w:sectPr>
          <w:footerReference r:id="rId6" w:type="default"/>
          <w:pgSz w:w="11906" w:h="16838"/>
          <w:pgMar w:top="1440" w:right="1800" w:bottom="1440" w:left="1800" w:header="851" w:footer="992" w:gutter="0"/>
          <w:cols w:space="720" w:num="1"/>
          <w:docGrid w:type="lines" w:linePitch="312" w:charSpace="0"/>
        </w:sectPr>
      </w:pPr>
    </w:p>
    <w:p>
      <w:pPr>
        <w:pStyle w:val="3"/>
        <w:numPr>
          <w:ilvl w:val="0"/>
          <w:numId w:val="8"/>
        </w:numPr>
        <w:spacing w:before="0" w:after="0" w:line="540" w:lineRule="exact"/>
        <w:ind w:left="0" w:firstLine="0" w:firstLineChars="0"/>
        <w:rPr>
          <w:rFonts w:hint="eastAsia" w:ascii="黑体" w:hAnsi="黑体" w:eastAsia="黑体" w:cs="黑体"/>
          <w:b w:val="0"/>
          <w:bCs w:val="0"/>
          <w:sz w:val="28"/>
          <w:szCs w:val="28"/>
        </w:rPr>
      </w:pPr>
      <w:bookmarkStart w:id="260" w:name="_Toc24154_WPSOffice_Level1"/>
      <w:bookmarkStart w:id="261" w:name="_Toc11976"/>
      <w:bookmarkStart w:id="262" w:name="_Toc7423"/>
      <w:bookmarkStart w:id="263" w:name="_Toc11720_WPSOffice_Level1"/>
      <w:bookmarkStart w:id="264" w:name="_Toc27348"/>
      <w:bookmarkStart w:id="265" w:name="_Toc15867"/>
      <w:bookmarkStart w:id="266" w:name="_Toc28058"/>
      <w:bookmarkStart w:id="267" w:name="_Toc5156"/>
      <w:bookmarkStart w:id="268" w:name="_Toc10244"/>
      <w:bookmarkStart w:id="269" w:name="_Toc92450792"/>
      <w:bookmarkStart w:id="270" w:name="_Toc7568"/>
      <w:bookmarkStart w:id="271" w:name="_Toc19974"/>
      <w:bookmarkStart w:id="272" w:name="_Toc96585528"/>
      <w:bookmarkStart w:id="273" w:name="_Toc12563"/>
      <w:bookmarkStart w:id="274" w:name="_Toc12534"/>
      <w:bookmarkStart w:id="275" w:name="_Toc1389"/>
      <w:bookmarkStart w:id="276" w:name="_Toc17388"/>
      <w:r>
        <w:rPr>
          <w:rFonts w:hint="eastAsia" w:ascii="黑体" w:hAnsi="黑体" w:eastAsia="黑体" w:cs="黑体"/>
          <w:b w:val="0"/>
          <w:bCs w:val="0"/>
          <w:sz w:val="28"/>
          <w:szCs w:val="28"/>
        </w:rPr>
        <w:t>项目组织与管理</w:t>
      </w:r>
      <w:bookmarkEnd w:id="247"/>
      <w:bookmarkEnd w:id="24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spacing w:line="540" w:lineRule="exact"/>
        <w:ind w:firstLine="560"/>
        <w:outlineLvl w:val="1"/>
        <w:rPr>
          <w:rFonts w:hint="eastAsia" w:ascii="黑体" w:hAnsi="黑体" w:eastAsia="黑体" w:cs="黑体"/>
          <w:szCs w:val="22"/>
        </w:rPr>
      </w:pPr>
      <w:bookmarkStart w:id="277" w:name="_Toc31725"/>
      <w:bookmarkStart w:id="278" w:name="_Toc28261"/>
      <w:bookmarkStart w:id="279" w:name="_Toc10738"/>
      <w:bookmarkStart w:id="280" w:name="_Toc32567"/>
      <w:bookmarkStart w:id="281" w:name="_Toc7759_WPSOffice_Level2"/>
      <w:bookmarkStart w:id="282" w:name="_Toc92450793"/>
      <w:bookmarkStart w:id="283" w:name="_Toc24879"/>
      <w:bookmarkStart w:id="284" w:name="_Toc4780"/>
      <w:bookmarkStart w:id="285" w:name="_Toc1665"/>
      <w:bookmarkStart w:id="286" w:name="_Toc30647"/>
      <w:bookmarkStart w:id="287" w:name="_Toc21463_WPSOffice_Level2"/>
      <w:bookmarkStart w:id="288" w:name="_Toc96585529"/>
      <w:bookmarkStart w:id="289" w:name="_Toc32761"/>
      <w:bookmarkStart w:id="290" w:name="_Toc438"/>
      <w:bookmarkStart w:id="291" w:name="_Toc15839"/>
      <w:bookmarkStart w:id="292" w:name="_Toc20882"/>
      <w:bookmarkStart w:id="293" w:name="_Toc29304_WPSOffice_Level2"/>
      <w:bookmarkStart w:id="294" w:name="_Toc15659"/>
      <w:r>
        <w:rPr>
          <w:rFonts w:hint="eastAsia" w:ascii="黑体" w:hAnsi="黑体" w:eastAsia="黑体" w:cs="黑体"/>
          <w:szCs w:val="22"/>
        </w:rPr>
        <w:t>6.1人员配置及组织</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adjustRightInd w:val="0"/>
        <w:snapToGrid w:val="0"/>
        <w:spacing w:line="540" w:lineRule="exact"/>
        <w:ind w:firstLine="560"/>
        <w:rPr>
          <w:rFonts w:hint="eastAsia" w:ascii="宋体" w:hAnsi="宋体" w:eastAsia="宋体" w:cs="黑体"/>
          <w:szCs w:val="22"/>
        </w:rPr>
      </w:pPr>
      <w:r>
        <w:rPr>
          <w:rFonts w:hint="eastAsia" w:ascii="宋体" w:hAnsi="宋体" w:eastAsia="宋体" w:cs="黑体"/>
          <w:szCs w:val="22"/>
        </w:rPr>
        <w:t>6.1.1通用部分</w:t>
      </w:r>
    </w:p>
    <w:p>
      <w:pPr>
        <w:numPr>
          <w:ilvl w:val="0"/>
          <w:numId w:val="11"/>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报价人应按采购文件的要求配置数量足够、专业齐全、结构合理的服务团队进行工作。其中须指定人员作为本服务项目团队的负责人。</w:t>
      </w:r>
    </w:p>
    <w:p>
      <w:pPr>
        <w:numPr>
          <w:ilvl w:val="0"/>
          <w:numId w:val="11"/>
        </w:numPr>
        <w:adjustRightInd w:val="0"/>
        <w:snapToGrid w:val="0"/>
        <w:spacing w:line="540" w:lineRule="exact"/>
        <w:ind w:firstLine="560"/>
        <w:rPr>
          <w:rFonts w:ascii="宋体" w:hAnsi="宋体" w:eastAsia="宋体" w:cs="宋体"/>
          <w:szCs w:val="22"/>
        </w:rPr>
      </w:pPr>
      <w:r>
        <w:rPr>
          <w:rFonts w:hint="eastAsia" w:ascii="宋体" w:hAnsi="宋体" w:eastAsia="宋体" w:cs="宋体"/>
          <w:szCs w:val="22"/>
        </w:rPr>
        <w:t>报价人的服务人员应具有与本项目技术要求相适应的技术水平、管理水平和相应资质。</w:t>
      </w:r>
    </w:p>
    <w:p>
      <w:pPr>
        <w:numPr>
          <w:ilvl w:val="0"/>
          <w:numId w:val="11"/>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报价人应保持服务人员的稳定性。除非采购人书面同意，报价人不得更换服务人员。如需更换，应以同等或更高条件的人员取代需更换的人员。若因人员更换影响本服务工作的，由报价人承担所有损失责任。</w:t>
      </w:r>
    </w:p>
    <w:p>
      <w:pPr>
        <w:numPr>
          <w:ilvl w:val="0"/>
          <w:numId w:val="11"/>
        </w:numPr>
        <w:adjustRightInd w:val="0"/>
        <w:snapToGrid w:val="0"/>
        <w:spacing w:line="540" w:lineRule="exact"/>
        <w:ind w:firstLine="560"/>
        <w:rPr>
          <w:rFonts w:ascii="宋体" w:hAnsi="宋体" w:eastAsia="宋体" w:cs="宋体"/>
          <w:szCs w:val="22"/>
        </w:rPr>
      </w:pPr>
      <w:r>
        <w:rPr>
          <w:rFonts w:hint="eastAsia" w:ascii="宋体" w:hAnsi="宋体" w:eastAsia="宋体" w:cs="宋体"/>
          <w:szCs w:val="22"/>
        </w:rPr>
        <w:t>如报价人服务人员不能满足要求，采购人有权要求报价人增加或更换服务人员，报价人应无条件配合。</w:t>
      </w:r>
    </w:p>
    <w:p>
      <w:pPr>
        <w:numPr>
          <w:ilvl w:val="0"/>
          <w:numId w:val="11"/>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报价人须按商务文件“人员配备表”格式提供人员情况。</w:t>
      </w:r>
    </w:p>
    <w:p>
      <w:pPr>
        <w:adjustRightInd w:val="0"/>
        <w:snapToGrid w:val="0"/>
        <w:spacing w:line="540" w:lineRule="exact"/>
        <w:ind w:firstLine="560"/>
        <w:rPr>
          <w:rFonts w:ascii="宋体" w:hAnsi="宋体" w:eastAsia="宋体" w:cs="黑体"/>
          <w:szCs w:val="22"/>
        </w:rPr>
      </w:pPr>
      <w:r>
        <w:rPr>
          <w:rFonts w:hint="eastAsia" w:ascii="宋体" w:hAnsi="宋体" w:eastAsia="宋体" w:cs="黑体"/>
          <w:szCs w:val="22"/>
        </w:rPr>
        <w:t>6.1.2专用部分</w:t>
      </w:r>
    </w:p>
    <w:p>
      <w:pPr>
        <w:numPr>
          <w:ilvl w:val="0"/>
          <w:numId w:val="12"/>
        </w:numPr>
        <w:adjustRightInd w:val="0"/>
        <w:snapToGrid w:val="0"/>
        <w:spacing w:line="540" w:lineRule="exact"/>
        <w:ind w:firstLine="560"/>
        <w:rPr>
          <w:rFonts w:hint="eastAsia" w:ascii="宋体" w:hAnsi="宋体" w:eastAsia="宋体" w:cs="宋体"/>
          <w:szCs w:val="22"/>
        </w:rPr>
      </w:pPr>
      <w:bookmarkStart w:id="295" w:name="_Toc32735_WPSOffice_Level2"/>
      <w:bookmarkStart w:id="296" w:name="_Toc14287"/>
      <w:bookmarkStart w:id="297" w:name="_Toc2644"/>
      <w:bookmarkStart w:id="298" w:name="_Toc30151_WPSOffice_Level2"/>
      <w:bookmarkStart w:id="299" w:name="_Toc92450794"/>
      <w:bookmarkStart w:id="300" w:name="_Toc12903"/>
      <w:bookmarkStart w:id="301" w:name="_Toc28249_WPSOffice_Level2"/>
      <w:bookmarkStart w:id="302" w:name="_Toc21397"/>
      <w:bookmarkStart w:id="303" w:name="_Toc26127"/>
      <w:bookmarkStart w:id="304" w:name="_Toc25096"/>
      <w:bookmarkStart w:id="305" w:name="_Toc29461"/>
      <w:bookmarkStart w:id="306" w:name="_Toc21240"/>
      <w:bookmarkStart w:id="307" w:name="_Toc19290"/>
      <w:bookmarkStart w:id="308" w:name="_Toc9058"/>
      <w:bookmarkStart w:id="309" w:name="_Toc12810"/>
      <w:bookmarkStart w:id="310" w:name="_Toc1763"/>
      <w:bookmarkStart w:id="311" w:name="_Toc22268"/>
      <w:r>
        <w:rPr>
          <w:rFonts w:hint="eastAsia" w:ascii="宋体" w:hAnsi="宋体" w:eastAsia="宋体" w:cs="宋体"/>
          <w:szCs w:val="22"/>
        </w:rPr>
        <w:t>投标人必须具有中华人民共和国境内注册的独立法人资格，具备有效的营业执照或事业单位法人证书，并具备以下工程设计资质：水运行业甲级及以上资质；</w:t>
      </w:r>
    </w:p>
    <w:p>
      <w:pPr>
        <w:numPr>
          <w:ilvl w:val="0"/>
          <w:numId w:val="12"/>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项目负责人资格要求： 1 人，投标人拟派出担任本招标项目的项目负责人应具备注册咨询工程师；且应是投标人本单位正式在岗职工。</w:t>
      </w:r>
    </w:p>
    <w:p>
      <w:pPr>
        <w:numPr>
          <w:ilvl w:val="0"/>
          <w:numId w:val="12"/>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项目其他参与人员资格要求：</w:t>
      </w:r>
      <w:r>
        <w:rPr>
          <w:rFonts w:hint="eastAsia" w:ascii="宋体" w:hAnsi="宋体" w:eastAsia="宋体" w:cs="黑体"/>
          <w:szCs w:val="22"/>
        </w:rPr>
        <w:t>至少有1人为港口航道高级工程师为本项目提供服务。</w:t>
      </w:r>
      <w:r>
        <w:rPr>
          <w:rFonts w:hint="eastAsia" w:ascii="宋体" w:hAnsi="宋体" w:eastAsia="宋体" w:cs="宋体"/>
          <w:szCs w:val="22"/>
        </w:rPr>
        <w:t>且应是投标人本单位正式在岗职工。</w:t>
      </w:r>
    </w:p>
    <w:p>
      <w:pPr>
        <w:numPr>
          <w:ilvl w:val="0"/>
          <w:numId w:val="12"/>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投标人应提供上述1-3项的资格文件，以作为资格预审文件。</w:t>
      </w:r>
    </w:p>
    <w:p>
      <w:pPr>
        <w:numPr>
          <w:ilvl w:val="0"/>
          <w:numId w:val="12"/>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没有失信黑名单记录（以最高院失信被执行人系统发布信息为准），与比选人无诉讼纠纷。</w:t>
      </w:r>
    </w:p>
    <w:p>
      <w:pPr>
        <w:spacing w:line="540" w:lineRule="exact"/>
        <w:ind w:firstLine="560"/>
        <w:outlineLvl w:val="1"/>
        <w:rPr>
          <w:rFonts w:hint="eastAsia" w:ascii="黑体" w:hAnsi="黑体" w:eastAsia="黑体" w:cs="黑体"/>
          <w:szCs w:val="22"/>
        </w:rPr>
      </w:pPr>
      <w:bookmarkStart w:id="312" w:name="_Toc96585530"/>
      <w:r>
        <w:rPr>
          <w:rFonts w:hint="eastAsia" w:ascii="黑体" w:hAnsi="黑体" w:eastAsia="黑体" w:cs="黑体"/>
          <w:szCs w:val="22"/>
        </w:rPr>
        <w:t>6.2器械、工具及材料</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Start w:id="313" w:name="_Toc23411"/>
      <w:bookmarkStart w:id="314" w:name="_Toc24205"/>
      <w:bookmarkStart w:id="315" w:name="_Toc24555"/>
      <w:bookmarkStart w:id="316" w:name="_Toc3557"/>
    </w:p>
    <w:p>
      <w:pPr>
        <w:adjustRightInd w:val="0"/>
        <w:snapToGrid w:val="0"/>
        <w:spacing w:line="540" w:lineRule="exact"/>
        <w:ind w:firstLine="560"/>
        <w:rPr>
          <w:rFonts w:hint="eastAsia" w:ascii="宋体" w:hAnsi="宋体" w:eastAsia="宋体" w:cs="黑体"/>
          <w:szCs w:val="22"/>
        </w:rPr>
      </w:pPr>
      <w:r>
        <w:rPr>
          <w:rFonts w:hint="eastAsia" w:ascii="宋体" w:hAnsi="宋体" w:eastAsia="宋体" w:cs="黑体"/>
          <w:szCs w:val="22"/>
        </w:rPr>
        <w:t>6.2.1通用部分</w:t>
      </w:r>
      <w:bookmarkEnd w:id="313"/>
      <w:bookmarkEnd w:id="314"/>
      <w:bookmarkEnd w:id="315"/>
      <w:bookmarkEnd w:id="316"/>
    </w:p>
    <w:p>
      <w:pPr>
        <w:numPr>
          <w:ilvl w:val="0"/>
          <w:numId w:val="12"/>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本项目所涉及的材料、设备、工器具、仪器仪表、安全防护措施等均由报价人负责提供。如采购人提供，将在专用部分中说明。</w:t>
      </w:r>
    </w:p>
    <w:p>
      <w:pPr>
        <w:numPr>
          <w:ilvl w:val="0"/>
          <w:numId w:val="12"/>
        </w:num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报价人所用的工器具、仪器仪表、特种设备等必须符合相关规定，校验合格。</w:t>
      </w:r>
    </w:p>
    <w:p>
      <w:pPr>
        <w:adjustRightInd w:val="0"/>
        <w:snapToGrid w:val="0"/>
        <w:spacing w:line="540" w:lineRule="exact"/>
        <w:ind w:firstLine="560"/>
        <w:rPr>
          <w:rFonts w:hint="eastAsia" w:ascii="宋体" w:hAnsi="宋体" w:eastAsia="宋体" w:cs="黑体"/>
          <w:szCs w:val="22"/>
        </w:rPr>
      </w:pPr>
      <w:r>
        <w:rPr>
          <w:rFonts w:hint="eastAsia" w:ascii="宋体" w:hAnsi="宋体" w:eastAsia="宋体" w:cs="黑体"/>
          <w:szCs w:val="22"/>
        </w:rPr>
        <w:t>6.2.2专用部分</w:t>
      </w:r>
    </w:p>
    <w:p>
      <w:pPr>
        <w:adjustRightInd w:val="0"/>
        <w:snapToGrid w:val="0"/>
        <w:spacing w:line="540" w:lineRule="exact"/>
        <w:ind w:left="560" w:firstLine="0" w:firstLineChars="0"/>
        <w:rPr>
          <w:rFonts w:hint="eastAsia" w:ascii="宋体" w:hAnsi="宋体" w:eastAsia="宋体" w:cs="宋体"/>
          <w:szCs w:val="22"/>
        </w:rPr>
      </w:pPr>
      <w:bookmarkStart w:id="317" w:name="_Toc8966_WPSOffice_Level2"/>
      <w:bookmarkStart w:id="318" w:name="_Toc31645_WPSOffice_Level2"/>
      <w:bookmarkStart w:id="319" w:name="_Toc11992_WPSOffice_Level2"/>
      <w:r>
        <w:rPr>
          <w:rFonts w:hint="eastAsia" w:ascii="宋体" w:hAnsi="宋体" w:eastAsia="宋体" w:cs="宋体"/>
          <w:szCs w:val="22"/>
        </w:rPr>
        <w:t>无内容。</w:t>
      </w:r>
    </w:p>
    <w:p>
      <w:pPr>
        <w:spacing w:line="540" w:lineRule="exact"/>
        <w:ind w:firstLine="560"/>
        <w:outlineLvl w:val="1"/>
        <w:rPr>
          <w:rFonts w:hint="eastAsia" w:ascii="黑体" w:hAnsi="黑体" w:eastAsia="黑体" w:cs="黑体"/>
          <w:szCs w:val="22"/>
        </w:rPr>
      </w:pPr>
      <w:bookmarkStart w:id="320" w:name="_Toc17662"/>
      <w:bookmarkStart w:id="321" w:name="_Toc29075"/>
      <w:bookmarkStart w:id="322" w:name="_Toc7258"/>
      <w:bookmarkStart w:id="323" w:name="_Toc11168"/>
      <w:bookmarkStart w:id="324" w:name="_Toc5720"/>
      <w:bookmarkStart w:id="325" w:name="_Toc32265"/>
      <w:bookmarkStart w:id="326" w:name="_Toc21296"/>
      <w:bookmarkStart w:id="327" w:name="_Toc92450795"/>
      <w:bookmarkStart w:id="328" w:name="_Toc15472"/>
      <w:bookmarkStart w:id="329" w:name="_Toc4143"/>
      <w:bookmarkStart w:id="330" w:name="_Toc5251"/>
      <w:bookmarkStart w:id="331" w:name="_Toc2740"/>
      <w:bookmarkStart w:id="332" w:name="_Toc25963"/>
      <w:bookmarkStart w:id="333" w:name="_Toc18176"/>
      <w:bookmarkStart w:id="334" w:name="_Toc96585531"/>
      <w:r>
        <w:rPr>
          <w:rFonts w:hint="eastAsia" w:ascii="黑体" w:hAnsi="黑体" w:eastAsia="黑体" w:cs="黑体"/>
          <w:szCs w:val="22"/>
        </w:rPr>
        <w:t>6.3安全文明管理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adjustRightInd w:val="0"/>
        <w:snapToGrid w:val="0"/>
        <w:spacing w:line="540" w:lineRule="exact"/>
        <w:ind w:firstLine="560"/>
        <w:rPr>
          <w:rFonts w:hint="eastAsia"/>
        </w:rPr>
      </w:pPr>
      <w:r>
        <w:rPr>
          <w:rFonts w:hint="eastAsia" w:ascii="宋体" w:hAnsi="宋体" w:eastAsia="宋体" w:cs="黑体"/>
          <w:szCs w:val="22"/>
        </w:rPr>
        <w:t>6.3.1通用部分</w:t>
      </w:r>
    </w:p>
    <w:p>
      <w:pPr>
        <w:numPr>
          <w:ilvl w:val="0"/>
          <w:numId w:val="13"/>
        </w:numPr>
        <w:adjustRightInd w:val="0"/>
        <w:snapToGrid w:val="0"/>
        <w:spacing w:line="540" w:lineRule="exact"/>
        <w:ind w:firstLine="560"/>
        <w:rPr>
          <w:rFonts w:hint="eastAsia" w:ascii="宋体" w:hAnsi="宋体" w:eastAsia="宋体" w:cs="黑体"/>
          <w:szCs w:val="22"/>
        </w:rPr>
      </w:pPr>
      <w:r>
        <w:rPr>
          <w:rFonts w:hint="eastAsia" w:ascii="宋体" w:hAnsi="宋体" w:eastAsia="宋体" w:cs="黑体"/>
          <w:szCs w:val="22"/>
        </w:rPr>
        <w:t>报价人应当贯彻执行“安全第一、预防为主、综合治理”的方针，严格执行国家、行业相关安全规定及采购人相关安全管理制度，全面负责本项目范围内实施过程中的安全文明、环境保护、工业卫生等的管理工作，确保不发生人身及设备事故。</w:t>
      </w:r>
    </w:p>
    <w:p>
      <w:pPr>
        <w:numPr>
          <w:ilvl w:val="0"/>
          <w:numId w:val="13"/>
        </w:numPr>
        <w:adjustRightInd w:val="0"/>
        <w:snapToGrid w:val="0"/>
        <w:spacing w:line="540" w:lineRule="exact"/>
        <w:ind w:firstLine="560"/>
        <w:rPr>
          <w:rFonts w:hint="eastAsia" w:ascii="宋体" w:hAnsi="宋体" w:eastAsia="宋体" w:cs="黑体"/>
          <w:szCs w:val="22"/>
        </w:rPr>
      </w:pPr>
      <w:r>
        <w:rPr>
          <w:rFonts w:hint="eastAsia" w:ascii="宋体" w:hAnsi="宋体" w:eastAsia="宋体" w:cs="黑体"/>
          <w:szCs w:val="22"/>
        </w:rPr>
        <w:t>报价人应明确各级安全职责和安全控制重点，建立完整的安全保证体系和监督体系，制定完善的安全文明施工管理制度，并严格执行；做好安全技术交底，加强内部安全培训；建立安全机构，按规定配备安全管理人员；配备符合国家规定的合格劳动防护用品和工器具。</w:t>
      </w:r>
    </w:p>
    <w:p>
      <w:pPr>
        <w:numPr>
          <w:ilvl w:val="0"/>
          <w:numId w:val="13"/>
        </w:numPr>
        <w:adjustRightInd w:val="0"/>
        <w:snapToGrid w:val="0"/>
        <w:spacing w:line="540" w:lineRule="exact"/>
        <w:ind w:firstLine="560"/>
        <w:rPr>
          <w:rFonts w:hint="eastAsia" w:ascii="宋体" w:hAnsi="宋体" w:eastAsia="宋体" w:cs="黑体"/>
          <w:szCs w:val="22"/>
        </w:rPr>
      </w:pPr>
      <w:r>
        <w:rPr>
          <w:rFonts w:hint="eastAsia" w:ascii="宋体" w:hAnsi="宋体" w:eastAsia="宋体" w:cs="黑体"/>
          <w:szCs w:val="22"/>
        </w:rPr>
        <w:t>报价人在项目实施过程中，不得擅动、破坏运行设备及周围环境设施。</w:t>
      </w:r>
    </w:p>
    <w:p>
      <w:pPr>
        <w:numPr>
          <w:ilvl w:val="0"/>
          <w:numId w:val="13"/>
        </w:numPr>
        <w:adjustRightInd w:val="0"/>
        <w:snapToGrid w:val="0"/>
        <w:spacing w:line="540" w:lineRule="exact"/>
        <w:ind w:firstLine="560"/>
        <w:rPr>
          <w:rFonts w:hint="eastAsia" w:ascii="宋体" w:hAnsi="宋体" w:eastAsia="宋体" w:cs="黑体"/>
          <w:szCs w:val="22"/>
        </w:rPr>
      </w:pPr>
      <w:r>
        <w:rPr>
          <w:rFonts w:hint="eastAsia" w:ascii="宋体" w:hAnsi="宋体" w:eastAsia="宋体" w:cs="黑体"/>
          <w:szCs w:val="22"/>
        </w:rPr>
        <w:t>项目实施过程中，采购人有权对安全文明工作进行检查，有权对不规范的作业提出改进意见和考核，报价人应遵照执行。</w:t>
      </w:r>
    </w:p>
    <w:p>
      <w:pPr>
        <w:pStyle w:val="252"/>
        <w:adjustRightInd w:val="0"/>
        <w:snapToGrid w:val="0"/>
        <w:spacing w:line="540" w:lineRule="exact"/>
        <w:ind w:firstLine="560"/>
        <w:rPr>
          <w:rFonts w:hint="eastAsia" w:ascii="宋体" w:cs="黑体"/>
          <w:sz w:val="28"/>
          <w:szCs w:val="22"/>
        </w:rPr>
      </w:pPr>
      <w:r>
        <w:rPr>
          <w:rFonts w:hint="eastAsia" w:ascii="宋体" w:cs="黑体"/>
          <w:sz w:val="28"/>
          <w:szCs w:val="22"/>
        </w:rPr>
        <w:t>6.3.2专用部分</w:t>
      </w:r>
    </w:p>
    <w:p>
      <w:pPr>
        <w:spacing w:line="540" w:lineRule="exact"/>
        <w:ind w:firstLine="560"/>
        <w:rPr>
          <w:rFonts w:hint="eastAsia" w:ascii="宋体" w:hAnsi="宋体" w:eastAsia="宋体" w:cs="宋体"/>
          <w:szCs w:val="22"/>
        </w:rPr>
      </w:pPr>
      <w:r>
        <w:rPr>
          <w:rFonts w:hint="eastAsia" w:ascii="宋体" w:hAnsi="宋体" w:eastAsia="宋体" w:cs="宋体"/>
          <w:szCs w:val="22"/>
        </w:rPr>
        <w:t>无</w:t>
      </w:r>
    </w:p>
    <w:p>
      <w:pPr>
        <w:spacing w:line="540" w:lineRule="exact"/>
        <w:ind w:firstLine="560"/>
        <w:outlineLvl w:val="1"/>
        <w:rPr>
          <w:rFonts w:hint="eastAsia" w:ascii="黑体" w:hAnsi="黑体" w:eastAsia="黑体" w:cs="黑体"/>
          <w:szCs w:val="22"/>
        </w:rPr>
      </w:pPr>
      <w:bookmarkStart w:id="335" w:name="_Toc20476"/>
      <w:bookmarkStart w:id="336" w:name="_Toc27784"/>
      <w:bookmarkStart w:id="337" w:name="_Toc31710"/>
      <w:bookmarkStart w:id="338" w:name="_Toc7760"/>
      <w:bookmarkStart w:id="339" w:name="_Toc29781"/>
      <w:bookmarkStart w:id="340" w:name="_Toc27834"/>
      <w:bookmarkStart w:id="341" w:name="_Toc11819"/>
      <w:bookmarkStart w:id="342" w:name="_Toc15080"/>
      <w:bookmarkStart w:id="343" w:name="_Toc32478"/>
      <w:bookmarkStart w:id="344" w:name="_Toc92450796"/>
      <w:bookmarkStart w:id="345" w:name="_Toc16064"/>
      <w:bookmarkStart w:id="346" w:name="_Toc17709"/>
      <w:bookmarkStart w:id="347" w:name="_Toc96585532"/>
      <w:bookmarkStart w:id="348" w:name="_Toc16402"/>
      <w:r>
        <w:rPr>
          <w:rFonts w:hint="eastAsia" w:ascii="黑体" w:hAnsi="黑体" w:eastAsia="黑体" w:cs="黑体"/>
          <w:szCs w:val="22"/>
        </w:rPr>
        <w:t>6.4保密要求</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6.4.1通用部分</w:t>
      </w:r>
    </w:p>
    <w:p>
      <w:p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1）采购人和报价人双方保证对在讨论、签订、执行本合同过程中所获悉的属于对方的且无法自公开渠道获得的文件及资料(包括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adjustRightInd w:val="0"/>
        <w:snapToGrid w:val="0"/>
        <w:spacing w:line="540" w:lineRule="exact"/>
        <w:ind w:firstLine="560"/>
        <w:rPr>
          <w:rFonts w:hint="eastAsia" w:ascii="宋体" w:hAnsi="宋体" w:eastAsia="宋体" w:cs="黑体"/>
          <w:szCs w:val="22"/>
        </w:rPr>
      </w:pPr>
      <w:r>
        <w:rPr>
          <w:rFonts w:hint="eastAsia" w:ascii="宋体" w:hAnsi="宋体" w:eastAsia="宋体" w:cs="宋体"/>
          <w:szCs w:val="22"/>
        </w:rPr>
        <w:t>（2）报价人需执行采购人的保密规定。</w:t>
      </w:r>
    </w:p>
    <w:p>
      <w:p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6.4.2专用部分</w:t>
      </w:r>
    </w:p>
    <w:p>
      <w:pPr>
        <w:adjustRightInd w:val="0"/>
        <w:snapToGrid w:val="0"/>
        <w:spacing w:line="540" w:lineRule="exact"/>
        <w:ind w:firstLine="560"/>
        <w:rPr>
          <w:rFonts w:hint="eastAsia" w:ascii="宋体" w:hAnsi="宋体" w:eastAsia="宋体" w:cs="宋体"/>
          <w:szCs w:val="22"/>
        </w:rPr>
      </w:pPr>
      <w:r>
        <w:rPr>
          <w:rFonts w:hint="eastAsia" w:ascii="宋体" w:hAnsi="宋体" w:eastAsia="宋体" w:cs="宋体"/>
          <w:szCs w:val="22"/>
        </w:rPr>
        <w:t>无</w:t>
      </w:r>
    </w:p>
    <w:p>
      <w:pPr>
        <w:spacing w:line="540" w:lineRule="exact"/>
        <w:ind w:firstLine="560"/>
        <w:outlineLvl w:val="1"/>
        <w:rPr>
          <w:rFonts w:hint="eastAsia" w:ascii="黑体" w:hAnsi="黑体" w:eastAsia="黑体" w:cs="黑体"/>
          <w:szCs w:val="22"/>
        </w:rPr>
      </w:pPr>
      <w:bookmarkStart w:id="349" w:name="_Toc32041"/>
      <w:bookmarkStart w:id="350" w:name="_Toc27726"/>
      <w:bookmarkStart w:id="351" w:name="_Toc11733"/>
      <w:bookmarkStart w:id="352" w:name="_Toc92450797"/>
      <w:bookmarkStart w:id="353" w:name="_Toc26293"/>
      <w:bookmarkStart w:id="354" w:name="_Toc96585533"/>
      <w:bookmarkStart w:id="355" w:name="_Toc14740_WPSOffice_Level2"/>
      <w:bookmarkStart w:id="356" w:name="_Toc19650_WPSOffice_Level2"/>
      <w:bookmarkStart w:id="357" w:name="_Toc8842"/>
      <w:bookmarkStart w:id="358" w:name="_Toc13594"/>
      <w:bookmarkStart w:id="359" w:name="_Toc19547"/>
      <w:bookmarkStart w:id="360" w:name="_Toc22854"/>
      <w:bookmarkStart w:id="361" w:name="_Toc9859"/>
      <w:bookmarkStart w:id="362" w:name="_Toc18489"/>
      <w:bookmarkStart w:id="363" w:name="_Toc19826"/>
      <w:bookmarkStart w:id="364" w:name="_Toc2725_WPSOffice_Level2"/>
      <w:bookmarkStart w:id="365" w:name="_Toc27014"/>
      <w:bookmarkStart w:id="366" w:name="_Toc10777"/>
      <w:r>
        <w:rPr>
          <w:rFonts w:hint="eastAsia" w:ascii="黑体" w:hAnsi="黑体" w:eastAsia="黑体" w:cs="黑体"/>
          <w:szCs w:val="22"/>
        </w:rPr>
        <w:t>6.5 其他</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252"/>
        <w:adjustRightInd w:val="0"/>
        <w:snapToGrid w:val="0"/>
        <w:spacing w:line="540" w:lineRule="exact"/>
        <w:ind w:firstLine="560"/>
        <w:rPr>
          <w:rFonts w:hint="eastAsia" w:ascii="黑体" w:hAnsi="黑体" w:eastAsia="黑体" w:cs="黑体"/>
          <w:sz w:val="28"/>
          <w:szCs w:val="28"/>
        </w:rPr>
      </w:pPr>
      <w:bookmarkStart w:id="367" w:name="_Toc25742"/>
      <w:bookmarkStart w:id="368" w:name="_Toc24625_WPSOffice_Level1"/>
      <w:bookmarkStart w:id="369" w:name="_Toc10216690"/>
      <w:r>
        <w:rPr>
          <w:rFonts w:hint="eastAsia" w:ascii="宋体" w:cs="黑体"/>
          <w:sz w:val="28"/>
          <w:szCs w:val="22"/>
        </w:rPr>
        <w:t>无</w:t>
      </w:r>
    </w:p>
    <w:p>
      <w:pPr>
        <w:pStyle w:val="3"/>
        <w:numPr>
          <w:ilvl w:val="0"/>
          <w:numId w:val="8"/>
        </w:numPr>
        <w:adjustRightInd w:val="0"/>
        <w:snapToGrid w:val="0"/>
        <w:spacing w:before="0" w:after="0" w:line="540" w:lineRule="exact"/>
        <w:ind w:left="0" w:firstLine="560"/>
        <w:rPr>
          <w:rFonts w:hint="eastAsia" w:ascii="黑体" w:hAnsi="黑体" w:eastAsia="黑体" w:cs="黑体"/>
          <w:b w:val="0"/>
          <w:bCs w:val="0"/>
          <w:sz w:val="28"/>
          <w:szCs w:val="28"/>
        </w:rPr>
      </w:pPr>
      <w:bookmarkStart w:id="370" w:name="_Toc13191_WPSOffice_Level1"/>
      <w:r>
        <w:rPr>
          <w:rFonts w:hint="eastAsia" w:ascii="黑体" w:hAnsi="黑体" w:eastAsia="黑体" w:cs="黑体"/>
          <w:b w:val="0"/>
          <w:bCs w:val="0"/>
          <w:sz w:val="28"/>
          <w:szCs w:val="28"/>
        </w:rPr>
        <w:br w:type="page"/>
      </w:r>
      <w:bookmarkStart w:id="371" w:name="_Toc24361"/>
      <w:bookmarkStart w:id="372" w:name="_Toc18591"/>
      <w:bookmarkStart w:id="373" w:name="_Toc31325"/>
      <w:bookmarkStart w:id="374" w:name="_Toc25480"/>
      <w:bookmarkStart w:id="375" w:name="_Toc29169"/>
      <w:bookmarkStart w:id="376" w:name="_Toc23670"/>
      <w:bookmarkStart w:id="377" w:name="_Toc4559"/>
      <w:bookmarkStart w:id="378" w:name="_Toc8884"/>
      <w:bookmarkStart w:id="379" w:name="_Toc8252"/>
      <w:bookmarkStart w:id="380" w:name="_Toc14815"/>
      <w:bookmarkStart w:id="381" w:name="_Toc8620"/>
      <w:bookmarkStart w:id="382" w:name="_Toc12038"/>
      <w:bookmarkStart w:id="383" w:name="_Toc6665_WPSOffice_Level1"/>
      <w:bookmarkStart w:id="384" w:name="_Toc5006"/>
      <w:bookmarkStart w:id="385" w:name="_Toc92450798"/>
      <w:bookmarkStart w:id="386" w:name="_Toc96585534"/>
      <w:r>
        <w:rPr>
          <w:rFonts w:hint="eastAsia" w:ascii="黑体" w:hAnsi="黑体" w:eastAsia="黑体" w:cs="黑体"/>
          <w:b w:val="0"/>
          <w:bCs w:val="0"/>
          <w:sz w:val="28"/>
          <w:szCs w:val="28"/>
        </w:rPr>
        <w:t>成果</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spacing w:line="540" w:lineRule="exact"/>
        <w:ind w:firstLine="560"/>
        <w:outlineLvl w:val="1"/>
        <w:rPr>
          <w:rFonts w:hint="eastAsia" w:ascii="黑体" w:hAnsi="黑体" w:eastAsia="黑体" w:cs="黑体"/>
          <w:szCs w:val="22"/>
        </w:rPr>
      </w:pPr>
      <w:bookmarkStart w:id="387" w:name="_Toc5592_WPSOffice_Level2"/>
      <w:bookmarkStart w:id="388" w:name="_Toc3213"/>
      <w:bookmarkStart w:id="389" w:name="_Toc20163"/>
      <w:bookmarkStart w:id="390" w:name="_Toc9874"/>
      <w:bookmarkStart w:id="391" w:name="_Toc96585535"/>
      <w:bookmarkStart w:id="392" w:name="_Toc8672"/>
      <w:bookmarkStart w:id="393" w:name="_Toc28485"/>
      <w:bookmarkStart w:id="394" w:name="_Toc6836"/>
      <w:bookmarkStart w:id="395" w:name="_Toc12886_WPSOffice_Level2"/>
      <w:bookmarkStart w:id="396" w:name="_Toc24852"/>
      <w:bookmarkStart w:id="397" w:name="_Toc23190"/>
      <w:bookmarkStart w:id="398" w:name="_Toc30932"/>
      <w:bookmarkStart w:id="399" w:name="_Toc11222"/>
      <w:bookmarkStart w:id="400" w:name="_Toc4929"/>
      <w:bookmarkStart w:id="401" w:name="_Toc92450799"/>
      <w:bookmarkStart w:id="402" w:name="_Toc7311"/>
      <w:bookmarkStart w:id="403" w:name="_Toc24530_WPSOffice_Level2"/>
      <w:bookmarkStart w:id="404" w:name="_Toc27800"/>
      <w:r>
        <w:rPr>
          <w:rFonts w:hint="eastAsia" w:ascii="黑体" w:hAnsi="黑体" w:eastAsia="黑体" w:cs="黑体"/>
          <w:szCs w:val="22"/>
        </w:rPr>
        <w:t>7.1成果</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adjustRightInd w:val="0"/>
        <w:snapToGrid w:val="0"/>
        <w:spacing w:line="540" w:lineRule="exact"/>
        <w:ind w:firstLine="560"/>
        <w:jc w:val="left"/>
        <w:rPr>
          <w:rFonts w:hint="eastAsia" w:ascii="宋体" w:hAnsi="宋体" w:eastAsia="宋体"/>
          <w:szCs w:val="24"/>
        </w:rPr>
      </w:pPr>
      <w:r>
        <w:rPr>
          <w:rFonts w:hint="eastAsia" w:ascii="宋体" w:hAnsi="宋体" w:eastAsia="宋体"/>
          <w:szCs w:val="24"/>
        </w:rPr>
        <w:t>7.1.1通用部分</w:t>
      </w:r>
    </w:p>
    <w:p>
      <w:pPr>
        <w:numPr>
          <w:ilvl w:val="0"/>
          <w:numId w:val="14"/>
        </w:numPr>
        <w:adjustRightInd w:val="0"/>
        <w:snapToGrid w:val="0"/>
        <w:spacing w:line="540" w:lineRule="exact"/>
        <w:ind w:firstLine="560"/>
        <w:jc w:val="left"/>
        <w:rPr>
          <w:rFonts w:hint="eastAsia" w:ascii="宋体" w:hAnsi="宋体" w:eastAsia="宋体" w:cs="宋体"/>
          <w:szCs w:val="28"/>
        </w:rPr>
      </w:pPr>
      <w:r>
        <w:rPr>
          <w:rFonts w:hint="eastAsia" w:ascii="宋体" w:hAnsi="宋体" w:eastAsia="宋体" w:cs="宋体"/>
          <w:szCs w:val="28"/>
        </w:rPr>
        <w:t>报价人应按相关的国家标准和行业规范要求，采用先进的技术措施和手段，采用合格的工具和材料，完成项目内容，保证项目质量。</w:t>
      </w:r>
    </w:p>
    <w:p>
      <w:pPr>
        <w:numPr>
          <w:ilvl w:val="0"/>
          <w:numId w:val="14"/>
        </w:numPr>
        <w:adjustRightInd w:val="0"/>
        <w:snapToGrid w:val="0"/>
        <w:spacing w:line="540" w:lineRule="exact"/>
        <w:ind w:firstLine="560"/>
        <w:jc w:val="left"/>
        <w:rPr>
          <w:rFonts w:hint="eastAsia" w:ascii="宋体" w:hAnsi="宋体" w:eastAsia="宋体"/>
          <w:szCs w:val="24"/>
        </w:rPr>
      </w:pPr>
      <w:r>
        <w:rPr>
          <w:rFonts w:hint="eastAsia" w:ascii="宋体" w:hAnsi="宋体" w:eastAsia="宋体" w:cs="宋体"/>
          <w:szCs w:val="28"/>
        </w:rPr>
        <w:t>报价人所提供的项目过程资料应完整、真实、可靠，成果报告文字简洁、表达准确，图像清晰无误，附件齐全。</w:t>
      </w:r>
    </w:p>
    <w:p>
      <w:pPr>
        <w:numPr>
          <w:ilvl w:val="0"/>
          <w:numId w:val="14"/>
        </w:numPr>
        <w:adjustRightInd w:val="0"/>
        <w:snapToGrid w:val="0"/>
        <w:spacing w:line="540" w:lineRule="exact"/>
        <w:ind w:firstLine="560"/>
        <w:jc w:val="left"/>
        <w:rPr>
          <w:rFonts w:hint="eastAsia" w:ascii="宋体" w:hAnsi="宋体" w:eastAsia="宋体"/>
          <w:szCs w:val="24"/>
        </w:rPr>
      </w:pPr>
      <w:r>
        <w:rPr>
          <w:rFonts w:hint="eastAsia" w:ascii="宋体" w:hAnsi="宋体" w:eastAsia="宋体"/>
          <w:szCs w:val="24"/>
        </w:rPr>
        <w:t>本项目所有技术成果属于采购人所有。</w:t>
      </w:r>
      <w:r>
        <w:rPr>
          <w:rFonts w:hint="eastAsia" w:ascii="宋体" w:hAnsi="宋体" w:eastAsia="宋体" w:cs="宋体"/>
          <w:szCs w:val="28"/>
        </w:rPr>
        <w:t>项目完成后，报价人应按要求将</w:t>
      </w:r>
      <w:r>
        <w:rPr>
          <w:rFonts w:hint="eastAsia" w:ascii="宋体" w:hAnsi="宋体" w:eastAsia="宋体"/>
          <w:szCs w:val="28"/>
        </w:rPr>
        <w:t>形成的过程资料、相关文件全部移交采购人，协助采购人进行资料归档，</w:t>
      </w:r>
      <w:r>
        <w:rPr>
          <w:rFonts w:hint="eastAsia" w:ascii="宋体" w:hAnsi="宋体" w:eastAsia="宋体"/>
          <w:szCs w:val="24"/>
        </w:rPr>
        <w:t>并对采购人负有技术指导责任。</w:t>
      </w:r>
    </w:p>
    <w:p>
      <w:pPr>
        <w:adjustRightInd w:val="0"/>
        <w:snapToGrid w:val="0"/>
        <w:spacing w:line="540" w:lineRule="exact"/>
        <w:ind w:firstLine="560"/>
        <w:rPr>
          <w:rFonts w:hint="eastAsia" w:ascii="宋体" w:hAnsi="宋体" w:eastAsia="宋体"/>
          <w:szCs w:val="24"/>
        </w:rPr>
      </w:pPr>
      <w:r>
        <w:rPr>
          <w:rFonts w:hint="eastAsia" w:ascii="宋体" w:hAnsi="宋体" w:eastAsia="宋体"/>
          <w:szCs w:val="24"/>
        </w:rPr>
        <w:t>7.1.2专用部分</w:t>
      </w:r>
    </w:p>
    <w:p>
      <w:pPr>
        <w:spacing w:line="540" w:lineRule="exact"/>
        <w:ind w:firstLine="560"/>
        <w:rPr>
          <w:rFonts w:ascii="宋体" w:hAnsi="宋体" w:eastAsia="宋体" w:cs="宋体"/>
          <w:szCs w:val="28"/>
        </w:rPr>
      </w:pPr>
      <w:r>
        <w:rPr>
          <w:rFonts w:hint="eastAsia" w:ascii="宋体" w:hAnsi="宋体" w:eastAsia="宋体" w:cs="宋体"/>
          <w:szCs w:val="28"/>
        </w:rPr>
        <w:t>提交报告包含：项目后评价报告（专家审查后正式稿）5套，评审套数根据需要自定。</w:t>
      </w: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rFonts w:hint="eastAsia"/>
          <w:b/>
          <w:bCs/>
          <w:sz w:val="24"/>
          <w:szCs w:val="24"/>
        </w:rPr>
      </w:pPr>
    </w:p>
    <w:p>
      <w:pPr>
        <w:pStyle w:val="59"/>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南8号泊位工程和排海口工程项目评价服务项目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9"/>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月</w:t>
      </w:r>
    </w:p>
    <w:p>
      <w:pPr>
        <w:spacing w:line="1000" w:lineRule="exact"/>
        <w:jc w:val="center"/>
        <w:rPr>
          <w:rFonts w:hint="eastAsia"/>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
          <w:bCs/>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平装。所有参选文件应增加统一外层包封。提交参选文件时提供两个包装，商务参选文件（报价单）一个包装、技术参选文件一个包装,封口处均需加盖骑缝章。</w:t>
      </w:r>
      <w:r>
        <w:rPr>
          <w:rFonts w:hint="eastAsia" w:cs="Times New Roman"/>
          <w:b/>
          <w:bCs/>
          <w:color w:val="C00000"/>
          <w:sz w:val="24"/>
          <w:szCs w:val="24"/>
          <w:lang w:eastAsia="zh-CN"/>
        </w:rPr>
        <w:t>商务参选文件和技术参选文件</w:t>
      </w:r>
      <w:r>
        <w:rPr>
          <w:rFonts w:hint="eastAsia" w:cs="Times New Roman"/>
          <w:b/>
          <w:bCs/>
          <w:color w:val="C00000"/>
          <w:sz w:val="24"/>
          <w:szCs w:val="24"/>
          <w:lang w:val="en-US" w:eastAsia="zh-CN"/>
        </w:rPr>
        <w:t>U盘</w:t>
      </w:r>
      <w:r>
        <w:rPr>
          <w:rFonts w:hint="eastAsia" w:cs="Times New Roman"/>
          <w:b/>
          <w:bCs/>
          <w:color w:val="C00000"/>
          <w:sz w:val="24"/>
          <w:szCs w:val="24"/>
          <w:lang w:eastAsia="zh-CN"/>
        </w:rPr>
        <w:t>电子</w:t>
      </w:r>
      <w:r>
        <w:rPr>
          <w:rFonts w:hint="eastAsia" w:cs="Times New Roman"/>
          <w:b/>
          <w:bCs/>
          <w:color w:val="C00000"/>
          <w:sz w:val="24"/>
          <w:szCs w:val="24"/>
          <w:lang w:val="en-US" w:eastAsia="zh-CN"/>
        </w:rPr>
        <w:t>扫描件</w:t>
      </w:r>
      <w:r>
        <w:rPr>
          <w:rFonts w:hint="eastAsia" w:cs="Times New Roman"/>
          <w:b/>
          <w:bCs/>
          <w:color w:val="C00000"/>
          <w:sz w:val="24"/>
          <w:szCs w:val="24"/>
          <w:lang w:eastAsia="zh-CN"/>
        </w:rPr>
        <w:t>拷贝一份（随商务参选文件包装）。</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pStyle w:val="59"/>
      </w:pPr>
    </w:p>
    <w:p>
      <w:pPr>
        <w:pStyle w:val="59"/>
      </w:pPr>
    </w:p>
    <w:p>
      <w:pPr>
        <w:pStyle w:val="59"/>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资质业绩证明文件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9"/>
        <w:rPr>
          <w:b/>
          <w:bCs/>
          <w:sz w:val="36"/>
          <w:szCs w:val="36"/>
        </w:rPr>
      </w:pPr>
    </w:p>
    <w:p>
      <w:pPr>
        <w:pStyle w:val="59"/>
        <w:rPr>
          <w:b/>
          <w:bCs/>
          <w:sz w:val="36"/>
          <w:szCs w:val="36"/>
        </w:rPr>
      </w:pPr>
    </w:p>
    <w:p>
      <w:pPr>
        <w:pStyle w:val="59"/>
        <w:rPr>
          <w:b/>
          <w:bCs/>
          <w:sz w:val="36"/>
          <w:szCs w:val="36"/>
        </w:rPr>
      </w:pPr>
    </w:p>
    <w:p>
      <w:pPr>
        <w:spacing w:line="500" w:lineRule="exact"/>
        <w:rPr>
          <w:b/>
          <w:bCs/>
          <w:sz w:val="36"/>
          <w:szCs w:val="36"/>
          <w:lang w:eastAsia="zh-CN"/>
        </w:rPr>
      </w:pPr>
    </w:p>
    <w:p>
      <w:pPr>
        <w:pStyle w:val="59"/>
        <w:rPr>
          <w:b/>
          <w:bCs/>
          <w:sz w:val="36"/>
          <w:szCs w:val="36"/>
        </w:rPr>
      </w:pPr>
    </w:p>
    <w:p>
      <w:pPr>
        <w:pStyle w:val="59"/>
        <w:rPr>
          <w:b/>
          <w:bCs/>
          <w:sz w:val="36"/>
          <w:szCs w:val="36"/>
        </w:rPr>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eastAsia"/>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9"/>
      </w:pPr>
    </w:p>
    <w:p>
      <w:pPr>
        <w:pStyle w:val="59"/>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9"/>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9"/>
        <w:jc w:val="center"/>
      </w:pPr>
    </w:p>
    <w:p>
      <w:pPr>
        <w:pStyle w:val="59"/>
        <w:jc w:val="center"/>
      </w:pPr>
    </w:p>
    <w:p>
      <w:pPr>
        <w:pStyle w:val="59"/>
        <w:jc w:val="center"/>
      </w:pPr>
    </w:p>
    <w:p>
      <w:pPr>
        <w:pStyle w:val="59"/>
        <w:jc w:val="center"/>
      </w:pPr>
    </w:p>
    <w:p>
      <w:pPr>
        <w:pStyle w:val="59"/>
        <w:jc w:val="center"/>
      </w:pPr>
    </w:p>
    <w:p>
      <w:pPr>
        <w:pStyle w:val="59"/>
      </w:pPr>
    </w:p>
    <w:p>
      <w:pPr>
        <w:pStyle w:val="59"/>
      </w:pPr>
    </w:p>
    <w:p>
      <w:pPr>
        <w:pStyle w:val="59"/>
      </w:pPr>
    </w:p>
    <w:p>
      <w:pPr>
        <w:pStyle w:val="59"/>
      </w:pPr>
    </w:p>
    <w:p>
      <w:pPr>
        <w:pStyle w:val="59"/>
        <w:jc w:val="center"/>
      </w:pPr>
      <w:r>
        <w:rPr>
          <w:rFonts w:hint="eastAsia"/>
          <w:sz w:val="24"/>
          <w:szCs w:val="24"/>
        </w:rPr>
        <w:t xml:space="preserve">             </w:t>
      </w: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9"/>
        <w:rPr>
          <w:b/>
          <w:bCs/>
          <w:color w:val="4E6127"/>
          <w:sz w:val="36"/>
          <w:szCs w:val="36"/>
        </w:rPr>
      </w:pPr>
    </w:p>
    <w:p>
      <w:pPr>
        <w:pStyle w:val="59"/>
        <w:rPr>
          <w:b/>
          <w:bCs/>
          <w:color w:val="4E6127"/>
          <w:sz w:val="36"/>
          <w:szCs w:val="36"/>
        </w:rPr>
      </w:pPr>
    </w:p>
    <w:p>
      <w:pPr>
        <w:pStyle w:val="59"/>
        <w:rPr>
          <w:b/>
          <w:bCs/>
          <w:color w:val="4E6127"/>
          <w:sz w:val="36"/>
          <w:szCs w:val="36"/>
        </w:rPr>
      </w:pPr>
    </w:p>
    <w:p>
      <w:pPr>
        <w:pStyle w:val="59"/>
        <w:rPr>
          <w:b/>
          <w:bCs/>
          <w:color w:val="4E6127"/>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9"/>
        <w:rPr>
          <w:b/>
          <w:bCs/>
          <w:sz w:val="36"/>
          <w:szCs w:val="36"/>
        </w:rPr>
      </w:pPr>
    </w:p>
    <w:p>
      <w:pPr>
        <w:pStyle w:val="59"/>
        <w:rPr>
          <w:b/>
          <w:bCs/>
          <w:sz w:val="36"/>
          <w:szCs w:val="36"/>
        </w:rPr>
      </w:pPr>
    </w:p>
    <w:p>
      <w:pPr>
        <w:pStyle w:val="59"/>
        <w:rPr>
          <w:b/>
          <w:bCs/>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jc w:val="center"/>
      </w:pPr>
    </w:p>
    <w:p>
      <w:pPr>
        <w:pStyle w:val="59"/>
      </w:pPr>
    </w:p>
    <w:p>
      <w:pPr>
        <w:pStyle w:val="59"/>
      </w:pPr>
    </w:p>
    <w:p>
      <w:pPr>
        <w:pStyle w:val="59"/>
      </w:pPr>
    </w:p>
    <w:p>
      <w:pPr>
        <w:pStyle w:val="59"/>
        <w:jc w:val="center"/>
        <w:rPr>
          <w:rFonts w:hint="eastAsia"/>
          <w:b/>
          <w:bCs/>
          <w:lang w:val="en-US" w:eastAsia="zh-CN"/>
        </w:rPr>
      </w:pPr>
      <w:r>
        <w:rPr>
          <w:rFonts w:hint="eastAsia"/>
          <w:b/>
          <w:bCs/>
          <w:lang w:val="en-US" w:eastAsia="zh-CN"/>
        </w:rPr>
        <w:t>资质业绩证明文件</w:t>
      </w: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eastAsia"/>
          <w:b/>
          <w:bCs/>
          <w:lang w:val="en-US" w:eastAsia="zh-CN"/>
        </w:rPr>
      </w:pPr>
    </w:p>
    <w:p>
      <w:pPr>
        <w:pStyle w:val="59"/>
        <w:jc w:val="center"/>
        <w:rPr>
          <w:rFonts w:hint="default"/>
          <w:b/>
          <w:bCs/>
          <w:lang w:val="en-US" w:eastAsia="zh-CN"/>
        </w:rPr>
      </w:pPr>
    </w:p>
    <w:p>
      <w:pPr>
        <w:pStyle w:val="59"/>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南8号泊位工程和排海口工程项目评价服务项目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w:t>
            </w:r>
            <w:r>
              <w:rPr>
                <w:rFonts w:hint="eastAsia" w:ascii="Times New Roman" w:hAnsi="Times New Roman"/>
                <w:sz w:val="28"/>
                <w:szCs w:val="28"/>
                <w:u w:val="single"/>
                <w:lang w:val="en-US" w:eastAsia="zh-CN"/>
              </w:rPr>
              <w:t>含</w:t>
            </w:r>
            <w:r>
              <w:rPr>
                <w:rFonts w:hint="eastAsia" w:ascii="Times New Roman" w:hAnsi="Times New Roman"/>
                <w:sz w:val="28"/>
                <w:szCs w:val="28"/>
                <w:u w:val="single"/>
                <w:lang w:eastAsia="zh-CN"/>
              </w:rPr>
              <w:t>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widowControl/>
              <w:autoSpaceDE/>
              <w:autoSpaceDN/>
              <w:jc w:val="center"/>
              <w:rPr>
                <w:rFonts w:hint="eastAsia"/>
                <w:b/>
                <w:bCs/>
                <w:sz w:val="24"/>
                <w:szCs w:val="24"/>
                <w:lang w:eastAsia="zh-CN"/>
              </w:rPr>
            </w:pPr>
            <w:r>
              <w:rPr>
                <w:rFonts w:hint="eastAsia"/>
                <w:b/>
                <w:bCs/>
                <w:sz w:val="24"/>
                <w:szCs w:val="24"/>
                <w:u w:val="single"/>
                <w:lang w:eastAsia="zh-CN"/>
              </w:rPr>
              <w:t>南8号泊位工程和排海口工程项目评价服务项目</w:t>
            </w:r>
            <w:r>
              <w:rPr>
                <w:rFonts w:hint="eastAsia"/>
                <w:b/>
                <w:bCs/>
                <w:sz w:val="24"/>
                <w:szCs w:val="24"/>
                <w:lang w:eastAsia="zh-CN"/>
              </w:rPr>
              <w:t>采购价格清单</w:t>
            </w:r>
          </w:p>
          <w:p>
            <w:pPr>
              <w:pStyle w:val="59"/>
              <w:rPr>
                <w:lang w:eastAsia="zh-CN"/>
              </w:rPr>
            </w:pPr>
          </w:p>
          <w:tbl>
            <w:tblPr>
              <w:tblStyle w:val="47"/>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701"/>
              <w:gridCol w:w="2991"/>
              <w:gridCol w:w="679"/>
              <w:gridCol w:w="1029"/>
              <w:gridCol w:w="957"/>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pPr>
                    <w:widowControl/>
                    <w:autoSpaceDE/>
                    <w:autoSpaceDN/>
                    <w:jc w:val="center"/>
                    <w:rPr>
                      <w:lang w:eastAsia="zh-CN"/>
                    </w:rPr>
                  </w:pPr>
                  <w:r>
                    <w:rPr>
                      <w:lang w:eastAsia="zh-CN"/>
                    </w:rPr>
                    <w:t>序号</w:t>
                  </w:r>
                </w:p>
              </w:tc>
              <w:tc>
                <w:tcPr>
                  <w:tcW w:w="4692" w:type="dxa"/>
                  <w:gridSpan w:val="2"/>
                </w:tcPr>
                <w:p>
                  <w:pPr>
                    <w:widowControl/>
                    <w:autoSpaceDE/>
                    <w:autoSpaceDN/>
                    <w:jc w:val="center"/>
                    <w:rPr>
                      <w:lang w:eastAsia="zh-CN"/>
                    </w:rPr>
                  </w:pPr>
                  <w:r>
                    <w:rPr>
                      <w:lang w:eastAsia="zh-CN"/>
                    </w:rPr>
                    <w:t>物品名称</w:t>
                  </w:r>
                </w:p>
              </w:tc>
              <w:tc>
                <w:tcPr>
                  <w:tcW w:w="679" w:type="dxa"/>
                </w:tcPr>
                <w:p>
                  <w:pPr>
                    <w:widowControl/>
                    <w:autoSpaceDE/>
                    <w:autoSpaceDN/>
                    <w:jc w:val="center"/>
                    <w:rPr>
                      <w:lang w:eastAsia="zh-CN"/>
                    </w:rPr>
                  </w:pPr>
                  <w:r>
                    <w:rPr>
                      <w:lang w:eastAsia="zh-CN"/>
                    </w:rPr>
                    <w:t>数量</w:t>
                  </w:r>
                </w:p>
              </w:tc>
              <w:tc>
                <w:tcPr>
                  <w:tcW w:w="1029" w:type="dxa"/>
                </w:tcPr>
                <w:p>
                  <w:pPr>
                    <w:widowControl/>
                    <w:autoSpaceDE/>
                    <w:autoSpaceDN/>
                    <w:jc w:val="center"/>
                    <w:rPr>
                      <w:lang w:eastAsia="zh-CN"/>
                    </w:rPr>
                  </w:pPr>
                  <w:r>
                    <w:rPr>
                      <w:lang w:eastAsia="zh-CN"/>
                    </w:rPr>
                    <w:t>单价</w:t>
                  </w:r>
                </w:p>
              </w:tc>
              <w:tc>
                <w:tcPr>
                  <w:tcW w:w="957" w:type="dxa"/>
                </w:tcPr>
                <w:p>
                  <w:pPr>
                    <w:widowControl/>
                    <w:autoSpaceDE/>
                    <w:autoSpaceDN/>
                    <w:jc w:val="center"/>
                    <w:rPr>
                      <w:lang w:eastAsia="zh-CN"/>
                    </w:rPr>
                  </w:pPr>
                  <w:r>
                    <w:rPr>
                      <w:lang w:eastAsia="zh-CN"/>
                    </w:rPr>
                    <w:t>总价</w:t>
                  </w:r>
                </w:p>
              </w:tc>
              <w:tc>
                <w:tcPr>
                  <w:tcW w:w="1199"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4692" w:type="dxa"/>
                  <w:gridSpan w:val="2"/>
                  <w:vAlign w:val="center"/>
                </w:tcPr>
                <w:p>
                  <w:pPr>
                    <w:widowControl/>
                    <w:autoSpaceDE/>
                    <w:autoSpaceDN/>
                    <w:jc w:val="center"/>
                    <w:rPr>
                      <w:lang w:eastAsia="zh-CN"/>
                    </w:rPr>
                  </w:pPr>
                  <w:r>
                    <w:rPr>
                      <w:rFonts w:hint="eastAsia"/>
                      <w:lang w:val="en-US" w:eastAsia="zh-CN"/>
                    </w:rPr>
                    <w:t>南8号泊位工程项目评价服务</w:t>
                  </w:r>
                </w:p>
              </w:tc>
              <w:tc>
                <w:tcPr>
                  <w:tcW w:w="679" w:type="dxa"/>
                  <w:vAlign w:val="center"/>
                </w:tcPr>
                <w:p>
                  <w:pPr>
                    <w:widowControl/>
                    <w:autoSpaceDE/>
                    <w:autoSpaceDN/>
                    <w:jc w:val="center"/>
                    <w:rPr>
                      <w:lang w:eastAsia="zh-CN"/>
                    </w:rPr>
                  </w:pPr>
                  <w:r>
                    <w:rPr>
                      <w:rFonts w:hint="eastAsia"/>
                      <w:lang w:val="en-US" w:eastAsia="zh-CN"/>
                    </w:rPr>
                    <w:t>1项</w:t>
                  </w:r>
                </w:p>
              </w:tc>
              <w:tc>
                <w:tcPr>
                  <w:tcW w:w="1029" w:type="dxa"/>
                  <w:vAlign w:val="top"/>
                </w:tcPr>
                <w:p>
                  <w:pPr>
                    <w:widowControl/>
                    <w:autoSpaceDE/>
                    <w:autoSpaceDN/>
                    <w:jc w:val="center"/>
                    <w:rPr>
                      <w:lang w:eastAsia="zh-CN"/>
                    </w:rPr>
                  </w:pPr>
                </w:p>
              </w:tc>
              <w:tc>
                <w:tcPr>
                  <w:tcW w:w="957" w:type="dxa"/>
                  <w:vAlign w:val="top"/>
                </w:tcPr>
                <w:p>
                  <w:pPr>
                    <w:widowControl/>
                    <w:autoSpaceDE/>
                    <w:autoSpaceDN/>
                    <w:jc w:val="center"/>
                    <w:rPr>
                      <w:lang w:eastAsia="zh-CN"/>
                    </w:rPr>
                  </w:pPr>
                </w:p>
              </w:tc>
              <w:tc>
                <w:tcPr>
                  <w:tcW w:w="1199"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79" w:type="dxa"/>
                  <w:vAlign w:val="center"/>
                </w:tcPr>
                <w:p>
                  <w:pPr>
                    <w:widowControl/>
                    <w:autoSpaceDE/>
                    <w:autoSpaceDN/>
                    <w:jc w:val="center"/>
                    <w:rPr>
                      <w:rFonts w:hint="default"/>
                      <w:lang w:val="en-US" w:eastAsia="zh-CN"/>
                    </w:rPr>
                  </w:pPr>
                  <w:r>
                    <w:rPr>
                      <w:rFonts w:hint="eastAsia"/>
                      <w:lang w:val="en-US" w:eastAsia="zh-CN"/>
                    </w:rPr>
                    <w:t>2</w:t>
                  </w:r>
                </w:p>
              </w:tc>
              <w:tc>
                <w:tcPr>
                  <w:tcW w:w="4692" w:type="dxa"/>
                  <w:gridSpan w:val="2"/>
                  <w:vAlign w:val="center"/>
                </w:tcPr>
                <w:p>
                  <w:pPr>
                    <w:widowControl/>
                    <w:autoSpaceDE/>
                    <w:autoSpaceDN/>
                    <w:jc w:val="center"/>
                    <w:rPr>
                      <w:lang w:eastAsia="zh-CN"/>
                    </w:rPr>
                  </w:pPr>
                  <w:r>
                    <w:rPr>
                      <w:rFonts w:hint="eastAsia"/>
                      <w:lang w:val="en-US" w:eastAsia="zh-CN"/>
                    </w:rPr>
                    <w:t>排海口工程项目评价服务</w:t>
                  </w:r>
                </w:p>
              </w:tc>
              <w:tc>
                <w:tcPr>
                  <w:tcW w:w="679" w:type="dxa"/>
                  <w:vAlign w:val="center"/>
                </w:tcPr>
                <w:p>
                  <w:pPr>
                    <w:widowControl/>
                    <w:autoSpaceDE/>
                    <w:autoSpaceDN/>
                    <w:jc w:val="center"/>
                    <w:rPr>
                      <w:rFonts w:hint="eastAsia"/>
                      <w:lang w:val="en-US" w:eastAsia="zh-CN"/>
                    </w:rPr>
                  </w:pPr>
                  <w:r>
                    <w:rPr>
                      <w:rFonts w:hint="eastAsia"/>
                      <w:lang w:val="en-US" w:eastAsia="zh-CN"/>
                    </w:rPr>
                    <w:t>1项</w:t>
                  </w:r>
                </w:p>
              </w:tc>
              <w:tc>
                <w:tcPr>
                  <w:tcW w:w="1029" w:type="dxa"/>
                  <w:vAlign w:val="top"/>
                </w:tcPr>
                <w:p>
                  <w:pPr>
                    <w:widowControl/>
                    <w:autoSpaceDE/>
                    <w:autoSpaceDN/>
                    <w:jc w:val="center"/>
                    <w:rPr>
                      <w:lang w:eastAsia="zh-CN"/>
                    </w:rPr>
                  </w:pPr>
                </w:p>
              </w:tc>
              <w:tc>
                <w:tcPr>
                  <w:tcW w:w="957" w:type="dxa"/>
                  <w:vAlign w:val="top"/>
                </w:tcPr>
                <w:p>
                  <w:pPr>
                    <w:widowControl/>
                    <w:autoSpaceDE/>
                    <w:autoSpaceDN/>
                    <w:jc w:val="center"/>
                    <w:rPr>
                      <w:lang w:eastAsia="zh-CN"/>
                    </w:rPr>
                  </w:pPr>
                </w:p>
              </w:tc>
              <w:tc>
                <w:tcPr>
                  <w:tcW w:w="1199"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55" w:type="dxa"/>
                <w:trHeight w:val="331" w:hRule="atLeast"/>
                <w:jc w:val="center"/>
              </w:trPr>
              <w:tc>
                <w:tcPr>
                  <w:tcW w:w="2380" w:type="dxa"/>
                  <w:gridSpan w:val="2"/>
                </w:tcPr>
                <w:p>
                  <w:pPr>
                    <w:widowControl/>
                    <w:autoSpaceDE/>
                    <w:autoSpaceDN/>
                    <w:jc w:val="center"/>
                    <w:rPr>
                      <w:lang w:eastAsia="zh-CN"/>
                    </w:rPr>
                  </w:pPr>
                  <w:r>
                    <w:rPr>
                      <w:lang w:eastAsia="zh-CN"/>
                    </w:rPr>
                    <w:t xml:space="preserve">     (含</w:t>
                  </w:r>
                  <w:r>
                    <w:rPr>
                      <w:rFonts w:hint="eastAsia"/>
                      <w:u w:val="single"/>
                      <w:lang w:val="en-US" w:eastAsia="zh-CN"/>
                    </w:rPr>
                    <w:t xml:space="preserve">   </w:t>
                  </w:r>
                  <w:r>
                    <w:rPr>
                      <w:rFonts w:hint="eastAsia"/>
                      <w:lang w:eastAsia="zh-CN"/>
                    </w:rPr>
                    <w:t>%</w:t>
                  </w:r>
                  <w:r>
                    <w:rPr>
                      <w:lang w:eastAsia="zh-CN"/>
                    </w:rPr>
                    <w:t>增值税</w:t>
                  </w:r>
                  <w:r>
                    <w:rPr>
                      <w:rFonts w:hint="eastAsia"/>
                      <w:lang w:eastAsia="zh-CN"/>
                    </w:rPr>
                    <w:t>)</w:t>
                  </w:r>
                </w:p>
              </w:tc>
            </w:tr>
          </w:tbl>
          <w:p>
            <w:pPr>
              <w:pStyle w:val="59"/>
            </w:pPr>
          </w:p>
        </w:tc>
      </w:tr>
    </w:tbl>
    <w:p>
      <w:pPr>
        <w:snapToGrid w:val="0"/>
        <w:spacing w:line="360" w:lineRule="auto"/>
        <w:rPr>
          <w:rFonts w:asciiTheme="minorEastAsia" w:hAnsiTheme="minorEastAsia" w:eastAsiaTheme="minorEastAsia"/>
          <w:sz w:val="24"/>
          <w:szCs w:val="24"/>
          <w:lang w:eastAsia="zh-CN"/>
        </w:rPr>
      </w:pPr>
    </w:p>
    <w:p>
      <w:pPr>
        <w:pStyle w:val="59"/>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r>
      <w:pict>
        <v:shape id="文本框 4" o:spid="_x0000_s307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pStyle w:val="29"/>
                  <w:ind w:firstLine="0" w:firstLineChars="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29"/>
          <w:jc w:val="center"/>
        </w:pPr>
        <w:r>
          <w:fldChar w:fldCharType="begin"/>
        </w:r>
        <w:r>
          <w:instrText xml:space="preserve">PAGE   \* MERGEFORMAT</w:instrText>
        </w:r>
        <w:r>
          <w:fldChar w:fldCharType="separate"/>
        </w:r>
        <w:r>
          <w:rPr>
            <w:lang w:val="zh-CN" w:eastAsia="zh-CN"/>
          </w:rPr>
          <w:t>19</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2BD9D"/>
    <w:multiLevelType w:val="singleLevel"/>
    <w:tmpl w:val="D192BD9D"/>
    <w:lvl w:ilvl="0" w:tentative="0">
      <w:start w:val="1"/>
      <w:numFmt w:val="decimal"/>
      <w:suff w:val="nothing"/>
      <w:lvlText w:val="（%1）"/>
      <w:lvlJc w:val="left"/>
    </w:lvl>
  </w:abstractNum>
  <w:abstractNum w:abstractNumId="1">
    <w:nsid w:val="FAC3B1DB"/>
    <w:multiLevelType w:val="singleLevel"/>
    <w:tmpl w:val="FAC3B1DB"/>
    <w:lvl w:ilvl="0" w:tentative="0">
      <w:start w:val="1"/>
      <w:numFmt w:val="decimal"/>
      <w:suff w:val="nothing"/>
      <w:lvlText w:val="（%1）"/>
      <w:lvlJc w:val="left"/>
    </w:lvl>
  </w:abstractNum>
  <w:abstractNum w:abstractNumId="2">
    <w:nsid w:val="FF8D04B5"/>
    <w:multiLevelType w:val="singleLevel"/>
    <w:tmpl w:val="FF8D04B5"/>
    <w:lvl w:ilvl="0" w:tentative="0">
      <w:start w:val="1"/>
      <w:numFmt w:val="decimal"/>
      <w:suff w:val="nothing"/>
      <w:lvlText w:val="（%1）"/>
      <w:lvlJc w:val="left"/>
    </w:lvl>
  </w:abstractNum>
  <w:abstractNum w:abstractNumId="3">
    <w:nsid w:val="00659499"/>
    <w:multiLevelType w:val="singleLevel"/>
    <w:tmpl w:val="00659499"/>
    <w:lvl w:ilvl="0" w:tentative="0">
      <w:start w:val="1"/>
      <w:numFmt w:val="decimal"/>
      <w:suff w:val="nothing"/>
      <w:lvlText w:val="（%1）"/>
      <w:lvlJc w:val="left"/>
    </w:lvl>
  </w:abstractNum>
  <w:abstractNum w:abstractNumId="4">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476D7576"/>
    <w:multiLevelType w:val="multilevel"/>
    <w:tmpl w:val="476D7576"/>
    <w:lvl w:ilvl="0" w:tentative="0">
      <w:start w:val="1"/>
      <w:numFmt w:val="japaneseCounting"/>
      <w:lvlText w:val="第%1章"/>
      <w:lvlJc w:val="left"/>
      <w:pPr>
        <w:ind w:left="2323" w:hanging="1440"/>
      </w:pPr>
      <w:rPr>
        <w:rFonts w:hint="default"/>
      </w:rPr>
    </w:lvl>
    <w:lvl w:ilvl="1" w:tentative="0">
      <w:start w:val="1"/>
      <w:numFmt w:val="lowerLetter"/>
      <w:lvlText w:val="%2)"/>
      <w:lvlJc w:val="left"/>
      <w:pPr>
        <w:ind w:left="1723" w:hanging="420"/>
      </w:pPr>
    </w:lvl>
    <w:lvl w:ilvl="2" w:tentative="0">
      <w:start w:val="1"/>
      <w:numFmt w:val="lowerRoman"/>
      <w:lvlText w:val="%3."/>
      <w:lvlJc w:val="right"/>
      <w:pPr>
        <w:ind w:left="2143" w:hanging="420"/>
      </w:pPr>
    </w:lvl>
    <w:lvl w:ilvl="3" w:tentative="0">
      <w:start w:val="1"/>
      <w:numFmt w:val="decimal"/>
      <w:lvlText w:val="%4."/>
      <w:lvlJc w:val="left"/>
      <w:pPr>
        <w:ind w:left="2563" w:hanging="420"/>
      </w:pPr>
    </w:lvl>
    <w:lvl w:ilvl="4" w:tentative="0">
      <w:start w:val="1"/>
      <w:numFmt w:val="lowerLetter"/>
      <w:lvlText w:val="%5)"/>
      <w:lvlJc w:val="left"/>
      <w:pPr>
        <w:ind w:left="2983" w:hanging="420"/>
      </w:pPr>
    </w:lvl>
    <w:lvl w:ilvl="5" w:tentative="0">
      <w:start w:val="1"/>
      <w:numFmt w:val="lowerRoman"/>
      <w:lvlText w:val="%6."/>
      <w:lvlJc w:val="right"/>
      <w:pPr>
        <w:ind w:left="3403" w:hanging="420"/>
      </w:pPr>
    </w:lvl>
    <w:lvl w:ilvl="6" w:tentative="0">
      <w:start w:val="1"/>
      <w:numFmt w:val="decimal"/>
      <w:lvlText w:val="%7."/>
      <w:lvlJc w:val="left"/>
      <w:pPr>
        <w:ind w:left="3823" w:hanging="420"/>
      </w:pPr>
    </w:lvl>
    <w:lvl w:ilvl="7" w:tentative="0">
      <w:start w:val="1"/>
      <w:numFmt w:val="lowerLetter"/>
      <w:lvlText w:val="%8)"/>
      <w:lvlJc w:val="left"/>
      <w:pPr>
        <w:ind w:left="4243" w:hanging="420"/>
      </w:pPr>
    </w:lvl>
    <w:lvl w:ilvl="8" w:tentative="0">
      <w:start w:val="1"/>
      <w:numFmt w:val="lowerRoman"/>
      <w:lvlText w:val="%9."/>
      <w:lvlJc w:val="right"/>
      <w:pPr>
        <w:ind w:left="4663" w:hanging="420"/>
      </w:pPr>
    </w:lvl>
  </w:abstractNum>
  <w:abstractNum w:abstractNumId="9">
    <w:nsid w:val="47A04164"/>
    <w:multiLevelType w:val="singleLevel"/>
    <w:tmpl w:val="47A04164"/>
    <w:lvl w:ilvl="0" w:tentative="0">
      <w:start w:val="1"/>
      <w:numFmt w:val="decimal"/>
      <w:lvlText w:val="%1."/>
      <w:lvlJc w:val="left"/>
      <w:pPr>
        <w:tabs>
          <w:tab w:val="left" w:pos="312"/>
        </w:tabs>
      </w:pPr>
    </w:lvl>
  </w:abstractNum>
  <w:abstractNum w:abstractNumId="10">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1">
    <w:nsid w:val="6C91D416"/>
    <w:multiLevelType w:val="singleLevel"/>
    <w:tmpl w:val="6C91D416"/>
    <w:lvl w:ilvl="0" w:tentative="0">
      <w:start w:val="1"/>
      <w:numFmt w:val="decimal"/>
      <w:suff w:val="nothing"/>
      <w:lvlText w:val="（%1）"/>
      <w:lvlJc w:val="left"/>
    </w:lvl>
  </w:abstractNum>
  <w:abstractNum w:abstractNumId="12">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13">
    <w:nsid w:val="74847903"/>
    <w:multiLevelType w:val="singleLevel"/>
    <w:tmpl w:val="74847903"/>
    <w:lvl w:ilvl="0" w:tentative="0">
      <w:start w:val="1"/>
      <w:numFmt w:val="decimal"/>
      <w:suff w:val="nothing"/>
      <w:lvlText w:val="（%1）"/>
      <w:lvlJc w:val="left"/>
    </w:lvl>
  </w:abstractNum>
  <w:num w:numId="1">
    <w:abstractNumId w:val="10"/>
  </w:num>
  <w:num w:numId="2">
    <w:abstractNumId w:val="4"/>
  </w:num>
  <w:num w:numId="3">
    <w:abstractNumId w:val="5"/>
  </w:num>
  <w:num w:numId="4">
    <w:abstractNumId w:val="6"/>
  </w:num>
  <w:num w:numId="5">
    <w:abstractNumId w:val="7"/>
  </w:num>
  <w:num w:numId="6">
    <w:abstractNumId w:val="12"/>
  </w:num>
  <w:num w:numId="7">
    <w:abstractNumId w:val="9"/>
  </w:num>
  <w:num w:numId="8">
    <w:abstractNumId w:val="8"/>
  </w:num>
  <w:num w:numId="9">
    <w:abstractNumId w:val="1"/>
  </w:num>
  <w:num w:numId="10">
    <w:abstractNumId w:val="0"/>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23252A2"/>
    <w:rsid w:val="0324118F"/>
    <w:rsid w:val="0367315B"/>
    <w:rsid w:val="03913EC3"/>
    <w:rsid w:val="05D51A0D"/>
    <w:rsid w:val="061139E5"/>
    <w:rsid w:val="06F50B00"/>
    <w:rsid w:val="076E1278"/>
    <w:rsid w:val="084F74EF"/>
    <w:rsid w:val="08D1141D"/>
    <w:rsid w:val="095B4A6D"/>
    <w:rsid w:val="0A49286F"/>
    <w:rsid w:val="0B296DE2"/>
    <w:rsid w:val="0B602F62"/>
    <w:rsid w:val="10294AA3"/>
    <w:rsid w:val="10457A00"/>
    <w:rsid w:val="10E40CA0"/>
    <w:rsid w:val="13541895"/>
    <w:rsid w:val="136130D9"/>
    <w:rsid w:val="14554C88"/>
    <w:rsid w:val="15800409"/>
    <w:rsid w:val="18DD4F7E"/>
    <w:rsid w:val="195B58A2"/>
    <w:rsid w:val="1A310FC4"/>
    <w:rsid w:val="1A57593C"/>
    <w:rsid w:val="1E085A14"/>
    <w:rsid w:val="1E5C2A50"/>
    <w:rsid w:val="1FF43DDB"/>
    <w:rsid w:val="213D7E40"/>
    <w:rsid w:val="21933AA2"/>
    <w:rsid w:val="236830C4"/>
    <w:rsid w:val="25BF356F"/>
    <w:rsid w:val="25DB0C2D"/>
    <w:rsid w:val="269469E7"/>
    <w:rsid w:val="283D07AE"/>
    <w:rsid w:val="2998140D"/>
    <w:rsid w:val="29FC3B14"/>
    <w:rsid w:val="2B11792E"/>
    <w:rsid w:val="2E2B7C0C"/>
    <w:rsid w:val="31C54755"/>
    <w:rsid w:val="3216608C"/>
    <w:rsid w:val="33FF5678"/>
    <w:rsid w:val="34CE14C6"/>
    <w:rsid w:val="34D84CEC"/>
    <w:rsid w:val="36C6385D"/>
    <w:rsid w:val="37AF5AB7"/>
    <w:rsid w:val="38040B2A"/>
    <w:rsid w:val="3B1C3371"/>
    <w:rsid w:val="3CC23198"/>
    <w:rsid w:val="3DDF4815"/>
    <w:rsid w:val="3F3D1B0A"/>
    <w:rsid w:val="3FE669E5"/>
    <w:rsid w:val="462A54F2"/>
    <w:rsid w:val="49757365"/>
    <w:rsid w:val="4A2A7AF9"/>
    <w:rsid w:val="4C0B52FD"/>
    <w:rsid w:val="50F63E28"/>
    <w:rsid w:val="5221007F"/>
    <w:rsid w:val="52926B5A"/>
    <w:rsid w:val="537C63CE"/>
    <w:rsid w:val="545C5E51"/>
    <w:rsid w:val="546C4BF0"/>
    <w:rsid w:val="5486175B"/>
    <w:rsid w:val="550E5C55"/>
    <w:rsid w:val="57667D24"/>
    <w:rsid w:val="57CE5BC3"/>
    <w:rsid w:val="5AE1516A"/>
    <w:rsid w:val="5B1B5EAF"/>
    <w:rsid w:val="5B6A3A79"/>
    <w:rsid w:val="5C1A5F7B"/>
    <w:rsid w:val="5C927304"/>
    <w:rsid w:val="604E333B"/>
    <w:rsid w:val="633C4323"/>
    <w:rsid w:val="63A21056"/>
    <w:rsid w:val="645771F8"/>
    <w:rsid w:val="68CD4B9F"/>
    <w:rsid w:val="69C617BF"/>
    <w:rsid w:val="6A54112D"/>
    <w:rsid w:val="6AA035AE"/>
    <w:rsid w:val="6D5C1AC9"/>
    <w:rsid w:val="6E0F2E14"/>
    <w:rsid w:val="6F1E141D"/>
    <w:rsid w:val="6F5354F8"/>
    <w:rsid w:val="72FC63DD"/>
    <w:rsid w:val="73EC6A52"/>
    <w:rsid w:val="740A2BDE"/>
    <w:rsid w:val="751839E0"/>
    <w:rsid w:val="76274F93"/>
    <w:rsid w:val="7945299A"/>
    <w:rsid w:val="79EB3F2F"/>
    <w:rsid w:val="7B11789E"/>
    <w:rsid w:val="7CFD438A"/>
    <w:rsid w:val="7DB62A5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2">
    <w:name w:val="heading 2"/>
    <w:basedOn w:val="1"/>
    <w:next w:val="1"/>
    <w:link w:val="61"/>
    <w:qFormat/>
    <w:uiPriority w:val="0"/>
    <w:pPr>
      <w:ind w:left="629"/>
      <w:outlineLvl w:val="1"/>
    </w:pPr>
    <w:rPr>
      <w:b/>
      <w:bCs/>
      <w:sz w:val="24"/>
      <w:szCs w:val="24"/>
    </w:rPr>
  </w:style>
  <w:style w:type="paragraph" w:styleId="4">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0"/>
    <w:qFormat/>
    <w:uiPriority w:val="1"/>
    <w:rPr>
      <w:sz w:val="24"/>
      <w:szCs w:val="24"/>
    </w:rPr>
  </w:style>
  <w:style w:type="paragraph" w:styleId="20">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1"/>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2"/>
    <w:qFormat/>
    <w:uiPriority w:val="99"/>
    <w:pPr>
      <w:tabs>
        <w:tab w:val="center" w:pos="4153"/>
        <w:tab w:val="right" w:pos="8306"/>
      </w:tabs>
      <w:snapToGrid w:val="0"/>
    </w:pPr>
    <w:rPr>
      <w:sz w:val="18"/>
      <w:szCs w:val="18"/>
    </w:rPr>
  </w:style>
  <w:style w:type="paragraph" w:styleId="30">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3"/>
    <w:qFormat/>
    <w:uiPriority w:val="0"/>
    <w:pPr>
      <w:widowControl/>
    </w:pPr>
    <w:rPr>
      <w:b/>
      <w:bCs/>
      <w:sz w:val="24"/>
      <w:szCs w:val="24"/>
    </w:rPr>
  </w:style>
  <w:style w:type="paragraph" w:styleId="45">
    <w:name w:val="Body Text First Indent"/>
    <w:basedOn w:val="19"/>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none"/>
    </w:rPr>
  </w:style>
  <w:style w:type="character" w:styleId="52">
    <w:name w:val="Emphasis"/>
    <w:basedOn w:val="48"/>
    <w:qFormat/>
    <w:uiPriority w:val="0"/>
  </w:style>
  <w:style w:type="character" w:styleId="53">
    <w:name w:val="HTML Definition"/>
    <w:basedOn w:val="48"/>
    <w:semiHidden/>
    <w:unhideWhenUsed/>
    <w:qFormat/>
    <w:uiPriority w:val="0"/>
  </w:style>
  <w:style w:type="character" w:styleId="54">
    <w:name w:val="HTML Variable"/>
    <w:basedOn w:val="48"/>
    <w:semiHidden/>
    <w:unhideWhenUsed/>
    <w:qFormat/>
    <w:uiPriority w:val="0"/>
  </w:style>
  <w:style w:type="character" w:styleId="55">
    <w:name w:val="Hyperlink"/>
    <w:basedOn w:val="48"/>
    <w:qFormat/>
    <w:uiPriority w:val="0"/>
    <w:rPr>
      <w:color w:val="0000FF" w:themeColor="hyperlink"/>
      <w:u w:val="single"/>
    </w:rPr>
  </w:style>
  <w:style w:type="character" w:styleId="56">
    <w:name w:val="HTML Code"/>
    <w:basedOn w:val="48"/>
    <w:semiHidden/>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semiHidden/>
    <w:unhideWhenUsed/>
    <w:qFormat/>
    <w:uiPriority w:val="0"/>
  </w:style>
  <w:style w:type="paragraph" w:customStyle="1" w:styleId="5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0">
    <w:name w:val="标题 1 Char"/>
    <w:basedOn w:val="48"/>
    <w:link w:val="3"/>
    <w:qFormat/>
    <w:uiPriority w:val="0"/>
    <w:rPr>
      <w:rFonts w:ascii="宋体" w:hAnsi="宋体" w:cs="宋体"/>
      <w:b/>
      <w:bCs/>
      <w:sz w:val="28"/>
      <w:szCs w:val="28"/>
      <w:lang w:eastAsia="en-US"/>
    </w:rPr>
  </w:style>
  <w:style w:type="character" w:customStyle="1" w:styleId="61">
    <w:name w:val="标题 2 Char"/>
    <w:basedOn w:val="48"/>
    <w:link w:val="2"/>
    <w:qFormat/>
    <w:uiPriority w:val="0"/>
    <w:rPr>
      <w:rFonts w:ascii="宋体" w:hAnsi="宋体" w:cs="宋体"/>
      <w:b/>
      <w:bCs/>
      <w:sz w:val="24"/>
      <w:szCs w:val="24"/>
      <w:lang w:eastAsia="en-US"/>
    </w:rPr>
  </w:style>
  <w:style w:type="character" w:customStyle="1" w:styleId="62">
    <w:name w:val="标题 3 Char"/>
    <w:basedOn w:val="48"/>
    <w:link w:val="4"/>
    <w:qFormat/>
    <w:uiPriority w:val="0"/>
    <w:rPr>
      <w:b/>
      <w:bCs/>
      <w:kern w:val="2"/>
      <w:sz w:val="32"/>
      <w:szCs w:val="32"/>
    </w:rPr>
  </w:style>
  <w:style w:type="character" w:customStyle="1" w:styleId="63">
    <w:name w:val="标题 4 Char"/>
    <w:basedOn w:val="48"/>
    <w:link w:val="5"/>
    <w:qFormat/>
    <w:uiPriority w:val="0"/>
    <w:rPr>
      <w:b/>
      <w:kern w:val="2"/>
      <w:sz w:val="24"/>
      <w:szCs w:val="24"/>
    </w:rPr>
  </w:style>
  <w:style w:type="character" w:customStyle="1" w:styleId="64">
    <w:name w:val="标题 5 Char"/>
    <w:basedOn w:val="48"/>
    <w:link w:val="6"/>
    <w:qFormat/>
    <w:uiPriority w:val="0"/>
    <w:rPr>
      <w:b/>
      <w:bCs/>
      <w:kern w:val="2"/>
      <w:sz w:val="28"/>
      <w:szCs w:val="28"/>
    </w:rPr>
  </w:style>
  <w:style w:type="character" w:customStyle="1" w:styleId="65">
    <w:name w:val="标题 6 Char"/>
    <w:basedOn w:val="48"/>
    <w:link w:val="7"/>
    <w:qFormat/>
    <w:uiPriority w:val="0"/>
    <w:rPr>
      <w:b/>
      <w:sz w:val="24"/>
    </w:rPr>
  </w:style>
  <w:style w:type="character" w:customStyle="1" w:styleId="66">
    <w:name w:val="正文缩进 Char"/>
    <w:basedOn w:val="48"/>
    <w:link w:val="9"/>
    <w:qFormat/>
    <w:uiPriority w:val="0"/>
    <w:rPr>
      <w:sz w:val="24"/>
    </w:rPr>
  </w:style>
  <w:style w:type="character" w:customStyle="1" w:styleId="67">
    <w:name w:val="标题 7 Char"/>
    <w:basedOn w:val="48"/>
    <w:link w:val="8"/>
    <w:qFormat/>
    <w:uiPriority w:val="0"/>
    <w:rPr>
      <w:b/>
      <w:kern w:val="2"/>
      <w:sz w:val="24"/>
    </w:rPr>
  </w:style>
  <w:style w:type="character" w:customStyle="1" w:styleId="68">
    <w:name w:val="标题 8 Char"/>
    <w:basedOn w:val="48"/>
    <w:link w:val="10"/>
    <w:qFormat/>
    <w:uiPriority w:val="0"/>
    <w:rPr>
      <w:rFonts w:ascii="Arial" w:hAnsi="Arial" w:eastAsia="黑体"/>
      <w:kern w:val="2"/>
      <w:sz w:val="24"/>
    </w:rPr>
  </w:style>
  <w:style w:type="character" w:customStyle="1" w:styleId="69">
    <w:name w:val="标题 9 Char"/>
    <w:basedOn w:val="48"/>
    <w:link w:val="11"/>
    <w:qFormat/>
    <w:uiPriority w:val="0"/>
    <w:rPr>
      <w:rFonts w:ascii="Arial" w:hAnsi="Arial" w:eastAsia="黑体"/>
      <w:kern w:val="2"/>
      <w:sz w:val="21"/>
    </w:rPr>
  </w:style>
  <w:style w:type="character" w:customStyle="1" w:styleId="70">
    <w:name w:val="正文文本 Char1"/>
    <w:basedOn w:val="48"/>
    <w:link w:val="19"/>
    <w:qFormat/>
    <w:uiPriority w:val="1"/>
    <w:rPr>
      <w:rFonts w:ascii="宋体" w:hAnsi="宋体" w:cs="宋体"/>
      <w:sz w:val="24"/>
      <w:szCs w:val="24"/>
      <w:lang w:eastAsia="en-US"/>
    </w:rPr>
  </w:style>
  <w:style w:type="character" w:customStyle="1" w:styleId="71">
    <w:name w:val="纯文本 Char"/>
    <w:basedOn w:val="48"/>
    <w:link w:val="24"/>
    <w:qFormat/>
    <w:uiPriority w:val="0"/>
    <w:rPr>
      <w:rFonts w:ascii="宋体" w:hAnsi="Courier New" w:cs="Courier New"/>
      <w:sz w:val="22"/>
      <w:szCs w:val="21"/>
      <w:lang w:eastAsia="en-US"/>
    </w:rPr>
  </w:style>
  <w:style w:type="character" w:customStyle="1" w:styleId="72">
    <w:name w:val="页脚 Char"/>
    <w:basedOn w:val="48"/>
    <w:link w:val="29"/>
    <w:qFormat/>
    <w:uiPriority w:val="99"/>
    <w:rPr>
      <w:rFonts w:ascii="宋体" w:hAnsi="宋体" w:cs="宋体"/>
      <w:sz w:val="18"/>
      <w:szCs w:val="18"/>
      <w:lang w:eastAsia="en-US"/>
    </w:rPr>
  </w:style>
  <w:style w:type="character" w:customStyle="1" w:styleId="73">
    <w:name w:val="页眉 Char"/>
    <w:basedOn w:val="48"/>
    <w:link w:val="30"/>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8"/>
    <w:link w:val="18"/>
    <w:qFormat/>
    <w:uiPriority w:val="0"/>
    <w:rPr>
      <w:b/>
      <w:kern w:val="2"/>
      <w:sz w:val="21"/>
    </w:rPr>
  </w:style>
  <w:style w:type="character" w:customStyle="1" w:styleId="81">
    <w:name w:val="普通(网站) Char"/>
    <w:basedOn w:val="48"/>
    <w:link w:val="41"/>
    <w:qFormat/>
    <w:locked/>
    <w:uiPriority w:val="0"/>
    <w:rPr>
      <w:rFonts w:ascii="宋体" w:hAnsi="宋体" w:cs="宋体"/>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8"/>
    <w:link w:val="16"/>
    <w:qFormat/>
    <w:uiPriority w:val="0"/>
    <w:rPr>
      <w:kern w:val="2"/>
      <w:sz w:val="21"/>
    </w:rPr>
  </w:style>
  <w:style w:type="character" w:customStyle="1" w:styleId="87">
    <w:name w:val="批注框文本 Char"/>
    <w:basedOn w:val="48"/>
    <w:link w:val="28"/>
    <w:qFormat/>
    <w:uiPriority w:val="0"/>
    <w:rPr>
      <w:kern w:val="2"/>
      <w:sz w:val="18"/>
      <w:szCs w:val="18"/>
    </w:rPr>
  </w:style>
  <w:style w:type="character" w:customStyle="1" w:styleId="88">
    <w:name w:val="正文文本缩进 3 Char"/>
    <w:basedOn w:val="48"/>
    <w:link w:val="35"/>
    <w:qFormat/>
    <w:uiPriority w:val="0"/>
    <w:rPr>
      <w:kern w:val="2"/>
      <w:sz w:val="28"/>
    </w:rPr>
  </w:style>
  <w:style w:type="character" w:customStyle="1" w:styleId="89">
    <w:name w:val="正文文本缩进 2 Char"/>
    <w:basedOn w:val="48"/>
    <w:link w:val="27"/>
    <w:qFormat/>
    <w:uiPriority w:val="0"/>
    <w:rPr>
      <w:rFonts w:ascii="宋体" w:hAnsi="宋体"/>
      <w:iCs/>
      <w:kern w:val="2"/>
      <w:sz w:val="24"/>
      <w:szCs w:val="24"/>
    </w:rPr>
  </w:style>
  <w:style w:type="character" w:customStyle="1" w:styleId="90">
    <w:name w:val="正文文本 Char"/>
    <w:basedOn w:val="48"/>
    <w:qFormat/>
    <w:uiPriority w:val="0"/>
    <w:rPr>
      <w:rFonts w:eastAsia="宋体"/>
      <w:sz w:val="24"/>
      <w:szCs w:val="24"/>
      <w:lang w:val="en-US" w:eastAsia="zh-CN" w:bidi="ar-SA"/>
    </w:rPr>
  </w:style>
  <w:style w:type="character" w:customStyle="1" w:styleId="91">
    <w:name w:val="en1"/>
    <w:basedOn w:val="48"/>
    <w:qFormat/>
    <w:uiPriority w:val="0"/>
    <w:rPr>
      <w:b/>
      <w:bCs/>
      <w:color w:val="154C7F"/>
      <w:sz w:val="24"/>
      <w:szCs w:val="24"/>
    </w:rPr>
  </w:style>
  <w:style w:type="character" w:customStyle="1" w:styleId="92">
    <w:name w:val="font01"/>
    <w:basedOn w:val="48"/>
    <w:qFormat/>
    <w:uiPriority w:val="0"/>
    <w:rPr>
      <w:rFonts w:hint="eastAsia" w:ascii="宋体" w:hAnsi="宋体" w:eastAsia="宋体" w:cs="宋体"/>
      <w:color w:val="000000"/>
      <w:sz w:val="20"/>
      <w:szCs w:val="20"/>
      <w:u w:val="none"/>
    </w:rPr>
  </w:style>
  <w:style w:type="character" w:customStyle="1" w:styleId="93">
    <w:name w:val="标题 Char"/>
    <w:basedOn w:val="48"/>
    <w:link w:val="43"/>
    <w:qFormat/>
    <w:uiPriority w:val="0"/>
    <w:rPr>
      <w:rFonts w:ascii="Arial" w:hAnsi="Arial" w:cs="Arial"/>
      <w:b/>
      <w:bCs/>
      <w:sz w:val="44"/>
      <w:szCs w:val="32"/>
    </w:rPr>
  </w:style>
  <w:style w:type="character" w:customStyle="1" w:styleId="94">
    <w:name w:val="正文文本缩进 Char"/>
    <w:basedOn w:val="48"/>
    <w:link w:val="20"/>
    <w:qFormat/>
    <w:uiPriority w:val="0"/>
    <w:rPr>
      <w:i/>
      <w:iCs/>
      <w:kern w:val="2"/>
      <w:sz w:val="21"/>
    </w:rPr>
  </w:style>
  <w:style w:type="character" w:customStyle="1" w:styleId="95">
    <w:name w:val="正文文本 3 Char"/>
    <w:basedOn w:val="48"/>
    <w:link w:val="17"/>
    <w:qFormat/>
    <w:uiPriority w:val="0"/>
    <w:rPr>
      <w:color w:val="0000FF"/>
      <w:kern w:val="2"/>
      <w:sz w:val="24"/>
      <w:szCs w:val="24"/>
    </w:rPr>
  </w:style>
  <w:style w:type="character" w:customStyle="1" w:styleId="96">
    <w:name w:val="font11"/>
    <w:basedOn w:val="48"/>
    <w:qFormat/>
    <w:uiPriority w:val="0"/>
    <w:rPr>
      <w:rFonts w:hint="default" w:ascii="Times New Roman" w:hAnsi="Times New Roman" w:cs="Times New Roman"/>
      <w:color w:val="000000"/>
      <w:sz w:val="20"/>
      <w:szCs w:val="20"/>
      <w:u w:val="none"/>
    </w:rPr>
  </w:style>
  <w:style w:type="character" w:customStyle="1" w:styleId="97">
    <w:name w:val="glossaryitem"/>
    <w:basedOn w:val="48"/>
    <w:qFormat/>
    <w:uiPriority w:val="0"/>
    <w:rPr>
      <w:u w:val="none"/>
    </w:rPr>
  </w:style>
  <w:style w:type="character" w:customStyle="1" w:styleId="98">
    <w:name w:val="HTML 预设格式 Char"/>
    <w:basedOn w:val="48"/>
    <w:link w:val="40"/>
    <w:qFormat/>
    <w:uiPriority w:val="0"/>
    <w:rPr>
      <w:rFonts w:ascii="Arial Unicode MS" w:hAnsi="Arial Unicode MS" w:eastAsia="Courier New" w:cs="Courier New"/>
    </w:rPr>
  </w:style>
  <w:style w:type="character" w:customStyle="1" w:styleId="99">
    <w:name w:val="文档结构图 Char"/>
    <w:basedOn w:val="48"/>
    <w:link w:val="15"/>
    <w:qFormat/>
    <w:uiPriority w:val="0"/>
    <w:rPr>
      <w:rFonts w:ascii="宋体"/>
      <w:sz w:val="28"/>
      <w:shd w:val="clear" w:color="auto" w:fill="000080"/>
    </w:rPr>
  </w:style>
  <w:style w:type="character" w:customStyle="1" w:styleId="100">
    <w:name w:val="日期 Char"/>
    <w:basedOn w:val="48"/>
    <w:link w:val="26"/>
    <w:qFormat/>
    <w:uiPriority w:val="0"/>
    <w:rPr>
      <w:kern w:val="2"/>
      <w:sz w:val="21"/>
      <w:szCs w:val="24"/>
    </w:rPr>
  </w:style>
  <w:style w:type="character" w:customStyle="1" w:styleId="101">
    <w:name w:val="正文文本 2 Char"/>
    <w:basedOn w:val="48"/>
    <w:link w:val="38"/>
    <w:qFormat/>
    <w:uiPriority w:val="0"/>
    <w:rPr>
      <w:kern w:val="2"/>
      <w:sz w:val="21"/>
      <w:szCs w:val="24"/>
    </w:rPr>
  </w:style>
  <w:style w:type="character" w:customStyle="1" w:styleId="102">
    <w:name w:val="正文首行缩进 Char"/>
    <w:basedOn w:val="90"/>
    <w:link w:val="45"/>
    <w:qFormat/>
    <w:uiPriority w:val="0"/>
    <w:rPr>
      <w:rFonts w:eastAsia="宋体"/>
      <w:sz w:val="21"/>
      <w:szCs w:val="21"/>
      <w:lang w:val="en-US" w:eastAsia="zh-CN" w:bidi="ar-SA"/>
    </w:rPr>
  </w:style>
  <w:style w:type="character" w:customStyle="1" w:styleId="103">
    <w:name w:val="批注主题 Char"/>
    <w:basedOn w:val="86"/>
    <w:link w:val="44"/>
    <w:qFormat/>
    <w:uiPriority w:val="0"/>
    <w:rPr>
      <w:b/>
      <w:bCs/>
      <w:kern w:val="2"/>
      <w:sz w:val="24"/>
      <w:szCs w:val="24"/>
    </w:rPr>
  </w:style>
  <w:style w:type="paragraph" w:customStyle="1" w:styleId="104">
    <w:name w:val="标题3(小3号)"/>
    <w:basedOn w:val="4"/>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8"/>
    <w:link w:val="39"/>
    <w:qFormat/>
    <w:uiPriority w:val="0"/>
    <w:rPr>
      <w:rFonts w:ascii="Arial" w:hAnsi="Arial" w:cs="Arial"/>
      <w:kern w:val="2"/>
      <w:sz w:val="24"/>
      <w:szCs w:val="24"/>
      <w:shd w:val="pct20" w:color="auto" w:fill="auto"/>
    </w:rPr>
  </w:style>
  <w:style w:type="character" w:customStyle="1" w:styleId="108">
    <w:name w:val="正文文本 3 Char1"/>
    <w:basedOn w:val="48"/>
    <w:qFormat/>
    <w:uiPriority w:val="0"/>
    <w:rPr>
      <w:rFonts w:ascii="宋体" w:hAnsi="宋体" w:cs="宋体"/>
      <w:sz w:val="16"/>
      <w:szCs w:val="16"/>
      <w:lang w:eastAsia="en-US"/>
    </w:rPr>
  </w:style>
  <w:style w:type="paragraph" w:customStyle="1" w:styleId="109">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8"/>
    <w:qFormat/>
    <w:uiPriority w:val="0"/>
    <w:rPr>
      <w:rFonts w:ascii="宋体" w:hAnsi="宋体" w:cs="宋体"/>
      <w:sz w:val="22"/>
      <w:szCs w:val="22"/>
      <w:lang w:eastAsia="en-US"/>
    </w:rPr>
  </w:style>
  <w:style w:type="character" w:customStyle="1" w:styleId="112">
    <w:name w:val="批注文字 Char1"/>
    <w:basedOn w:val="48"/>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8"/>
    <w:qFormat/>
    <w:uiPriority w:val="0"/>
    <w:rPr>
      <w:rFonts w:ascii="宋体" w:hAnsi="宋体" w:cs="宋体"/>
      <w:sz w:val="18"/>
      <w:szCs w:val="18"/>
      <w:lang w:eastAsia="en-US"/>
    </w:rPr>
  </w:style>
  <w:style w:type="character" w:customStyle="1" w:styleId="117">
    <w:name w:val="日期 Char1"/>
    <w:basedOn w:val="48"/>
    <w:qFormat/>
    <w:uiPriority w:val="0"/>
    <w:rPr>
      <w:rFonts w:ascii="宋体" w:hAnsi="宋体" w:cs="宋体"/>
      <w:sz w:val="22"/>
      <w:szCs w:val="22"/>
      <w:lang w:eastAsia="en-US"/>
    </w:rPr>
  </w:style>
  <w:style w:type="paragraph" w:customStyle="1" w:styleId="118">
    <w:name w:val="标题3(3号)"/>
    <w:basedOn w:val="4"/>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8"/>
    <w:qFormat/>
    <w:uiPriority w:val="0"/>
    <w:rPr>
      <w:rFonts w:ascii="Courier New" w:hAnsi="Courier New" w:cs="Courier New"/>
      <w:lang w:eastAsia="en-US"/>
    </w:rPr>
  </w:style>
  <w:style w:type="character" w:customStyle="1" w:styleId="122">
    <w:name w:val="正文文本缩进 Char1"/>
    <w:basedOn w:val="48"/>
    <w:qFormat/>
    <w:uiPriority w:val="0"/>
    <w:rPr>
      <w:rFonts w:ascii="宋体" w:hAnsi="宋体" w:cs="宋体"/>
      <w:sz w:val="22"/>
      <w:szCs w:val="22"/>
      <w:lang w:eastAsia="en-US"/>
    </w:rPr>
  </w:style>
  <w:style w:type="paragraph" w:customStyle="1" w:styleId="123">
    <w:name w:val="标题2(小3号)"/>
    <w:basedOn w:val="2"/>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8"/>
    <w:qFormat/>
    <w:uiPriority w:val="0"/>
    <w:rPr>
      <w:rFonts w:ascii="宋体" w:hAnsi="宋体" w:cs="宋体"/>
      <w:sz w:val="22"/>
      <w:szCs w:val="22"/>
      <w:lang w:eastAsia="en-US"/>
    </w:rPr>
  </w:style>
  <w:style w:type="character" w:customStyle="1" w:styleId="130">
    <w:name w:val="标题 Char1"/>
    <w:basedOn w:val="48"/>
    <w:qFormat/>
    <w:uiPriority w:val="0"/>
    <w:rPr>
      <w:rFonts w:asciiTheme="majorHAnsi" w:hAnsiTheme="majorHAnsi" w:cstheme="majorBidi"/>
      <w:b/>
      <w:bCs/>
      <w:sz w:val="32"/>
      <w:szCs w:val="32"/>
      <w:lang w:eastAsia="en-US"/>
    </w:rPr>
  </w:style>
  <w:style w:type="character" w:customStyle="1" w:styleId="131">
    <w:name w:val="正文文本缩进 3 Char1"/>
    <w:basedOn w:val="48"/>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8"/>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2"/>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2"/>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2"/>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2"/>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2"/>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8"/>
    <w:qFormat/>
    <w:uiPriority w:val="0"/>
  </w:style>
  <w:style w:type="character" w:customStyle="1" w:styleId="208">
    <w:name w:val="xdrichtextbox3"/>
    <w:basedOn w:val="48"/>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3"/>
    <w:qFormat/>
    <w:uiPriority w:val="0"/>
    <w:rPr>
      <w:rFonts w:ascii="Cambria" w:hAnsi="Cambria"/>
      <w:b/>
      <w:bCs/>
      <w:kern w:val="28"/>
      <w:sz w:val="24"/>
      <w:szCs w:val="32"/>
    </w:rPr>
  </w:style>
  <w:style w:type="character" w:customStyle="1" w:styleId="212">
    <w:name w:val="副标题 Char1"/>
    <w:basedOn w:val="48"/>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design_class"/>
    <w:basedOn w:val="48"/>
    <w:qFormat/>
    <w:uiPriority w:val="0"/>
  </w:style>
  <w:style w:type="character" w:customStyle="1" w:styleId="216">
    <w:name w:val="w32"/>
    <w:basedOn w:val="48"/>
    <w:qFormat/>
    <w:uiPriority w:val="0"/>
  </w:style>
  <w:style w:type="character" w:customStyle="1" w:styleId="217">
    <w:name w:val="xdrichtextbox"/>
    <w:basedOn w:val="48"/>
    <w:qFormat/>
    <w:uiPriority w:val="0"/>
    <w:rPr>
      <w:color w:val="auto"/>
      <w:u w:val="none"/>
      <w:bdr w:val="single" w:color="DCDCDC" w:sz="8" w:space="0"/>
      <w:shd w:val="clear" w:fill="auto"/>
    </w:rPr>
  </w:style>
  <w:style w:type="character" w:customStyle="1" w:styleId="218">
    <w:name w:val="active"/>
    <w:basedOn w:val="48"/>
    <w:qFormat/>
    <w:uiPriority w:val="0"/>
    <w:rPr>
      <w:color w:val="00FF00"/>
      <w:shd w:val="clear" w:fill="111111"/>
    </w:rPr>
  </w:style>
  <w:style w:type="character" w:customStyle="1" w:styleId="219">
    <w:name w:val="active1"/>
    <w:basedOn w:val="48"/>
    <w:qFormat/>
    <w:uiPriority w:val="0"/>
    <w:rPr>
      <w:shd w:val="clear" w:fill="EC3535"/>
    </w:rPr>
  </w:style>
  <w:style w:type="character" w:customStyle="1" w:styleId="220">
    <w:name w:val="layui-layer-tabnow"/>
    <w:basedOn w:val="48"/>
    <w:qFormat/>
    <w:uiPriority w:val="0"/>
    <w:rPr>
      <w:bdr w:val="single" w:color="CCCCCC" w:sz="6" w:space="0"/>
      <w:shd w:val="clear" w:fill="FFFFFF"/>
    </w:rPr>
  </w:style>
  <w:style w:type="character" w:customStyle="1" w:styleId="221">
    <w:name w:val="hilite5"/>
    <w:basedOn w:val="48"/>
    <w:qFormat/>
    <w:uiPriority w:val="0"/>
    <w:rPr>
      <w:color w:val="FFFFFF"/>
      <w:shd w:val="clear" w:fill="666666"/>
    </w:rPr>
  </w:style>
  <w:style w:type="character" w:customStyle="1" w:styleId="222">
    <w:name w:val="first-child"/>
    <w:basedOn w:val="48"/>
    <w:qFormat/>
    <w:uiPriority w:val="0"/>
  </w:style>
  <w:style w:type="character" w:customStyle="1" w:styleId="223">
    <w:name w:val="edit_class"/>
    <w:basedOn w:val="48"/>
    <w:qFormat/>
    <w:uiPriority w:val="0"/>
  </w:style>
  <w:style w:type="character" w:customStyle="1" w:styleId="224">
    <w:name w:val="cdropright"/>
    <w:basedOn w:val="48"/>
    <w:qFormat/>
    <w:uiPriority w:val="0"/>
  </w:style>
  <w:style w:type="character" w:customStyle="1" w:styleId="225">
    <w:name w:val="biggerthanmax"/>
    <w:basedOn w:val="48"/>
    <w:qFormat/>
    <w:uiPriority w:val="0"/>
    <w:rPr>
      <w:shd w:val="clear" w:fill="FFFF00"/>
    </w:rPr>
  </w:style>
  <w:style w:type="character" w:customStyle="1" w:styleId="226">
    <w:name w:val="button4"/>
    <w:basedOn w:val="48"/>
    <w:qFormat/>
    <w:uiPriority w:val="0"/>
  </w:style>
  <w:style w:type="character" w:customStyle="1" w:styleId="227">
    <w:name w:val="drapbtn"/>
    <w:basedOn w:val="48"/>
    <w:qFormat/>
    <w:uiPriority w:val="0"/>
  </w:style>
  <w:style w:type="character" w:customStyle="1" w:styleId="228">
    <w:name w:val="cdropleft"/>
    <w:basedOn w:val="48"/>
    <w:qFormat/>
    <w:uiPriority w:val="0"/>
  </w:style>
  <w:style w:type="character" w:customStyle="1" w:styleId="229">
    <w:name w:val="choosename"/>
    <w:basedOn w:val="48"/>
    <w:qFormat/>
    <w:uiPriority w:val="0"/>
  </w:style>
  <w:style w:type="character" w:customStyle="1" w:styleId="230">
    <w:name w:val="xdrichtextbox4"/>
    <w:basedOn w:val="48"/>
    <w:qFormat/>
    <w:uiPriority w:val="0"/>
  </w:style>
  <w:style w:type="character" w:customStyle="1" w:styleId="231">
    <w:name w:val="cy"/>
    <w:basedOn w:val="48"/>
    <w:qFormat/>
    <w:uiPriority w:val="0"/>
  </w:style>
  <w:style w:type="character" w:customStyle="1" w:styleId="232">
    <w:name w:val="hilite6"/>
    <w:basedOn w:val="48"/>
    <w:qFormat/>
    <w:uiPriority w:val="0"/>
    <w:rPr>
      <w:color w:val="FFFFFF"/>
      <w:shd w:val="clear" w:fill="666666"/>
    </w:rPr>
  </w:style>
  <w:style w:type="character" w:customStyle="1" w:styleId="233">
    <w:name w:val="associateddata"/>
    <w:basedOn w:val="48"/>
    <w:qFormat/>
    <w:uiPriority w:val="0"/>
    <w:rPr>
      <w:shd w:val="clear" w:fill="50A6F9"/>
    </w:rPr>
  </w:style>
  <w:style w:type="character" w:customStyle="1" w:styleId="234">
    <w:name w:val="iconline2"/>
    <w:basedOn w:val="48"/>
    <w:qFormat/>
    <w:uiPriority w:val="0"/>
  </w:style>
  <w:style w:type="character" w:customStyle="1" w:styleId="235">
    <w:name w:val="iconline21"/>
    <w:basedOn w:val="48"/>
    <w:qFormat/>
    <w:uiPriority w:val="0"/>
  </w:style>
  <w:style w:type="character" w:customStyle="1" w:styleId="236">
    <w:name w:val="tmpztreemove_arrow"/>
    <w:basedOn w:val="48"/>
    <w:qFormat/>
    <w:uiPriority w:val="0"/>
  </w:style>
  <w:style w:type="character" w:customStyle="1" w:styleId="237">
    <w:name w:val="icontext1"/>
    <w:basedOn w:val="48"/>
    <w:qFormat/>
    <w:uiPriority w:val="0"/>
  </w:style>
  <w:style w:type="character" w:customStyle="1" w:styleId="238">
    <w:name w:val="icontext11"/>
    <w:basedOn w:val="48"/>
    <w:qFormat/>
    <w:uiPriority w:val="0"/>
  </w:style>
  <w:style w:type="character" w:customStyle="1" w:styleId="239">
    <w:name w:val="icontext12"/>
    <w:basedOn w:val="48"/>
    <w:qFormat/>
    <w:uiPriority w:val="0"/>
  </w:style>
  <w:style w:type="character" w:customStyle="1" w:styleId="240">
    <w:name w:val="after"/>
    <w:basedOn w:val="48"/>
    <w:qFormat/>
    <w:uiPriority w:val="0"/>
    <w:rPr>
      <w:sz w:val="0"/>
      <w:szCs w:val="0"/>
    </w:rPr>
  </w:style>
  <w:style w:type="character" w:customStyle="1" w:styleId="241">
    <w:name w:val="ico1654"/>
    <w:basedOn w:val="48"/>
    <w:qFormat/>
    <w:uiPriority w:val="0"/>
  </w:style>
  <w:style w:type="character" w:customStyle="1" w:styleId="242">
    <w:name w:val="ico1655"/>
    <w:basedOn w:val="48"/>
    <w:qFormat/>
    <w:uiPriority w:val="0"/>
  </w:style>
  <w:style w:type="character" w:customStyle="1" w:styleId="243">
    <w:name w:val="pagechatarealistclose_box"/>
    <w:basedOn w:val="48"/>
    <w:qFormat/>
    <w:uiPriority w:val="0"/>
  </w:style>
  <w:style w:type="character" w:customStyle="1" w:styleId="244">
    <w:name w:val="pagechatarealistclose_box1"/>
    <w:basedOn w:val="48"/>
    <w:qFormat/>
    <w:uiPriority w:val="0"/>
  </w:style>
  <w:style w:type="character" w:customStyle="1" w:styleId="245">
    <w:name w:val="icontext2"/>
    <w:basedOn w:val="48"/>
    <w:qFormat/>
    <w:uiPriority w:val="0"/>
  </w:style>
  <w:style w:type="character" w:customStyle="1" w:styleId="246">
    <w:name w:val="icontext3"/>
    <w:basedOn w:val="48"/>
    <w:qFormat/>
    <w:uiPriority w:val="0"/>
  </w:style>
  <w:style w:type="character" w:customStyle="1" w:styleId="247">
    <w:name w:val="hover40"/>
    <w:basedOn w:val="48"/>
    <w:qFormat/>
    <w:uiPriority w:val="0"/>
    <w:rPr>
      <w:color w:val="FFFFFF"/>
    </w:rPr>
  </w:style>
  <w:style w:type="character" w:customStyle="1" w:styleId="248">
    <w:name w:val="common_over_page_btn1"/>
    <w:basedOn w:val="48"/>
    <w:uiPriority w:val="0"/>
  </w:style>
  <w:style w:type="character" w:customStyle="1" w:styleId="249">
    <w:name w:val="common_over_page_btn2"/>
    <w:basedOn w:val="48"/>
    <w:uiPriority w:val="0"/>
    <w:rPr>
      <w:color w:val="999999"/>
      <w:bdr w:val="single" w:color="D4D4D4" w:sz="6" w:space="0"/>
      <w:shd w:val="clear" w:fill="FFFFFF"/>
    </w:rPr>
  </w:style>
  <w:style w:type="paragraph" w:customStyle="1" w:styleId="250">
    <w:name w:val="正文 New"/>
    <w:qFormat/>
    <w:uiPriority w:val="0"/>
    <w:pPr>
      <w:widowControl w:val="0"/>
      <w:snapToGrid w:val="0"/>
      <w:spacing w:before="60" w:after="60"/>
      <w:jc w:val="both"/>
    </w:pPr>
    <w:rPr>
      <w:rFonts w:ascii="Times New Roman" w:hAnsi="Times New Roman" w:eastAsia="宋体" w:cs="Times New Roman"/>
      <w:kern w:val="2"/>
      <w:sz w:val="24"/>
      <w:lang w:val="en-US" w:eastAsia="zh-CN" w:bidi="ar-SA"/>
    </w:rPr>
  </w:style>
  <w:style w:type="paragraph" w:customStyle="1" w:styleId="251">
    <w:name w:val="WPSOffice手动目录 1"/>
    <w:qFormat/>
    <w:uiPriority w:val="0"/>
    <w:rPr>
      <w:rFonts w:ascii="Times New Roman" w:hAnsi="Times New Roman" w:eastAsia="宋体" w:cs="Times New Roman"/>
      <w:lang w:val="en-US" w:eastAsia="zh-CN" w:bidi="ar-SA"/>
    </w:rPr>
  </w:style>
  <w:style w:type="paragraph" w:customStyle="1" w:styleId="252">
    <w:name w:val="文章正文"/>
    <w:basedOn w:val="1"/>
    <w:next w:val="1"/>
    <w:qFormat/>
    <w:uiPriority w:val="0"/>
    <w:pPr>
      <w:spacing w:line="360" w:lineRule="auto"/>
      <w:ind w:firstLine="480"/>
    </w:pPr>
    <w:rPr>
      <w:rFonts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3077"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12100</Words>
  <Characters>12663</Characters>
  <Lines>115</Lines>
  <Paragraphs>32</Paragraphs>
  <TotalTime>1</TotalTime>
  <ScaleCrop>false</ScaleCrop>
  <LinksUpToDate>false</LinksUpToDate>
  <CharactersWithSpaces>14650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dell</cp:lastModifiedBy>
  <dcterms:modified xsi:type="dcterms:W3CDTF">2022-04-19T14:41:24Z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2052-11.1.0.11566</vt:lpwstr>
  </property>
  <property fmtid="{D5CDD505-2E9C-101B-9397-08002B2CF9AE}" pid="6" name="ICV">
    <vt:lpwstr>7EFD1898B78A4345BC21372367C648C1</vt:lpwstr>
  </property>
</Properties>
</file>