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lang w:eastAsia="zh-CN"/>
        </w:rPr>
      </w:pPr>
      <w:r>
        <w:rPr>
          <w:rFonts w:hint="eastAsia" w:ascii="黑体" w:eastAsia="黑体"/>
          <w:b/>
          <w:sz w:val="44"/>
          <w:szCs w:val="44"/>
          <w:lang w:eastAsia="zh-CN"/>
        </w:rPr>
        <w:t>福建福海创石油化工有限公司</w:t>
      </w:r>
    </w:p>
    <w:p>
      <w:pPr>
        <w:jc w:val="center"/>
        <w:rPr>
          <w:rFonts w:ascii="华文楷体" w:hAnsi="华文楷体" w:eastAsia="华文楷体"/>
          <w:sz w:val="24"/>
          <w:szCs w:val="24"/>
          <w:lang w:eastAsia="zh-CN"/>
        </w:rPr>
      </w:pPr>
      <w:r>
        <w:rPr>
          <w:rFonts w:ascii="黑体" w:eastAsia="黑体"/>
          <w:b/>
          <w:sz w:val="24"/>
          <w:szCs w:val="24"/>
          <w:lang w:eastAsia="zh-CN"/>
        </w:rPr>
        <w:t>Fujian</w:t>
      </w:r>
      <w:r>
        <w:rPr>
          <w:rFonts w:hint="eastAsia" w:ascii="黑体" w:eastAsia="黑体"/>
          <w:b/>
          <w:sz w:val="24"/>
          <w:szCs w:val="24"/>
          <w:lang w:eastAsia="zh-CN"/>
        </w:rPr>
        <w:t xml:space="preserve"> FuHaiChuang Petrochemical Co.,Ltd</w:t>
      </w:r>
    </w:p>
    <w:p>
      <w:pPr>
        <w:jc w:val="center"/>
        <w:rPr>
          <w:rFonts w:ascii="华文楷体" w:hAnsi="华文楷体" w:eastAsia="华文楷体"/>
          <w:sz w:val="28"/>
          <w:szCs w:val="28"/>
          <w:lang w:eastAsia="zh-CN"/>
        </w:rPr>
      </w:pPr>
    </w:p>
    <w:p>
      <w:pPr>
        <w:jc w:val="center"/>
        <w:rPr>
          <w:rFonts w:ascii="华文楷体" w:hAnsi="华文楷体" w:eastAsia="华文楷体"/>
          <w:sz w:val="28"/>
          <w:szCs w:val="28"/>
          <w:lang w:eastAsia="zh-CN"/>
        </w:rPr>
      </w:pPr>
    </w:p>
    <w:p>
      <w:pPr>
        <w:jc w:val="center"/>
        <w:rPr>
          <w:rFonts w:ascii="华文楷体" w:hAnsi="华文楷体" w:eastAsia="华文楷体"/>
          <w:caps/>
          <w:lang w:eastAsia="zh-CN"/>
        </w:rPr>
      </w:pPr>
    </w:p>
    <w:p>
      <w:pPr>
        <w:jc w:val="center"/>
        <w:rPr>
          <w:rFonts w:ascii="华文楷体" w:hAnsi="华文楷体" w:eastAsia="华文楷体"/>
          <w:sz w:val="28"/>
          <w:szCs w:val="28"/>
          <w:lang w:eastAsia="zh-CN"/>
        </w:rPr>
      </w:pPr>
    </w:p>
    <w:p>
      <w:pPr>
        <w:spacing w:line="360" w:lineRule="auto"/>
        <w:jc w:val="center"/>
        <w:rPr>
          <w:rFonts w:eastAsia="楷体_GB2312"/>
          <w:lang w:eastAsia="zh-CN"/>
        </w:rPr>
      </w:pPr>
    </w:p>
    <w:p>
      <w:pPr>
        <w:spacing w:line="360" w:lineRule="auto"/>
        <w:jc w:val="center"/>
        <w:rPr>
          <w:rFonts w:eastAsia="楷体_GB2312"/>
          <w:lang w:eastAsia="zh-CN"/>
        </w:rPr>
      </w:pPr>
      <w:bookmarkStart w:id="4" w:name="_GoBack"/>
      <w:bookmarkEnd w:id="4"/>
    </w:p>
    <w:p>
      <w:pPr>
        <w:spacing w:line="360" w:lineRule="auto"/>
        <w:jc w:val="center"/>
        <w:rPr>
          <w:rFonts w:eastAsia="楷体_GB2312"/>
          <w:lang w:eastAsia="zh-CN"/>
        </w:rPr>
      </w:pPr>
    </w:p>
    <w:p>
      <w:pPr>
        <w:spacing w:line="300" w:lineRule="auto"/>
        <w:jc w:val="center"/>
        <w:rPr>
          <w:rFonts w:ascii="黑体" w:eastAsia="黑体"/>
          <w:b/>
          <w:sz w:val="44"/>
          <w:szCs w:val="44"/>
          <w:lang w:eastAsia="zh-CN"/>
        </w:rPr>
      </w:pPr>
      <w:r>
        <w:rPr>
          <w:rFonts w:hint="eastAsia" w:ascii="黑体" w:eastAsia="黑体"/>
          <w:b/>
          <w:sz w:val="44"/>
          <w:szCs w:val="44"/>
          <w:lang w:eastAsia="zh-CN"/>
        </w:rPr>
        <w:t>原油盐含量测试仪3201220055</w:t>
      </w:r>
    </w:p>
    <w:p>
      <w:pPr>
        <w:spacing w:line="300" w:lineRule="auto"/>
        <w:jc w:val="center"/>
        <w:rPr>
          <w:rFonts w:ascii="黑体" w:eastAsia="黑体"/>
          <w:b/>
          <w:sz w:val="32"/>
          <w:szCs w:val="32"/>
          <w:lang w:eastAsia="zh-CN"/>
        </w:rPr>
      </w:pPr>
    </w:p>
    <w:p>
      <w:pPr>
        <w:spacing w:line="300" w:lineRule="auto"/>
        <w:jc w:val="center"/>
        <w:rPr>
          <w:rFonts w:ascii="黑体" w:eastAsia="黑体"/>
          <w:b/>
          <w:sz w:val="32"/>
          <w:szCs w:val="32"/>
          <w:lang w:eastAsia="zh-CN"/>
        </w:rPr>
      </w:pPr>
    </w:p>
    <w:p>
      <w:pPr>
        <w:jc w:val="center"/>
        <w:rPr>
          <w:rFonts w:ascii="华文楷体" w:hAnsi="华文楷体" w:eastAsia="华文楷体"/>
          <w:sz w:val="24"/>
          <w:szCs w:val="24"/>
          <w:lang w:eastAsia="zh-CN"/>
        </w:rPr>
      </w:pPr>
    </w:p>
    <w:p>
      <w:pPr>
        <w:jc w:val="center"/>
        <w:rPr>
          <w:rFonts w:ascii="黑体" w:hAnsi="华文楷体" w:eastAsia="黑体"/>
          <w:b/>
          <w:sz w:val="36"/>
          <w:szCs w:val="36"/>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黑体" w:hAnsi="华文楷体" w:eastAsia="黑体"/>
          <w:b/>
          <w:sz w:val="36"/>
          <w:szCs w:val="36"/>
          <w:lang w:eastAsia="zh-CN"/>
        </w:rPr>
      </w:pPr>
      <w:r>
        <w:rPr>
          <w:rFonts w:hint="eastAsia" w:ascii="黑体" w:hAnsi="华文楷体" w:eastAsia="黑体"/>
          <w:b/>
          <w:sz w:val="36"/>
          <w:szCs w:val="36"/>
          <w:lang w:eastAsia="zh-CN"/>
        </w:rPr>
        <w:t>采购技术规格书</w:t>
      </w:r>
    </w:p>
    <w:p>
      <w:pPr>
        <w:jc w:val="center"/>
        <w:rPr>
          <w:rFonts w:hAnsi="华文楷体"/>
          <w:b/>
          <w:sz w:val="44"/>
          <w:szCs w:val="4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jc w:val="center"/>
        <w:rPr>
          <w:rFonts w:ascii="华文楷体" w:hAnsi="华文楷体" w:eastAsia="华文楷体"/>
          <w:sz w:val="24"/>
          <w:szCs w:val="24"/>
          <w:lang w:eastAsia="zh-CN"/>
        </w:rPr>
      </w:pPr>
    </w:p>
    <w:p>
      <w:pPr>
        <w:rPr>
          <w:rFonts w:ascii="华文楷体" w:hAnsi="华文楷体" w:eastAsia="华文楷体"/>
          <w:sz w:val="24"/>
          <w:szCs w:val="24"/>
          <w:lang w:eastAsia="zh-CN"/>
        </w:rPr>
        <w:sectPr>
          <w:headerReference r:id="rId5" w:type="default"/>
          <w:pgSz w:w="11909" w:h="16834"/>
          <w:pgMar w:top="1440" w:right="1134" w:bottom="1440" w:left="1418" w:header="839" w:footer="720" w:gutter="0"/>
          <w:pgNumType w:start="1"/>
          <w:cols w:space="720" w:num="1"/>
        </w:sectPr>
      </w:pPr>
    </w:p>
    <w:p>
      <w:pPr>
        <w:pStyle w:val="2"/>
        <w:keepNext w:val="0"/>
        <w:snapToGrid w:val="0"/>
        <w:spacing w:before="0" w:after="0" w:line="288" w:lineRule="auto"/>
        <w:jc w:val="both"/>
        <w:rPr>
          <w:rFonts w:ascii="宋体" w:hAnsi="宋体"/>
          <w:kern w:val="0"/>
          <w:sz w:val="24"/>
          <w:szCs w:val="24"/>
        </w:rPr>
      </w:pPr>
      <w:bookmarkStart w:id="0" w:name="_Toc194850708"/>
      <w:r>
        <w:rPr>
          <w:rFonts w:hint="eastAsia" w:ascii="宋体" w:hAnsi="宋体"/>
          <w:kern w:val="0"/>
          <w:sz w:val="24"/>
          <w:szCs w:val="24"/>
          <w:lang w:eastAsia="zh-CN"/>
        </w:rPr>
        <w:t>一、</w:t>
      </w:r>
      <w:r>
        <w:rPr>
          <w:rFonts w:hint="eastAsia" w:ascii="宋体" w:hAnsi="宋体"/>
          <w:kern w:val="0"/>
          <w:sz w:val="24"/>
          <w:szCs w:val="24"/>
        </w:rPr>
        <w:t>前言</w:t>
      </w:r>
      <w:bookmarkEnd w:id="0"/>
    </w:p>
    <w:p>
      <w:pPr>
        <w:spacing w:line="288" w:lineRule="auto"/>
        <w:jc w:val="both"/>
      </w:pPr>
    </w:p>
    <w:p>
      <w:pPr>
        <w:spacing w:line="288" w:lineRule="auto"/>
        <w:jc w:val="both"/>
        <w:rPr>
          <w:rFonts w:ascii="宋体" w:hAnsi="宋体"/>
          <w:snapToGrid w:val="0"/>
          <w:sz w:val="24"/>
          <w:szCs w:val="24"/>
          <w:lang w:eastAsia="zh-CN"/>
        </w:rPr>
      </w:pPr>
      <w:r>
        <w:rPr>
          <w:rFonts w:hint="eastAsia" w:ascii="宋体" w:hAnsi="宋体"/>
          <w:snapToGrid w:val="0"/>
          <w:sz w:val="24"/>
          <w:szCs w:val="24"/>
          <w:lang w:eastAsia="zh-CN"/>
        </w:rPr>
        <w:t>买方就购置</w:t>
      </w:r>
      <w:r>
        <w:rPr>
          <w:rFonts w:hint="eastAsia" w:ascii="宋体" w:hAnsi="宋体"/>
          <w:snapToGrid w:val="0"/>
          <w:color w:val="000000"/>
          <w:sz w:val="24"/>
          <w:szCs w:val="24"/>
          <w:lang w:eastAsia="zh-CN"/>
        </w:rPr>
        <w:t>实验室分析仪器（具体清单详见附件一）</w:t>
      </w:r>
      <w:r>
        <w:rPr>
          <w:rFonts w:hint="eastAsia" w:ascii="宋体" w:hAnsi="宋体"/>
          <w:snapToGrid w:val="0"/>
          <w:sz w:val="24"/>
          <w:szCs w:val="24"/>
          <w:lang w:eastAsia="zh-CN"/>
        </w:rPr>
        <w:t>一事提出了采购要求，卖方需达成本采购技术规格书要求。采购技术规格书是编写技术协议书的基础文件；技术协议书作为商务合同附件与之同时生效，并具有同等法律效力。</w:t>
      </w:r>
    </w:p>
    <w:p>
      <w:pPr>
        <w:spacing w:line="288" w:lineRule="auto"/>
        <w:ind w:firstLine="480" w:firstLineChars="200"/>
        <w:jc w:val="both"/>
        <w:rPr>
          <w:rFonts w:ascii="宋体" w:hAnsi="宋体"/>
          <w:snapToGrid w:val="0"/>
          <w:color w:val="FF0000"/>
          <w:sz w:val="24"/>
          <w:szCs w:val="24"/>
          <w:lang w:eastAsia="zh-CN"/>
        </w:rPr>
      </w:pPr>
      <w:r>
        <w:rPr>
          <w:rFonts w:hint="eastAsia" w:ascii="宋体" w:hAnsi="宋体"/>
          <w:snapToGrid w:val="0"/>
          <w:sz w:val="24"/>
          <w:szCs w:val="24"/>
          <w:lang w:eastAsia="zh-CN"/>
        </w:rPr>
        <w:t>在签订合同之后，买方保留对本协议提出补充要求和修改的权利，买卖双方可举行设计条件会议，如对供货清单、系统配置、仪器规格、服务条款、文件资料、具体的交付时间等方面内容进行再次确认。经双方确认后的文件即成为补充技术协议书，具有订货合同附件的同等效力。</w:t>
      </w:r>
    </w:p>
    <w:p>
      <w:pPr>
        <w:pStyle w:val="2"/>
        <w:keepNext w:val="0"/>
        <w:snapToGrid w:val="0"/>
        <w:spacing w:before="0" w:after="0" w:line="288" w:lineRule="auto"/>
        <w:jc w:val="both"/>
        <w:rPr>
          <w:rFonts w:ascii="宋体" w:hAnsi="宋体"/>
          <w:kern w:val="0"/>
          <w:sz w:val="24"/>
          <w:szCs w:val="24"/>
          <w:lang w:eastAsia="zh-CN"/>
        </w:rPr>
      </w:pPr>
      <w:bookmarkStart w:id="1" w:name="_Toc194850709"/>
      <w:r>
        <w:rPr>
          <w:rFonts w:hint="eastAsia" w:ascii="宋体" w:hAnsi="宋体"/>
          <w:kern w:val="0"/>
          <w:sz w:val="24"/>
          <w:szCs w:val="24"/>
          <w:lang w:eastAsia="zh-CN"/>
        </w:rPr>
        <w:t>二、测试样品及项目</w:t>
      </w:r>
      <w:bookmarkEnd w:id="1"/>
    </w:p>
    <w:p>
      <w:pPr>
        <w:spacing w:line="288" w:lineRule="auto"/>
        <w:jc w:val="both"/>
        <w:rPr>
          <w:lang w:eastAsia="zh-CN"/>
        </w:rPr>
      </w:pPr>
      <w:r>
        <w:rPr>
          <w:rFonts w:hint="eastAsia" w:ascii="宋体" w:hAnsi="宋体"/>
          <w:snapToGrid w:val="0"/>
          <w:color w:val="000000"/>
          <w:sz w:val="24"/>
          <w:szCs w:val="24"/>
          <w:lang w:eastAsia="zh-CN"/>
        </w:rPr>
        <w:t>具体清单详见附件一</w:t>
      </w:r>
    </w:p>
    <w:p>
      <w:pPr>
        <w:pStyle w:val="2"/>
        <w:keepNext w:val="0"/>
        <w:snapToGrid w:val="0"/>
        <w:spacing w:before="0" w:after="0" w:line="288" w:lineRule="auto"/>
        <w:jc w:val="both"/>
        <w:rPr>
          <w:rFonts w:ascii="宋体" w:hAnsi="宋体"/>
          <w:kern w:val="0"/>
          <w:sz w:val="24"/>
          <w:szCs w:val="24"/>
          <w:lang w:eastAsia="zh-CN"/>
        </w:rPr>
      </w:pPr>
      <w:bookmarkStart w:id="2" w:name="_Toc194850710"/>
      <w:r>
        <w:rPr>
          <w:rFonts w:hint="eastAsia" w:ascii="宋体" w:hAnsi="宋体"/>
          <w:kern w:val="0"/>
          <w:sz w:val="24"/>
          <w:szCs w:val="24"/>
          <w:lang w:eastAsia="zh-CN"/>
        </w:rPr>
        <w:t>三、技术要求</w:t>
      </w:r>
    </w:p>
    <w:p>
      <w:pPr>
        <w:pStyle w:val="2"/>
        <w:keepNext w:val="0"/>
        <w:snapToGrid w:val="0"/>
        <w:spacing w:before="0" w:after="0" w:line="288" w:lineRule="auto"/>
        <w:jc w:val="both"/>
        <w:rPr>
          <w:rFonts w:ascii="宋体" w:hAnsi="宋体"/>
          <w:kern w:val="0"/>
          <w:sz w:val="24"/>
          <w:szCs w:val="24"/>
          <w:lang w:eastAsia="zh-CN"/>
        </w:rPr>
      </w:pPr>
      <w:r>
        <w:rPr>
          <w:rFonts w:hint="eastAsia" w:ascii="宋体" w:hAnsi="宋体"/>
          <w:kern w:val="0"/>
          <w:sz w:val="24"/>
          <w:szCs w:val="24"/>
          <w:lang w:eastAsia="zh-CN"/>
        </w:rPr>
        <w:t>1、</w:t>
      </w:r>
      <w:bookmarkEnd w:id="2"/>
      <w:r>
        <w:rPr>
          <w:rFonts w:hint="eastAsia" w:ascii="宋体" w:hAnsi="宋体"/>
          <w:kern w:val="0"/>
          <w:sz w:val="24"/>
          <w:szCs w:val="24"/>
          <w:lang w:eastAsia="zh-CN"/>
        </w:rPr>
        <w:t>基本要求</w:t>
      </w:r>
    </w:p>
    <w:p>
      <w:pPr>
        <w:pStyle w:val="2"/>
        <w:keepNext w:val="0"/>
        <w:snapToGrid w:val="0"/>
        <w:spacing w:before="0" w:after="0" w:line="288" w:lineRule="auto"/>
        <w:jc w:val="both"/>
        <w:rPr>
          <w:rFonts w:ascii="宋体" w:hAnsi="宋体"/>
          <w:b w:val="0"/>
          <w:sz w:val="24"/>
          <w:szCs w:val="24"/>
          <w:lang w:eastAsia="zh-CN"/>
        </w:rPr>
      </w:pPr>
      <w:r>
        <w:rPr>
          <w:rFonts w:hint="eastAsia" w:ascii="宋体" w:hAnsi="宋体"/>
          <w:b w:val="0"/>
          <w:sz w:val="24"/>
          <w:szCs w:val="24"/>
          <w:lang w:eastAsia="zh-CN"/>
        </w:rPr>
        <w:t xml:space="preserve">1.1  </w:t>
      </w:r>
      <w:r>
        <w:rPr>
          <w:rFonts w:hint="eastAsia" w:ascii="宋体" w:hAnsi="宋体"/>
          <w:b w:val="0"/>
          <w:snapToGrid w:val="0"/>
          <w:color w:val="000000"/>
          <w:sz w:val="24"/>
          <w:lang w:eastAsia="zh-CN"/>
        </w:rPr>
        <w:t>仪器配置必须能完成本技术协议中“二、测试样品及项目”要求的分析样品及分析项目，并达到性能保证指标。</w:t>
      </w:r>
    </w:p>
    <w:p>
      <w:pPr>
        <w:spacing w:line="288" w:lineRule="auto"/>
        <w:jc w:val="both"/>
        <w:rPr>
          <w:rFonts w:ascii="宋体" w:hAnsi="宋体"/>
          <w:sz w:val="24"/>
          <w:szCs w:val="24"/>
          <w:lang w:eastAsia="zh-CN"/>
        </w:rPr>
      </w:pPr>
      <w:r>
        <w:rPr>
          <w:rFonts w:hint="eastAsia" w:ascii="宋体" w:hAnsi="宋体"/>
          <w:sz w:val="24"/>
          <w:szCs w:val="24"/>
          <w:lang w:eastAsia="zh-CN"/>
        </w:rPr>
        <w:t>1.</w:t>
      </w:r>
      <w:r>
        <w:rPr>
          <w:rFonts w:ascii="宋体" w:hAnsi="宋体"/>
          <w:sz w:val="24"/>
          <w:szCs w:val="24"/>
          <w:lang w:eastAsia="zh-CN"/>
        </w:rPr>
        <w:t>2</w:t>
      </w:r>
      <w:r>
        <w:rPr>
          <w:rFonts w:hint="eastAsia" w:ascii="宋体" w:hAnsi="宋体"/>
          <w:sz w:val="24"/>
          <w:szCs w:val="24"/>
          <w:lang w:eastAsia="zh-CN"/>
        </w:rPr>
        <w:t xml:space="preserve"> 必须提供书面中文仪器说明书、电路图及故障诊断说明资料2套；相应的电子版本说明书1套。</w:t>
      </w:r>
    </w:p>
    <w:p>
      <w:pPr>
        <w:spacing w:line="288" w:lineRule="auto"/>
        <w:jc w:val="both"/>
        <w:rPr>
          <w:rFonts w:ascii="宋体" w:hAnsi="宋体"/>
          <w:b/>
          <w:sz w:val="24"/>
          <w:szCs w:val="24"/>
          <w:lang w:eastAsia="zh-CN"/>
        </w:rPr>
      </w:pPr>
      <w:r>
        <w:rPr>
          <w:rFonts w:hint="eastAsia" w:ascii="宋体" w:hAnsi="宋体"/>
          <w:b/>
          <w:sz w:val="24"/>
          <w:szCs w:val="24"/>
          <w:lang w:eastAsia="zh-CN"/>
        </w:rPr>
        <w:t>2、供货范围（卖方供货清单明细）</w:t>
      </w:r>
    </w:p>
    <w:p>
      <w:pPr>
        <w:pStyle w:val="18"/>
        <w:adjustRightInd/>
        <w:spacing w:line="288" w:lineRule="auto"/>
        <w:ind w:firstLine="480" w:firstLineChars="200"/>
        <w:jc w:val="both"/>
        <w:rPr>
          <w:rFonts w:ascii="宋体" w:hAnsi="宋体"/>
        </w:rPr>
      </w:pPr>
      <w:r>
        <w:rPr>
          <w:rFonts w:hint="eastAsia" w:ascii="宋体" w:hAnsi="宋体"/>
        </w:rPr>
        <w:t>此部分为卖方的仪器供货清单。此清单应包括：</w:t>
      </w:r>
    </w:p>
    <w:p>
      <w:pPr>
        <w:pStyle w:val="18"/>
        <w:numPr>
          <w:ilvl w:val="0"/>
          <w:numId w:val="3"/>
        </w:numPr>
        <w:adjustRightInd/>
        <w:spacing w:line="288" w:lineRule="auto"/>
        <w:ind w:left="0"/>
        <w:jc w:val="both"/>
        <w:rPr>
          <w:rFonts w:ascii="宋体" w:hAnsi="宋体"/>
        </w:rPr>
      </w:pPr>
      <w:r>
        <w:rPr>
          <w:rFonts w:hint="eastAsia" w:ascii="宋体" w:hAnsi="宋体"/>
        </w:rPr>
        <w:t>仪器名称、规格型号、数量、仪器制造厂商等内容。</w:t>
      </w:r>
    </w:p>
    <w:p>
      <w:pPr>
        <w:pStyle w:val="18"/>
        <w:numPr>
          <w:ilvl w:val="0"/>
          <w:numId w:val="3"/>
        </w:numPr>
        <w:adjustRightInd/>
        <w:spacing w:line="288" w:lineRule="auto"/>
        <w:ind w:left="0"/>
        <w:jc w:val="both"/>
        <w:rPr>
          <w:rFonts w:ascii="宋体" w:hAnsi="宋体"/>
        </w:rPr>
      </w:pPr>
      <w:r>
        <w:rPr>
          <w:rFonts w:hint="eastAsia" w:ascii="宋体" w:hAnsi="宋体"/>
        </w:rPr>
        <w:t>仪器硬件及软件的具体配置，包括仪器的标准配置、选购配置、备品备件及消耗品配置等。</w:t>
      </w:r>
    </w:p>
    <w:p>
      <w:pPr>
        <w:pStyle w:val="18"/>
        <w:adjustRightInd/>
        <w:spacing w:line="288" w:lineRule="auto"/>
        <w:jc w:val="both"/>
        <w:rPr>
          <w:rFonts w:ascii="宋体" w:hAnsi="宋体"/>
        </w:rPr>
      </w:pPr>
      <w:r>
        <w:rPr>
          <w:rFonts w:hint="eastAsia" w:ascii="宋体" w:hAnsi="宋体"/>
        </w:rPr>
        <w:t>卖方保证供货的每台仪器均为原装进口产品。</w:t>
      </w:r>
    </w:p>
    <w:p>
      <w:pPr>
        <w:pStyle w:val="18"/>
        <w:adjustRightInd/>
        <w:spacing w:line="288" w:lineRule="auto"/>
        <w:jc w:val="both"/>
        <w:rPr>
          <w:rFonts w:ascii="宋体" w:hAnsi="宋体"/>
        </w:rPr>
      </w:pPr>
      <w:r>
        <w:rPr>
          <w:rFonts w:hint="eastAsia" w:ascii="宋体" w:hAnsi="宋体"/>
        </w:rPr>
        <w:t xml:space="preserve">    卖方应保证所提供的系统配置是完整的。</w:t>
      </w:r>
      <w:r>
        <w:rPr>
          <w:rFonts w:hint="eastAsia" w:ascii="宋体" w:hAnsi="宋体" w:cs="宋体"/>
        </w:rPr>
        <w:t>卖方应保证</w:t>
      </w:r>
      <w:r>
        <w:rPr>
          <w:rFonts w:hint="eastAsia" w:ascii="宋体" w:hAnsi="宋体"/>
        </w:rPr>
        <w:t>仪器主机所携带的用于日常维护保养的专用工具齐全。</w:t>
      </w:r>
      <w:r>
        <w:rPr>
          <w:rFonts w:hint="eastAsia" w:ascii="宋体" w:hAnsi="宋体" w:cs="宋体"/>
        </w:rPr>
        <w:t>卖方应保证</w:t>
      </w:r>
      <w:r>
        <w:rPr>
          <w:rFonts w:hint="eastAsia" w:ascii="宋体" w:hAnsi="宋体"/>
        </w:rPr>
        <w:t>仪器主机所携带的标准样品满足仪器现场</w:t>
      </w:r>
      <w:r>
        <w:rPr>
          <w:rFonts w:hint="eastAsia" w:ascii="宋体" w:hAnsi="宋体" w:cs="宋体"/>
        </w:rPr>
        <w:t>调试和验收的要求</w:t>
      </w:r>
      <w:r>
        <w:rPr>
          <w:rFonts w:hint="eastAsia" w:ascii="宋体" w:hAnsi="宋体"/>
        </w:rPr>
        <w:t>。卖方应保证所提供的备品备件及消耗品的数量满足买方的两年需求。</w:t>
      </w:r>
    </w:p>
    <w:p>
      <w:pPr>
        <w:spacing w:line="288" w:lineRule="auto"/>
        <w:ind w:firstLine="480"/>
        <w:jc w:val="both"/>
        <w:rPr>
          <w:rFonts w:ascii="宋体" w:hAnsi="宋体"/>
          <w:b/>
          <w:sz w:val="24"/>
          <w:szCs w:val="24"/>
          <w:lang w:eastAsia="zh-CN"/>
        </w:rPr>
      </w:pPr>
      <w:r>
        <w:rPr>
          <w:rFonts w:hint="eastAsia" w:ascii="宋体" w:hAnsi="宋体"/>
          <w:b/>
          <w:sz w:val="24"/>
          <w:szCs w:val="24"/>
          <w:lang w:eastAsia="zh-CN"/>
        </w:rPr>
        <w:t>具体内容请见附件一</w:t>
      </w:r>
    </w:p>
    <w:p>
      <w:pPr>
        <w:spacing w:line="288" w:lineRule="auto"/>
        <w:jc w:val="both"/>
        <w:rPr>
          <w:rFonts w:ascii="宋体" w:hAnsi="宋体"/>
          <w:b/>
          <w:sz w:val="24"/>
          <w:szCs w:val="24"/>
          <w:lang w:eastAsia="zh-CN"/>
        </w:rPr>
      </w:pPr>
      <w:r>
        <w:rPr>
          <w:rFonts w:hint="eastAsia" w:ascii="宋体" w:hAnsi="宋体"/>
          <w:b/>
          <w:sz w:val="24"/>
          <w:szCs w:val="24"/>
          <w:lang w:eastAsia="zh-CN"/>
        </w:rPr>
        <w:t>3、仪器技术指标和性能特点</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此部分为仪器的技术指标说明部分。</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卖方应保证所提供的技术指标真实准确而有效。</w:t>
      </w:r>
    </w:p>
    <w:p>
      <w:pPr>
        <w:spacing w:line="288" w:lineRule="auto"/>
        <w:ind w:firstLine="480"/>
        <w:jc w:val="both"/>
        <w:rPr>
          <w:rFonts w:ascii="宋体" w:hAnsi="宋体"/>
          <w:sz w:val="24"/>
          <w:szCs w:val="24"/>
          <w:lang w:eastAsia="zh-CN"/>
        </w:rPr>
      </w:pPr>
      <w:r>
        <w:rPr>
          <w:rFonts w:hint="eastAsia" w:ascii="宋体" w:hAnsi="宋体"/>
          <w:b/>
          <w:sz w:val="24"/>
          <w:szCs w:val="24"/>
          <w:lang w:eastAsia="zh-CN"/>
        </w:rPr>
        <w:t>具体内容详见附件一</w:t>
      </w:r>
      <w:r>
        <w:rPr>
          <w:rFonts w:hint="eastAsia" w:ascii="宋体" w:hAnsi="宋体"/>
          <w:sz w:val="24"/>
          <w:szCs w:val="24"/>
          <w:lang w:eastAsia="zh-CN"/>
        </w:rPr>
        <w:t>。</w:t>
      </w:r>
    </w:p>
    <w:p>
      <w:pPr>
        <w:spacing w:line="288" w:lineRule="auto"/>
        <w:jc w:val="both"/>
        <w:rPr>
          <w:rFonts w:ascii="宋体" w:hAnsi="宋体"/>
          <w:b/>
          <w:sz w:val="24"/>
          <w:szCs w:val="24"/>
          <w:lang w:eastAsia="zh-CN"/>
        </w:rPr>
      </w:pPr>
      <w:r>
        <w:rPr>
          <w:rFonts w:hint="eastAsia" w:ascii="宋体" w:hAnsi="宋体"/>
          <w:b/>
          <w:sz w:val="24"/>
          <w:szCs w:val="24"/>
          <w:lang w:eastAsia="zh-CN"/>
        </w:rPr>
        <w:t>4、仪器安装条件</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对于仪器安装所需具备的条件(如：供电、接地、环境、水、气路、实验台等)，卖方应在合同生效后一周内书面告知买方，买方根据安装条件做好准备工作。</w:t>
      </w:r>
    </w:p>
    <w:p>
      <w:pPr>
        <w:spacing w:line="288" w:lineRule="auto"/>
        <w:jc w:val="both"/>
        <w:rPr>
          <w:rFonts w:ascii="宋体" w:hAnsi="宋体"/>
          <w:sz w:val="24"/>
          <w:szCs w:val="24"/>
          <w:lang w:eastAsia="zh-CN"/>
        </w:rPr>
      </w:pPr>
      <w:r>
        <w:rPr>
          <w:rFonts w:hint="eastAsia" w:ascii="宋体" w:hAnsi="宋体"/>
          <w:b/>
          <w:sz w:val="24"/>
          <w:szCs w:val="24"/>
          <w:lang w:eastAsia="zh-CN"/>
        </w:rPr>
        <w:t>四、技术服务</w:t>
      </w:r>
    </w:p>
    <w:p>
      <w:pPr>
        <w:pStyle w:val="18"/>
        <w:adjustRightInd/>
        <w:spacing w:line="288" w:lineRule="auto"/>
        <w:jc w:val="both"/>
        <w:rPr>
          <w:rFonts w:ascii="宋体" w:hAnsi="宋体" w:cs="宋体"/>
          <w:b/>
        </w:rPr>
      </w:pPr>
      <w:r>
        <w:rPr>
          <w:rFonts w:hint="eastAsia" w:ascii="宋体" w:hAnsi="宋体" w:cs="宋体"/>
          <w:b/>
        </w:rPr>
        <w:t>1 、概述</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技术服务应包括工程服务与现场服务。工程服务有项目管理、组态、生成、集成调试、工厂试验与出厂验收、培训服务（操作、维护）等。现场服务包括现场开箱检查、系统通电、联调试运、现场验收、保运服务等。</w:t>
      </w:r>
    </w:p>
    <w:p>
      <w:pPr>
        <w:spacing w:line="288" w:lineRule="auto"/>
        <w:ind w:firstLine="480"/>
        <w:jc w:val="both"/>
        <w:rPr>
          <w:rFonts w:ascii="宋体" w:hAnsi="宋体"/>
          <w:lang w:eastAsia="zh-CN"/>
        </w:rPr>
      </w:pPr>
      <w:r>
        <w:rPr>
          <w:rFonts w:hint="eastAsia" w:ascii="宋体" w:hAnsi="宋体"/>
          <w:sz w:val="24"/>
          <w:szCs w:val="24"/>
          <w:lang w:eastAsia="zh-CN"/>
        </w:rPr>
        <w:t>无论是工程服务还是现场服务，卖方都应派遣有经验的技术人员，并应提供完全免费的技术服务。在合同签定后，卖方应立即指派一名有经验的项目经理给买方，并提供其固定通讯方式及通信地址。项目经理应自始至终地负责整个项目的实施，包括文件、信件（传真、网络信件等）等资料的往来，处理双方的有关事宜等。如有人员变更或临时变化，卖方应预先通知买方，并获其批准。</w:t>
      </w:r>
    </w:p>
    <w:p>
      <w:pPr>
        <w:spacing w:line="288" w:lineRule="auto"/>
        <w:jc w:val="both"/>
        <w:rPr>
          <w:rFonts w:ascii="宋体" w:hAnsi="宋体"/>
          <w:b/>
          <w:sz w:val="24"/>
          <w:szCs w:val="24"/>
          <w:lang w:eastAsia="zh-CN"/>
        </w:rPr>
      </w:pPr>
      <w:r>
        <w:rPr>
          <w:rFonts w:hint="eastAsia" w:ascii="宋体" w:hAnsi="宋体"/>
          <w:b/>
          <w:sz w:val="24"/>
          <w:szCs w:val="24"/>
          <w:lang w:eastAsia="zh-CN"/>
        </w:rPr>
        <w:t>2、仪器交货期</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仪器交货时间：卖方在合同生效后</w:t>
      </w:r>
      <w:r>
        <w:rPr>
          <w:rFonts w:hint="eastAsia" w:ascii="宋体" w:hAnsi="宋体"/>
          <w:b/>
          <w:color w:val="000000"/>
          <w:sz w:val="24"/>
          <w:szCs w:val="24"/>
          <w:lang w:eastAsia="zh-CN"/>
        </w:rPr>
        <w:t>2个月</w:t>
      </w:r>
      <w:r>
        <w:rPr>
          <w:rFonts w:hint="eastAsia" w:ascii="宋体" w:hAnsi="宋体"/>
          <w:sz w:val="24"/>
          <w:szCs w:val="24"/>
          <w:lang w:eastAsia="zh-CN"/>
        </w:rPr>
        <w:t>内交货（或根据商务合同的规定时限交货），卖方保证仪器到货时仪器的各个系统完整性。</w:t>
      </w:r>
    </w:p>
    <w:p>
      <w:pPr>
        <w:spacing w:line="288" w:lineRule="auto"/>
        <w:jc w:val="both"/>
        <w:rPr>
          <w:rFonts w:ascii="宋体" w:hAnsi="宋体"/>
          <w:b/>
          <w:sz w:val="24"/>
          <w:szCs w:val="24"/>
          <w:lang w:eastAsia="zh-CN"/>
        </w:rPr>
      </w:pPr>
      <w:r>
        <w:rPr>
          <w:rFonts w:hint="eastAsia" w:ascii="宋体" w:hAnsi="宋体"/>
          <w:b/>
          <w:sz w:val="24"/>
          <w:szCs w:val="24"/>
          <w:lang w:eastAsia="zh-CN"/>
        </w:rPr>
        <w:t>3、验货</w:t>
      </w:r>
    </w:p>
    <w:p>
      <w:pPr>
        <w:pStyle w:val="18"/>
        <w:spacing w:line="288" w:lineRule="auto"/>
        <w:ind w:firstLine="480" w:firstLineChars="200"/>
        <w:jc w:val="both"/>
        <w:rPr>
          <w:rFonts w:ascii="宋体" w:hAnsi="宋体"/>
          <w:color w:val="auto"/>
        </w:rPr>
      </w:pPr>
      <w:r>
        <w:rPr>
          <w:rFonts w:hint="eastAsia" w:ascii="宋体" w:hAnsi="宋体"/>
          <w:color w:val="auto"/>
        </w:rPr>
        <w:t>仪器到现场后，卖方应派人与买方共同开箱验货。确认装箱单和设备完好情况。在买方现场开箱验收时，仪器应达到如下要求：</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所有仪器的外观、喷漆、电缆的外壳和接头必须完好无缺，铭牌正确。</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所有仪器的主机、附件、备件必须完整齐全，标识清楚。</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所有仪器的技术资料必须完整齐全。资料包括现场准备和安装说明书、操作维护手册、电路图、订货单规定的所有供货项目的详细清单、合格证书、安全证书、出厂验收测试程序等。</w:t>
      </w:r>
    </w:p>
    <w:p>
      <w:pPr>
        <w:spacing w:line="288" w:lineRule="auto"/>
        <w:ind w:firstLine="480" w:firstLineChars="200"/>
        <w:jc w:val="both"/>
        <w:rPr>
          <w:rFonts w:ascii="宋体" w:hAnsi="宋体"/>
          <w:sz w:val="24"/>
          <w:szCs w:val="24"/>
          <w:lang w:eastAsia="zh-CN"/>
        </w:rPr>
      </w:pPr>
      <w:r>
        <w:rPr>
          <w:rFonts w:hint="eastAsia" w:ascii="宋体" w:hAnsi="宋体"/>
          <w:sz w:val="24"/>
          <w:szCs w:val="24"/>
          <w:lang w:eastAsia="zh-CN"/>
        </w:rPr>
        <w:t>在运输过程中造成的仪器损坏、零部件缺项、资料缺失，卖方确认并负责在7天内补全缺件。卖方对仪器配置（包括辅助设备）的完整性和配套性负责，并保证仪器的正常使用。</w:t>
      </w:r>
    </w:p>
    <w:p>
      <w:pPr>
        <w:spacing w:line="288" w:lineRule="auto"/>
        <w:jc w:val="both"/>
        <w:rPr>
          <w:rFonts w:ascii="宋体" w:hAnsi="宋体"/>
          <w:b/>
          <w:sz w:val="24"/>
          <w:szCs w:val="24"/>
          <w:lang w:eastAsia="zh-CN"/>
        </w:rPr>
      </w:pPr>
      <w:r>
        <w:rPr>
          <w:rFonts w:hint="eastAsia" w:ascii="宋体" w:hAnsi="宋体"/>
          <w:b/>
          <w:sz w:val="24"/>
          <w:szCs w:val="24"/>
          <w:lang w:eastAsia="zh-CN"/>
        </w:rPr>
        <w:t>4、仪器现场安装调试</w:t>
      </w:r>
    </w:p>
    <w:p>
      <w:pPr>
        <w:spacing w:line="288" w:lineRule="auto"/>
        <w:ind w:firstLine="480"/>
        <w:jc w:val="both"/>
        <w:rPr>
          <w:rFonts w:ascii="宋体" w:hAnsi="宋体"/>
          <w:sz w:val="24"/>
          <w:szCs w:val="24"/>
          <w:lang w:eastAsia="zh-CN"/>
        </w:rPr>
      </w:pPr>
      <w:r>
        <w:rPr>
          <w:rFonts w:hint="eastAsia" w:ascii="宋体" w:hAnsi="宋体" w:cs="Arial"/>
          <w:bCs/>
          <w:sz w:val="24"/>
          <w:szCs w:val="24"/>
          <w:lang w:eastAsia="zh-CN"/>
        </w:rPr>
        <w:t>在收到买方仪器安装调试通知后，由卖方派出工程技术人员，到达买方实验室进行仪器的免费安装调试工作；具体时间由双方协商决定。</w:t>
      </w:r>
      <w:r>
        <w:rPr>
          <w:rFonts w:hint="eastAsia" w:ascii="宋体" w:hAnsi="宋体"/>
          <w:sz w:val="24"/>
          <w:szCs w:val="24"/>
          <w:lang w:eastAsia="zh-CN"/>
        </w:rPr>
        <w:t>仪器安装调试时间不应超过1周时间。</w:t>
      </w:r>
    </w:p>
    <w:p>
      <w:pPr>
        <w:spacing w:line="288" w:lineRule="auto"/>
        <w:ind w:firstLine="480"/>
        <w:jc w:val="both"/>
        <w:rPr>
          <w:rFonts w:ascii="宋体" w:hAnsi="宋体"/>
          <w:sz w:val="24"/>
          <w:szCs w:val="24"/>
          <w:lang w:eastAsia="zh-CN"/>
        </w:rPr>
      </w:pPr>
      <w:r>
        <w:rPr>
          <w:rFonts w:hint="eastAsia" w:ascii="宋体" w:hAnsi="宋体"/>
          <w:sz w:val="24"/>
          <w:szCs w:val="24"/>
          <w:lang w:eastAsia="zh-CN"/>
        </w:rPr>
        <w:t>卖方负责建立分析样品及分析项目所对应的分析方法及标准曲线，并优化各种参数，使分析达到最佳效果。</w:t>
      </w:r>
    </w:p>
    <w:p>
      <w:pPr>
        <w:spacing w:line="288" w:lineRule="auto"/>
        <w:jc w:val="both"/>
        <w:rPr>
          <w:rFonts w:ascii="宋体" w:hAnsi="宋体"/>
          <w:sz w:val="24"/>
          <w:szCs w:val="24"/>
          <w:lang w:eastAsia="zh-CN"/>
        </w:rPr>
      </w:pPr>
      <w:r>
        <w:rPr>
          <w:rFonts w:hint="eastAsia" w:ascii="宋体" w:hAnsi="宋体"/>
          <w:b/>
          <w:sz w:val="24"/>
          <w:szCs w:val="24"/>
          <w:lang w:eastAsia="zh-CN"/>
        </w:rPr>
        <w:t>5、仪器验收</w:t>
      </w:r>
    </w:p>
    <w:p>
      <w:pPr>
        <w:pStyle w:val="18"/>
        <w:adjustRightInd/>
        <w:spacing w:line="288" w:lineRule="auto"/>
        <w:ind w:firstLine="480" w:firstLineChars="200"/>
        <w:jc w:val="both"/>
        <w:rPr>
          <w:rFonts w:ascii="宋体" w:hAnsi="宋体" w:cs="宋体"/>
          <w:color w:val="auto"/>
        </w:rPr>
      </w:pPr>
      <w:r>
        <w:rPr>
          <w:rFonts w:hint="eastAsia" w:ascii="宋体" w:hAnsi="宋体" w:cs="宋体"/>
          <w:color w:val="auto"/>
        </w:rPr>
        <w:t xml:space="preserve">卖方提供测试用的仪器和工具，供买方技术人员在验收时使用。 </w:t>
      </w:r>
    </w:p>
    <w:p>
      <w:pPr>
        <w:pStyle w:val="18"/>
        <w:adjustRightInd/>
        <w:spacing w:line="288" w:lineRule="auto"/>
        <w:ind w:firstLine="480" w:firstLineChars="200"/>
        <w:jc w:val="both"/>
        <w:rPr>
          <w:rFonts w:ascii="宋体" w:hAnsi="宋体" w:cs="宋体"/>
          <w:color w:val="0000FF"/>
        </w:rPr>
      </w:pPr>
      <w:r>
        <w:rPr>
          <w:rFonts w:hint="eastAsia" w:ascii="宋体" w:hAnsi="宋体" w:cs="宋体"/>
          <w:color w:val="auto"/>
        </w:rPr>
        <w:t>卖方提供仪器QA/QC的标准样品，以保证仪器正常的调试和验收。</w:t>
      </w:r>
      <w:r>
        <w:rPr>
          <w:rFonts w:hint="eastAsia" w:ascii="宋体" w:hAnsi="宋体" w:cs="宋体"/>
          <w:color w:val="0000FF"/>
        </w:rPr>
        <w:t xml:space="preserve"> </w:t>
      </w:r>
    </w:p>
    <w:p>
      <w:pPr>
        <w:pStyle w:val="18"/>
        <w:adjustRightInd/>
        <w:spacing w:line="288" w:lineRule="auto"/>
        <w:ind w:firstLine="480" w:firstLineChars="200"/>
        <w:jc w:val="both"/>
        <w:rPr>
          <w:rFonts w:ascii="宋体" w:hAnsi="宋体"/>
          <w:color w:val="auto"/>
        </w:rPr>
      </w:pPr>
      <w:r>
        <w:rPr>
          <w:rFonts w:hint="eastAsia" w:ascii="宋体" w:hAnsi="宋体" w:cs="宋体"/>
          <w:color w:val="auto"/>
        </w:rPr>
        <w:t>卖方</w:t>
      </w:r>
      <w:r>
        <w:rPr>
          <w:rFonts w:hint="eastAsia" w:ascii="宋体" w:hAnsi="宋体" w:cs="宋体"/>
        </w:rPr>
        <w:t>严格按照请购规格书、技术协议书的要求及仪器厂商的产品验收标准等进行验收</w:t>
      </w:r>
      <w:r>
        <w:rPr>
          <w:rFonts w:hint="eastAsia" w:ascii="宋体" w:hAnsi="宋体"/>
        </w:rPr>
        <w:t>，二者之间选用指标较高的标准。</w:t>
      </w:r>
    </w:p>
    <w:p>
      <w:pPr>
        <w:spacing w:line="288" w:lineRule="auto"/>
        <w:ind w:firstLine="480" w:firstLineChars="200"/>
        <w:jc w:val="both"/>
        <w:rPr>
          <w:rFonts w:ascii="宋体" w:hAnsi="宋体"/>
          <w:sz w:val="24"/>
          <w:szCs w:val="24"/>
          <w:lang w:eastAsia="zh-CN"/>
        </w:rPr>
      </w:pPr>
      <w:r>
        <w:rPr>
          <w:rFonts w:hint="eastAsia" w:ascii="宋体" w:hAnsi="宋体" w:cs="宋体"/>
          <w:sz w:val="24"/>
          <w:szCs w:val="24"/>
          <w:lang w:eastAsia="zh-CN"/>
        </w:rPr>
        <w:t>仪器的验收必须满足以下条件：仪器的各项性能指标必须符合仪器出厂规定的技术性能指标；必须符合本技术协议附件中的技术要求或请购规格书的技术指标。仪器必须能满足用户的要求；</w:t>
      </w:r>
      <w:r>
        <w:rPr>
          <w:rFonts w:hint="eastAsia" w:ascii="宋体" w:hAnsi="宋体"/>
          <w:sz w:val="24"/>
          <w:szCs w:val="24"/>
          <w:lang w:eastAsia="zh-CN"/>
        </w:rPr>
        <w:t>必须满足相应方法标准中对设备的要求，必须满足标准和技术协议中规定的测量范围和测量精度。如仪器附带标准物质，还需用标准物质进行验收。如仪器有检出限要求，还需对检出限进行验收。</w:t>
      </w:r>
    </w:p>
    <w:p>
      <w:pPr>
        <w:spacing w:line="288" w:lineRule="auto"/>
        <w:jc w:val="both"/>
        <w:rPr>
          <w:rFonts w:ascii="宋体" w:hAnsi="宋体"/>
          <w:b/>
          <w:sz w:val="24"/>
          <w:szCs w:val="24"/>
          <w:lang w:eastAsia="zh-CN"/>
        </w:rPr>
      </w:pPr>
      <w:r>
        <w:rPr>
          <w:rFonts w:hint="eastAsia" w:ascii="宋体" w:hAnsi="宋体"/>
          <w:b/>
          <w:sz w:val="24"/>
          <w:szCs w:val="24"/>
          <w:lang w:eastAsia="zh-CN"/>
        </w:rPr>
        <w:t>6、培训</w:t>
      </w:r>
    </w:p>
    <w:p>
      <w:pPr>
        <w:spacing w:line="288" w:lineRule="auto"/>
        <w:ind w:firstLine="480" w:firstLineChars="200"/>
        <w:jc w:val="both"/>
        <w:rPr>
          <w:rFonts w:ascii="宋体" w:hAnsi="宋体"/>
          <w:snapToGrid w:val="0"/>
          <w:color w:val="000000"/>
          <w:sz w:val="24"/>
          <w:szCs w:val="24"/>
          <w:lang w:eastAsia="zh-CN"/>
        </w:rPr>
      </w:pPr>
      <w:r>
        <w:rPr>
          <w:rFonts w:hint="eastAsia" w:ascii="宋体" w:hAnsi="宋体"/>
          <w:snapToGrid w:val="0"/>
          <w:color w:val="000000"/>
          <w:sz w:val="24"/>
          <w:szCs w:val="24"/>
          <w:lang w:eastAsia="zh-CN"/>
        </w:rPr>
        <w:t>卖方在仪器安装完成后，对买方人员进行第一期技术培训（5天以上现场培训），保证买方仪器操作人员能够正常操作仪器、初步判断故障、简单维护保养。培训内容包括：仪器结构原理、操作原理、安装调试、实际操作、软件使用、日常维护、故障排除、注意事项、应用方法、样品处理、用户使用过程中出现的问题等方面。</w:t>
      </w:r>
    </w:p>
    <w:p>
      <w:pPr>
        <w:pStyle w:val="18"/>
        <w:adjustRightInd/>
        <w:spacing w:line="288" w:lineRule="auto"/>
        <w:ind w:firstLine="480" w:firstLineChars="200"/>
        <w:jc w:val="both"/>
        <w:rPr>
          <w:rFonts w:ascii="宋体" w:hAnsi="宋体"/>
          <w:snapToGrid w:val="0"/>
        </w:rPr>
      </w:pPr>
      <w:r>
        <w:rPr>
          <w:rFonts w:hint="eastAsia" w:ascii="宋体" w:hAnsi="宋体" w:cs="宋体"/>
          <w:szCs w:val="21"/>
        </w:rPr>
        <w:t>在保修期内，</w:t>
      </w:r>
      <w:r>
        <w:rPr>
          <w:rFonts w:ascii="宋体" w:hAnsi="宋体" w:cs="宋体"/>
          <w:szCs w:val="21"/>
        </w:rPr>
        <w:t>卖方</w:t>
      </w:r>
      <w:r>
        <w:rPr>
          <w:rFonts w:hint="eastAsia" w:ascii="宋体" w:hAnsi="宋体" w:cs="宋体"/>
          <w:szCs w:val="21"/>
        </w:rPr>
        <w:t>应</w:t>
      </w:r>
      <w:r>
        <w:rPr>
          <w:rFonts w:ascii="宋体" w:hAnsi="宋体" w:cs="宋体"/>
          <w:szCs w:val="21"/>
        </w:rPr>
        <w:t>根据</w:t>
      </w:r>
      <w:r>
        <w:rPr>
          <w:rFonts w:hint="eastAsia" w:ascii="宋体" w:hAnsi="宋体" w:cs="宋体"/>
          <w:szCs w:val="21"/>
        </w:rPr>
        <w:t>买方</w:t>
      </w:r>
      <w:r>
        <w:rPr>
          <w:rFonts w:ascii="宋体" w:hAnsi="宋体" w:cs="宋体"/>
          <w:szCs w:val="21"/>
        </w:rPr>
        <w:t>要求进行定期回访</w:t>
      </w:r>
      <w:r>
        <w:rPr>
          <w:rFonts w:hint="eastAsia" w:ascii="宋体" w:hAnsi="宋体"/>
          <w:snapToGrid w:val="0"/>
        </w:rPr>
        <w:t>，对仪器进行维护保养。并对买方在仪器使用过程中存在的问题进行解答及培训。</w:t>
      </w:r>
    </w:p>
    <w:p>
      <w:pPr>
        <w:spacing w:line="288" w:lineRule="auto"/>
        <w:jc w:val="both"/>
        <w:rPr>
          <w:rFonts w:ascii="宋体" w:hAnsi="宋体"/>
          <w:b/>
          <w:sz w:val="24"/>
          <w:szCs w:val="24"/>
          <w:lang w:eastAsia="zh-CN"/>
        </w:rPr>
      </w:pPr>
      <w:r>
        <w:rPr>
          <w:rFonts w:hint="eastAsia" w:ascii="宋体" w:hAnsi="宋体"/>
          <w:b/>
          <w:sz w:val="24"/>
          <w:szCs w:val="24"/>
          <w:lang w:eastAsia="zh-CN"/>
        </w:rPr>
        <w:t>7、</w:t>
      </w:r>
      <w:bookmarkStart w:id="3" w:name="_Toc194850717"/>
      <w:r>
        <w:rPr>
          <w:rFonts w:hint="eastAsia" w:ascii="宋体" w:hAnsi="宋体"/>
          <w:b/>
          <w:sz w:val="24"/>
          <w:szCs w:val="24"/>
          <w:lang w:eastAsia="zh-CN"/>
        </w:rPr>
        <w:t>保修</w:t>
      </w:r>
      <w:bookmarkEnd w:id="3"/>
      <w:r>
        <w:rPr>
          <w:rFonts w:hint="eastAsia" w:ascii="宋体" w:hAnsi="宋体"/>
          <w:b/>
          <w:sz w:val="24"/>
          <w:szCs w:val="24"/>
          <w:lang w:eastAsia="zh-CN"/>
        </w:rPr>
        <w:t>期及售后服务</w:t>
      </w:r>
    </w:p>
    <w:p>
      <w:pPr>
        <w:spacing w:line="288" w:lineRule="auto"/>
        <w:ind w:firstLine="480" w:firstLineChars="200"/>
        <w:jc w:val="both"/>
        <w:rPr>
          <w:rFonts w:ascii="宋体" w:hAnsi="宋体"/>
          <w:snapToGrid w:val="0"/>
          <w:color w:val="000000"/>
          <w:sz w:val="24"/>
          <w:szCs w:val="24"/>
          <w:lang w:eastAsia="zh-CN"/>
        </w:rPr>
      </w:pPr>
      <w:r>
        <w:rPr>
          <w:rFonts w:hint="eastAsia" w:ascii="宋体" w:hAnsi="宋体"/>
          <w:snapToGrid w:val="0"/>
          <w:color w:val="000000"/>
          <w:sz w:val="24"/>
          <w:szCs w:val="24"/>
          <w:lang w:eastAsia="zh-CN"/>
        </w:rPr>
        <w:t>卖方负责仪器自验收合格之日起一年的仪器免费保修，免费保修</w:t>
      </w:r>
      <w:r>
        <w:rPr>
          <w:rFonts w:hint="eastAsia" w:ascii="宋体" w:hAnsi="宋体" w:cs="Arial"/>
          <w:color w:val="000000"/>
          <w:sz w:val="24"/>
          <w:lang w:eastAsia="zh-CN"/>
        </w:rPr>
        <w:t>期内的设备，均可获得免费维修服务及坏件更换</w:t>
      </w:r>
      <w:r>
        <w:rPr>
          <w:rFonts w:hint="eastAsia" w:ascii="宋体" w:hAnsi="宋体"/>
          <w:snapToGrid w:val="0"/>
          <w:color w:val="000000"/>
          <w:sz w:val="24"/>
          <w:szCs w:val="24"/>
          <w:lang w:eastAsia="zh-CN"/>
        </w:rPr>
        <w:t>。用来更换的部件和设备应当是全新的。</w:t>
      </w:r>
    </w:p>
    <w:p>
      <w:pPr>
        <w:pStyle w:val="18"/>
        <w:adjustRightInd/>
        <w:spacing w:line="288" w:lineRule="auto"/>
        <w:ind w:firstLine="480" w:firstLineChars="200"/>
        <w:jc w:val="both"/>
        <w:rPr>
          <w:rFonts w:ascii="宋体" w:hAnsi="宋体" w:cs="宋体"/>
          <w:color w:val="auto"/>
        </w:rPr>
      </w:pPr>
      <w:r>
        <w:rPr>
          <w:rFonts w:hint="eastAsia" w:ascii="宋体" w:hAnsi="宋体" w:cs="Arial"/>
          <w:color w:val="auto"/>
        </w:rPr>
        <w:t>保修期内和</w:t>
      </w:r>
      <w:r>
        <w:rPr>
          <w:rFonts w:hint="eastAsia" w:ascii="宋体" w:hAnsi="宋体" w:cs="宋体"/>
          <w:color w:val="auto"/>
        </w:rPr>
        <w:t>保修期后</w:t>
      </w:r>
      <w:r>
        <w:rPr>
          <w:rFonts w:hint="eastAsia" w:ascii="宋体" w:hAnsi="宋体" w:cs="Arial"/>
          <w:color w:val="auto"/>
        </w:rPr>
        <w:t>，如买方发现仪器有技术问题或仪器故障，卖方接到买方</w:t>
      </w:r>
      <w:r>
        <w:rPr>
          <w:rFonts w:hint="eastAsia" w:ascii="宋体" w:hAnsi="宋体" w:cs="宋体"/>
          <w:color w:val="auto"/>
        </w:rPr>
        <w:t>的Email、电话、传真或</w:t>
      </w:r>
      <w:r>
        <w:rPr>
          <w:rFonts w:hint="eastAsia" w:ascii="宋体" w:hAnsi="宋体" w:cs="Arial"/>
          <w:color w:val="auto"/>
        </w:rPr>
        <w:t>书面通知的服务请求报告后，</w:t>
      </w:r>
      <w:r>
        <w:rPr>
          <w:rFonts w:hint="eastAsia" w:ascii="宋体" w:hAnsi="宋体"/>
          <w:b/>
          <w:color w:val="auto"/>
        </w:rPr>
        <w:t>2</w:t>
      </w:r>
      <w:r>
        <w:rPr>
          <w:rFonts w:hint="eastAsia" w:ascii="宋体" w:hAnsi="宋体"/>
          <w:color w:val="auto"/>
        </w:rPr>
        <w:t>小时之内响应，</w:t>
      </w:r>
      <w:r>
        <w:rPr>
          <w:rFonts w:hint="eastAsia" w:ascii="宋体" w:hAnsi="宋体" w:cs="宋体"/>
          <w:b/>
          <w:color w:val="auto"/>
        </w:rPr>
        <w:t>8</w:t>
      </w:r>
      <w:r>
        <w:rPr>
          <w:rFonts w:hint="eastAsia" w:ascii="宋体" w:hAnsi="宋体" w:cs="宋体"/>
          <w:color w:val="auto"/>
        </w:rPr>
        <w:t>小时内提供解决方案。</w:t>
      </w:r>
      <w:r>
        <w:rPr>
          <w:rFonts w:hint="eastAsia" w:ascii="宋体" w:hAnsi="宋体" w:cs="Arial"/>
          <w:color w:val="auto"/>
        </w:rPr>
        <w:t>如不能解决问题，或</w:t>
      </w:r>
      <w:r>
        <w:rPr>
          <w:rFonts w:hint="eastAsia" w:ascii="宋体" w:hAnsi="宋体" w:cs="宋体"/>
          <w:color w:val="auto"/>
        </w:rPr>
        <w:t>根据买方的要求，</w:t>
      </w:r>
      <w:r>
        <w:rPr>
          <w:rFonts w:hint="eastAsia" w:ascii="宋体" w:hAnsi="宋体" w:cs="Arial"/>
          <w:color w:val="auto"/>
        </w:rPr>
        <w:t>卖方自接到技术服务要求起计，</w:t>
      </w:r>
      <w:r>
        <w:rPr>
          <w:rFonts w:hint="eastAsia" w:ascii="宋体" w:hAnsi="宋体" w:cs="宋体"/>
          <w:b/>
          <w:color w:val="auto"/>
        </w:rPr>
        <w:t>48</w:t>
      </w:r>
      <w:r>
        <w:rPr>
          <w:rFonts w:hint="eastAsia" w:ascii="宋体" w:hAnsi="宋体" w:cs="宋体"/>
          <w:color w:val="auto"/>
        </w:rPr>
        <w:t>小时内无条件提供现场</w:t>
      </w:r>
      <w:r>
        <w:rPr>
          <w:rFonts w:hint="eastAsia" w:ascii="宋体" w:hAnsi="宋体" w:cs="Arial"/>
          <w:color w:val="auto"/>
        </w:rPr>
        <w:t>维修</w:t>
      </w:r>
      <w:r>
        <w:rPr>
          <w:rFonts w:hint="eastAsia" w:ascii="宋体" w:hAnsi="宋体" w:cs="宋体"/>
          <w:color w:val="auto"/>
        </w:rPr>
        <w:t>服务</w:t>
      </w:r>
      <w:r>
        <w:rPr>
          <w:rFonts w:hint="eastAsia" w:ascii="宋体" w:hAnsi="宋体" w:cs="Arial"/>
          <w:color w:val="auto"/>
        </w:rPr>
        <w:t>，并彻底解决仪器之故障。</w:t>
      </w:r>
    </w:p>
    <w:p>
      <w:pPr>
        <w:spacing w:line="288" w:lineRule="auto"/>
        <w:ind w:firstLine="480" w:firstLineChars="200"/>
        <w:jc w:val="both"/>
        <w:rPr>
          <w:rFonts w:ascii="宋体" w:hAnsi="宋体" w:cs="Arial"/>
          <w:sz w:val="24"/>
          <w:szCs w:val="24"/>
          <w:lang w:eastAsia="zh-CN"/>
        </w:rPr>
      </w:pPr>
      <w:r>
        <w:rPr>
          <w:rFonts w:hint="eastAsia" w:ascii="宋体" w:hAnsi="宋体" w:cs="Arial"/>
          <w:sz w:val="24"/>
          <w:szCs w:val="24"/>
          <w:lang w:eastAsia="zh-CN"/>
        </w:rPr>
        <w:t>保修期内的维修：保修范围内的零部件等不收取费用（消耗品除外）。维修服务不收取服务费用（包括交通费、住宿费、工时费）。</w:t>
      </w:r>
    </w:p>
    <w:p>
      <w:pPr>
        <w:spacing w:line="288" w:lineRule="auto"/>
        <w:jc w:val="both"/>
        <w:rPr>
          <w:rFonts w:ascii="宋体" w:hAnsi="宋体"/>
          <w:b/>
          <w:snapToGrid w:val="0"/>
          <w:color w:val="000000"/>
          <w:sz w:val="24"/>
          <w:szCs w:val="24"/>
          <w:lang w:eastAsia="zh-CN"/>
        </w:rPr>
      </w:pPr>
      <w:r>
        <w:rPr>
          <w:rFonts w:hint="eastAsia" w:ascii="宋体" w:hAnsi="宋体"/>
          <w:b/>
          <w:snapToGrid w:val="0"/>
          <w:color w:val="000000"/>
          <w:sz w:val="24"/>
          <w:szCs w:val="24"/>
          <w:lang w:eastAsia="zh-CN"/>
        </w:rPr>
        <w:t>五、其他保证</w:t>
      </w:r>
    </w:p>
    <w:p>
      <w:pPr>
        <w:spacing w:line="288" w:lineRule="auto"/>
        <w:jc w:val="both"/>
        <w:rPr>
          <w:rFonts w:ascii="宋体" w:hAnsi="宋体"/>
          <w:snapToGrid w:val="0"/>
          <w:color w:val="000000"/>
          <w:sz w:val="24"/>
          <w:szCs w:val="24"/>
          <w:lang w:eastAsia="zh-CN"/>
        </w:rPr>
      </w:pPr>
      <w:r>
        <w:rPr>
          <w:rFonts w:hint="eastAsia" w:ascii="宋体" w:hAnsi="宋体"/>
          <w:snapToGrid w:val="0"/>
          <w:color w:val="000000"/>
          <w:sz w:val="24"/>
          <w:szCs w:val="24"/>
          <w:lang w:eastAsia="zh-CN"/>
        </w:rPr>
        <w:t>1、备品备件保证</w:t>
      </w:r>
    </w:p>
    <w:p>
      <w:pPr>
        <w:pStyle w:val="18"/>
        <w:adjustRightInd/>
        <w:spacing w:line="288" w:lineRule="auto"/>
        <w:ind w:firstLine="480" w:firstLineChars="200"/>
        <w:jc w:val="both"/>
        <w:rPr>
          <w:rFonts w:ascii="宋体" w:hAnsi="宋体" w:cs="宋体"/>
        </w:rPr>
      </w:pPr>
      <w:r>
        <w:rPr>
          <w:rFonts w:hint="eastAsia" w:ascii="宋体" w:hAnsi="宋体" w:cs="宋体"/>
        </w:rPr>
        <w:t>卖方供货清单中的所有设备、部件应保证</w:t>
      </w:r>
      <w:r>
        <w:rPr>
          <w:rFonts w:hint="eastAsia" w:ascii="宋体" w:hAnsi="宋体" w:cs="宋体"/>
          <w:b/>
        </w:rPr>
        <w:t>15</w:t>
      </w:r>
      <w:r>
        <w:rPr>
          <w:rFonts w:hint="eastAsia" w:ascii="宋体" w:hAnsi="宋体" w:cs="宋体"/>
        </w:rPr>
        <w:t>年（或停止生产后</w:t>
      </w:r>
      <w:r>
        <w:rPr>
          <w:rFonts w:hint="eastAsia" w:ascii="宋体" w:hAnsi="宋体" w:cs="宋体"/>
          <w:b/>
        </w:rPr>
        <w:t>9</w:t>
      </w:r>
      <w:r>
        <w:rPr>
          <w:rFonts w:hint="eastAsia" w:ascii="宋体" w:hAnsi="宋体" w:cs="宋体"/>
        </w:rPr>
        <w:t xml:space="preserve">年）以上的备件供应期。 </w:t>
      </w:r>
    </w:p>
    <w:p>
      <w:pPr>
        <w:spacing w:line="288" w:lineRule="auto"/>
        <w:ind w:firstLine="480" w:firstLineChars="200"/>
        <w:jc w:val="both"/>
        <w:rPr>
          <w:rFonts w:ascii="宋体" w:hAnsi="宋体" w:cs="Arial"/>
          <w:sz w:val="24"/>
          <w:szCs w:val="24"/>
          <w:lang w:eastAsia="zh-CN"/>
        </w:rPr>
      </w:pPr>
      <w:r>
        <w:rPr>
          <w:rFonts w:hint="eastAsia" w:ascii="宋体" w:hAnsi="宋体" w:cs="Arial"/>
          <w:sz w:val="24"/>
          <w:szCs w:val="24"/>
          <w:lang w:eastAsia="zh-CN"/>
        </w:rPr>
        <w:t>保修期后，</w:t>
      </w:r>
      <w:r>
        <w:rPr>
          <w:rFonts w:hint="eastAsia" w:ascii="宋体" w:hAnsi="宋体"/>
          <w:sz w:val="24"/>
          <w:szCs w:val="24"/>
          <w:lang w:eastAsia="zh-CN"/>
        </w:rPr>
        <w:t>卖方</w:t>
      </w:r>
      <w:r>
        <w:rPr>
          <w:rFonts w:hint="eastAsia" w:ascii="宋体" w:hAnsi="宋体" w:cs="Arial"/>
          <w:sz w:val="24"/>
          <w:szCs w:val="24"/>
          <w:lang w:eastAsia="zh-CN"/>
        </w:rPr>
        <w:t>继续免费为买方提供仪器技术咨询和支持，有偿提供维修服务，有偿供应备品备件。</w:t>
      </w:r>
    </w:p>
    <w:p>
      <w:pPr>
        <w:spacing w:line="288" w:lineRule="auto"/>
        <w:jc w:val="both"/>
        <w:rPr>
          <w:rFonts w:ascii="宋体" w:hAnsi="宋体" w:cs="Arial"/>
          <w:sz w:val="24"/>
          <w:szCs w:val="24"/>
          <w:lang w:eastAsia="zh-CN"/>
        </w:rPr>
      </w:pPr>
      <w:r>
        <w:rPr>
          <w:rFonts w:hint="eastAsia" w:ascii="宋体" w:hAnsi="宋体" w:cs="Arial"/>
          <w:sz w:val="24"/>
          <w:szCs w:val="24"/>
          <w:lang w:eastAsia="zh-CN"/>
        </w:rPr>
        <w:t>2、能力保证</w:t>
      </w:r>
    </w:p>
    <w:p>
      <w:pPr>
        <w:spacing w:line="288" w:lineRule="auto"/>
        <w:ind w:firstLine="480"/>
        <w:jc w:val="both"/>
        <w:rPr>
          <w:rFonts w:ascii="宋体" w:hAnsi="宋体" w:cs="Arial"/>
          <w:sz w:val="24"/>
          <w:szCs w:val="24"/>
          <w:lang w:eastAsia="zh-CN"/>
        </w:rPr>
      </w:pPr>
      <w:r>
        <w:rPr>
          <w:rFonts w:hint="eastAsia" w:ascii="宋体" w:hAnsi="宋体" w:cs="Arial"/>
          <w:sz w:val="24"/>
          <w:szCs w:val="24"/>
          <w:lang w:eastAsia="zh-CN"/>
        </w:rPr>
        <w:t>卖方应提供国内距本项目最近的技术咨询专家、应用专家、维修工程师的联络方式等资料。</w:t>
      </w:r>
    </w:p>
    <w:p>
      <w:pPr>
        <w:spacing w:line="288" w:lineRule="auto"/>
        <w:jc w:val="both"/>
        <w:rPr>
          <w:rFonts w:ascii="宋体" w:hAnsi="宋体" w:cs="Arial"/>
          <w:sz w:val="24"/>
          <w:szCs w:val="24"/>
          <w:lang w:eastAsia="zh-CN"/>
        </w:rPr>
      </w:pPr>
      <w:r>
        <w:rPr>
          <w:rFonts w:hint="eastAsia" w:ascii="宋体" w:hAnsi="宋体" w:cs="Arial"/>
          <w:sz w:val="24"/>
          <w:szCs w:val="24"/>
          <w:lang w:eastAsia="zh-CN"/>
        </w:rPr>
        <w:t>3、其他服务</w:t>
      </w:r>
    </w:p>
    <w:p>
      <w:pPr>
        <w:spacing w:line="288" w:lineRule="auto"/>
        <w:ind w:firstLine="480"/>
        <w:jc w:val="both"/>
        <w:rPr>
          <w:rFonts w:ascii="宋体" w:hAnsi="宋体" w:cs="Arial"/>
          <w:sz w:val="24"/>
          <w:szCs w:val="24"/>
          <w:lang w:eastAsia="zh-CN"/>
        </w:rPr>
      </w:pPr>
      <w:r>
        <w:rPr>
          <w:rFonts w:hint="eastAsia" w:ascii="宋体" w:hAnsi="宋体" w:cs="Arial"/>
          <w:sz w:val="24"/>
          <w:szCs w:val="24"/>
          <w:lang w:eastAsia="zh-CN"/>
        </w:rPr>
        <w:t>回访服务：保修期过后，卖方工程师每年对买方进行回访，以便于及时发现和处理问题，保证仪器的各项性能得到最大的发挥。</w:t>
      </w:r>
    </w:p>
    <w:p>
      <w:pPr>
        <w:rPr>
          <w:rFonts w:ascii="宋体" w:hAnsi="宋体" w:cs="Arial"/>
          <w:b/>
          <w:sz w:val="24"/>
          <w:szCs w:val="24"/>
          <w:lang w:eastAsia="zh-CN"/>
        </w:rPr>
      </w:pPr>
      <w:r>
        <w:rPr>
          <w:rFonts w:ascii="宋体" w:hAnsi="宋体" w:cs="Arial"/>
          <w:b/>
          <w:sz w:val="24"/>
          <w:szCs w:val="24"/>
          <w:lang w:eastAsia="zh-CN"/>
        </w:rPr>
        <w:br w:type="page"/>
      </w:r>
      <w:r>
        <w:rPr>
          <w:rFonts w:hint="eastAsia" w:cs="Arial" w:asciiTheme="minorEastAsia" w:hAnsiTheme="minorEastAsia" w:eastAsiaTheme="minorEastAsia"/>
          <w:b/>
          <w:sz w:val="24"/>
          <w:szCs w:val="24"/>
          <w:lang w:eastAsia="zh-CN"/>
        </w:rPr>
        <w:t>附件一:</w:t>
      </w:r>
    </w:p>
    <w:p>
      <w:pPr>
        <w:spacing w:line="300" w:lineRule="auto"/>
        <w:jc w:val="both"/>
        <w:rPr>
          <w:rFonts w:cs="Arial" w:asciiTheme="minorEastAsia" w:hAnsiTheme="minorEastAsia" w:eastAsiaTheme="minorEastAsia"/>
          <w:color w:val="C00000"/>
          <w:sz w:val="24"/>
          <w:szCs w:val="24"/>
          <w:lang w:eastAsia="zh-CN"/>
        </w:rPr>
      </w:pPr>
      <w:r>
        <w:rPr>
          <w:rFonts w:hint="eastAsia" w:cs="Arial" w:asciiTheme="minorEastAsia" w:hAnsiTheme="minorEastAsia" w:eastAsiaTheme="minorEastAsia"/>
          <w:color w:val="C00000"/>
          <w:sz w:val="24"/>
          <w:szCs w:val="24"/>
          <w:lang w:eastAsia="zh-CN"/>
        </w:rPr>
        <w:t>一、</w:t>
      </w:r>
      <w:r>
        <w:rPr>
          <w:rFonts w:hint="eastAsia" w:asciiTheme="minorEastAsia" w:hAnsiTheme="minorEastAsia" w:eastAsiaTheme="minorEastAsia"/>
          <w:b/>
          <w:color w:val="C00000"/>
          <w:sz w:val="24"/>
          <w:szCs w:val="24"/>
          <w:lang w:eastAsia="zh-CN"/>
        </w:rPr>
        <w:t>原油盐含量测试仪（进口1台）</w:t>
      </w:r>
    </w:p>
    <w:p>
      <w:pPr>
        <w:spacing w:line="300" w:lineRule="auto"/>
        <w:jc w:val="both"/>
        <w:rPr>
          <w:rFonts w:cs="Arial" w:asciiTheme="minorEastAsia" w:hAnsiTheme="minorEastAsia" w:eastAsiaTheme="minorEastAsia"/>
          <w:sz w:val="24"/>
          <w:szCs w:val="24"/>
          <w:lang w:eastAsia="zh-CN"/>
        </w:rPr>
      </w:pPr>
      <w:r>
        <w:rPr>
          <w:rFonts w:cs="Arial" w:asciiTheme="minorEastAsia" w:hAnsiTheme="minorEastAsia" w:eastAsiaTheme="minorEastAsia"/>
          <w:b/>
          <w:sz w:val="24"/>
          <w:szCs w:val="24"/>
          <w:lang w:eastAsia="zh-CN"/>
        </w:rPr>
        <w:t>1、</w:t>
      </w:r>
      <w:r>
        <w:rPr>
          <w:rFonts w:hint="eastAsia" w:cs="Arial" w:asciiTheme="minorEastAsia" w:hAnsiTheme="minorEastAsia" w:eastAsiaTheme="minorEastAsia"/>
          <w:b/>
          <w:sz w:val="24"/>
          <w:szCs w:val="24"/>
          <w:lang w:eastAsia="zh-CN"/>
        </w:rPr>
        <w:t>技术要求</w:t>
      </w:r>
    </w:p>
    <w:p>
      <w:pPr>
        <w:widowControl w:val="0"/>
        <w:autoSpaceDE w:val="0"/>
        <w:autoSpaceDN w:val="0"/>
        <w:adjustRightInd w:val="0"/>
        <w:spacing w:line="288" w:lineRule="auto"/>
        <w:rPr>
          <w:rFonts w:ascii="宋体" w:hAnsi="宋体" w:cs="Arial"/>
          <w:bCs/>
          <w:sz w:val="24"/>
          <w:szCs w:val="24"/>
          <w:lang w:eastAsia="zh-CN"/>
        </w:rPr>
      </w:pPr>
      <w:r>
        <w:rPr>
          <w:rFonts w:ascii="宋体" w:hAnsi="宋体" w:cs="Arial"/>
          <w:bCs/>
          <w:sz w:val="24"/>
          <w:szCs w:val="24"/>
          <w:lang w:eastAsia="zh-CN"/>
        </w:rPr>
        <w:t>1</w:t>
      </w:r>
      <w:r>
        <w:rPr>
          <w:rFonts w:hint="eastAsia" w:ascii="宋体" w:hAnsi="宋体" w:cs="Arial"/>
          <w:bCs/>
          <w:sz w:val="24"/>
          <w:szCs w:val="24"/>
          <w:lang w:eastAsia="zh-CN"/>
        </w:rPr>
        <w:t>.1</w:t>
      </w:r>
      <w:r>
        <w:rPr>
          <w:rFonts w:ascii="宋体" w:hAnsi="宋体" w:cs="Arial"/>
          <w:bCs/>
          <w:sz w:val="24"/>
          <w:szCs w:val="24"/>
          <w:lang w:eastAsia="zh-CN"/>
        </w:rPr>
        <w:t xml:space="preserve"> </w:t>
      </w:r>
      <w:r>
        <w:rPr>
          <w:rFonts w:hint="eastAsia" w:ascii="宋体" w:hAnsi="宋体" w:cs="Arial"/>
          <w:bCs/>
          <w:sz w:val="24"/>
          <w:szCs w:val="24"/>
          <w:lang w:eastAsia="zh-CN"/>
        </w:rPr>
        <w:t>通过测量极性溶液中的原油样品中电导率和已知盐混合物中电导率的校准曲线来获得原油盐含量。</w:t>
      </w:r>
    </w:p>
    <w:p>
      <w:pPr>
        <w:widowControl w:val="0"/>
        <w:autoSpaceDE w:val="0"/>
        <w:autoSpaceDN w:val="0"/>
        <w:adjustRightInd w:val="0"/>
        <w:spacing w:line="288" w:lineRule="auto"/>
        <w:rPr>
          <w:rFonts w:ascii="宋体" w:hAnsi="宋体" w:cs="Arial"/>
          <w:bCs/>
          <w:sz w:val="24"/>
          <w:szCs w:val="24"/>
          <w:lang w:eastAsia="zh-CN"/>
        </w:rPr>
      </w:pPr>
      <w:r>
        <w:rPr>
          <w:rFonts w:hint="eastAsia" w:ascii="宋体" w:hAnsi="宋体" w:cs="Arial"/>
          <w:bCs/>
          <w:sz w:val="24"/>
          <w:szCs w:val="24"/>
          <w:lang w:eastAsia="zh-CN"/>
        </w:rPr>
        <w:t>1</w:t>
      </w:r>
      <w:r>
        <w:rPr>
          <w:rFonts w:ascii="宋体" w:hAnsi="宋体" w:cs="Arial"/>
          <w:bCs/>
          <w:sz w:val="24"/>
          <w:szCs w:val="24"/>
          <w:lang w:eastAsia="zh-CN"/>
        </w:rPr>
        <w:t xml:space="preserve">.2 </w:t>
      </w:r>
      <w:r>
        <w:rPr>
          <w:rFonts w:hint="eastAsia" w:ascii="宋体" w:hAnsi="宋体" w:cs="Arial"/>
          <w:bCs/>
          <w:sz w:val="24"/>
          <w:szCs w:val="24"/>
          <w:lang w:eastAsia="zh-CN"/>
        </w:rPr>
        <w:t>传导性范围： 0.0--430.0 g/m3 (分辨率：0.1 g/m3)</w:t>
      </w:r>
    </w:p>
    <w:p>
      <w:pPr>
        <w:widowControl w:val="0"/>
        <w:autoSpaceDE w:val="0"/>
        <w:autoSpaceDN w:val="0"/>
        <w:adjustRightInd w:val="0"/>
        <w:spacing w:line="288" w:lineRule="auto"/>
        <w:ind w:firstLine="1680" w:firstLineChars="700"/>
        <w:rPr>
          <w:rFonts w:ascii="宋体" w:hAnsi="宋体" w:cs="Arial"/>
          <w:bCs/>
          <w:sz w:val="24"/>
          <w:szCs w:val="24"/>
          <w:lang w:eastAsia="zh-CN"/>
        </w:rPr>
      </w:pPr>
      <w:r>
        <w:rPr>
          <w:rFonts w:hint="eastAsia" w:ascii="宋体" w:hAnsi="宋体" w:cs="Arial"/>
          <w:bCs/>
          <w:sz w:val="24"/>
          <w:szCs w:val="24"/>
          <w:lang w:eastAsia="zh-CN"/>
        </w:rPr>
        <w:t>或 0.0 – 151 lbs/1000bbl (分辨率：0.1 lbs/1000bbl)</w:t>
      </w:r>
    </w:p>
    <w:p>
      <w:pPr>
        <w:spacing w:line="288" w:lineRule="auto"/>
        <w:jc w:val="both"/>
        <w:rPr>
          <w:rFonts w:ascii="宋体" w:hAnsi="宋体" w:cs="Arial"/>
          <w:bCs/>
          <w:sz w:val="24"/>
          <w:szCs w:val="24"/>
          <w:lang w:eastAsia="zh-CN"/>
        </w:rPr>
      </w:pPr>
      <w:r>
        <w:rPr>
          <w:rFonts w:hint="eastAsia" w:ascii="宋体" w:hAnsi="宋体" w:cs="Arial"/>
          <w:bCs/>
          <w:sz w:val="24"/>
          <w:szCs w:val="24"/>
          <w:lang w:eastAsia="zh-CN"/>
        </w:rPr>
        <w:t>1</w:t>
      </w:r>
      <w:r>
        <w:rPr>
          <w:rFonts w:ascii="宋体" w:hAnsi="宋体" w:cs="Arial"/>
          <w:bCs/>
          <w:sz w:val="24"/>
          <w:szCs w:val="24"/>
          <w:lang w:eastAsia="zh-CN"/>
        </w:rPr>
        <w:t>.3</w:t>
      </w:r>
      <w:r>
        <w:rPr>
          <w:rFonts w:hint="eastAsia" w:ascii="宋体" w:hAnsi="宋体" w:cs="Arial"/>
          <w:bCs/>
          <w:sz w:val="24"/>
          <w:szCs w:val="24"/>
          <w:lang w:eastAsia="zh-CN"/>
        </w:rPr>
        <w:t>温度范围：</w:t>
      </w:r>
      <w:r>
        <w:rPr>
          <w:rFonts w:ascii="宋体" w:hAnsi="宋体" w:cs="Arial"/>
          <w:bCs/>
          <w:sz w:val="24"/>
          <w:szCs w:val="24"/>
          <w:lang w:eastAsia="zh-CN"/>
        </w:rPr>
        <w:t>-20º to 150ºC (</w:t>
      </w:r>
      <w:r>
        <w:rPr>
          <w:rFonts w:hint="eastAsia" w:ascii="宋体" w:hAnsi="宋体" w:cs="Arial"/>
          <w:bCs/>
          <w:sz w:val="24"/>
          <w:szCs w:val="24"/>
          <w:lang w:eastAsia="zh-CN"/>
        </w:rPr>
        <w:t>分辨率：</w:t>
      </w:r>
      <w:r>
        <w:rPr>
          <w:rFonts w:ascii="宋体" w:hAnsi="宋体" w:cs="Arial"/>
          <w:bCs/>
          <w:sz w:val="24"/>
          <w:szCs w:val="24"/>
          <w:lang w:eastAsia="zh-CN"/>
        </w:rPr>
        <w:t>0.1ºC)</w:t>
      </w:r>
    </w:p>
    <w:p>
      <w:pPr>
        <w:spacing w:line="288" w:lineRule="auto"/>
        <w:jc w:val="both"/>
        <w:rPr>
          <w:rFonts w:ascii="宋体" w:hAnsi="宋体" w:cs="Arial"/>
          <w:bCs/>
          <w:sz w:val="24"/>
          <w:szCs w:val="24"/>
          <w:lang w:eastAsia="zh-CN"/>
        </w:rPr>
      </w:pPr>
      <w:r>
        <w:rPr>
          <w:rFonts w:ascii="宋体" w:hAnsi="宋体" w:cs="Arial"/>
          <w:bCs/>
          <w:sz w:val="24"/>
          <w:szCs w:val="24"/>
          <w:lang w:eastAsia="zh-CN"/>
        </w:rPr>
        <w:t>1.4电源：电池或220V电源 </w:t>
      </w:r>
    </w:p>
    <w:p>
      <w:pPr>
        <w:spacing w:line="300" w:lineRule="auto"/>
        <w:jc w:val="both"/>
        <w:rPr>
          <w:rFonts w:cs="宋体" w:asciiTheme="minorEastAsia" w:hAnsiTheme="minorEastAsia" w:eastAsiaTheme="minorEastAsia"/>
          <w:b/>
          <w:sz w:val="24"/>
          <w:szCs w:val="24"/>
          <w:lang w:eastAsia="zh-CN"/>
        </w:rPr>
      </w:pPr>
      <w:r>
        <w:rPr>
          <w:rFonts w:cs="宋体" w:asciiTheme="minorEastAsia" w:hAnsiTheme="minorEastAsia" w:eastAsiaTheme="minorEastAsia"/>
          <w:b/>
          <w:sz w:val="24"/>
          <w:szCs w:val="24"/>
          <w:lang w:eastAsia="zh-CN"/>
        </w:rPr>
        <w:t>2</w:t>
      </w:r>
      <w:r>
        <w:rPr>
          <w:rFonts w:hint="eastAsia" w:cs="宋体" w:asciiTheme="minorEastAsia" w:hAnsiTheme="minorEastAsia" w:eastAsiaTheme="minorEastAsia"/>
          <w:b/>
          <w:sz w:val="24"/>
          <w:szCs w:val="24"/>
          <w:lang w:eastAsia="zh-CN"/>
        </w:rPr>
        <w:t>.适用方法：</w:t>
      </w:r>
    </w:p>
    <w:p>
      <w:pPr>
        <w:spacing w:line="300" w:lineRule="auto"/>
        <w:jc w:val="both"/>
        <w:rPr>
          <w:rFonts w:ascii="宋体" w:hAnsi="宋体"/>
          <w:sz w:val="24"/>
          <w:lang w:eastAsia="zh-CN"/>
        </w:rPr>
      </w:pPr>
      <w:r>
        <w:rPr>
          <w:rFonts w:hint="eastAsia" w:asciiTheme="minorEastAsia" w:hAnsiTheme="minorEastAsia" w:eastAsiaTheme="minorEastAsia"/>
          <w:sz w:val="24"/>
          <w:szCs w:val="24"/>
          <w:lang w:eastAsia="zh-CN"/>
        </w:rPr>
        <w:t>仪器须符合试验方</w:t>
      </w:r>
      <w:r>
        <w:rPr>
          <w:rFonts w:hint="eastAsia" w:ascii="宋体" w:hAnsi="宋体"/>
          <w:sz w:val="24"/>
          <w:lang w:eastAsia="zh-CN"/>
        </w:rPr>
        <w:t>法：</w:t>
      </w:r>
      <w:r>
        <w:rPr>
          <w:rFonts w:ascii="宋体" w:hAnsi="宋体"/>
          <w:sz w:val="24"/>
          <w:lang w:eastAsia="zh-CN"/>
        </w:rPr>
        <w:t>ASTM D3230, IP265 </w:t>
      </w:r>
      <w:r>
        <w:rPr>
          <w:rFonts w:hint="eastAsia" w:ascii="宋体" w:hAnsi="宋体"/>
          <w:sz w:val="24"/>
          <w:lang w:eastAsia="zh-CN"/>
        </w:rPr>
        <w:t>要求。</w:t>
      </w:r>
    </w:p>
    <w:p>
      <w:pPr>
        <w:spacing w:line="300" w:lineRule="auto"/>
        <w:ind w:left="241" w:hanging="241" w:hangingChars="100"/>
        <w:jc w:val="both"/>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3</w:t>
      </w:r>
      <w:r>
        <w:rPr>
          <w:rFonts w:hint="eastAsia" w:asciiTheme="minorEastAsia" w:hAnsiTheme="minorEastAsia" w:eastAsiaTheme="minorEastAsia"/>
          <w:b/>
          <w:sz w:val="24"/>
          <w:szCs w:val="24"/>
          <w:lang w:eastAsia="zh-CN"/>
        </w:rPr>
        <w:t>.分析样品：</w:t>
      </w:r>
    </w:p>
    <w:p>
      <w:pPr>
        <w:tabs>
          <w:tab w:val="left" w:pos="6030"/>
        </w:tabs>
        <w:adjustRightInd w:val="0"/>
        <w:snapToGrid w:val="0"/>
        <w:spacing w:line="300" w:lineRule="auto"/>
        <w:jc w:val="both"/>
        <w:rPr>
          <w:rFonts w:ascii="宋体" w:hAnsi="宋体"/>
          <w:sz w:val="24"/>
          <w:lang w:eastAsia="zh-CN"/>
        </w:rPr>
      </w:pPr>
      <w:r>
        <w:rPr>
          <w:rFonts w:hint="eastAsia" w:ascii="宋体" w:hAnsi="宋体"/>
          <w:sz w:val="24"/>
          <w:lang w:eastAsia="zh-CN"/>
        </w:rPr>
        <w:t>3</w:t>
      </w:r>
      <w:r>
        <w:rPr>
          <w:rFonts w:ascii="宋体" w:hAnsi="宋体"/>
          <w:sz w:val="24"/>
          <w:lang w:eastAsia="zh-CN"/>
        </w:rPr>
        <w:t>.1</w:t>
      </w:r>
      <w:r>
        <w:rPr>
          <w:rFonts w:hint="eastAsia" w:ascii="宋体" w:hAnsi="宋体"/>
          <w:sz w:val="24"/>
          <w:lang w:eastAsia="zh-CN"/>
        </w:rPr>
        <w:t>用于测定</w:t>
      </w:r>
      <w:r>
        <w:rPr>
          <w:rFonts w:hint="eastAsia" w:ascii="宋体" w:hAnsi="宋体" w:cs="黑体"/>
          <w:sz w:val="24"/>
          <w:szCs w:val="24"/>
          <w:lang w:eastAsia="zh-CN"/>
        </w:rPr>
        <w:t>原油、常压渣油的盐含量</w:t>
      </w:r>
      <w:r>
        <w:rPr>
          <w:rFonts w:hint="eastAsia" w:ascii="宋体" w:hAnsi="宋体"/>
          <w:sz w:val="24"/>
          <w:lang w:eastAsia="zh-CN"/>
        </w:rPr>
        <w:t>。</w:t>
      </w:r>
    </w:p>
    <w:p>
      <w:pPr>
        <w:tabs>
          <w:tab w:val="left" w:pos="6030"/>
        </w:tabs>
        <w:adjustRightInd w:val="0"/>
        <w:snapToGrid w:val="0"/>
        <w:spacing w:line="300" w:lineRule="auto"/>
        <w:jc w:val="both"/>
        <w:rPr>
          <w:rFonts w:cs="宋体-方正超大字符集" w:asciiTheme="minorEastAsia" w:hAnsiTheme="minorEastAsia" w:eastAsiaTheme="minorEastAsia"/>
          <w:b/>
          <w:sz w:val="24"/>
          <w:szCs w:val="24"/>
          <w:lang w:eastAsia="zh-CN"/>
        </w:rPr>
      </w:pPr>
      <w:r>
        <w:rPr>
          <w:rFonts w:cs="宋体-方正超大字符集" w:asciiTheme="minorEastAsia" w:hAnsiTheme="minorEastAsia" w:eastAsiaTheme="minorEastAsia"/>
          <w:b/>
          <w:sz w:val="24"/>
          <w:szCs w:val="24"/>
          <w:lang w:eastAsia="zh-CN"/>
        </w:rPr>
        <w:t>4</w:t>
      </w:r>
      <w:r>
        <w:rPr>
          <w:rFonts w:hint="eastAsia" w:cs="宋体-方正超大字符集" w:asciiTheme="minorEastAsia" w:hAnsiTheme="minorEastAsia" w:eastAsiaTheme="minorEastAsia"/>
          <w:b/>
          <w:sz w:val="24"/>
          <w:szCs w:val="24"/>
          <w:lang w:eastAsia="zh-CN"/>
        </w:rPr>
        <w:t>、备品备件</w:t>
      </w:r>
      <w:r>
        <w:rPr>
          <w:rFonts w:cs="宋体-方正超大字符集" w:asciiTheme="minorEastAsia" w:hAnsiTheme="minorEastAsia" w:eastAsiaTheme="minorEastAsia"/>
          <w:b/>
          <w:sz w:val="24"/>
          <w:szCs w:val="24"/>
          <w:lang w:eastAsia="zh-CN"/>
        </w:rPr>
        <w:tab/>
      </w:r>
    </w:p>
    <w:p>
      <w:pPr>
        <w:adjustRightInd w:val="0"/>
        <w:snapToGrid w:val="0"/>
        <w:spacing w:line="300" w:lineRule="auto"/>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4.1</w:t>
      </w:r>
      <w:r>
        <w:rPr>
          <w:rFonts w:cs="宋体" w:asciiTheme="minorEastAsia" w:hAnsiTheme="minorEastAsia" w:eastAsiaTheme="minorEastAsia"/>
          <w:sz w:val="24"/>
          <w:szCs w:val="24"/>
          <w:lang w:eastAsia="zh-CN"/>
        </w:rPr>
        <w:t xml:space="preserve"> 各种浓度级别标准样品</w:t>
      </w:r>
    </w:p>
    <w:p>
      <w:pPr>
        <w:adjustRightInd w:val="0"/>
        <w:snapToGrid w:val="0"/>
        <w:spacing w:line="300" w:lineRule="auto"/>
        <w:jc w:val="both"/>
        <w:rPr>
          <w:rFonts w:cs="宋体" w:asciiTheme="minorEastAsia" w:hAnsiTheme="minorEastAsia" w:eastAsiaTheme="minorEastAsia"/>
          <w:sz w:val="24"/>
          <w:szCs w:val="24"/>
          <w:lang w:eastAsia="zh-CN"/>
        </w:rPr>
      </w:pPr>
      <w:r>
        <w:rPr>
          <w:rFonts w:cs="宋体" w:asciiTheme="minorEastAsia" w:hAnsiTheme="minorEastAsia" w:eastAsiaTheme="minorEastAsia"/>
          <w:sz w:val="24"/>
          <w:szCs w:val="24"/>
          <w:lang w:eastAsia="zh-CN"/>
        </w:rPr>
        <w:t xml:space="preserve">4.2 </w:t>
      </w:r>
      <w:r>
        <w:rPr>
          <w:rFonts w:hint="eastAsia" w:cs="宋体" w:asciiTheme="minorEastAsia" w:hAnsiTheme="minorEastAsia" w:eastAsiaTheme="minorEastAsia"/>
          <w:sz w:val="24"/>
          <w:szCs w:val="24"/>
          <w:lang w:eastAsia="zh-CN"/>
        </w:rPr>
        <w:t>易损件及耗品满足两年用量，</w:t>
      </w:r>
    </w:p>
    <w:p>
      <w:pPr>
        <w:adjustRightInd w:val="0"/>
        <w:snapToGrid w:val="0"/>
        <w:spacing w:line="300" w:lineRule="auto"/>
        <w:jc w:val="both"/>
        <w:rPr>
          <w:rFonts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4.3</w:t>
      </w:r>
      <w:r>
        <w:rPr>
          <w:rFonts w:cs="宋体" w:asciiTheme="minorEastAsia" w:hAnsiTheme="minorEastAsia" w:eastAsiaTheme="minorEastAsia"/>
          <w:sz w:val="24"/>
          <w:szCs w:val="24"/>
          <w:lang w:eastAsia="zh-CN"/>
        </w:rPr>
        <w:t xml:space="preserve"> </w:t>
      </w:r>
      <w:r>
        <w:rPr>
          <w:rFonts w:hint="eastAsia" w:cs="宋体" w:asciiTheme="minorEastAsia" w:hAnsiTheme="minorEastAsia" w:eastAsiaTheme="minorEastAsia"/>
          <w:sz w:val="24"/>
          <w:szCs w:val="24"/>
          <w:lang w:eastAsia="zh-CN"/>
        </w:rPr>
        <w:t>仪器配套的工具包一套。</w:t>
      </w:r>
    </w:p>
    <w:p>
      <w:pPr>
        <w:spacing w:line="300" w:lineRule="auto"/>
        <w:jc w:val="both"/>
        <w:rPr>
          <w:rFonts w:asciiTheme="minorEastAsia" w:hAnsiTheme="minorEastAsia" w:eastAsiaTheme="minorEastAsia"/>
          <w:sz w:val="24"/>
          <w:szCs w:val="24"/>
          <w:lang w:eastAsia="zh-CN"/>
        </w:rPr>
      </w:pPr>
    </w:p>
    <w:sectPr>
      <w:headerReference r:id="rId6" w:type="default"/>
      <w:pgSz w:w="11909" w:h="16834"/>
      <w:pgMar w:top="1440" w:right="1134" w:bottom="1440" w:left="1418" w:header="839"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ascii="华文行楷" w:eastAsia="华文行楷"/>
        <w:sz w:val="24"/>
        <w:lang w:eastAsia="zh-CN"/>
      </w:rPr>
      <w:drawing>
        <wp:inline distT="0" distB="0" distL="0" distR="0">
          <wp:extent cx="2857500" cy="3714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2857500" cy="371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979"/>
    <w:multiLevelType w:val="multilevel"/>
    <w:tmpl w:val="13E44979"/>
    <w:lvl w:ilvl="0" w:tentative="0">
      <w:start w:val="1"/>
      <w:numFmt w:val="chineseCountingThousand"/>
      <w:pStyle w:val="12"/>
      <w:lvlText w:val="%1."/>
      <w:lvlJc w:val="left"/>
      <w:pPr>
        <w:ind w:left="42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A15E14"/>
    <w:multiLevelType w:val="multilevel"/>
    <w:tmpl w:val="46A15E14"/>
    <w:lvl w:ilvl="0" w:tentative="0">
      <w:start w:val="1"/>
      <w:numFmt w:val="bullet"/>
      <w:pStyle w:val="38"/>
      <w:lvlText w:val=""/>
      <w:lvlJc w:val="left"/>
      <w:pPr>
        <w:tabs>
          <w:tab w:val="left" w:pos="340"/>
        </w:tabs>
        <w:ind w:left="340" w:hanging="227"/>
      </w:pPr>
      <w:rPr>
        <w:rFonts w:hint="default" w:ascii="Symbol" w:hAnsi="Symbol"/>
        <w:b w:val="0"/>
        <w:i w:val="0"/>
        <w:color w:val="ED7D31"/>
        <w:sz w:val="24"/>
      </w:rPr>
    </w:lvl>
    <w:lvl w:ilvl="1" w:tentative="0">
      <w:start w:val="1"/>
      <w:numFmt w:val="bullet"/>
      <w:lvlText w:val="o"/>
      <w:lvlJc w:val="left"/>
      <w:pPr>
        <w:ind w:left="1827" w:hanging="360"/>
      </w:pPr>
      <w:rPr>
        <w:rFonts w:hint="default" w:ascii="Courier New" w:hAnsi="Courier New" w:cs="Courier New"/>
      </w:rPr>
    </w:lvl>
    <w:lvl w:ilvl="2" w:tentative="0">
      <w:start w:val="1"/>
      <w:numFmt w:val="bullet"/>
      <w:lvlText w:val=""/>
      <w:lvlJc w:val="left"/>
      <w:pPr>
        <w:ind w:left="2547" w:hanging="360"/>
      </w:pPr>
      <w:rPr>
        <w:rFonts w:hint="default" w:ascii="Wingdings" w:hAnsi="Wingdings"/>
      </w:rPr>
    </w:lvl>
    <w:lvl w:ilvl="3" w:tentative="0">
      <w:start w:val="1"/>
      <w:numFmt w:val="bullet"/>
      <w:lvlText w:val=""/>
      <w:lvlJc w:val="left"/>
      <w:pPr>
        <w:ind w:left="3267" w:hanging="360"/>
      </w:pPr>
      <w:rPr>
        <w:rFonts w:hint="default" w:ascii="Symbol" w:hAnsi="Symbol"/>
      </w:rPr>
    </w:lvl>
    <w:lvl w:ilvl="4" w:tentative="0">
      <w:start w:val="1"/>
      <w:numFmt w:val="bullet"/>
      <w:lvlText w:val="o"/>
      <w:lvlJc w:val="left"/>
      <w:pPr>
        <w:ind w:left="3987" w:hanging="360"/>
      </w:pPr>
      <w:rPr>
        <w:rFonts w:hint="default" w:ascii="Courier New" w:hAnsi="Courier New" w:cs="Courier New"/>
      </w:rPr>
    </w:lvl>
    <w:lvl w:ilvl="5" w:tentative="0">
      <w:start w:val="1"/>
      <w:numFmt w:val="bullet"/>
      <w:lvlText w:val=""/>
      <w:lvlJc w:val="left"/>
      <w:pPr>
        <w:ind w:left="4707" w:hanging="360"/>
      </w:pPr>
      <w:rPr>
        <w:rFonts w:hint="default" w:ascii="Wingdings" w:hAnsi="Wingdings"/>
      </w:rPr>
    </w:lvl>
    <w:lvl w:ilvl="6" w:tentative="0">
      <w:start w:val="1"/>
      <w:numFmt w:val="bullet"/>
      <w:lvlText w:val=""/>
      <w:lvlJc w:val="left"/>
      <w:pPr>
        <w:ind w:left="5427" w:hanging="360"/>
      </w:pPr>
      <w:rPr>
        <w:rFonts w:hint="default" w:ascii="Symbol" w:hAnsi="Symbol"/>
      </w:rPr>
    </w:lvl>
    <w:lvl w:ilvl="7" w:tentative="0">
      <w:start w:val="1"/>
      <w:numFmt w:val="bullet"/>
      <w:lvlText w:val="o"/>
      <w:lvlJc w:val="left"/>
      <w:pPr>
        <w:ind w:left="6147" w:hanging="360"/>
      </w:pPr>
      <w:rPr>
        <w:rFonts w:hint="default" w:ascii="Courier New" w:hAnsi="Courier New" w:cs="Courier New"/>
      </w:rPr>
    </w:lvl>
    <w:lvl w:ilvl="8" w:tentative="0">
      <w:start w:val="1"/>
      <w:numFmt w:val="bullet"/>
      <w:lvlText w:val=""/>
      <w:lvlJc w:val="left"/>
      <w:pPr>
        <w:ind w:left="6867" w:hanging="360"/>
      </w:pPr>
      <w:rPr>
        <w:rFonts w:hint="default" w:ascii="Wingdings" w:hAnsi="Wingdings"/>
      </w:rPr>
    </w:lvl>
  </w:abstractNum>
  <w:abstractNum w:abstractNumId="2">
    <w:nsid w:val="55376AB5"/>
    <w:multiLevelType w:val="multilevel"/>
    <w:tmpl w:val="55376AB5"/>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47334"/>
    <w:rsid w:val="000000B6"/>
    <w:rsid w:val="00003E68"/>
    <w:rsid w:val="00004246"/>
    <w:rsid w:val="000042EB"/>
    <w:rsid w:val="0000619C"/>
    <w:rsid w:val="00007FA1"/>
    <w:rsid w:val="00011C59"/>
    <w:rsid w:val="00013D17"/>
    <w:rsid w:val="00016A35"/>
    <w:rsid w:val="00016DA0"/>
    <w:rsid w:val="00023E5B"/>
    <w:rsid w:val="000242FB"/>
    <w:rsid w:val="00024FCF"/>
    <w:rsid w:val="00025403"/>
    <w:rsid w:val="00031828"/>
    <w:rsid w:val="0003559D"/>
    <w:rsid w:val="00040EEF"/>
    <w:rsid w:val="00042155"/>
    <w:rsid w:val="00042996"/>
    <w:rsid w:val="0004365F"/>
    <w:rsid w:val="00045CAF"/>
    <w:rsid w:val="00046620"/>
    <w:rsid w:val="000618FB"/>
    <w:rsid w:val="00064C5B"/>
    <w:rsid w:val="0006544D"/>
    <w:rsid w:val="00071942"/>
    <w:rsid w:val="00080CB6"/>
    <w:rsid w:val="00081038"/>
    <w:rsid w:val="000811C2"/>
    <w:rsid w:val="0008126A"/>
    <w:rsid w:val="00091E99"/>
    <w:rsid w:val="00095C6C"/>
    <w:rsid w:val="000962A7"/>
    <w:rsid w:val="00096693"/>
    <w:rsid w:val="000968E2"/>
    <w:rsid w:val="000A0698"/>
    <w:rsid w:val="000A1AE4"/>
    <w:rsid w:val="000A2707"/>
    <w:rsid w:val="000A54B0"/>
    <w:rsid w:val="000B4760"/>
    <w:rsid w:val="000B6198"/>
    <w:rsid w:val="000C01CE"/>
    <w:rsid w:val="000C1639"/>
    <w:rsid w:val="000C3CFA"/>
    <w:rsid w:val="000D08E9"/>
    <w:rsid w:val="000D30C2"/>
    <w:rsid w:val="000D60EF"/>
    <w:rsid w:val="000E2E33"/>
    <w:rsid w:val="000E549B"/>
    <w:rsid w:val="000F05CE"/>
    <w:rsid w:val="000F1F60"/>
    <w:rsid w:val="00104ACD"/>
    <w:rsid w:val="0010525D"/>
    <w:rsid w:val="001130C7"/>
    <w:rsid w:val="00115F60"/>
    <w:rsid w:val="00120E77"/>
    <w:rsid w:val="001230F7"/>
    <w:rsid w:val="001234D9"/>
    <w:rsid w:val="001279B6"/>
    <w:rsid w:val="00131391"/>
    <w:rsid w:val="00132B72"/>
    <w:rsid w:val="001349A8"/>
    <w:rsid w:val="001349CE"/>
    <w:rsid w:val="001357B4"/>
    <w:rsid w:val="0014172A"/>
    <w:rsid w:val="00142742"/>
    <w:rsid w:val="00142C21"/>
    <w:rsid w:val="001469A5"/>
    <w:rsid w:val="00146CB7"/>
    <w:rsid w:val="00147240"/>
    <w:rsid w:val="001479C1"/>
    <w:rsid w:val="0015087F"/>
    <w:rsid w:val="0015391D"/>
    <w:rsid w:val="0015442E"/>
    <w:rsid w:val="0016786D"/>
    <w:rsid w:val="00171D88"/>
    <w:rsid w:val="00172379"/>
    <w:rsid w:val="00184D80"/>
    <w:rsid w:val="0018555D"/>
    <w:rsid w:val="0019247C"/>
    <w:rsid w:val="00196E17"/>
    <w:rsid w:val="001A019A"/>
    <w:rsid w:val="001A5BA7"/>
    <w:rsid w:val="001A66EB"/>
    <w:rsid w:val="001B0AEB"/>
    <w:rsid w:val="001B2A3E"/>
    <w:rsid w:val="001B382B"/>
    <w:rsid w:val="001B45C0"/>
    <w:rsid w:val="001C061B"/>
    <w:rsid w:val="001C0F83"/>
    <w:rsid w:val="001C1713"/>
    <w:rsid w:val="001C3FB0"/>
    <w:rsid w:val="001C46EC"/>
    <w:rsid w:val="001C4F0E"/>
    <w:rsid w:val="001C6AF2"/>
    <w:rsid w:val="001D1E1A"/>
    <w:rsid w:val="001D3142"/>
    <w:rsid w:val="001D47B0"/>
    <w:rsid w:val="001E15FE"/>
    <w:rsid w:val="001E2216"/>
    <w:rsid w:val="001E3A78"/>
    <w:rsid w:val="001E5817"/>
    <w:rsid w:val="001E671A"/>
    <w:rsid w:val="001F07FC"/>
    <w:rsid w:val="001F0873"/>
    <w:rsid w:val="001F617E"/>
    <w:rsid w:val="002051FC"/>
    <w:rsid w:val="00207F1C"/>
    <w:rsid w:val="0021068C"/>
    <w:rsid w:val="002119D9"/>
    <w:rsid w:val="00221ED2"/>
    <w:rsid w:val="002221A6"/>
    <w:rsid w:val="00225570"/>
    <w:rsid w:val="0022586D"/>
    <w:rsid w:val="0022722F"/>
    <w:rsid w:val="00236221"/>
    <w:rsid w:val="0023629C"/>
    <w:rsid w:val="0023744C"/>
    <w:rsid w:val="00237558"/>
    <w:rsid w:val="0024118A"/>
    <w:rsid w:val="0024129E"/>
    <w:rsid w:val="0024370A"/>
    <w:rsid w:val="002444CD"/>
    <w:rsid w:val="00247334"/>
    <w:rsid w:val="00250D5D"/>
    <w:rsid w:val="00252444"/>
    <w:rsid w:val="002526DB"/>
    <w:rsid w:val="00254684"/>
    <w:rsid w:val="00254D2F"/>
    <w:rsid w:val="002567FC"/>
    <w:rsid w:val="00257759"/>
    <w:rsid w:val="00257E32"/>
    <w:rsid w:val="002629A9"/>
    <w:rsid w:val="00266CD3"/>
    <w:rsid w:val="00275FF8"/>
    <w:rsid w:val="00280843"/>
    <w:rsid w:val="00281CAF"/>
    <w:rsid w:val="00284730"/>
    <w:rsid w:val="00285A49"/>
    <w:rsid w:val="0028711B"/>
    <w:rsid w:val="0028753F"/>
    <w:rsid w:val="00290C8F"/>
    <w:rsid w:val="00292984"/>
    <w:rsid w:val="00294842"/>
    <w:rsid w:val="00295048"/>
    <w:rsid w:val="00295065"/>
    <w:rsid w:val="0029597D"/>
    <w:rsid w:val="00295FEA"/>
    <w:rsid w:val="002A14EF"/>
    <w:rsid w:val="002B1101"/>
    <w:rsid w:val="002C3C82"/>
    <w:rsid w:val="002C6873"/>
    <w:rsid w:val="002C6E01"/>
    <w:rsid w:val="002D1F13"/>
    <w:rsid w:val="002D3201"/>
    <w:rsid w:val="002D7D69"/>
    <w:rsid w:val="002E0FE4"/>
    <w:rsid w:val="002E13EF"/>
    <w:rsid w:val="002E2DAB"/>
    <w:rsid w:val="002E4279"/>
    <w:rsid w:val="002E6E93"/>
    <w:rsid w:val="002F15C1"/>
    <w:rsid w:val="002F74F3"/>
    <w:rsid w:val="002F7DF1"/>
    <w:rsid w:val="00304906"/>
    <w:rsid w:val="0030494B"/>
    <w:rsid w:val="00304D1B"/>
    <w:rsid w:val="00307684"/>
    <w:rsid w:val="003124DA"/>
    <w:rsid w:val="00322CD4"/>
    <w:rsid w:val="00324A6A"/>
    <w:rsid w:val="00325A16"/>
    <w:rsid w:val="003351D0"/>
    <w:rsid w:val="0033524A"/>
    <w:rsid w:val="00337A50"/>
    <w:rsid w:val="003403D2"/>
    <w:rsid w:val="003418BD"/>
    <w:rsid w:val="00347FA9"/>
    <w:rsid w:val="00350655"/>
    <w:rsid w:val="00350A16"/>
    <w:rsid w:val="00351BA6"/>
    <w:rsid w:val="00354B20"/>
    <w:rsid w:val="00355268"/>
    <w:rsid w:val="00366012"/>
    <w:rsid w:val="0037212F"/>
    <w:rsid w:val="003729B4"/>
    <w:rsid w:val="00377C7D"/>
    <w:rsid w:val="00377F18"/>
    <w:rsid w:val="00382954"/>
    <w:rsid w:val="00382B6F"/>
    <w:rsid w:val="003907BF"/>
    <w:rsid w:val="0039613F"/>
    <w:rsid w:val="003A1B68"/>
    <w:rsid w:val="003A3BBB"/>
    <w:rsid w:val="003A6C59"/>
    <w:rsid w:val="003B6CEE"/>
    <w:rsid w:val="003C0D47"/>
    <w:rsid w:val="003C2789"/>
    <w:rsid w:val="003C2917"/>
    <w:rsid w:val="003C35B7"/>
    <w:rsid w:val="003C7966"/>
    <w:rsid w:val="003D0DCF"/>
    <w:rsid w:val="003D4102"/>
    <w:rsid w:val="003D411E"/>
    <w:rsid w:val="003D53B7"/>
    <w:rsid w:val="003D686C"/>
    <w:rsid w:val="003E061E"/>
    <w:rsid w:val="003E0771"/>
    <w:rsid w:val="003E0A37"/>
    <w:rsid w:val="003E1131"/>
    <w:rsid w:val="003F0364"/>
    <w:rsid w:val="003F4B0D"/>
    <w:rsid w:val="003F5082"/>
    <w:rsid w:val="003F7FCC"/>
    <w:rsid w:val="00402228"/>
    <w:rsid w:val="00403055"/>
    <w:rsid w:val="00403663"/>
    <w:rsid w:val="00421C63"/>
    <w:rsid w:val="00421F80"/>
    <w:rsid w:val="00423F3F"/>
    <w:rsid w:val="00425F93"/>
    <w:rsid w:val="00430532"/>
    <w:rsid w:val="00431DC6"/>
    <w:rsid w:val="00432F00"/>
    <w:rsid w:val="00433CBC"/>
    <w:rsid w:val="00434B52"/>
    <w:rsid w:val="00435A23"/>
    <w:rsid w:val="004362B5"/>
    <w:rsid w:val="0043633E"/>
    <w:rsid w:val="00442364"/>
    <w:rsid w:val="00451130"/>
    <w:rsid w:val="00456EAA"/>
    <w:rsid w:val="00470893"/>
    <w:rsid w:val="00471482"/>
    <w:rsid w:val="00474491"/>
    <w:rsid w:val="004753AA"/>
    <w:rsid w:val="00475AF0"/>
    <w:rsid w:val="0048341A"/>
    <w:rsid w:val="0048681A"/>
    <w:rsid w:val="00486E9B"/>
    <w:rsid w:val="00487764"/>
    <w:rsid w:val="00491B8A"/>
    <w:rsid w:val="00492C50"/>
    <w:rsid w:val="00496110"/>
    <w:rsid w:val="004A44C5"/>
    <w:rsid w:val="004B028D"/>
    <w:rsid w:val="004D0127"/>
    <w:rsid w:val="004E5631"/>
    <w:rsid w:val="004E5834"/>
    <w:rsid w:val="004E5B56"/>
    <w:rsid w:val="004E7473"/>
    <w:rsid w:val="004F462C"/>
    <w:rsid w:val="004F6B10"/>
    <w:rsid w:val="004F7106"/>
    <w:rsid w:val="0050117D"/>
    <w:rsid w:val="00501435"/>
    <w:rsid w:val="0050168D"/>
    <w:rsid w:val="00503BF3"/>
    <w:rsid w:val="00503F45"/>
    <w:rsid w:val="00504813"/>
    <w:rsid w:val="00504D60"/>
    <w:rsid w:val="00511E7B"/>
    <w:rsid w:val="00523532"/>
    <w:rsid w:val="00526A13"/>
    <w:rsid w:val="00527157"/>
    <w:rsid w:val="00527C61"/>
    <w:rsid w:val="00530900"/>
    <w:rsid w:val="00532333"/>
    <w:rsid w:val="0053313F"/>
    <w:rsid w:val="00536B52"/>
    <w:rsid w:val="00542D55"/>
    <w:rsid w:val="00546CFA"/>
    <w:rsid w:val="00550ADB"/>
    <w:rsid w:val="00552D57"/>
    <w:rsid w:val="00553689"/>
    <w:rsid w:val="0055502C"/>
    <w:rsid w:val="005637DD"/>
    <w:rsid w:val="005649AF"/>
    <w:rsid w:val="0057143D"/>
    <w:rsid w:val="005724EB"/>
    <w:rsid w:val="00573067"/>
    <w:rsid w:val="005765CC"/>
    <w:rsid w:val="00580C89"/>
    <w:rsid w:val="0058227F"/>
    <w:rsid w:val="00582C10"/>
    <w:rsid w:val="005932E9"/>
    <w:rsid w:val="00593E74"/>
    <w:rsid w:val="005A11E1"/>
    <w:rsid w:val="005B61C1"/>
    <w:rsid w:val="005C0CF1"/>
    <w:rsid w:val="005C31C9"/>
    <w:rsid w:val="005C320F"/>
    <w:rsid w:val="005C4DAD"/>
    <w:rsid w:val="005D66DF"/>
    <w:rsid w:val="005D750A"/>
    <w:rsid w:val="005E2348"/>
    <w:rsid w:val="005E23EE"/>
    <w:rsid w:val="005E3BF0"/>
    <w:rsid w:val="005E4B12"/>
    <w:rsid w:val="005F0256"/>
    <w:rsid w:val="005F10E4"/>
    <w:rsid w:val="005F28C1"/>
    <w:rsid w:val="005F390B"/>
    <w:rsid w:val="005F3BA9"/>
    <w:rsid w:val="005F4662"/>
    <w:rsid w:val="005F59F3"/>
    <w:rsid w:val="006075B1"/>
    <w:rsid w:val="00613B75"/>
    <w:rsid w:val="00615864"/>
    <w:rsid w:val="00616828"/>
    <w:rsid w:val="006217D1"/>
    <w:rsid w:val="006223FE"/>
    <w:rsid w:val="006249B2"/>
    <w:rsid w:val="00625C78"/>
    <w:rsid w:val="00630426"/>
    <w:rsid w:val="006327F5"/>
    <w:rsid w:val="00633A95"/>
    <w:rsid w:val="0063681F"/>
    <w:rsid w:val="006457C5"/>
    <w:rsid w:val="00646958"/>
    <w:rsid w:val="006531D9"/>
    <w:rsid w:val="006549AC"/>
    <w:rsid w:val="0066135A"/>
    <w:rsid w:val="0066144E"/>
    <w:rsid w:val="006627F5"/>
    <w:rsid w:val="00662DA3"/>
    <w:rsid w:val="00670B34"/>
    <w:rsid w:val="00677339"/>
    <w:rsid w:val="0068452C"/>
    <w:rsid w:val="00691F8F"/>
    <w:rsid w:val="0069389F"/>
    <w:rsid w:val="00694EEF"/>
    <w:rsid w:val="006962D5"/>
    <w:rsid w:val="006A2D36"/>
    <w:rsid w:val="006A3467"/>
    <w:rsid w:val="006A70A5"/>
    <w:rsid w:val="006B4909"/>
    <w:rsid w:val="006B5C7B"/>
    <w:rsid w:val="006B6D96"/>
    <w:rsid w:val="006C37E3"/>
    <w:rsid w:val="006C5E61"/>
    <w:rsid w:val="006D059E"/>
    <w:rsid w:val="006D5815"/>
    <w:rsid w:val="006D7874"/>
    <w:rsid w:val="006E0E1B"/>
    <w:rsid w:val="006E3A3E"/>
    <w:rsid w:val="006E4748"/>
    <w:rsid w:val="006E4EC9"/>
    <w:rsid w:val="006F0747"/>
    <w:rsid w:val="006F1514"/>
    <w:rsid w:val="006F503E"/>
    <w:rsid w:val="006F7776"/>
    <w:rsid w:val="007004EB"/>
    <w:rsid w:val="007009DD"/>
    <w:rsid w:val="00702A2C"/>
    <w:rsid w:val="00702E23"/>
    <w:rsid w:val="00710AFB"/>
    <w:rsid w:val="00710C89"/>
    <w:rsid w:val="00725A57"/>
    <w:rsid w:val="00725B13"/>
    <w:rsid w:val="007305EA"/>
    <w:rsid w:val="00731701"/>
    <w:rsid w:val="00735512"/>
    <w:rsid w:val="00735A52"/>
    <w:rsid w:val="00737748"/>
    <w:rsid w:val="007401EF"/>
    <w:rsid w:val="0074213F"/>
    <w:rsid w:val="007428CC"/>
    <w:rsid w:val="00743532"/>
    <w:rsid w:val="007472CE"/>
    <w:rsid w:val="00747778"/>
    <w:rsid w:val="007519F7"/>
    <w:rsid w:val="007555A8"/>
    <w:rsid w:val="00755CC0"/>
    <w:rsid w:val="007567D9"/>
    <w:rsid w:val="0076177D"/>
    <w:rsid w:val="00761F78"/>
    <w:rsid w:val="00767A19"/>
    <w:rsid w:val="00770BC4"/>
    <w:rsid w:val="00770DD2"/>
    <w:rsid w:val="00773EA4"/>
    <w:rsid w:val="007753C2"/>
    <w:rsid w:val="00785022"/>
    <w:rsid w:val="00786442"/>
    <w:rsid w:val="007864D5"/>
    <w:rsid w:val="00787EBD"/>
    <w:rsid w:val="007921B1"/>
    <w:rsid w:val="00797DF6"/>
    <w:rsid w:val="007A172C"/>
    <w:rsid w:val="007A1B83"/>
    <w:rsid w:val="007A7D93"/>
    <w:rsid w:val="007B51D5"/>
    <w:rsid w:val="007B5565"/>
    <w:rsid w:val="007B7E42"/>
    <w:rsid w:val="007C196C"/>
    <w:rsid w:val="007C3590"/>
    <w:rsid w:val="007C3EFA"/>
    <w:rsid w:val="007C4587"/>
    <w:rsid w:val="007D2D47"/>
    <w:rsid w:val="007D4D94"/>
    <w:rsid w:val="007E4F6C"/>
    <w:rsid w:val="007F0AD2"/>
    <w:rsid w:val="007F7E44"/>
    <w:rsid w:val="008047CD"/>
    <w:rsid w:val="00811342"/>
    <w:rsid w:val="00811E18"/>
    <w:rsid w:val="00816383"/>
    <w:rsid w:val="00817329"/>
    <w:rsid w:val="008230F7"/>
    <w:rsid w:val="00824784"/>
    <w:rsid w:val="00830609"/>
    <w:rsid w:val="008308E7"/>
    <w:rsid w:val="00833F37"/>
    <w:rsid w:val="008350D6"/>
    <w:rsid w:val="00836C15"/>
    <w:rsid w:val="00840EC3"/>
    <w:rsid w:val="0084209C"/>
    <w:rsid w:val="008420DB"/>
    <w:rsid w:val="008439CA"/>
    <w:rsid w:val="00844C29"/>
    <w:rsid w:val="0084509D"/>
    <w:rsid w:val="00846F7A"/>
    <w:rsid w:val="00847D2E"/>
    <w:rsid w:val="00855D47"/>
    <w:rsid w:val="0086072C"/>
    <w:rsid w:val="00860CE5"/>
    <w:rsid w:val="0086271F"/>
    <w:rsid w:val="00863802"/>
    <w:rsid w:val="00865060"/>
    <w:rsid w:val="0086508D"/>
    <w:rsid w:val="008757E5"/>
    <w:rsid w:val="00881785"/>
    <w:rsid w:val="00883EA8"/>
    <w:rsid w:val="00890086"/>
    <w:rsid w:val="008906D7"/>
    <w:rsid w:val="008918EB"/>
    <w:rsid w:val="008926D8"/>
    <w:rsid w:val="00893FE6"/>
    <w:rsid w:val="008966E1"/>
    <w:rsid w:val="00896CD6"/>
    <w:rsid w:val="00897AE6"/>
    <w:rsid w:val="008A4180"/>
    <w:rsid w:val="008B09A0"/>
    <w:rsid w:val="008B164E"/>
    <w:rsid w:val="008B7B7B"/>
    <w:rsid w:val="008C502A"/>
    <w:rsid w:val="008C6E46"/>
    <w:rsid w:val="008C7F59"/>
    <w:rsid w:val="008D676B"/>
    <w:rsid w:val="008E4B12"/>
    <w:rsid w:val="008E6335"/>
    <w:rsid w:val="008F6040"/>
    <w:rsid w:val="00901324"/>
    <w:rsid w:val="00906165"/>
    <w:rsid w:val="00911036"/>
    <w:rsid w:val="00911957"/>
    <w:rsid w:val="009165A2"/>
    <w:rsid w:val="00920263"/>
    <w:rsid w:val="00920700"/>
    <w:rsid w:val="009247F3"/>
    <w:rsid w:val="00926EA3"/>
    <w:rsid w:val="00927238"/>
    <w:rsid w:val="00940977"/>
    <w:rsid w:val="00942E72"/>
    <w:rsid w:val="009432E5"/>
    <w:rsid w:val="00946AE4"/>
    <w:rsid w:val="00946F9E"/>
    <w:rsid w:val="009553A0"/>
    <w:rsid w:val="009609A5"/>
    <w:rsid w:val="00960D5C"/>
    <w:rsid w:val="009628ED"/>
    <w:rsid w:val="0096725C"/>
    <w:rsid w:val="00971229"/>
    <w:rsid w:val="009716D5"/>
    <w:rsid w:val="00972A9E"/>
    <w:rsid w:val="00975357"/>
    <w:rsid w:val="00980933"/>
    <w:rsid w:val="0099002B"/>
    <w:rsid w:val="00991D3E"/>
    <w:rsid w:val="00994860"/>
    <w:rsid w:val="009949E2"/>
    <w:rsid w:val="00994F3D"/>
    <w:rsid w:val="009965A1"/>
    <w:rsid w:val="009A130B"/>
    <w:rsid w:val="009A140C"/>
    <w:rsid w:val="009A1DBC"/>
    <w:rsid w:val="009A23F7"/>
    <w:rsid w:val="009A6900"/>
    <w:rsid w:val="009B181D"/>
    <w:rsid w:val="009B6E04"/>
    <w:rsid w:val="009C0A07"/>
    <w:rsid w:val="009C0AB8"/>
    <w:rsid w:val="009C121F"/>
    <w:rsid w:val="009C2DD8"/>
    <w:rsid w:val="009C3838"/>
    <w:rsid w:val="009C51D5"/>
    <w:rsid w:val="009C6148"/>
    <w:rsid w:val="009D017E"/>
    <w:rsid w:val="009D1A3D"/>
    <w:rsid w:val="009D434B"/>
    <w:rsid w:val="009D4CDC"/>
    <w:rsid w:val="009E57B6"/>
    <w:rsid w:val="009E5B0C"/>
    <w:rsid w:val="009E6236"/>
    <w:rsid w:val="009E63C2"/>
    <w:rsid w:val="009F3A7B"/>
    <w:rsid w:val="009F5281"/>
    <w:rsid w:val="00A0139B"/>
    <w:rsid w:val="00A073BC"/>
    <w:rsid w:val="00A168DF"/>
    <w:rsid w:val="00A17502"/>
    <w:rsid w:val="00A23A87"/>
    <w:rsid w:val="00A24502"/>
    <w:rsid w:val="00A3693D"/>
    <w:rsid w:val="00A36EB7"/>
    <w:rsid w:val="00A42DE0"/>
    <w:rsid w:val="00A47E85"/>
    <w:rsid w:val="00A50002"/>
    <w:rsid w:val="00A50152"/>
    <w:rsid w:val="00A54552"/>
    <w:rsid w:val="00A55AA9"/>
    <w:rsid w:val="00A55ADE"/>
    <w:rsid w:val="00A562D7"/>
    <w:rsid w:val="00A60D53"/>
    <w:rsid w:val="00A61F46"/>
    <w:rsid w:val="00A6250C"/>
    <w:rsid w:val="00A713A8"/>
    <w:rsid w:val="00A736C5"/>
    <w:rsid w:val="00A74C37"/>
    <w:rsid w:val="00A80778"/>
    <w:rsid w:val="00A831E8"/>
    <w:rsid w:val="00A83D59"/>
    <w:rsid w:val="00A92258"/>
    <w:rsid w:val="00A94383"/>
    <w:rsid w:val="00A96753"/>
    <w:rsid w:val="00A96EA4"/>
    <w:rsid w:val="00AA065C"/>
    <w:rsid w:val="00AA0C3F"/>
    <w:rsid w:val="00AA2AC7"/>
    <w:rsid w:val="00AB17C9"/>
    <w:rsid w:val="00AB33BF"/>
    <w:rsid w:val="00AB3E6C"/>
    <w:rsid w:val="00AB577D"/>
    <w:rsid w:val="00AC0A06"/>
    <w:rsid w:val="00AC1FFA"/>
    <w:rsid w:val="00AD0CA2"/>
    <w:rsid w:val="00AD50CC"/>
    <w:rsid w:val="00AE7771"/>
    <w:rsid w:val="00AF19F8"/>
    <w:rsid w:val="00B00CC7"/>
    <w:rsid w:val="00B0277B"/>
    <w:rsid w:val="00B04AD1"/>
    <w:rsid w:val="00B15DF0"/>
    <w:rsid w:val="00B178A0"/>
    <w:rsid w:val="00B22710"/>
    <w:rsid w:val="00B262E7"/>
    <w:rsid w:val="00B267B2"/>
    <w:rsid w:val="00B35AA0"/>
    <w:rsid w:val="00B427B2"/>
    <w:rsid w:val="00B63387"/>
    <w:rsid w:val="00B65D02"/>
    <w:rsid w:val="00B673A9"/>
    <w:rsid w:val="00B67BF9"/>
    <w:rsid w:val="00B67E20"/>
    <w:rsid w:val="00B81D40"/>
    <w:rsid w:val="00B83830"/>
    <w:rsid w:val="00B84CB9"/>
    <w:rsid w:val="00B866EF"/>
    <w:rsid w:val="00B948CE"/>
    <w:rsid w:val="00B952A7"/>
    <w:rsid w:val="00B97A79"/>
    <w:rsid w:val="00B97B80"/>
    <w:rsid w:val="00BA0A17"/>
    <w:rsid w:val="00BA26DF"/>
    <w:rsid w:val="00BA2FA0"/>
    <w:rsid w:val="00BB08A3"/>
    <w:rsid w:val="00BB1C1F"/>
    <w:rsid w:val="00BB3A0C"/>
    <w:rsid w:val="00BB479F"/>
    <w:rsid w:val="00BB48BC"/>
    <w:rsid w:val="00BB6276"/>
    <w:rsid w:val="00BC23D1"/>
    <w:rsid w:val="00BC2407"/>
    <w:rsid w:val="00BC40DA"/>
    <w:rsid w:val="00BC659E"/>
    <w:rsid w:val="00BD0266"/>
    <w:rsid w:val="00BD3D44"/>
    <w:rsid w:val="00BE1E00"/>
    <w:rsid w:val="00BE7BEC"/>
    <w:rsid w:val="00BF2ACA"/>
    <w:rsid w:val="00C030E8"/>
    <w:rsid w:val="00C0355D"/>
    <w:rsid w:val="00C04AEB"/>
    <w:rsid w:val="00C04C2C"/>
    <w:rsid w:val="00C05170"/>
    <w:rsid w:val="00C05FA6"/>
    <w:rsid w:val="00C06CD3"/>
    <w:rsid w:val="00C126F6"/>
    <w:rsid w:val="00C13856"/>
    <w:rsid w:val="00C15BEF"/>
    <w:rsid w:val="00C203E3"/>
    <w:rsid w:val="00C22994"/>
    <w:rsid w:val="00C24D47"/>
    <w:rsid w:val="00C263E3"/>
    <w:rsid w:val="00C26E94"/>
    <w:rsid w:val="00C3231B"/>
    <w:rsid w:val="00C335DA"/>
    <w:rsid w:val="00C41903"/>
    <w:rsid w:val="00C42D4A"/>
    <w:rsid w:val="00C43719"/>
    <w:rsid w:val="00C463DD"/>
    <w:rsid w:val="00C50C20"/>
    <w:rsid w:val="00C5438D"/>
    <w:rsid w:val="00C56F9F"/>
    <w:rsid w:val="00C607FB"/>
    <w:rsid w:val="00C6292D"/>
    <w:rsid w:val="00C62D72"/>
    <w:rsid w:val="00C65490"/>
    <w:rsid w:val="00C66537"/>
    <w:rsid w:val="00C700F0"/>
    <w:rsid w:val="00C761C3"/>
    <w:rsid w:val="00C80498"/>
    <w:rsid w:val="00C86708"/>
    <w:rsid w:val="00C8720B"/>
    <w:rsid w:val="00C8743A"/>
    <w:rsid w:val="00C902E8"/>
    <w:rsid w:val="00C925C8"/>
    <w:rsid w:val="00C93BF5"/>
    <w:rsid w:val="00C9431A"/>
    <w:rsid w:val="00C954A6"/>
    <w:rsid w:val="00C9579E"/>
    <w:rsid w:val="00C9612F"/>
    <w:rsid w:val="00CA24E5"/>
    <w:rsid w:val="00CA2A51"/>
    <w:rsid w:val="00CA42DA"/>
    <w:rsid w:val="00CA4343"/>
    <w:rsid w:val="00CA568D"/>
    <w:rsid w:val="00CB039C"/>
    <w:rsid w:val="00CB0C1A"/>
    <w:rsid w:val="00CB1C9D"/>
    <w:rsid w:val="00CB2C86"/>
    <w:rsid w:val="00CB5790"/>
    <w:rsid w:val="00CC0B92"/>
    <w:rsid w:val="00CC1EB9"/>
    <w:rsid w:val="00CC4819"/>
    <w:rsid w:val="00CC5314"/>
    <w:rsid w:val="00CD32C0"/>
    <w:rsid w:val="00CD3A70"/>
    <w:rsid w:val="00CD516A"/>
    <w:rsid w:val="00CE0AC2"/>
    <w:rsid w:val="00CF434C"/>
    <w:rsid w:val="00CF61F9"/>
    <w:rsid w:val="00D00480"/>
    <w:rsid w:val="00D1296C"/>
    <w:rsid w:val="00D23952"/>
    <w:rsid w:val="00D239F1"/>
    <w:rsid w:val="00D249BD"/>
    <w:rsid w:val="00D252F3"/>
    <w:rsid w:val="00D264D6"/>
    <w:rsid w:val="00D27D0E"/>
    <w:rsid w:val="00D3021C"/>
    <w:rsid w:val="00D30FBF"/>
    <w:rsid w:val="00D314D0"/>
    <w:rsid w:val="00D45A03"/>
    <w:rsid w:val="00D50B1D"/>
    <w:rsid w:val="00D5456D"/>
    <w:rsid w:val="00D6053F"/>
    <w:rsid w:val="00D64998"/>
    <w:rsid w:val="00D656F9"/>
    <w:rsid w:val="00D66265"/>
    <w:rsid w:val="00D6757A"/>
    <w:rsid w:val="00D6798E"/>
    <w:rsid w:val="00D70C10"/>
    <w:rsid w:val="00D75207"/>
    <w:rsid w:val="00D80E81"/>
    <w:rsid w:val="00D82568"/>
    <w:rsid w:val="00D9603F"/>
    <w:rsid w:val="00D96249"/>
    <w:rsid w:val="00DA14FD"/>
    <w:rsid w:val="00DA3491"/>
    <w:rsid w:val="00DA51F5"/>
    <w:rsid w:val="00DA6D9B"/>
    <w:rsid w:val="00DA7F87"/>
    <w:rsid w:val="00DB11CA"/>
    <w:rsid w:val="00DB138B"/>
    <w:rsid w:val="00DB24DC"/>
    <w:rsid w:val="00DB4EFE"/>
    <w:rsid w:val="00DB50D9"/>
    <w:rsid w:val="00DB5330"/>
    <w:rsid w:val="00DB7CE1"/>
    <w:rsid w:val="00DC5604"/>
    <w:rsid w:val="00DD0EEA"/>
    <w:rsid w:val="00DD23F7"/>
    <w:rsid w:val="00DD7016"/>
    <w:rsid w:val="00DD7463"/>
    <w:rsid w:val="00DE10B3"/>
    <w:rsid w:val="00DF02B6"/>
    <w:rsid w:val="00DF685A"/>
    <w:rsid w:val="00DF6E1E"/>
    <w:rsid w:val="00E20607"/>
    <w:rsid w:val="00E31776"/>
    <w:rsid w:val="00E31E6F"/>
    <w:rsid w:val="00E35F90"/>
    <w:rsid w:val="00E36B8E"/>
    <w:rsid w:val="00E37C50"/>
    <w:rsid w:val="00E454CE"/>
    <w:rsid w:val="00E53352"/>
    <w:rsid w:val="00E53FED"/>
    <w:rsid w:val="00E57F51"/>
    <w:rsid w:val="00E608D1"/>
    <w:rsid w:val="00E62595"/>
    <w:rsid w:val="00E645C1"/>
    <w:rsid w:val="00E668A5"/>
    <w:rsid w:val="00E7181D"/>
    <w:rsid w:val="00E76B15"/>
    <w:rsid w:val="00E81F51"/>
    <w:rsid w:val="00E83D98"/>
    <w:rsid w:val="00E901A4"/>
    <w:rsid w:val="00E9103D"/>
    <w:rsid w:val="00E919D7"/>
    <w:rsid w:val="00E929E5"/>
    <w:rsid w:val="00E957EF"/>
    <w:rsid w:val="00EA1FAF"/>
    <w:rsid w:val="00EA4702"/>
    <w:rsid w:val="00EA56ED"/>
    <w:rsid w:val="00EA63A0"/>
    <w:rsid w:val="00EA6490"/>
    <w:rsid w:val="00EA6A6C"/>
    <w:rsid w:val="00EA6B57"/>
    <w:rsid w:val="00EB0AD6"/>
    <w:rsid w:val="00EB1527"/>
    <w:rsid w:val="00EB690D"/>
    <w:rsid w:val="00EC1CCB"/>
    <w:rsid w:val="00EC277D"/>
    <w:rsid w:val="00EC5D83"/>
    <w:rsid w:val="00ED0153"/>
    <w:rsid w:val="00ED5088"/>
    <w:rsid w:val="00ED7548"/>
    <w:rsid w:val="00EE1D97"/>
    <w:rsid w:val="00EE4AD0"/>
    <w:rsid w:val="00EE6D56"/>
    <w:rsid w:val="00EF4CC1"/>
    <w:rsid w:val="00F2007C"/>
    <w:rsid w:val="00F21253"/>
    <w:rsid w:val="00F24FBA"/>
    <w:rsid w:val="00F25284"/>
    <w:rsid w:val="00F27501"/>
    <w:rsid w:val="00F30F95"/>
    <w:rsid w:val="00F321A8"/>
    <w:rsid w:val="00F32FD4"/>
    <w:rsid w:val="00F33D1F"/>
    <w:rsid w:val="00F357CC"/>
    <w:rsid w:val="00F35B60"/>
    <w:rsid w:val="00F37006"/>
    <w:rsid w:val="00F37142"/>
    <w:rsid w:val="00F3787F"/>
    <w:rsid w:val="00F4020F"/>
    <w:rsid w:val="00F42E0A"/>
    <w:rsid w:val="00F443F7"/>
    <w:rsid w:val="00F51E70"/>
    <w:rsid w:val="00F5399A"/>
    <w:rsid w:val="00F539F1"/>
    <w:rsid w:val="00F5406B"/>
    <w:rsid w:val="00F55DEE"/>
    <w:rsid w:val="00F668DD"/>
    <w:rsid w:val="00F67618"/>
    <w:rsid w:val="00F714E6"/>
    <w:rsid w:val="00F71BFC"/>
    <w:rsid w:val="00F728DB"/>
    <w:rsid w:val="00F73B44"/>
    <w:rsid w:val="00F75F8F"/>
    <w:rsid w:val="00F768A1"/>
    <w:rsid w:val="00F76DA2"/>
    <w:rsid w:val="00F82B35"/>
    <w:rsid w:val="00F863C9"/>
    <w:rsid w:val="00F86F0E"/>
    <w:rsid w:val="00F91197"/>
    <w:rsid w:val="00F9475A"/>
    <w:rsid w:val="00F95C7D"/>
    <w:rsid w:val="00F96106"/>
    <w:rsid w:val="00FA1AC9"/>
    <w:rsid w:val="00FA3B34"/>
    <w:rsid w:val="00FA7247"/>
    <w:rsid w:val="00FB2389"/>
    <w:rsid w:val="00FB314E"/>
    <w:rsid w:val="00FB32CC"/>
    <w:rsid w:val="00FB7CF9"/>
    <w:rsid w:val="00FC31E2"/>
    <w:rsid w:val="00FC35CD"/>
    <w:rsid w:val="00FC3BB9"/>
    <w:rsid w:val="00FC3E86"/>
    <w:rsid w:val="00FC481F"/>
    <w:rsid w:val="00FD1893"/>
    <w:rsid w:val="00FD2095"/>
    <w:rsid w:val="00FD62AF"/>
    <w:rsid w:val="00FE1517"/>
    <w:rsid w:val="00FE669F"/>
    <w:rsid w:val="00FE6F50"/>
    <w:rsid w:val="00FE7D57"/>
    <w:rsid w:val="00FF0ED2"/>
    <w:rsid w:val="00FF19A9"/>
    <w:rsid w:val="00FF1D07"/>
    <w:rsid w:val="00FF3FB3"/>
    <w:rsid w:val="00FF5DDD"/>
    <w:rsid w:val="48AF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2"/>
    <w:basedOn w:val="1"/>
    <w:next w:val="1"/>
    <w:qFormat/>
    <w:uiPriority w:val="0"/>
    <w:pPr>
      <w:keepNext/>
      <w:spacing w:before="240" w:after="60"/>
      <w:outlineLvl w:val="1"/>
    </w:pPr>
    <w:rPr>
      <w:rFonts w:ascii="Arial" w:hAnsi="Arial"/>
      <w:b/>
      <w:i/>
      <w:sz w:val="24"/>
    </w:rPr>
  </w:style>
  <w:style w:type="paragraph" w:styleId="4">
    <w:name w:val="heading 3"/>
    <w:basedOn w:val="1"/>
    <w:next w:val="1"/>
    <w:qFormat/>
    <w:uiPriority w:val="0"/>
    <w:pPr>
      <w:keepNext/>
      <w:spacing w:before="240" w:after="60"/>
      <w:outlineLvl w:val="2"/>
    </w:pPr>
    <w:rPr>
      <w:rFonts w:ascii="Arial" w:hAnsi="Arial"/>
      <w:sz w:val="24"/>
    </w:rPr>
  </w:style>
  <w:style w:type="character" w:default="1" w:styleId="13">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46"/>
    <w:uiPriority w:val="0"/>
    <w:rPr>
      <w:rFonts w:ascii="宋体" w:hAnsi="Courier New" w:cs="Courier New"/>
      <w:sz w:val="21"/>
      <w:szCs w:val="21"/>
    </w:rPr>
  </w:style>
  <w:style w:type="paragraph" w:styleId="6">
    <w:name w:val="Date"/>
    <w:basedOn w:val="1"/>
    <w:next w:val="1"/>
    <w:qFormat/>
    <w:uiPriority w:val="0"/>
    <w:pPr>
      <w:overflowPunct w:val="0"/>
      <w:autoSpaceDE w:val="0"/>
      <w:autoSpaceDN w:val="0"/>
      <w:adjustRightInd w:val="0"/>
      <w:ind w:left="100" w:leftChars="2500"/>
      <w:textAlignment w:val="baseline"/>
    </w:pPr>
    <w:rPr>
      <w:rFonts w:ascii="仿宋体" w:eastAsia="仿宋体"/>
      <w:sz w:val="24"/>
      <w:lang w:eastAsia="zh-CN"/>
    </w:rPr>
  </w:style>
  <w:style w:type="paragraph" w:styleId="7">
    <w:name w:val="Balloon Text"/>
    <w:basedOn w:val="1"/>
    <w:link w:val="24"/>
    <w:uiPriority w:val="0"/>
    <w:rPr>
      <w:sz w:val="18"/>
      <w:szCs w:val="18"/>
    </w:rPr>
  </w:style>
  <w:style w:type="paragraph" w:styleId="8">
    <w:name w:val="footer"/>
    <w:basedOn w:val="1"/>
    <w:link w:val="21"/>
    <w:uiPriority w:val="99"/>
    <w:pPr>
      <w:tabs>
        <w:tab w:val="center" w:pos="4153"/>
        <w:tab w:val="right" w:pos="8306"/>
      </w:tabs>
      <w:snapToGrid w:val="0"/>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left" w:pos="630"/>
        <w:tab w:val="right" w:leader="dot" w:pos="8299"/>
      </w:tabs>
    </w:pPr>
  </w:style>
  <w:style w:type="paragraph" w:styleId="11">
    <w:name w:val="Normal (Web)"/>
    <w:basedOn w:val="1"/>
    <w:qFormat/>
    <w:uiPriority w:val="0"/>
    <w:pPr>
      <w:spacing w:before="100" w:beforeAutospacing="1" w:after="100" w:afterAutospacing="1"/>
    </w:pPr>
    <w:rPr>
      <w:rFonts w:ascii="宋体" w:hAnsi="宋体" w:cs="宋体"/>
      <w:sz w:val="18"/>
      <w:szCs w:val="18"/>
      <w:lang w:eastAsia="zh-CN"/>
    </w:rPr>
  </w:style>
  <w:style w:type="paragraph" w:styleId="12">
    <w:name w:val="Title"/>
    <w:basedOn w:val="2"/>
    <w:link w:val="23"/>
    <w:qFormat/>
    <w:uiPriority w:val="0"/>
    <w:pPr>
      <w:keepNext w:val="0"/>
      <w:numPr>
        <w:ilvl w:val="0"/>
        <w:numId w:val="1"/>
      </w:numPr>
      <w:snapToGrid w:val="0"/>
      <w:spacing w:beforeLines="50" w:after="0"/>
    </w:pPr>
    <w:rPr>
      <w:rFonts w:ascii="华文楷体" w:hAnsi="华文楷体" w:eastAsia="华文楷体"/>
      <w:kern w:val="0"/>
      <w:sz w:val="24"/>
      <w:szCs w:val="24"/>
      <w:lang w:eastAsia="zh-CN"/>
    </w:rPr>
  </w:style>
  <w:style w:type="character" w:styleId="14">
    <w:name w:val="Emphasis"/>
    <w:basedOn w:val="13"/>
    <w:qFormat/>
    <w:uiPriority w:val="20"/>
    <w:rPr>
      <w:color w:val="CC0000"/>
    </w:rPr>
  </w:style>
  <w:style w:type="character" w:styleId="15">
    <w:name w:val="Hyperlink"/>
    <w:basedOn w:val="13"/>
    <w:unhideWhenUsed/>
    <w:qFormat/>
    <w:uiPriority w:val="99"/>
    <w:rPr>
      <w:color w:val="0000FF"/>
      <w:u w:val="single"/>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Default"/>
    <w:link w:val="36"/>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CM9"/>
    <w:basedOn w:val="18"/>
    <w:next w:val="18"/>
    <w:uiPriority w:val="99"/>
    <w:pPr>
      <w:spacing w:after="68"/>
    </w:pPr>
    <w:rPr>
      <w:color w:val="auto"/>
    </w:rPr>
  </w:style>
  <w:style w:type="character" w:customStyle="1" w:styleId="20">
    <w:name w:val="页眉 Char"/>
    <w:basedOn w:val="13"/>
    <w:link w:val="9"/>
    <w:uiPriority w:val="0"/>
    <w:rPr>
      <w:sz w:val="18"/>
      <w:szCs w:val="18"/>
      <w:lang w:eastAsia="en-US"/>
    </w:rPr>
  </w:style>
  <w:style w:type="character" w:customStyle="1" w:styleId="21">
    <w:name w:val="页脚 Char"/>
    <w:basedOn w:val="13"/>
    <w:link w:val="8"/>
    <w:uiPriority w:val="99"/>
    <w:rPr>
      <w:sz w:val="18"/>
      <w:szCs w:val="18"/>
      <w:lang w:eastAsia="en-US"/>
    </w:rPr>
  </w:style>
  <w:style w:type="paragraph" w:customStyle="1" w:styleId="22">
    <w:name w:val="TOC Heading"/>
    <w:basedOn w:val="2"/>
    <w:next w:val="1"/>
    <w:qFormat/>
    <w:uiPriority w:val="39"/>
    <w:pPr>
      <w:keepLines/>
      <w:spacing w:before="480" w:after="0" w:line="276" w:lineRule="auto"/>
      <w:outlineLvl w:val="9"/>
    </w:pPr>
    <w:rPr>
      <w:rFonts w:ascii="Cambria" w:hAnsi="Cambria"/>
      <w:bCs/>
      <w:color w:val="365F91"/>
      <w:kern w:val="0"/>
      <w:szCs w:val="28"/>
      <w:lang w:eastAsia="zh-CN"/>
    </w:rPr>
  </w:style>
  <w:style w:type="character" w:customStyle="1" w:styleId="23">
    <w:name w:val="标题 Char"/>
    <w:basedOn w:val="13"/>
    <w:link w:val="12"/>
    <w:uiPriority w:val="0"/>
    <w:rPr>
      <w:rFonts w:ascii="华文楷体" w:hAnsi="华文楷体" w:eastAsia="华文楷体"/>
      <w:b/>
      <w:sz w:val="24"/>
      <w:szCs w:val="24"/>
    </w:rPr>
  </w:style>
  <w:style w:type="character" w:customStyle="1" w:styleId="24">
    <w:name w:val="批注框文本 Char"/>
    <w:basedOn w:val="13"/>
    <w:link w:val="7"/>
    <w:uiPriority w:val="0"/>
    <w:rPr>
      <w:sz w:val="18"/>
      <w:szCs w:val="18"/>
      <w:lang w:eastAsia="en-US"/>
    </w:rPr>
  </w:style>
  <w:style w:type="paragraph" w:customStyle="1" w:styleId="25">
    <w:name w:val="默认段落字体 Para Char Char Char Char Char Char Char"/>
    <w:basedOn w:val="1"/>
    <w:uiPriority w:val="0"/>
    <w:pPr>
      <w:widowControl w:val="0"/>
      <w:jc w:val="both"/>
    </w:pPr>
    <w:rPr>
      <w:rFonts w:ascii="Tahoma" w:hAnsi="Tahoma" w:cs="Tahoma"/>
      <w:kern w:val="2"/>
      <w:sz w:val="24"/>
      <w:szCs w:val="24"/>
      <w:lang w:eastAsia="zh-CN"/>
    </w:rPr>
  </w:style>
  <w:style w:type="paragraph" w:customStyle="1" w:styleId="26">
    <w:name w:val="Char Char1 Char Char Char"/>
    <w:basedOn w:val="1"/>
    <w:uiPriority w:val="0"/>
    <w:pPr>
      <w:spacing w:after="160" w:line="240" w:lineRule="exact"/>
    </w:pPr>
    <w:rPr>
      <w:rFonts w:ascii="Verdana" w:hAnsi="Verdana"/>
    </w:rPr>
  </w:style>
  <w:style w:type="paragraph" w:customStyle="1" w:styleId="27">
    <w:name w:val="Char Char"/>
    <w:basedOn w:val="1"/>
    <w:uiPriority w:val="0"/>
    <w:pPr>
      <w:spacing w:after="160" w:line="240" w:lineRule="exact"/>
    </w:pPr>
    <w:rPr>
      <w:kern w:val="2"/>
      <w:sz w:val="21"/>
      <w:szCs w:val="24"/>
      <w:lang w:eastAsia="zh-CN"/>
    </w:rPr>
  </w:style>
  <w:style w:type="paragraph" w:customStyle="1" w:styleId="28">
    <w:name w:val="样式3"/>
    <w:basedOn w:val="5"/>
    <w:uiPriority w:val="0"/>
    <w:pPr>
      <w:widowControl w:val="0"/>
      <w:spacing w:line="0" w:lineRule="atLeast"/>
      <w:jc w:val="both"/>
      <w:outlineLvl w:val="0"/>
    </w:pPr>
    <w:rPr>
      <w:rFonts w:cs="Times New Roman"/>
      <w:kern w:val="2"/>
      <w:sz w:val="28"/>
      <w:szCs w:val="20"/>
      <w:lang w:eastAsia="zh-CN"/>
    </w:rPr>
  </w:style>
  <w:style w:type="paragraph" w:customStyle="1" w:styleId="29">
    <w:name w:val="CM1"/>
    <w:basedOn w:val="18"/>
    <w:next w:val="18"/>
    <w:uiPriority w:val="99"/>
    <w:rPr>
      <w:rFonts w:ascii="Arial" w:hAnsi="Arial"/>
      <w:color w:val="auto"/>
    </w:rPr>
  </w:style>
  <w:style w:type="paragraph" w:customStyle="1" w:styleId="30">
    <w:name w:val="CM11"/>
    <w:basedOn w:val="18"/>
    <w:next w:val="18"/>
    <w:uiPriority w:val="99"/>
    <w:pPr>
      <w:spacing w:after="488"/>
    </w:pPr>
    <w:rPr>
      <w:rFonts w:ascii="Arial" w:hAnsi="Arial"/>
      <w:color w:val="auto"/>
    </w:rPr>
  </w:style>
  <w:style w:type="paragraph" w:customStyle="1" w:styleId="31">
    <w:name w:val="CM2"/>
    <w:basedOn w:val="18"/>
    <w:next w:val="18"/>
    <w:qFormat/>
    <w:uiPriority w:val="99"/>
    <w:pPr>
      <w:spacing w:line="263" w:lineRule="atLeast"/>
    </w:pPr>
    <w:rPr>
      <w:rFonts w:ascii="Arial" w:hAnsi="Arial"/>
      <w:color w:val="auto"/>
    </w:rPr>
  </w:style>
  <w:style w:type="paragraph" w:customStyle="1" w:styleId="32">
    <w:name w:val="CM12"/>
    <w:basedOn w:val="18"/>
    <w:next w:val="18"/>
    <w:uiPriority w:val="99"/>
    <w:pPr>
      <w:spacing w:after="240"/>
    </w:pPr>
    <w:rPr>
      <w:rFonts w:ascii="Arial" w:hAnsi="Arial"/>
      <w:color w:val="auto"/>
    </w:rPr>
  </w:style>
  <w:style w:type="paragraph" w:customStyle="1" w:styleId="33">
    <w:name w:val="CM6"/>
    <w:basedOn w:val="18"/>
    <w:next w:val="18"/>
    <w:uiPriority w:val="99"/>
    <w:rPr>
      <w:rFonts w:ascii="Arial" w:hAnsi="Arial"/>
      <w:color w:val="auto"/>
    </w:rPr>
  </w:style>
  <w:style w:type="paragraph" w:customStyle="1" w:styleId="34">
    <w:name w:val="CM10"/>
    <w:basedOn w:val="18"/>
    <w:next w:val="18"/>
    <w:uiPriority w:val="99"/>
    <w:pPr>
      <w:spacing w:line="258" w:lineRule="atLeast"/>
    </w:pPr>
    <w:rPr>
      <w:rFonts w:ascii="Arial" w:hAnsi="Arial"/>
      <w:color w:val="auto"/>
    </w:rPr>
  </w:style>
  <w:style w:type="paragraph" w:customStyle="1" w:styleId="35">
    <w:name w:val="Char"/>
    <w:basedOn w:val="1"/>
    <w:qFormat/>
    <w:uiPriority w:val="0"/>
    <w:pPr>
      <w:spacing w:after="160" w:line="240" w:lineRule="exact"/>
    </w:pPr>
    <w:rPr>
      <w:rFonts w:ascii="Verdana" w:hAnsi="Verdana"/>
    </w:rPr>
  </w:style>
  <w:style w:type="character" w:customStyle="1" w:styleId="36">
    <w:name w:val="Default Char"/>
    <w:link w:val="18"/>
    <w:qFormat/>
    <w:uiPriority w:val="0"/>
    <w:rPr>
      <w:color w:val="000000"/>
      <w:sz w:val="24"/>
      <w:szCs w:val="24"/>
      <w:lang w:bidi="ar-SA"/>
    </w:rPr>
  </w:style>
  <w:style w:type="paragraph" w:styleId="37">
    <w:name w:val="List Paragraph"/>
    <w:basedOn w:val="1"/>
    <w:qFormat/>
    <w:uiPriority w:val="34"/>
    <w:pPr>
      <w:ind w:firstLine="420" w:firstLineChars="200"/>
    </w:pPr>
  </w:style>
  <w:style w:type="paragraph" w:customStyle="1" w:styleId="38">
    <w:name w:val="orange bullets"/>
    <w:basedOn w:val="37"/>
    <w:qFormat/>
    <w:uiPriority w:val="0"/>
    <w:pPr>
      <w:numPr>
        <w:ilvl w:val="0"/>
        <w:numId w:val="2"/>
      </w:numPr>
      <w:tabs>
        <w:tab w:val="left" w:pos="360"/>
        <w:tab w:val="left" w:pos="425"/>
        <w:tab w:val="clear" w:pos="340"/>
      </w:tabs>
      <w:spacing w:line="240" w:lineRule="exact"/>
      <w:ind w:left="0" w:firstLine="0" w:firstLineChars="0"/>
      <w:contextualSpacing/>
    </w:pPr>
    <w:rPr>
      <w:rFonts w:ascii="Arial" w:hAnsi="Arial"/>
      <w:iCs/>
      <w:sz w:val="18"/>
      <w:szCs w:val="18"/>
      <w:lang w:val="en-GB"/>
    </w:rPr>
  </w:style>
  <w:style w:type="paragraph" w:customStyle="1" w:styleId="39">
    <w:name w:val="Tabelle"/>
    <w:basedOn w:val="1"/>
    <w:qFormat/>
    <w:uiPriority w:val="0"/>
    <w:pPr>
      <w:spacing w:before="40" w:after="40"/>
    </w:pPr>
    <w:rPr>
      <w:rFonts w:ascii="Arial" w:hAnsi="Arial"/>
      <w:lang w:eastAsia="de-DE"/>
    </w:rPr>
  </w:style>
  <w:style w:type="paragraph" w:customStyle="1" w:styleId="40">
    <w:name w:val="CM21"/>
    <w:basedOn w:val="18"/>
    <w:next w:val="18"/>
    <w:qFormat/>
    <w:uiPriority w:val="0"/>
    <w:pPr>
      <w:spacing w:line="360" w:lineRule="atLeast"/>
    </w:pPr>
    <w:rPr>
      <w:rFonts w:ascii="黑体" w:eastAsia="黑体"/>
      <w:color w:val="auto"/>
    </w:rPr>
  </w:style>
  <w:style w:type="paragraph" w:customStyle="1" w:styleId="41">
    <w:name w:val="Char Char Char Char Char Char"/>
    <w:basedOn w:val="1"/>
    <w:uiPriority w:val="0"/>
    <w:pPr>
      <w:spacing w:after="160" w:line="240" w:lineRule="exact"/>
    </w:pPr>
    <w:rPr>
      <w:rFonts w:ascii="Verdana" w:hAnsi="Verdana" w:eastAsia="楷体"/>
    </w:rPr>
  </w:style>
  <w:style w:type="paragraph" w:customStyle="1" w:styleId="42">
    <w:name w:val="Char Char Char Char Char Char1"/>
    <w:basedOn w:val="1"/>
    <w:uiPriority w:val="0"/>
    <w:pPr>
      <w:spacing w:after="160" w:line="240" w:lineRule="exact"/>
    </w:pPr>
    <w:rPr>
      <w:rFonts w:ascii="Verdana" w:hAnsi="Verdana" w:eastAsia="楷体"/>
    </w:rPr>
  </w:style>
  <w:style w:type="character" w:customStyle="1" w:styleId="43">
    <w:name w:val="apple-converted-space"/>
    <w:basedOn w:val="13"/>
    <w:qFormat/>
    <w:uiPriority w:val="0"/>
  </w:style>
  <w:style w:type="paragraph" w:customStyle="1" w:styleId="44">
    <w:name w:val="Char Char Char Char Char Char2"/>
    <w:basedOn w:val="1"/>
    <w:qFormat/>
    <w:uiPriority w:val="0"/>
    <w:pPr>
      <w:spacing w:after="160" w:line="240" w:lineRule="exact"/>
    </w:pPr>
    <w:rPr>
      <w:rFonts w:ascii="Verdana" w:hAnsi="Verdana" w:eastAsia="楷体"/>
    </w:rPr>
  </w:style>
  <w:style w:type="paragraph" w:customStyle="1" w:styleId="45">
    <w:name w:val="Char Char Char Char Char Char3"/>
    <w:basedOn w:val="1"/>
    <w:qFormat/>
    <w:uiPriority w:val="0"/>
    <w:pPr>
      <w:spacing w:after="160" w:line="240" w:lineRule="exact"/>
    </w:pPr>
    <w:rPr>
      <w:rFonts w:ascii="Verdana" w:hAnsi="Verdana" w:eastAsia="楷体"/>
    </w:rPr>
  </w:style>
  <w:style w:type="character" w:customStyle="1" w:styleId="46">
    <w:name w:val="纯文本 Char"/>
    <w:basedOn w:val="13"/>
    <w:link w:val="5"/>
    <w:qFormat/>
    <w:uiPriority w:val="0"/>
    <w:rPr>
      <w:rFonts w:ascii="宋体" w:hAnsi="Courier New" w:cs="Courier New"/>
      <w:sz w:val="21"/>
      <w:szCs w:val="21"/>
      <w:lang w:eastAsia="en-US"/>
    </w:rPr>
  </w:style>
  <w:style w:type="paragraph" w:customStyle="1" w:styleId="47">
    <w:name w:val="列出段落1"/>
    <w:basedOn w:val="1"/>
    <w:qFormat/>
    <w:uiPriority w:val="34"/>
    <w:pPr>
      <w:widowControl w:val="0"/>
      <w:ind w:firstLine="420" w:firstLineChars="200"/>
      <w:jc w:val="both"/>
    </w:pPr>
    <w:rPr>
      <w:rFonts w:asciiTheme="minorHAnsi" w:hAnsiTheme="minorHAnsi" w:eastAsiaTheme="minorEastAsia" w:cstheme="minorBidi"/>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85392-01CE-483E-BE8E-34C47215CD63}">
  <ds:schemaRefs/>
</ds:datastoreItem>
</file>

<file path=docProps/app.xml><?xml version="1.0" encoding="utf-8"?>
<Properties xmlns="http://schemas.openxmlformats.org/officeDocument/2006/extended-properties" xmlns:vt="http://schemas.openxmlformats.org/officeDocument/2006/docPropsVTypes">
  <Template>Normal</Template>
  <Company>BeckmanCoulter</Company>
  <Pages>5</Pages>
  <Words>441</Words>
  <Characters>2516</Characters>
  <Lines>20</Lines>
  <Paragraphs>5</Paragraphs>
  <TotalTime>1012</TotalTime>
  <ScaleCrop>false</ScaleCrop>
  <LinksUpToDate>false</LinksUpToDate>
  <CharactersWithSpaces>2952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2022-04-07T08:30:00Z</dcterms:created>
  <dc:creator>Gary Gu</dc:creator>
  <cp:lastModifiedBy>xhe</cp:lastModifiedBy>
  <cp:lastPrinted>2011-04-20T07:10:00Z</cp:lastPrinted>
  <dcterms:modified xsi:type="dcterms:W3CDTF">2022-04-19T01:23:18Z</dcterms:modified>
  <dc:title>技术协议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