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PX、PTA危险化学品重大危险辨识评估及PX安全现状评价项目</w:t>
      </w:r>
      <w:r>
        <w:rPr>
          <w:rFonts w:ascii="微软雅黑" w:eastAsia="微软雅黑"/>
          <w:b/>
          <w:sz w:val="52"/>
          <w:szCs w:val="22"/>
          <w:u w:val="single"/>
          <w:lang w:eastAsia="zh-CN"/>
        </w:rPr>
        <w:t>采购</w:t>
      </w:r>
    </w:p>
    <w:p>
      <w:pPr>
        <w:pStyle w:val="20"/>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比选文件</w:t>
      </w:r>
    </w:p>
    <w:p>
      <w:pPr>
        <w:pStyle w:val="2"/>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lang w:eastAsia="zh-CN"/>
        </w:rPr>
        <w:t>FHC-PTCG20220303002</w:t>
      </w:r>
      <w:r>
        <w:rPr>
          <w:rFonts w:hint="eastAsia"/>
          <w:color w:val="000000" w:themeColor="text1"/>
          <w:sz w:val="28"/>
          <w:szCs w:val="28"/>
        </w:rPr>
        <w:t>）</w:t>
      </w:r>
    </w:p>
    <w:p>
      <w:pPr>
        <w:pStyle w:val="20"/>
        <w:rPr>
          <w:rFonts w:ascii="微软雅黑"/>
          <w:b/>
          <w:sz w:val="94"/>
          <w:lang w:eastAsia="zh-CN"/>
        </w:rPr>
      </w:pP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FF0000"/>
          <w:w w:val="95"/>
          <w:sz w:val="32"/>
          <w:lang w:eastAsia="zh-CN"/>
        </w:rPr>
        <w:t xml:space="preserve">   </w:t>
      </w:r>
      <w:r>
        <w:rPr>
          <w:rFonts w:hint="eastAsia" w:ascii="微软雅黑" w:eastAsia="微软雅黑"/>
          <w:b/>
          <w:color w:val="000000" w:themeColor="text1"/>
          <w:w w:val="95"/>
          <w:sz w:val="32"/>
          <w:lang w:eastAsia="zh-CN"/>
        </w:rPr>
        <w:t>二〇二</w:t>
      </w:r>
      <w:r>
        <w:rPr>
          <w:rFonts w:hint="eastAsia" w:ascii="微软雅黑" w:eastAsia="微软雅黑"/>
          <w:b/>
          <w:color w:val="000000" w:themeColor="text1"/>
          <w:w w:val="95"/>
          <w:sz w:val="32"/>
          <w:lang w:val="en-US" w:eastAsia="zh-CN"/>
        </w:rPr>
        <w:t>二</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三</w:t>
      </w:r>
      <w:r>
        <w:rPr>
          <w:rFonts w:hint="eastAsia" w:ascii="微软雅黑" w:eastAsia="微软雅黑"/>
          <w:b/>
          <w:color w:val="000000" w:themeColor="text1"/>
          <w:w w:val="95"/>
          <w:sz w:val="32"/>
          <w:lang w:eastAsia="zh-CN"/>
        </w:rPr>
        <w:t>月</w:t>
      </w:r>
    </w:p>
    <w:p>
      <w:pPr>
        <w:spacing w:line="271" w:lineRule="auto"/>
        <w:jc w:val="center"/>
        <w:rPr>
          <w:rFonts w:ascii="微软雅黑" w:eastAsia="微软雅黑"/>
          <w:color w:val="000000" w:themeColor="text1"/>
          <w:sz w:val="32"/>
          <w:lang w:eastAsia="zh-CN"/>
        </w:rPr>
        <w:sectPr>
          <w:footerReference r:id="rId3" w:type="default"/>
          <w:type w:val="continuous"/>
          <w:pgSz w:w="11910" w:h="16840"/>
          <w:pgMar w:top="1600" w:right="1680" w:bottom="280" w:left="1680" w:header="720" w:footer="720" w:gutter="0"/>
          <w:pgNumType w:start="1"/>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pPr>
        <w:pStyle w:val="75"/>
        <w:numPr>
          <w:ilvl w:val="0"/>
          <w:numId w:val="6"/>
        </w:numPr>
        <w:tabs>
          <w:tab w:val="left" w:pos="1272"/>
        </w:tabs>
        <w:spacing w:line="355" w:lineRule="exact"/>
        <w:jc w:val="center"/>
        <w:rPr>
          <w:b/>
          <w:w w:val="95"/>
          <w:sz w:val="28"/>
          <w:lang w:eastAsia="zh-CN"/>
        </w:rPr>
      </w:pPr>
      <w:r>
        <w:rPr>
          <w:b/>
          <w:spacing w:val="-1"/>
          <w:w w:val="95"/>
          <w:sz w:val="28"/>
          <w:lang w:eastAsia="zh-CN"/>
        </w:rPr>
        <w:t>比选公</w:t>
      </w:r>
      <w:r>
        <w:rPr>
          <w:b/>
          <w:w w:val="95"/>
          <w:sz w:val="28"/>
          <w:lang w:eastAsia="zh-CN"/>
        </w:rPr>
        <w:t>告</w:t>
      </w:r>
    </w:p>
    <w:p>
      <w:pPr>
        <w:pStyle w:val="2"/>
      </w:pPr>
    </w:p>
    <w:p>
      <w:pPr>
        <w:jc w:val="center"/>
        <w:rPr>
          <w:b/>
          <w:bCs/>
          <w:sz w:val="32"/>
          <w:lang w:eastAsia="zh-CN"/>
        </w:rPr>
      </w:pPr>
      <w:r>
        <w:rPr>
          <w:rFonts w:hint="eastAsia"/>
          <w:b/>
          <w:bCs/>
          <w:sz w:val="32"/>
          <w:lang w:eastAsia="zh-CN"/>
        </w:rPr>
        <w:t>福建福海创石油化工有限公司PX、PTA危险化学品重大危险辨识评估及PX安全现状评价项目</w:t>
      </w:r>
      <w:r>
        <w:rPr>
          <w:b/>
          <w:bCs/>
          <w:sz w:val="32"/>
          <w:lang w:eastAsia="zh-CN"/>
        </w:rPr>
        <w:t>采购</w:t>
      </w:r>
      <w:r>
        <w:rPr>
          <w:rFonts w:hint="eastAsia"/>
          <w:b/>
          <w:bCs/>
          <w:sz w:val="32"/>
          <w:lang w:eastAsia="zh-CN"/>
        </w:rPr>
        <w:t>比选公告</w:t>
      </w:r>
    </w:p>
    <w:p>
      <w:pPr>
        <w:pStyle w:val="20"/>
        <w:rPr>
          <w:b/>
          <w:sz w:val="28"/>
          <w:lang w:eastAsia="zh-CN"/>
        </w:rPr>
      </w:pPr>
    </w:p>
    <w:p>
      <w:pPr>
        <w:pStyle w:val="20"/>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福建福海创石油化工有限公司PX、PTA危险化学品重大危险辨识评估及PX安全现状评价项目</w:t>
      </w:r>
      <w:r>
        <w:rPr>
          <w:color w:val="000000" w:themeColor="text1"/>
          <w:u w:val="single"/>
          <w:lang w:eastAsia="zh-CN"/>
        </w:rPr>
        <w:t>采购</w:t>
      </w:r>
      <w:r>
        <w:rPr>
          <w:rFonts w:hint="eastAsia"/>
          <w:color w:val="000000" w:themeColor="text1"/>
          <w:u w:val="single"/>
          <w:lang w:eastAsia="zh-CN"/>
        </w:rPr>
        <w:t>（项目编号：FHC-PTCG20220303002</w:t>
      </w:r>
      <w:r>
        <w:rPr>
          <w:color w:val="000000" w:themeColor="text1"/>
          <w:u w:val="single"/>
          <w:lang w:eastAsia="zh-CN"/>
        </w:rPr>
        <w:t xml:space="preserve"> </w:t>
      </w:r>
      <w:r>
        <w:rPr>
          <w:rFonts w:hint="eastAsia"/>
          <w:color w:val="000000" w:themeColor="text1"/>
          <w:u w:val="single"/>
          <w:lang w:eastAsia="zh-CN"/>
        </w:rPr>
        <w:t>）</w:t>
      </w:r>
      <w:r>
        <w:rPr>
          <w:rFonts w:hint="eastAsia"/>
          <w:color w:val="000000" w:themeColor="text1"/>
          <w:lang w:eastAsia="zh-CN"/>
        </w:rPr>
        <w:t>”</w:t>
      </w:r>
      <w:r>
        <w:rPr>
          <w:lang w:eastAsia="zh-CN"/>
        </w:rPr>
        <w:t>进行国内公开比选</w:t>
      </w:r>
      <w:r>
        <w:rPr>
          <w:rFonts w:hint="eastAsia"/>
          <w:lang w:eastAsia="zh-CN"/>
        </w:rPr>
        <w:t>，欢迎国内符合条件的供应商积极参选。</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项目名称：福建福海创石油化工有限公司PX、PTA危险化学品重大危险辨识评估及PX安全现状评价项目</w:t>
      </w:r>
      <w:r>
        <w:rPr>
          <w:sz w:val="24"/>
          <w:szCs w:val="24"/>
          <w:lang w:eastAsia="zh-CN"/>
        </w:rPr>
        <w:t>采购</w:t>
      </w:r>
    </w:p>
    <w:p>
      <w:pPr>
        <w:tabs>
          <w:tab w:val="left" w:pos="709"/>
        </w:tabs>
        <w:spacing w:line="360" w:lineRule="auto"/>
        <w:ind w:firstLine="480" w:firstLineChars="200"/>
        <w:rPr>
          <w:sz w:val="24"/>
          <w:szCs w:val="24"/>
          <w:lang w:eastAsia="zh-CN"/>
        </w:rPr>
      </w:pPr>
      <w:r>
        <w:rPr>
          <w:sz w:val="24"/>
          <w:szCs w:val="24"/>
          <w:lang w:eastAsia="zh-CN"/>
        </w:rPr>
        <w:t>2.</w:t>
      </w:r>
      <w:r>
        <w:rPr>
          <w:rFonts w:hint="eastAsia"/>
          <w:sz w:val="24"/>
          <w:szCs w:val="24"/>
          <w:lang w:eastAsia="zh-CN"/>
        </w:rPr>
        <w:t>比选项目说明：</w:t>
      </w:r>
      <w:r>
        <w:rPr>
          <w:rFonts w:hint="eastAsia"/>
          <w:sz w:val="24"/>
          <w:szCs w:val="24"/>
          <w:lang w:val="en-US" w:eastAsia="zh-CN"/>
        </w:rPr>
        <w:t>详见</w:t>
      </w:r>
      <w:r>
        <w:rPr>
          <w:rFonts w:hint="eastAsia"/>
          <w:sz w:val="24"/>
          <w:szCs w:val="24"/>
          <w:lang w:eastAsia="zh-CN"/>
        </w:rPr>
        <w:t>发包说明及清单。</w:t>
      </w:r>
    </w:p>
    <w:p>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比选控制价：</w:t>
      </w:r>
      <w:r>
        <w:rPr>
          <w:rFonts w:hint="eastAsia"/>
          <w:sz w:val="24"/>
          <w:szCs w:val="24"/>
          <w:lang w:val="en-US" w:eastAsia="zh-CN"/>
        </w:rPr>
        <w:t>80</w:t>
      </w:r>
      <w:r>
        <w:rPr>
          <w:sz w:val="24"/>
          <w:szCs w:val="24"/>
          <w:lang w:eastAsia="zh-CN"/>
        </w:rPr>
        <w:t>万元</w:t>
      </w:r>
      <w:r>
        <w:rPr>
          <w:rFonts w:hint="eastAsia"/>
          <w:sz w:val="24"/>
          <w:szCs w:val="24"/>
          <w:lang w:eastAsia="zh-CN"/>
        </w:rPr>
        <w:t>（</w:t>
      </w:r>
      <w:r>
        <w:rPr>
          <w:rFonts w:hint="eastAsia"/>
          <w:color w:val="000000" w:themeColor="text1"/>
          <w:u w:val="single"/>
          <w:lang w:eastAsia="zh-CN"/>
        </w:rPr>
        <w:t>PX危险化学品重大危险辨识评估</w:t>
      </w:r>
      <w:r>
        <w:rPr>
          <w:rFonts w:hint="eastAsia"/>
          <w:color w:val="000000" w:themeColor="text1"/>
          <w:u w:val="single"/>
          <w:lang w:val="en-US" w:eastAsia="zh-CN"/>
        </w:rPr>
        <w:t>控制价30万元</w:t>
      </w:r>
      <w:r>
        <w:rPr>
          <w:rFonts w:hint="eastAsia"/>
          <w:color w:val="000000" w:themeColor="text1"/>
          <w:u w:val="single"/>
          <w:lang w:eastAsia="zh-CN"/>
        </w:rPr>
        <w:t>、PTA危险化学品重大危险辨识评估</w:t>
      </w:r>
      <w:r>
        <w:rPr>
          <w:rFonts w:hint="eastAsia"/>
          <w:color w:val="000000" w:themeColor="text1"/>
          <w:u w:val="single"/>
          <w:lang w:val="en-US" w:eastAsia="zh-CN"/>
        </w:rPr>
        <w:t>控制价10</w:t>
      </w:r>
      <w:bookmarkStart w:id="1" w:name="_GoBack"/>
      <w:bookmarkEnd w:id="1"/>
      <w:r>
        <w:rPr>
          <w:rFonts w:hint="eastAsia"/>
          <w:color w:val="000000" w:themeColor="text1"/>
          <w:u w:val="single"/>
          <w:lang w:val="en-US" w:eastAsia="zh-CN"/>
        </w:rPr>
        <w:t>万元、</w:t>
      </w:r>
      <w:r>
        <w:rPr>
          <w:rFonts w:hint="eastAsia"/>
          <w:color w:val="000000" w:themeColor="text1"/>
          <w:u w:val="single"/>
          <w:lang w:eastAsia="zh-CN"/>
        </w:rPr>
        <w:t>PX安全现状评价</w:t>
      </w:r>
      <w:r>
        <w:rPr>
          <w:rFonts w:hint="eastAsia"/>
          <w:color w:val="000000" w:themeColor="text1"/>
          <w:u w:val="single"/>
          <w:lang w:val="en-US" w:eastAsia="zh-CN"/>
        </w:rPr>
        <w:t>控制价40万元</w:t>
      </w:r>
      <w:r>
        <w:rPr>
          <w:rFonts w:hint="eastAsia"/>
          <w:sz w:val="24"/>
          <w:szCs w:val="24"/>
          <w:lang w:eastAsia="zh-CN"/>
        </w:rPr>
        <w:t>）</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pPr>
        <w:tabs>
          <w:tab w:val="left" w:pos="709"/>
        </w:tabs>
        <w:spacing w:line="360" w:lineRule="auto"/>
        <w:ind w:firstLine="480" w:firstLineChars="200"/>
        <w:rPr>
          <w:sz w:val="24"/>
          <w:szCs w:val="24"/>
          <w:lang w:eastAsia="zh-CN"/>
        </w:rPr>
      </w:pPr>
      <w:r>
        <w:rPr>
          <w:rFonts w:hint="eastAsia"/>
          <w:sz w:val="24"/>
          <w:szCs w:val="24"/>
          <w:lang w:eastAsia="zh-CN"/>
        </w:rPr>
        <w:t>1.参选人必须具备有效的企业法人营业执照，</w:t>
      </w:r>
      <w:r>
        <w:rPr>
          <w:rFonts w:hint="eastAsia" w:ascii="宋体" w:hAnsi="宋体"/>
          <w:color w:val="000000"/>
          <w:sz w:val="24"/>
        </w:rPr>
        <w:t>须具有独立法人资格，不得以挂靠公司形式参</w:t>
      </w:r>
      <w:r>
        <w:rPr>
          <w:rFonts w:hint="eastAsia"/>
          <w:color w:val="000000"/>
          <w:sz w:val="24"/>
          <w:lang w:val="en-US" w:eastAsia="zh-CN"/>
        </w:rPr>
        <w:t>选</w:t>
      </w:r>
      <w:r>
        <w:rPr>
          <w:rFonts w:hint="eastAsia"/>
          <w:sz w:val="24"/>
          <w:szCs w:val="24"/>
          <w:lang w:eastAsia="zh-CN"/>
        </w:rPr>
        <w:t>。</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2</w:t>
      </w:r>
      <w:r>
        <w:rPr>
          <w:rFonts w:hint="eastAsia"/>
          <w:color w:val="000000" w:themeColor="text1"/>
          <w:sz w:val="24"/>
          <w:szCs w:val="24"/>
          <w:lang w:eastAsia="zh-CN"/>
        </w:rPr>
        <w:t>.</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3.与</w:t>
      </w:r>
      <w:r>
        <w:rPr>
          <w:rFonts w:hint="eastAsia"/>
          <w:color w:val="000000" w:themeColor="text1"/>
          <w:sz w:val="24"/>
          <w:szCs w:val="24"/>
          <w:lang w:eastAsia="zh-CN"/>
        </w:rPr>
        <w:t>比选人</w:t>
      </w:r>
      <w:r>
        <w:rPr>
          <w:color w:val="000000" w:themeColor="text1"/>
          <w:sz w:val="24"/>
          <w:szCs w:val="24"/>
          <w:lang w:eastAsia="zh-CN"/>
        </w:rPr>
        <w:t>无诉讼纠纷。</w:t>
      </w:r>
    </w:p>
    <w:p>
      <w:pPr>
        <w:tabs>
          <w:tab w:val="left" w:pos="709"/>
        </w:tabs>
        <w:spacing w:line="360" w:lineRule="auto"/>
        <w:ind w:firstLine="480" w:firstLineChars="200"/>
        <w:rPr>
          <w:rFonts w:hint="eastAsia" w:ascii="宋体" w:hAnsi="宋体"/>
          <w:color w:val="000000"/>
          <w:sz w:val="24"/>
        </w:rPr>
      </w:pPr>
      <w:r>
        <w:rPr>
          <w:rFonts w:hint="eastAsia"/>
          <w:color w:val="000000" w:themeColor="text1"/>
          <w:sz w:val="24"/>
          <w:szCs w:val="24"/>
          <w:lang w:val="en-US" w:eastAsia="zh-CN"/>
        </w:rPr>
        <w:t>4.</w:t>
      </w:r>
      <w:r>
        <w:rPr>
          <w:rFonts w:hint="eastAsia"/>
          <w:color w:val="000000"/>
          <w:sz w:val="24"/>
          <w:lang w:val="en-US" w:eastAsia="zh-CN"/>
        </w:rPr>
        <w:t>参选人</w:t>
      </w:r>
      <w:r>
        <w:rPr>
          <w:rFonts w:hint="eastAsia" w:ascii="宋体" w:hAnsi="宋体"/>
          <w:color w:val="000000"/>
          <w:sz w:val="24"/>
        </w:rPr>
        <w:t>应满足</w:t>
      </w:r>
      <w:r>
        <w:rPr>
          <w:rFonts w:ascii="宋体" w:hAnsi="宋体"/>
          <w:color w:val="000000"/>
          <w:sz w:val="24"/>
        </w:rPr>
        <w:t>《安全评价检测检验机构管理办法》</w:t>
      </w:r>
      <w:r>
        <w:rPr>
          <w:rFonts w:hint="eastAsia" w:ascii="宋体" w:hAnsi="宋体"/>
          <w:color w:val="000000"/>
          <w:sz w:val="24"/>
        </w:rPr>
        <w:t>（2019安监总局第1号令）</w:t>
      </w:r>
      <w:r>
        <w:rPr>
          <w:rFonts w:hint="eastAsia"/>
          <w:color w:val="000000"/>
          <w:sz w:val="24"/>
          <w:lang w:eastAsia="zh-CN"/>
        </w:rPr>
        <w:t>，</w:t>
      </w:r>
      <w:r>
        <w:rPr>
          <w:rFonts w:hint="eastAsia" w:ascii="宋体" w:hAnsi="宋体"/>
          <w:color w:val="000000"/>
          <w:sz w:val="24"/>
        </w:rPr>
        <w:t>具备承担危险化学品生产和储存安全评价的资质要求。</w:t>
      </w:r>
    </w:p>
    <w:p>
      <w:pPr>
        <w:spacing w:line="360" w:lineRule="auto"/>
        <w:ind w:firstLine="480" w:firstLineChars="200"/>
        <w:rPr>
          <w:rFonts w:hint="default"/>
          <w:lang w:val="en-US" w:eastAsia="zh-CN"/>
        </w:rPr>
      </w:pPr>
      <w:r>
        <w:rPr>
          <w:rFonts w:hint="eastAsia"/>
          <w:color w:val="000000" w:themeColor="text1"/>
          <w:sz w:val="24"/>
          <w:szCs w:val="24"/>
          <w:lang w:val="en-US" w:eastAsia="zh-CN"/>
        </w:rPr>
        <w:t>5</w:t>
      </w:r>
      <w:r>
        <w:rPr>
          <w:rFonts w:hint="eastAsia" w:ascii="宋体" w:hAnsi="宋体" w:eastAsia="宋体" w:cs="宋体"/>
          <w:color w:val="000000" w:themeColor="text1"/>
          <w:sz w:val="24"/>
          <w:szCs w:val="24"/>
          <w:lang w:val="en-US" w:eastAsia="zh-CN" w:bidi="ar-SA"/>
        </w:rPr>
        <w:t>.</w:t>
      </w:r>
      <w:r>
        <w:rPr>
          <w:rFonts w:hint="eastAsia"/>
          <w:sz w:val="24"/>
          <w:szCs w:val="24"/>
          <w:lang w:val="en-US" w:eastAsia="zh-CN"/>
        </w:rPr>
        <w:t>参选人需由法定代表人直接参选，不接受法人委托代理人参选。</w:t>
      </w:r>
    </w:p>
    <w:p>
      <w:pPr>
        <w:tabs>
          <w:tab w:val="left" w:pos="709"/>
        </w:tabs>
        <w:spacing w:line="360" w:lineRule="auto"/>
        <w:ind w:firstLine="514" w:firstLineChars="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2</w:t>
      </w:r>
      <w:r>
        <w:rPr>
          <w:rFonts w:hint="eastAsia"/>
          <w:color w:val="000000" w:themeColor="text1"/>
          <w:sz w:val="24"/>
          <w:szCs w:val="24"/>
          <w:lang w:eastAsia="zh-CN"/>
        </w:rPr>
        <w:t>年</w:t>
      </w:r>
      <w:r>
        <w:rPr>
          <w:rFonts w:hint="eastAsia"/>
          <w:color w:val="000000" w:themeColor="text1"/>
          <w:sz w:val="24"/>
          <w:szCs w:val="24"/>
          <w:lang w:val="en-US" w:eastAsia="zh-CN"/>
        </w:rPr>
        <w:t xml:space="preserve">  </w:t>
      </w:r>
      <w:r>
        <w:rPr>
          <w:rFonts w:hint="eastAsia"/>
          <w:color w:val="000000" w:themeColor="text1"/>
          <w:sz w:val="24"/>
          <w:szCs w:val="24"/>
          <w:lang w:eastAsia="zh-CN"/>
        </w:rPr>
        <w:t>月</w:t>
      </w:r>
      <w:r>
        <w:rPr>
          <w:rFonts w:hint="eastAsia"/>
          <w:color w:val="000000" w:themeColor="text1"/>
          <w:sz w:val="24"/>
          <w:szCs w:val="24"/>
          <w:lang w:val="en-US" w:eastAsia="zh-CN"/>
        </w:rPr>
        <w:t xml:space="preserve">  </w:t>
      </w:r>
      <w:r>
        <w:rPr>
          <w:rFonts w:hint="eastAsia"/>
          <w:color w:val="000000" w:themeColor="text1"/>
          <w:sz w:val="24"/>
          <w:szCs w:val="24"/>
          <w:lang w:eastAsia="zh-CN"/>
        </w:rPr>
        <w:t>日至</w:t>
      </w:r>
      <w:r>
        <w:rPr>
          <w:rFonts w:hint="eastAsia"/>
          <w:color w:val="000000" w:themeColor="text1"/>
          <w:sz w:val="24"/>
          <w:szCs w:val="24"/>
          <w:lang w:val="en-US" w:eastAsia="zh-CN"/>
        </w:rPr>
        <w:t>2022</w:t>
      </w:r>
      <w:r>
        <w:rPr>
          <w:rFonts w:hint="eastAsia"/>
          <w:color w:val="000000" w:themeColor="text1"/>
          <w:sz w:val="24"/>
          <w:szCs w:val="24"/>
          <w:lang w:eastAsia="zh-CN"/>
        </w:rPr>
        <w:t>年</w:t>
      </w:r>
      <w:r>
        <w:rPr>
          <w:rFonts w:hint="eastAsia"/>
          <w:color w:val="000000" w:themeColor="text1"/>
          <w:sz w:val="24"/>
          <w:szCs w:val="24"/>
          <w:lang w:val="en-US" w:eastAsia="zh-CN"/>
        </w:rPr>
        <w:t xml:space="preserve">  </w:t>
      </w:r>
      <w:r>
        <w:rPr>
          <w:rFonts w:hint="eastAsia"/>
          <w:color w:val="000000" w:themeColor="text1"/>
          <w:sz w:val="24"/>
          <w:szCs w:val="24"/>
          <w:lang w:eastAsia="zh-CN"/>
        </w:rPr>
        <w:t>月</w:t>
      </w:r>
      <w:r>
        <w:rPr>
          <w:rFonts w:hint="eastAsia"/>
          <w:color w:val="000000" w:themeColor="text1"/>
          <w:sz w:val="24"/>
          <w:szCs w:val="24"/>
          <w:lang w:val="en-US" w:eastAsia="zh-CN"/>
        </w:rPr>
        <w:t xml:space="preserve">  </w:t>
      </w:r>
      <w:r>
        <w:rPr>
          <w:rFonts w:hint="eastAsia"/>
          <w:color w:val="000000" w:themeColor="text1"/>
          <w:sz w:val="24"/>
          <w:szCs w:val="24"/>
          <w:lang w:eastAsia="zh-CN"/>
        </w:rPr>
        <w:t>日（共</w:t>
      </w:r>
      <w:r>
        <w:rPr>
          <w:color w:val="000000" w:themeColor="text1"/>
          <w:sz w:val="24"/>
          <w:szCs w:val="24"/>
          <w:lang w:eastAsia="zh-CN"/>
        </w:rPr>
        <w:t>10</w:t>
      </w:r>
      <w:r>
        <w:rPr>
          <w:rFonts w:hint="eastAsia"/>
          <w:color w:val="000000" w:themeColor="text1"/>
          <w:sz w:val="24"/>
          <w:szCs w:val="24"/>
          <w:lang w:eastAsia="zh-CN"/>
        </w:rPr>
        <w:t>天）</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报名方式：参选人在报名时间内将报名文件发送至邮箱xydai@fhcpec.com.cn，报名文件包含：</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w:t>
      </w:r>
      <w:r>
        <w:rPr>
          <w:rFonts w:hint="eastAsia"/>
          <w:color w:val="000000" w:themeColor="text1"/>
          <w:sz w:val="24"/>
          <w:szCs w:val="24"/>
          <w:lang w:val="en-US" w:eastAsia="zh-CN"/>
        </w:rPr>
        <w:t>身份证复印件（正反面)</w:t>
      </w:r>
      <w:r>
        <w:rPr>
          <w:rFonts w:hint="eastAsia"/>
          <w:color w:val="000000" w:themeColor="text1"/>
          <w:sz w:val="24"/>
          <w:szCs w:val="24"/>
          <w:lang w:eastAsia="zh-CN"/>
        </w:rPr>
        <w:t>；</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rFonts w:hint="eastAsia"/>
          <w:color w:val="000000" w:themeColor="text1"/>
          <w:sz w:val="24"/>
          <w:szCs w:val="24"/>
          <w:lang w:val="en-US" w:eastAsia="zh-CN"/>
        </w:rPr>
        <w:t>需提供</w:t>
      </w:r>
      <w:r>
        <w:rPr>
          <w:rFonts w:hint="eastAsia" w:ascii="宋体" w:hAnsi="宋体"/>
          <w:color w:val="000000"/>
          <w:sz w:val="24"/>
        </w:rPr>
        <w:t>近3年（20</w:t>
      </w:r>
      <w:r>
        <w:rPr>
          <w:rFonts w:ascii="宋体" w:hAnsi="宋体"/>
          <w:color w:val="000000"/>
          <w:sz w:val="24"/>
        </w:rPr>
        <w:t>1</w:t>
      </w:r>
      <w:r>
        <w:rPr>
          <w:rFonts w:hint="eastAsia" w:ascii="宋体" w:hAnsi="宋体"/>
          <w:color w:val="000000"/>
          <w:sz w:val="24"/>
        </w:rPr>
        <w:t>9-20</w:t>
      </w:r>
      <w:r>
        <w:rPr>
          <w:rFonts w:ascii="宋体" w:hAnsi="宋体"/>
          <w:color w:val="000000"/>
          <w:sz w:val="24"/>
        </w:rPr>
        <w:t>21</w:t>
      </w:r>
      <w:r>
        <w:rPr>
          <w:rFonts w:hint="eastAsia" w:ascii="宋体" w:hAnsi="宋体"/>
          <w:color w:val="000000"/>
          <w:sz w:val="24"/>
        </w:rPr>
        <w:t>）主持完成3</w:t>
      </w:r>
      <w:r>
        <w:rPr>
          <w:rFonts w:ascii="宋体" w:hAnsi="宋体"/>
          <w:color w:val="000000"/>
          <w:sz w:val="24"/>
        </w:rPr>
        <w:t>个及以上</w:t>
      </w:r>
      <w:r>
        <w:rPr>
          <w:rFonts w:hint="eastAsia" w:ascii="宋体" w:hAnsi="宋体"/>
          <w:color w:val="000000"/>
          <w:sz w:val="24"/>
        </w:rPr>
        <w:t>石油化工项目（单个项目投资总额在5</w:t>
      </w:r>
      <w:r>
        <w:rPr>
          <w:rFonts w:ascii="宋体" w:hAnsi="宋体"/>
          <w:color w:val="000000"/>
          <w:sz w:val="24"/>
        </w:rPr>
        <w:t>0</w:t>
      </w:r>
      <w:r>
        <w:rPr>
          <w:rFonts w:hint="eastAsia" w:ascii="宋体" w:hAnsi="宋体"/>
          <w:color w:val="000000"/>
          <w:sz w:val="24"/>
        </w:rPr>
        <w:t>亿元以上）的安全</w:t>
      </w:r>
      <w:r>
        <w:rPr>
          <w:rFonts w:ascii="宋体" w:hAnsi="宋体"/>
          <w:color w:val="000000"/>
          <w:sz w:val="24"/>
        </w:rPr>
        <w:t>评价技术服务</w:t>
      </w:r>
      <w:r>
        <w:rPr>
          <w:rFonts w:hint="eastAsia" w:ascii="宋体" w:hAnsi="宋体"/>
          <w:color w:val="000000"/>
          <w:sz w:val="24"/>
        </w:rPr>
        <w:t>业绩，并获得主管部门批复（需提供业绩合同及主管部门批复）。</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参选文件递交地点：漳州市漳浦县杜浔镇杜昌路9号，福海创办公楼</w:t>
      </w:r>
      <w:r>
        <w:rPr>
          <w:rFonts w:hint="eastAsia"/>
          <w:color w:val="000000" w:themeColor="text1"/>
          <w:sz w:val="24"/>
          <w:szCs w:val="24"/>
          <w:lang w:val="en-US" w:eastAsia="zh-CN"/>
        </w:rPr>
        <w:t>三</w:t>
      </w:r>
      <w:r>
        <w:rPr>
          <w:rFonts w:hint="eastAsia"/>
          <w:color w:val="000000" w:themeColor="text1"/>
          <w:sz w:val="24"/>
          <w:szCs w:val="24"/>
          <w:lang w:eastAsia="zh-CN"/>
        </w:rPr>
        <w:t>楼</w:t>
      </w:r>
      <w:r>
        <w:rPr>
          <w:rFonts w:hint="eastAsia"/>
          <w:color w:val="000000" w:themeColor="text1"/>
          <w:sz w:val="24"/>
          <w:szCs w:val="24"/>
          <w:lang w:val="en-US" w:eastAsia="zh-CN"/>
        </w:rPr>
        <w:t>设备及服务团队</w:t>
      </w:r>
      <w:r>
        <w:rPr>
          <w:rFonts w:hint="eastAsia"/>
          <w:color w:val="000000" w:themeColor="text1"/>
          <w:sz w:val="24"/>
          <w:szCs w:val="24"/>
          <w:lang w:eastAsia="zh-CN"/>
        </w:rPr>
        <w:t>。</w:t>
      </w:r>
    </w:p>
    <w:p>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参选文件递交截止时间（以送达时间为准）：报名截止时间延后2个工作日。</w:t>
      </w:r>
    </w:p>
    <w:p>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商务联系人：</w:t>
      </w:r>
      <w:r>
        <w:rPr>
          <w:rFonts w:hint="eastAsia"/>
          <w:color w:val="000000" w:themeColor="text1"/>
          <w:sz w:val="24"/>
          <w:szCs w:val="24"/>
          <w:lang w:val="en-US" w:eastAsia="zh-CN"/>
        </w:rPr>
        <w:t>戴小玉</w:t>
      </w:r>
      <w:r>
        <w:rPr>
          <w:rFonts w:hint="eastAsia"/>
          <w:color w:val="000000" w:themeColor="text1"/>
          <w:sz w:val="24"/>
          <w:szCs w:val="24"/>
          <w:lang w:eastAsia="zh-CN"/>
        </w:rPr>
        <w:t xml:space="preserve"> 电话：</w:t>
      </w:r>
      <w:r>
        <w:rPr>
          <w:rFonts w:hint="eastAsia"/>
          <w:color w:val="000000" w:themeColor="text1"/>
          <w:sz w:val="24"/>
          <w:szCs w:val="24"/>
          <w:lang w:val="en-US" w:eastAsia="zh-CN"/>
        </w:rPr>
        <w:t>15259629857</w:t>
      </w:r>
      <w:r>
        <w:rPr>
          <w:rFonts w:hint="eastAsia"/>
          <w:color w:val="000000" w:themeColor="text1"/>
          <w:sz w:val="24"/>
          <w:szCs w:val="24"/>
          <w:lang w:eastAsia="zh-CN"/>
        </w:rPr>
        <w:t xml:space="preserve"> 邮箱：</w:t>
      </w:r>
      <w:r>
        <w:rPr>
          <w:rFonts w:hint="eastAsia"/>
          <w:color w:val="000000" w:themeColor="text1"/>
          <w:sz w:val="24"/>
          <w:szCs w:val="24"/>
          <w:lang w:eastAsia="zh-CN"/>
        </w:rPr>
        <w:fldChar w:fldCharType="begin"/>
      </w:r>
      <w:r>
        <w:rPr>
          <w:rFonts w:hint="eastAsia"/>
          <w:color w:val="000000" w:themeColor="text1"/>
          <w:sz w:val="24"/>
          <w:szCs w:val="24"/>
          <w:lang w:eastAsia="zh-CN"/>
        </w:rPr>
        <w:instrText xml:space="preserve"> HYPERLINK "mailto:xydai@fhcpec.com.cn" </w:instrText>
      </w:r>
      <w:r>
        <w:rPr>
          <w:rFonts w:hint="eastAsia"/>
          <w:color w:val="000000" w:themeColor="text1"/>
          <w:sz w:val="24"/>
          <w:szCs w:val="24"/>
          <w:lang w:eastAsia="zh-CN"/>
        </w:rPr>
        <w:fldChar w:fldCharType="separate"/>
      </w:r>
      <w:r>
        <w:rPr>
          <w:rFonts w:hint="eastAsia"/>
          <w:color w:val="000000" w:themeColor="text1"/>
          <w:sz w:val="24"/>
          <w:szCs w:val="24"/>
          <w:lang w:eastAsia="zh-CN"/>
        </w:rPr>
        <w:t>xydai@fhcpec.com.cn</w:t>
      </w:r>
      <w:r>
        <w:rPr>
          <w:rFonts w:hint="eastAsia"/>
          <w:color w:val="000000" w:themeColor="text1"/>
          <w:sz w:val="24"/>
          <w:szCs w:val="24"/>
          <w:lang w:eastAsia="zh-CN"/>
        </w:rPr>
        <w:fldChar w:fldCharType="end"/>
      </w:r>
    </w:p>
    <w:p>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 xml:space="preserve">技术联系人：寻永昌 </w:t>
      </w:r>
      <w:r>
        <w:rPr>
          <w:rFonts w:hint="eastAsia"/>
          <w:color w:val="000000" w:themeColor="text1"/>
          <w:sz w:val="24"/>
          <w:szCs w:val="24"/>
          <w:lang w:eastAsia="zh-CN"/>
        </w:rPr>
        <w:t>电话：</w:t>
      </w:r>
      <w:r>
        <w:rPr>
          <w:rFonts w:hint="eastAsia"/>
          <w:color w:val="000000" w:themeColor="text1"/>
          <w:sz w:val="24"/>
          <w:szCs w:val="24"/>
          <w:lang w:val="en-US" w:eastAsia="zh-CN"/>
        </w:rPr>
        <w:t>19959614141 邮箱：</w:t>
      </w:r>
      <w:r>
        <w:rPr>
          <w:rFonts w:hint="eastAsia"/>
          <w:color w:val="000000" w:themeColor="text1"/>
          <w:sz w:val="24"/>
          <w:szCs w:val="24"/>
          <w:lang w:eastAsia="zh-CN"/>
        </w:rPr>
        <w:t>ycxun@fhcpec.com.cn</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 xml:space="preserve">纪检监察室电话：0596-6311774  </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联系地址：漳州市漳浦县杜浔镇杜昌路9号</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邮    编：363216</w:t>
      </w:r>
    </w:p>
    <w:p>
      <w:pPr>
        <w:spacing w:line="360" w:lineRule="auto"/>
        <w:rPr>
          <w:sz w:val="24"/>
          <w:szCs w:val="24"/>
          <w:lang w:eastAsia="zh-CN"/>
        </w:rPr>
      </w:pPr>
    </w:p>
    <w:p>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2</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10</w:t>
      </w:r>
      <w:r>
        <w:rPr>
          <w:rFonts w:hint="eastAsia"/>
          <w:color w:val="000000" w:themeColor="text1"/>
          <w:sz w:val="24"/>
          <w:szCs w:val="24"/>
          <w:lang w:eastAsia="zh-CN"/>
        </w:rPr>
        <w:t>日</w:t>
      </w:r>
    </w:p>
    <w:p>
      <w:pPr>
        <w:pStyle w:val="3"/>
        <w:tabs>
          <w:tab w:val="left" w:pos="1262"/>
        </w:tabs>
        <w:spacing w:line="360" w:lineRule="auto"/>
        <w:ind w:left="0" w:right="108"/>
        <w:jc w:val="center"/>
        <w:rPr>
          <w:sz w:val="24"/>
          <w:szCs w:val="24"/>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color w:val="000000" w:themeColor="text1"/>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福建福海创石油化工有限公司PX、PTA危险化学品重大危险辨识评估及PX安全现状评价项目</w:t>
      </w:r>
      <w:r>
        <w:rPr>
          <w:color w:val="000000" w:themeColor="text1"/>
          <w:lang w:eastAsia="zh-CN"/>
        </w:rPr>
        <w:t>采购</w:t>
      </w:r>
    </w:p>
    <w:p>
      <w:pPr>
        <w:pStyle w:val="20"/>
        <w:spacing w:line="360" w:lineRule="auto"/>
        <w:ind w:right="121"/>
        <w:jc w:val="both"/>
        <w:rPr>
          <w:color w:val="000000" w:themeColor="text1"/>
          <w:lang w:eastAsia="zh-CN"/>
        </w:rPr>
      </w:pPr>
      <w:r>
        <w:rPr>
          <w:rFonts w:hint="eastAsia"/>
          <w:color w:val="000000" w:themeColor="text1"/>
          <w:lang w:eastAsia="zh-CN"/>
        </w:rPr>
        <w:t xml:space="preserve">    2.项目</w:t>
      </w:r>
      <w:r>
        <w:rPr>
          <w:color w:val="000000" w:themeColor="text1"/>
          <w:lang w:eastAsia="zh-CN"/>
        </w:rPr>
        <w:t>地点：</w:t>
      </w:r>
      <w:r>
        <w:rPr>
          <w:rFonts w:hint="eastAsia"/>
          <w:color w:val="000000" w:themeColor="text1"/>
          <w:lang w:eastAsia="zh-CN"/>
        </w:rPr>
        <w:t>福建福海创石油化工有限公司</w:t>
      </w:r>
    </w:p>
    <w:p>
      <w:pPr>
        <w:pStyle w:val="20"/>
        <w:spacing w:line="360" w:lineRule="auto"/>
        <w:ind w:right="121"/>
        <w:jc w:val="both"/>
        <w:rPr>
          <w:color w:val="000000" w:themeColor="text1"/>
          <w:lang w:eastAsia="zh-CN"/>
        </w:rPr>
      </w:pPr>
      <w:r>
        <w:rPr>
          <w:rFonts w:hint="eastAsia"/>
          <w:color w:val="000000" w:themeColor="text1"/>
          <w:lang w:eastAsia="zh-CN"/>
        </w:rPr>
        <w:t xml:space="preserve">    3.承包方式：固定总价包干</w:t>
      </w:r>
    </w:p>
    <w:p>
      <w:pPr>
        <w:pStyle w:val="20"/>
        <w:spacing w:line="360" w:lineRule="auto"/>
        <w:ind w:right="121"/>
        <w:jc w:val="both"/>
        <w:rPr>
          <w:rFonts w:hint="default"/>
          <w:color w:val="000000" w:themeColor="text1"/>
          <w:lang w:val="en-US" w:eastAsia="zh-CN"/>
        </w:rPr>
      </w:pPr>
      <w:r>
        <w:rPr>
          <w:rFonts w:hint="eastAsia"/>
          <w:color w:val="000000" w:themeColor="text1"/>
          <w:lang w:eastAsia="zh-CN"/>
        </w:rPr>
        <w:t xml:space="preserve">    4.项目工作范围及技术要求：见附件</w:t>
      </w:r>
      <w:r>
        <w:rPr>
          <w:rFonts w:hint="eastAsia"/>
          <w:color w:val="000000" w:themeColor="text1"/>
          <w:lang w:val="en-US" w:eastAsia="zh-CN"/>
        </w:rPr>
        <w:t>发包说明及清单</w:t>
      </w:r>
    </w:p>
    <w:p>
      <w:pPr>
        <w:pStyle w:val="20"/>
        <w:spacing w:line="360" w:lineRule="auto"/>
        <w:ind w:right="121"/>
        <w:jc w:val="both"/>
        <w:rPr>
          <w:lang w:eastAsia="zh-CN"/>
        </w:rPr>
      </w:pPr>
      <w:r>
        <w:rPr>
          <w:rFonts w:hint="eastAsia"/>
          <w:lang w:eastAsia="zh-CN"/>
        </w:rPr>
        <w:t xml:space="preserve">    5.项目联系人</w:t>
      </w:r>
    </w:p>
    <w:p>
      <w:pPr>
        <w:pStyle w:val="20"/>
        <w:spacing w:line="360" w:lineRule="auto"/>
        <w:ind w:right="121"/>
        <w:jc w:val="both"/>
        <w:rPr>
          <w:rFonts w:hint="eastAsia"/>
          <w:lang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寻永昌</w:t>
      </w:r>
      <w:r>
        <w:rPr>
          <w:rFonts w:hint="eastAsia"/>
          <w:lang w:eastAsia="zh-CN"/>
        </w:rPr>
        <w:t xml:space="preserve"> </w:t>
      </w:r>
      <w:r>
        <w:rPr>
          <w:rFonts w:hint="eastAsia"/>
          <w:lang w:val="en-US" w:eastAsia="zh-CN"/>
        </w:rPr>
        <w:t xml:space="preserve"> </w:t>
      </w:r>
      <w:r>
        <w:rPr>
          <w:lang w:eastAsia="zh-CN"/>
        </w:rPr>
        <w:t>1</w:t>
      </w:r>
      <w:r>
        <w:rPr>
          <w:rFonts w:hint="eastAsia"/>
          <w:lang w:val="en-US" w:eastAsia="zh-CN"/>
        </w:rPr>
        <w:t>9959614141</w:t>
      </w:r>
      <w:r>
        <w:rPr>
          <w:rFonts w:hint="eastAsia"/>
          <w:lang w:eastAsia="zh-CN"/>
        </w:rPr>
        <w:t>，ycxun@fhcpec.com.cn</w:t>
      </w:r>
    </w:p>
    <w:p>
      <w:pPr>
        <w:pStyle w:val="20"/>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w:t>
      </w:r>
      <w:r>
        <w:rPr>
          <w:rFonts w:hint="eastAsia"/>
          <w:lang w:val="en-US" w:eastAsia="zh-CN"/>
        </w:rPr>
        <w:t>戴小玉  15259629857</w:t>
      </w:r>
      <w:r>
        <w:rPr>
          <w:rFonts w:hint="eastAsia"/>
          <w:lang w:eastAsia="zh-CN"/>
        </w:rPr>
        <w:t>，xydai@fhcpec.com.cn</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pPr>
        <w:tabs>
          <w:tab w:val="left" w:pos="709"/>
        </w:tabs>
        <w:spacing w:line="360" w:lineRule="auto"/>
        <w:ind w:firstLine="480" w:firstLineChars="200"/>
        <w:rPr>
          <w:sz w:val="24"/>
          <w:szCs w:val="24"/>
          <w:lang w:eastAsia="zh-CN"/>
        </w:rPr>
      </w:pPr>
      <w:r>
        <w:rPr>
          <w:rFonts w:hint="eastAsia"/>
          <w:sz w:val="24"/>
          <w:szCs w:val="24"/>
          <w:lang w:eastAsia="zh-CN"/>
        </w:rPr>
        <w:t>1.参选人必须具备有效的企业法人营业执照，</w:t>
      </w:r>
      <w:r>
        <w:rPr>
          <w:rFonts w:hint="eastAsia" w:ascii="宋体" w:hAnsi="宋体"/>
          <w:color w:val="000000"/>
          <w:sz w:val="24"/>
        </w:rPr>
        <w:t>须具有独立法人资格，不得以挂靠公司形式参</w:t>
      </w:r>
      <w:r>
        <w:rPr>
          <w:rFonts w:hint="eastAsia"/>
          <w:color w:val="000000"/>
          <w:sz w:val="24"/>
          <w:lang w:val="en-US" w:eastAsia="zh-CN"/>
        </w:rPr>
        <w:t>选</w:t>
      </w:r>
      <w:r>
        <w:rPr>
          <w:rFonts w:hint="eastAsia"/>
          <w:sz w:val="24"/>
          <w:szCs w:val="24"/>
          <w:lang w:eastAsia="zh-CN"/>
        </w:rPr>
        <w:t>。</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2</w:t>
      </w:r>
      <w:r>
        <w:rPr>
          <w:rFonts w:hint="eastAsia"/>
          <w:color w:val="000000" w:themeColor="text1"/>
          <w:sz w:val="24"/>
          <w:szCs w:val="24"/>
          <w:lang w:eastAsia="zh-CN"/>
        </w:rPr>
        <w:t>.</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3.与</w:t>
      </w:r>
      <w:r>
        <w:rPr>
          <w:rFonts w:hint="eastAsia"/>
          <w:color w:val="000000" w:themeColor="text1"/>
          <w:sz w:val="24"/>
          <w:szCs w:val="24"/>
          <w:lang w:eastAsia="zh-CN"/>
        </w:rPr>
        <w:t>比选人</w:t>
      </w:r>
      <w:r>
        <w:rPr>
          <w:color w:val="000000" w:themeColor="text1"/>
          <w:sz w:val="24"/>
          <w:szCs w:val="24"/>
          <w:lang w:eastAsia="zh-CN"/>
        </w:rPr>
        <w:t>无诉讼纠纷。</w:t>
      </w:r>
    </w:p>
    <w:p>
      <w:pPr>
        <w:tabs>
          <w:tab w:val="left" w:pos="709"/>
        </w:tabs>
        <w:spacing w:line="360" w:lineRule="auto"/>
        <w:ind w:firstLine="480" w:firstLineChars="200"/>
        <w:rPr>
          <w:rFonts w:hint="eastAsia" w:ascii="宋体" w:hAnsi="宋体"/>
          <w:color w:val="000000"/>
          <w:sz w:val="24"/>
        </w:rPr>
      </w:pPr>
      <w:r>
        <w:rPr>
          <w:rFonts w:hint="eastAsia"/>
          <w:color w:val="000000" w:themeColor="text1"/>
          <w:sz w:val="24"/>
          <w:szCs w:val="24"/>
          <w:lang w:val="en-US" w:eastAsia="zh-CN"/>
        </w:rPr>
        <w:t>4.</w:t>
      </w:r>
      <w:r>
        <w:rPr>
          <w:rFonts w:hint="eastAsia"/>
          <w:color w:val="000000"/>
          <w:sz w:val="24"/>
          <w:lang w:val="en-US" w:eastAsia="zh-CN"/>
        </w:rPr>
        <w:t>参选人</w:t>
      </w:r>
      <w:r>
        <w:rPr>
          <w:rFonts w:hint="eastAsia" w:ascii="宋体" w:hAnsi="宋体"/>
          <w:color w:val="000000"/>
          <w:sz w:val="24"/>
        </w:rPr>
        <w:t>应满足</w:t>
      </w:r>
      <w:r>
        <w:rPr>
          <w:rFonts w:ascii="宋体" w:hAnsi="宋体"/>
          <w:color w:val="000000"/>
          <w:sz w:val="24"/>
        </w:rPr>
        <w:t>《安全评价检测检验机构管理办法》</w:t>
      </w:r>
      <w:r>
        <w:rPr>
          <w:rFonts w:hint="eastAsia" w:ascii="宋体" w:hAnsi="宋体"/>
          <w:color w:val="000000"/>
          <w:sz w:val="24"/>
        </w:rPr>
        <w:t>（2019安监总局第1号令）中，具备承担危险化学品生产和储存安全评价的资质要求。</w:t>
      </w:r>
    </w:p>
    <w:p>
      <w:pPr>
        <w:spacing w:line="360" w:lineRule="auto"/>
        <w:ind w:firstLine="480" w:firstLineChars="200"/>
        <w:rPr>
          <w:rFonts w:hint="default"/>
          <w:lang w:val="en-US" w:eastAsia="zh-CN"/>
        </w:rPr>
      </w:pPr>
      <w:r>
        <w:rPr>
          <w:rFonts w:hint="eastAsia"/>
          <w:color w:val="000000" w:themeColor="text1"/>
          <w:sz w:val="24"/>
          <w:szCs w:val="24"/>
          <w:lang w:val="en-US" w:eastAsia="zh-CN"/>
        </w:rPr>
        <w:t>5</w:t>
      </w:r>
      <w:r>
        <w:rPr>
          <w:rFonts w:hint="eastAsia" w:ascii="宋体" w:hAnsi="宋体" w:eastAsia="宋体" w:cs="宋体"/>
          <w:color w:val="000000" w:themeColor="text1"/>
          <w:sz w:val="24"/>
          <w:szCs w:val="24"/>
          <w:lang w:val="en-US" w:eastAsia="zh-CN" w:bidi="ar-SA"/>
        </w:rPr>
        <w:t>.</w:t>
      </w:r>
      <w:r>
        <w:rPr>
          <w:rFonts w:hint="eastAsia"/>
          <w:sz w:val="24"/>
          <w:szCs w:val="24"/>
          <w:lang w:val="en-US" w:eastAsia="zh-CN"/>
        </w:rPr>
        <w:t>参选人需由法定代表人直接参选，不接受法人委托代理人参选。</w:t>
      </w:r>
    </w:p>
    <w:p>
      <w:pPr>
        <w:pStyle w:val="20"/>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七、参选保证金</w:t>
      </w:r>
    </w:p>
    <w:p>
      <w:pPr>
        <w:pStyle w:val="20"/>
        <w:spacing w:line="360" w:lineRule="auto"/>
        <w:ind w:right="121"/>
        <w:jc w:val="both"/>
        <w:rPr>
          <w:color w:val="000000" w:themeColor="text1"/>
          <w:lang w:eastAsia="zh-CN"/>
        </w:rPr>
      </w:pPr>
      <w:r>
        <w:rPr>
          <w:rFonts w:hint="eastAsia"/>
          <w:lang w:eastAsia="zh-CN"/>
        </w:rPr>
        <w:t xml:space="preserve">    1.参选单位应缴纳参选保证金，保证金</w:t>
      </w:r>
      <w:r>
        <w:rPr>
          <w:rFonts w:hint="eastAsia"/>
          <w:color w:val="000000" w:themeColor="text1"/>
          <w:lang w:eastAsia="zh-CN"/>
        </w:rPr>
        <w:t>金额</w:t>
      </w:r>
      <w:r>
        <w:rPr>
          <w:rFonts w:hint="eastAsia"/>
          <w:b/>
          <w:bCs/>
          <w:color w:val="000000" w:themeColor="text1"/>
          <w:lang w:val="en-US" w:eastAsia="zh-CN"/>
        </w:rPr>
        <w:t>16000</w:t>
      </w:r>
      <w:r>
        <w:rPr>
          <w:rFonts w:hint="eastAsia"/>
          <w:color w:val="000000" w:themeColor="text1"/>
          <w:lang w:eastAsia="zh-CN"/>
        </w:rPr>
        <w:t>元整</w:t>
      </w:r>
      <w:r>
        <w:rPr>
          <w:rFonts w:hint="eastAsia"/>
          <w:lang w:eastAsia="zh-CN"/>
        </w:rPr>
        <w:t>，参选单位应按照要求从参选单位基本</w:t>
      </w:r>
      <w:r>
        <w:rPr>
          <w:rFonts w:hint="eastAsia"/>
          <w:color w:val="000000" w:themeColor="text1"/>
          <w:lang w:eastAsia="zh-CN"/>
        </w:rPr>
        <w:t>账户转入比选单位的账户，比选单位账户信息如下：</w:t>
      </w:r>
    </w:p>
    <w:p>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开户银行：中国银行漳州古雷支行</w:t>
      </w:r>
    </w:p>
    <w:p>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pPr>
        <w:pStyle w:val="20"/>
        <w:spacing w:line="360" w:lineRule="auto"/>
        <w:ind w:right="121"/>
        <w:jc w:val="both"/>
        <w:rPr>
          <w:color w:val="000000" w:themeColor="text1"/>
          <w:lang w:eastAsia="zh-CN"/>
        </w:rPr>
      </w:pPr>
      <w:r>
        <w:rPr>
          <w:rFonts w:hint="eastAsia"/>
          <w:color w:val="000000" w:themeColor="text1"/>
          <w:lang w:eastAsia="zh-CN"/>
        </w:rPr>
        <w:t xml:space="preserve">    注明用途：PX、PTA危险化学品重大危险辨识评估及PX安全现状评价项目采购参选</w:t>
      </w:r>
      <w:r>
        <w:rPr>
          <w:color w:val="000000" w:themeColor="text1"/>
          <w:lang w:eastAsia="zh-CN"/>
        </w:rPr>
        <w:t>保证金</w:t>
      </w:r>
    </w:p>
    <w:p>
      <w:pPr>
        <w:pStyle w:val="20"/>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20"/>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20"/>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20"/>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pPr>
        <w:pStyle w:val="20"/>
        <w:spacing w:line="360" w:lineRule="auto"/>
        <w:ind w:right="121"/>
        <w:jc w:val="both"/>
        <w:rPr>
          <w:color w:val="000000" w:themeColor="text1"/>
          <w:lang w:eastAsia="zh-CN"/>
        </w:rPr>
      </w:pP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b/>
          <w:lang w:eastAsia="zh-CN"/>
        </w:rPr>
        <w:t>4.中选者的参选保证金将直接转为履约保证金；</w:t>
      </w:r>
    </w:p>
    <w:p>
      <w:pPr>
        <w:pStyle w:val="20"/>
        <w:spacing w:line="360" w:lineRule="auto"/>
        <w:ind w:right="121"/>
        <w:jc w:val="both"/>
        <w:rPr>
          <w:lang w:eastAsia="zh-CN"/>
        </w:rPr>
      </w:pPr>
      <w:r>
        <w:rPr>
          <w:rFonts w:hint="eastAsia"/>
          <w:lang w:eastAsia="zh-CN"/>
        </w:rPr>
        <w:t xml:space="preserve">    5.如有下列情况发生，将被没收参选保证金：</w:t>
      </w:r>
    </w:p>
    <w:p>
      <w:pPr>
        <w:pStyle w:val="20"/>
        <w:spacing w:line="360" w:lineRule="auto"/>
        <w:ind w:right="121"/>
        <w:jc w:val="both"/>
        <w:rPr>
          <w:lang w:eastAsia="zh-CN"/>
        </w:rPr>
      </w:pPr>
      <w:r>
        <w:rPr>
          <w:rFonts w:hint="eastAsia"/>
          <w:lang w:eastAsia="zh-CN"/>
        </w:rPr>
        <w:t xml:space="preserve">    （1）参选单位在参选有效期内撤回参选文件；</w:t>
      </w:r>
    </w:p>
    <w:p>
      <w:pPr>
        <w:pStyle w:val="20"/>
        <w:spacing w:line="360" w:lineRule="auto"/>
        <w:ind w:right="121"/>
        <w:jc w:val="both"/>
        <w:rPr>
          <w:lang w:eastAsia="zh-CN"/>
        </w:rPr>
      </w:pPr>
      <w:r>
        <w:rPr>
          <w:rFonts w:hint="eastAsia"/>
          <w:lang w:eastAsia="zh-CN"/>
        </w:rPr>
        <w:t xml:space="preserve">    （2）参选单位未能按接到中标通知书后规定的时间内签定合同。</w:t>
      </w:r>
    </w:p>
    <w:p>
      <w:pPr>
        <w:spacing w:before="15" w:line="360" w:lineRule="auto"/>
        <w:ind w:firstLine="534" w:firstLineChars="200"/>
        <w:rPr>
          <w:b/>
          <w:w w:val="95"/>
          <w:sz w:val="28"/>
          <w:lang w:eastAsia="zh-CN"/>
        </w:rPr>
      </w:pPr>
      <w:r>
        <w:rPr>
          <w:b/>
          <w:w w:val="95"/>
          <w:sz w:val="28"/>
          <w:lang w:eastAsia="zh-CN"/>
        </w:rPr>
        <w:t>八、参选文件的递交</w:t>
      </w:r>
    </w:p>
    <w:p>
      <w:pPr>
        <w:pStyle w:val="4"/>
        <w:tabs>
          <w:tab w:val="left" w:pos="6879"/>
        </w:tabs>
        <w:spacing w:before="107" w:line="321"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1.参选文件递交的截止时间：报名截止时间延后2个工作日</w:t>
      </w:r>
    </w:p>
    <w:p>
      <w:pPr>
        <w:pStyle w:val="4"/>
        <w:tabs>
          <w:tab w:val="left" w:pos="6879"/>
        </w:tabs>
        <w:spacing w:before="107" w:line="321"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漳州市漳浦县杜浔镇杜昌路9号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Pr>
          <w:rFonts w:hint="eastAsia"/>
          <w:b w:val="0"/>
          <w:color w:val="000000" w:themeColor="text1"/>
          <w:lang w:eastAsia="zh-CN"/>
        </w:rPr>
        <w:t xml:space="preserve">戴小玉 </w:t>
      </w:r>
      <w:r>
        <w:rPr>
          <w:b w:val="0"/>
          <w:color w:val="000000" w:themeColor="text1"/>
          <w:lang w:eastAsia="zh-CN"/>
        </w:rPr>
        <w:t>联系电话</w:t>
      </w:r>
      <w:r>
        <w:rPr>
          <w:b w:val="0"/>
          <w:color w:val="000000" w:themeColor="text1"/>
          <w:spacing w:val="-4"/>
          <w:lang w:eastAsia="zh-CN"/>
        </w:rPr>
        <w:t>：</w:t>
      </w:r>
      <w:r>
        <w:rPr>
          <w:rFonts w:hint="eastAsia"/>
          <w:b w:val="0"/>
          <w:color w:val="000000" w:themeColor="text1"/>
          <w:spacing w:val="-4"/>
          <w:lang w:eastAsia="zh-CN"/>
        </w:rPr>
        <w:t>15259629857。</w:t>
      </w:r>
    </w:p>
    <w:p>
      <w:pPr>
        <w:pStyle w:val="4"/>
        <w:tabs>
          <w:tab w:val="left" w:pos="6879"/>
        </w:tabs>
        <w:spacing w:before="107" w:line="321"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商务报价文件，见附件商务报价函格式, 可不胶装。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20"/>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w:t>
      </w:r>
      <w:r>
        <w:rPr>
          <w:rFonts w:hint="eastAsia"/>
          <w:lang w:val="en-US" w:eastAsia="zh-CN"/>
        </w:rPr>
        <w:t>资质</w:t>
      </w:r>
      <w:r>
        <w:rPr>
          <w:rFonts w:hint="eastAsia"/>
          <w:lang w:eastAsia="zh-CN"/>
        </w:rPr>
        <w:t>文件进行评选，</w:t>
      </w:r>
      <w:r>
        <w:rPr>
          <w:rFonts w:hint="eastAsia"/>
          <w:lang w:val="en-US" w:eastAsia="zh-CN"/>
        </w:rPr>
        <w:t>资质</w:t>
      </w:r>
      <w:r>
        <w:rPr>
          <w:rFonts w:hint="eastAsia"/>
          <w:lang w:eastAsia="zh-CN"/>
        </w:rPr>
        <w:t>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80</w:t>
      </w:r>
      <w:r>
        <w:rPr>
          <w:rFonts w:hint="eastAsia"/>
          <w:b/>
          <w:color w:val="FF0000"/>
          <w:lang w:eastAsia="zh-CN"/>
        </w:rPr>
        <w:t>万元整（含税包干总价）</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如参选人对控制价存疑请于报价截止前发邮件至xydai@fhcpec.com.cn</w:t>
      </w:r>
      <w:r>
        <w:rPr>
          <w:rFonts w:hint="eastAsia"/>
          <w:lang w:eastAsia="zh-CN"/>
        </w:rPr>
        <w:fldChar w:fldCharType="end"/>
      </w:r>
      <w:r>
        <w:rPr>
          <w:rFonts w:hint="eastAsia"/>
          <w:lang w:eastAsia="zh-CN"/>
        </w:rPr>
        <w:t>。</w:t>
      </w:r>
    </w:p>
    <w:p>
      <w:pPr>
        <w:pStyle w:val="20"/>
        <w:spacing w:line="360" w:lineRule="auto"/>
        <w:ind w:right="121" w:firstLine="480" w:firstLineChars="200"/>
        <w:jc w:val="both"/>
        <w:rPr>
          <w:rFonts w:hint="eastAsia"/>
        </w:rPr>
      </w:pPr>
      <w:r>
        <w:rPr>
          <w:rFonts w:hint="eastAsia"/>
          <w:lang w:eastAsia="zh-CN"/>
        </w:rPr>
        <w:t>本项目采用商务报价决标的评标办法，选择未税包干总价最低者作为中选单位。</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rPr>
          <w:lang w:eastAsia="zh-CN"/>
        </w:rPr>
      </w:pPr>
    </w:p>
    <w:p>
      <w:pPr>
        <w:pStyle w:val="20"/>
        <w:spacing w:before="23"/>
        <w:ind w:left="598"/>
        <w:rPr>
          <w:lang w:eastAsia="zh-CN"/>
        </w:rPr>
        <w:sectPr>
          <w:pgSz w:w="11910" w:h="16840"/>
          <w:pgMar w:top="1500" w:right="1140" w:bottom="740" w:left="1300" w:header="0" w:footer="551" w:gutter="0"/>
          <w:cols w:space="720" w:num="1"/>
        </w:sectPr>
      </w:pP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lang w:eastAsia="zh-CN"/>
        </w:rPr>
        <w:t>福建福海创石油化工有限公司指定由</w:t>
      </w:r>
      <w:r>
        <w:rPr>
          <w:rStyle w:val="50"/>
          <w:color w:val="FF0000"/>
          <w:lang w:eastAsia="zh-CN"/>
        </w:rPr>
        <w:t>其</w:t>
      </w:r>
      <w:r>
        <w:rPr>
          <w:rStyle w:val="50"/>
          <w:rFonts w:hint="eastAsia"/>
          <w:color w:val="FF0000"/>
          <w:lang w:eastAsia="zh-CN"/>
        </w:rPr>
        <w:t>权属子公司“</w:t>
      </w:r>
      <w:r>
        <w:rPr>
          <w:rStyle w:val="50"/>
          <w:rFonts w:hint="eastAsia"/>
          <w:color w:val="FF0000"/>
          <w:lang w:val="en-US" w:eastAsia="zh-CN"/>
        </w:rPr>
        <w:t>腾龙芳烃</w:t>
      </w:r>
      <w:r>
        <w:rPr>
          <w:rStyle w:val="50"/>
          <w:rFonts w:hint="eastAsia"/>
          <w:color w:val="FF0000"/>
          <w:lang w:eastAsia="zh-CN"/>
        </w:rPr>
        <w:t>（漳州）有限公司、</w:t>
      </w:r>
      <w:r>
        <w:rPr>
          <w:rStyle w:val="50"/>
          <w:rFonts w:hint="eastAsia"/>
          <w:color w:val="FF0000"/>
          <w:lang w:val="en-US" w:eastAsia="zh-CN"/>
        </w:rPr>
        <w:t>翔鹭石化（漳州）有限公司</w:t>
      </w:r>
      <w:r>
        <w:rPr>
          <w:rStyle w:val="50"/>
          <w:rFonts w:hint="eastAsia"/>
          <w:color w:val="FF0000"/>
          <w:lang w:eastAsia="zh-CN"/>
        </w:rPr>
        <w:t>”作为本合同执行主体，将于中选结果公示流程结束之日起30日内与中选人完成合同签订事宜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20"/>
        <w:spacing w:before="26" w:line="321" w:lineRule="auto"/>
        <w:ind w:left="118" w:right="106" w:firstLine="48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rFonts w:ascii="Times New Roman"/>
          <w:b/>
          <w:bCs/>
          <w:lang w:eastAsia="zh-CN"/>
        </w:rPr>
      </w:pPr>
      <w:r>
        <w:rPr>
          <w:rFonts w:hint="eastAsia" w:ascii="Times New Roman"/>
          <w:b/>
          <w:bCs/>
          <w:lang w:eastAsia="zh-CN"/>
        </w:rPr>
        <w:t>附件一、</w:t>
      </w:r>
    </w:p>
    <w:p>
      <w:pPr>
        <w:jc w:val="center"/>
        <w:rPr>
          <w:b/>
          <w:sz w:val="44"/>
          <w:szCs w:val="44"/>
          <w:lang w:eastAsia="zh-CN"/>
        </w:rPr>
      </w:pPr>
      <w:bookmarkStart w:id="0" w:name="_Toc251742852"/>
    </w:p>
    <w:p>
      <w:pPr>
        <w:pStyle w:val="25"/>
        <w:spacing w:line="400" w:lineRule="exact"/>
        <w:jc w:val="center"/>
        <w:rPr>
          <w:rFonts w:hAnsi="宋体"/>
          <w:b/>
          <w:sz w:val="28"/>
          <w:szCs w:val="28"/>
        </w:rPr>
      </w:pPr>
      <w:r>
        <w:rPr>
          <w:rFonts w:hint="eastAsia" w:hAnsi="宋体"/>
          <w:b/>
          <w:sz w:val="28"/>
          <w:szCs w:val="28"/>
        </w:rPr>
        <w:t>技术服务合同</w:t>
      </w:r>
    </w:p>
    <w:p>
      <w:pPr>
        <w:pStyle w:val="25"/>
        <w:spacing w:line="400" w:lineRule="exact"/>
        <w:jc w:val="center"/>
        <w:rPr>
          <w:rFonts w:hAnsi="宋体"/>
          <w:b/>
          <w:sz w:val="28"/>
          <w:szCs w:val="28"/>
        </w:rPr>
      </w:pPr>
      <w:r>
        <w:rPr>
          <w:rFonts w:hint="eastAsia" w:hAnsi="宋体"/>
          <w:szCs w:val="21"/>
        </w:rPr>
        <w:t xml:space="preserve">       合同编号：</w:t>
      </w:r>
    </w:p>
    <w:p>
      <w:pPr>
        <w:pStyle w:val="25"/>
        <w:spacing w:line="400" w:lineRule="exact"/>
        <w:jc w:val="left"/>
        <w:rPr>
          <w:rFonts w:hAnsi="宋体"/>
          <w:szCs w:val="21"/>
        </w:rPr>
      </w:pPr>
      <w:r>
        <w:rPr>
          <w:rFonts w:hint="eastAsia" w:hAnsi="宋体"/>
          <w:szCs w:val="21"/>
        </w:rPr>
        <w:t xml:space="preserve">                                          </w:t>
      </w:r>
      <w:r>
        <w:rPr>
          <w:rFonts w:hint="eastAsia" w:hAnsi="宋体"/>
          <w:szCs w:val="21"/>
          <w:lang w:val="en-US" w:eastAsia="zh-CN"/>
        </w:rPr>
        <w:t xml:space="preserve"> </w:t>
      </w:r>
      <w:r>
        <w:rPr>
          <w:rFonts w:hint="eastAsia" w:hAnsi="宋体"/>
          <w:szCs w:val="21"/>
        </w:rPr>
        <w:t>签订日期：    年    月    日</w:t>
      </w:r>
    </w:p>
    <w:p>
      <w:pPr>
        <w:pStyle w:val="25"/>
        <w:spacing w:line="400" w:lineRule="exact"/>
        <w:jc w:val="left"/>
        <w:rPr>
          <w:rFonts w:hAnsi="宋体"/>
          <w:szCs w:val="21"/>
        </w:rPr>
      </w:pPr>
      <w:r>
        <w:rPr>
          <w:rFonts w:hint="eastAsia" w:hAnsi="宋体"/>
          <w:szCs w:val="21"/>
        </w:rPr>
        <w:t xml:space="preserve">                                          </w:t>
      </w:r>
      <w:r>
        <w:rPr>
          <w:rFonts w:hint="eastAsia" w:hAnsi="宋体"/>
          <w:szCs w:val="21"/>
          <w:lang w:val="en-US" w:eastAsia="zh-CN"/>
        </w:rPr>
        <w:t xml:space="preserve"> </w:t>
      </w:r>
      <w:r>
        <w:rPr>
          <w:rFonts w:hint="eastAsia" w:hAnsi="宋体"/>
          <w:szCs w:val="21"/>
        </w:rPr>
        <w:t>签订地点：福建漳州杜浔</w:t>
      </w:r>
    </w:p>
    <w:p>
      <w:pPr>
        <w:pStyle w:val="25"/>
        <w:spacing w:line="400" w:lineRule="exact"/>
        <w:jc w:val="left"/>
        <w:rPr>
          <w:rFonts w:hAnsi="宋体"/>
          <w:szCs w:val="21"/>
        </w:rPr>
      </w:pPr>
    </w:p>
    <w:p>
      <w:pPr>
        <w:pStyle w:val="25"/>
        <w:spacing w:line="400" w:lineRule="exact"/>
        <w:jc w:val="left"/>
        <w:rPr>
          <w:rFonts w:eastAsia="仿宋_GB2312"/>
          <w:b/>
          <w:color w:val="000000"/>
          <w:sz w:val="28"/>
          <w:u w:val="single"/>
        </w:rPr>
      </w:pPr>
      <w:r>
        <w:rPr>
          <w:rFonts w:hAnsi="宋体"/>
          <w:szCs w:val="21"/>
        </w:rPr>
        <w:t>委托方（甲方）</w:t>
      </w:r>
      <w:r>
        <w:rPr>
          <w:rFonts w:hint="eastAsia" w:hAnsi="宋体"/>
          <w:szCs w:val="21"/>
        </w:rPr>
        <w:t>：</w:t>
      </w:r>
      <w:r>
        <w:rPr>
          <w:rFonts w:hint="eastAsia" w:eastAsia="仿宋_GB2312"/>
          <w:b/>
          <w:color w:val="000000"/>
          <w:sz w:val="28"/>
          <w:u w:val="single"/>
        </w:rPr>
        <w:t>腾龙芳烃（漳州）有限公司</w:t>
      </w:r>
    </w:p>
    <w:p>
      <w:pPr>
        <w:pStyle w:val="25"/>
        <w:spacing w:line="400" w:lineRule="exact"/>
        <w:jc w:val="left"/>
        <w:rPr>
          <w:rFonts w:eastAsia="仿宋_GB2312"/>
          <w:b/>
          <w:color w:val="000000"/>
          <w:sz w:val="28"/>
          <w:u w:val="single"/>
        </w:rPr>
      </w:pPr>
    </w:p>
    <w:p>
      <w:pPr>
        <w:pStyle w:val="25"/>
        <w:spacing w:line="400" w:lineRule="exact"/>
        <w:ind w:firstLine="1827" w:firstLineChars="650"/>
        <w:jc w:val="left"/>
        <w:rPr>
          <w:rFonts w:eastAsia="仿宋_GB2312"/>
          <w:b/>
          <w:color w:val="000000"/>
          <w:sz w:val="28"/>
          <w:u w:val="single"/>
        </w:rPr>
      </w:pPr>
      <w:r>
        <w:rPr>
          <w:rFonts w:hint="eastAsia" w:eastAsia="仿宋_GB2312"/>
          <w:b/>
          <w:color w:val="000000"/>
          <w:sz w:val="28"/>
          <w:u w:val="single"/>
        </w:rPr>
        <w:t>翔鹭石化（漳州）有限公司</w:t>
      </w:r>
    </w:p>
    <w:p>
      <w:pPr>
        <w:pStyle w:val="25"/>
        <w:spacing w:line="400" w:lineRule="exact"/>
        <w:jc w:val="left"/>
        <w:rPr>
          <w:rFonts w:hint="default" w:hAnsi="宋体" w:eastAsia="宋体"/>
          <w:szCs w:val="21"/>
          <w:u w:val="single"/>
          <w:lang w:val="en-US" w:eastAsia="zh-CN"/>
        </w:rPr>
      </w:pPr>
      <w:r>
        <w:rPr>
          <w:rFonts w:hAnsi="宋体"/>
          <w:szCs w:val="21"/>
        </w:rPr>
        <w:t>项目联系人</w:t>
      </w:r>
      <w:r>
        <w:rPr>
          <w:rFonts w:hint="eastAsia" w:hAnsi="宋体"/>
          <w:szCs w:val="21"/>
        </w:rPr>
        <w:t>：</w:t>
      </w:r>
      <w:r>
        <w:rPr>
          <w:rFonts w:hint="eastAsia" w:hAnsi="宋体"/>
          <w:szCs w:val="21"/>
          <w:u w:val="single"/>
          <w:lang w:val="en-US" w:eastAsia="zh-CN"/>
        </w:rPr>
        <w:t xml:space="preserve">寻永昌 </w:t>
      </w:r>
    </w:p>
    <w:p>
      <w:pPr>
        <w:pStyle w:val="25"/>
        <w:spacing w:line="400" w:lineRule="exact"/>
        <w:jc w:val="left"/>
        <w:rPr>
          <w:rFonts w:hint="default" w:hAnsi="宋体" w:eastAsia="仿宋_GB2312"/>
          <w:szCs w:val="21"/>
          <w:u w:val="single"/>
          <w:lang w:val="en-US" w:eastAsia="zh-CN"/>
        </w:rPr>
      </w:pPr>
      <w:r>
        <w:rPr>
          <w:rFonts w:hAnsi="宋体"/>
          <w:szCs w:val="21"/>
        </w:rPr>
        <w:t>电    话</w:t>
      </w:r>
      <w:r>
        <w:rPr>
          <w:rFonts w:hint="eastAsia" w:hAnsi="宋体"/>
          <w:szCs w:val="21"/>
        </w:rPr>
        <w:t>：</w:t>
      </w:r>
      <w:r>
        <w:rPr>
          <w:rFonts w:hint="eastAsia" w:hAnsi="宋体"/>
          <w:szCs w:val="21"/>
          <w:u w:val="single"/>
          <w:lang w:val="en-US" w:eastAsia="zh-CN"/>
        </w:rPr>
        <w:t xml:space="preserve"> 19959614141</w:t>
      </w:r>
    </w:p>
    <w:p>
      <w:pPr>
        <w:pStyle w:val="25"/>
        <w:spacing w:line="400" w:lineRule="exact"/>
        <w:jc w:val="left"/>
        <w:rPr>
          <w:rFonts w:hAnsi="宋体"/>
          <w:szCs w:val="21"/>
        </w:rPr>
      </w:pPr>
    </w:p>
    <w:p>
      <w:pPr>
        <w:pStyle w:val="25"/>
        <w:spacing w:line="400" w:lineRule="exact"/>
        <w:jc w:val="left"/>
        <w:rPr>
          <w:rFonts w:hint="default" w:hAnsi="宋体" w:eastAsia="宋体"/>
          <w:szCs w:val="21"/>
          <w:u w:val="single"/>
          <w:lang w:val="en-US" w:eastAsia="zh-CN"/>
        </w:rPr>
      </w:pPr>
      <w:r>
        <w:rPr>
          <w:rFonts w:hAnsi="宋体"/>
          <w:szCs w:val="21"/>
        </w:rPr>
        <w:t>受托方（乙方）</w:t>
      </w:r>
      <w:r>
        <w:rPr>
          <w:rFonts w:hint="eastAsia" w:hAnsi="宋体"/>
          <w:szCs w:val="21"/>
        </w:rPr>
        <w:t>：</w:t>
      </w:r>
      <w:r>
        <w:rPr>
          <w:rFonts w:hint="eastAsia" w:hAnsi="宋体"/>
          <w:szCs w:val="21"/>
          <w:u w:val="single"/>
          <w:lang w:val="en-US" w:eastAsia="zh-CN"/>
        </w:rPr>
        <w:t xml:space="preserve">                        </w:t>
      </w:r>
    </w:p>
    <w:p>
      <w:pPr>
        <w:pStyle w:val="25"/>
        <w:spacing w:line="400" w:lineRule="exact"/>
        <w:jc w:val="left"/>
        <w:rPr>
          <w:rFonts w:hAnsi="宋体"/>
          <w:szCs w:val="21"/>
        </w:rPr>
      </w:pPr>
      <w:r>
        <w:rPr>
          <w:rFonts w:hAnsi="宋体"/>
          <w:szCs w:val="21"/>
        </w:rPr>
        <w:t>住  所  地</w:t>
      </w:r>
      <w:r>
        <w:rPr>
          <w:rFonts w:hint="eastAsia" w:hAnsi="宋体"/>
          <w:szCs w:val="21"/>
        </w:rPr>
        <w:t>：</w:t>
      </w:r>
      <w:r>
        <w:rPr>
          <w:rFonts w:hint="eastAsia" w:hAnsi="宋体"/>
          <w:szCs w:val="21"/>
          <w:u w:val="single"/>
          <w:lang w:val="en-US" w:eastAsia="zh-CN"/>
        </w:rPr>
        <w:t xml:space="preserve">                        </w:t>
      </w:r>
    </w:p>
    <w:p>
      <w:pPr>
        <w:pStyle w:val="25"/>
        <w:spacing w:line="400" w:lineRule="exact"/>
        <w:jc w:val="left"/>
        <w:rPr>
          <w:rFonts w:hAnsi="宋体"/>
          <w:szCs w:val="21"/>
        </w:rPr>
      </w:pPr>
      <w:r>
        <w:rPr>
          <w:rFonts w:hAnsi="宋体"/>
          <w:szCs w:val="21"/>
        </w:rPr>
        <w:t>法定代表人</w:t>
      </w:r>
      <w:r>
        <w:rPr>
          <w:rFonts w:hint="eastAsia" w:hAnsi="宋体"/>
          <w:szCs w:val="21"/>
        </w:rPr>
        <w:t>：</w:t>
      </w:r>
      <w:r>
        <w:rPr>
          <w:rFonts w:hint="eastAsia" w:hAnsi="宋体"/>
          <w:szCs w:val="21"/>
          <w:u w:val="single"/>
          <w:lang w:val="en-US" w:eastAsia="zh-CN"/>
        </w:rPr>
        <w:t xml:space="preserve">                        </w:t>
      </w:r>
    </w:p>
    <w:p>
      <w:pPr>
        <w:pStyle w:val="25"/>
        <w:spacing w:line="400" w:lineRule="exact"/>
        <w:jc w:val="left"/>
        <w:rPr>
          <w:rFonts w:hAnsi="宋体"/>
          <w:szCs w:val="21"/>
        </w:rPr>
      </w:pPr>
      <w:r>
        <w:rPr>
          <w:rFonts w:hAnsi="宋体"/>
          <w:szCs w:val="21"/>
        </w:rPr>
        <w:t>通讯地址</w:t>
      </w:r>
      <w:r>
        <w:rPr>
          <w:rFonts w:hint="eastAsia" w:hAnsi="宋体"/>
          <w:szCs w:val="21"/>
        </w:rPr>
        <w:t>：</w:t>
      </w:r>
      <w:r>
        <w:rPr>
          <w:rFonts w:hint="eastAsia" w:hAnsi="宋体"/>
          <w:szCs w:val="21"/>
          <w:u w:val="single"/>
          <w:lang w:val="en-US" w:eastAsia="zh-CN"/>
        </w:rPr>
        <w:t xml:space="preserve">                        </w:t>
      </w:r>
    </w:p>
    <w:p>
      <w:pPr>
        <w:pStyle w:val="25"/>
        <w:spacing w:line="400" w:lineRule="exact"/>
        <w:jc w:val="left"/>
        <w:rPr>
          <w:rFonts w:hAnsi="宋体"/>
          <w:szCs w:val="21"/>
        </w:rPr>
      </w:pPr>
      <w:r>
        <w:rPr>
          <w:rFonts w:hAnsi="宋体"/>
          <w:szCs w:val="21"/>
        </w:rPr>
        <w:t>电    话</w:t>
      </w:r>
      <w:r>
        <w:rPr>
          <w:rFonts w:hint="eastAsia" w:hAnsi="宋体"/>
          <w:szCs w:val="21"/>
        </w:rPr>
        <w:t>：</w:t>
      </w:r>
      <w:r>
        <w:rPr>
          <w:rFonts w:hint="eastAsia" w:hAnsi="宋体"/>
          <w:szCs w:val="21"/>
          <w:u w:val="single"/>
          <w:lang w:val="en-US" w:eastAsia="zh-CN"/>
        </w:rPr>
        <w:t xml:space="preserve">                        </w:t>
      </w:r>
    </w:p>
    <w:p>
      <w:pPr>
        <w:pStyle w:val="25"/>
        <w:spacing w:line="400" w:lineRule="exact"/>
        <w:jc w:val="left"/>
        <w:rPr>
          <w:rFonts w:hAnsi="宋体"/>
          <w:szCs w:val="21"/>
        </w:rPr>
      </w:pPr>
      <w:r>
        <w:rPr>
          <w:rFonts w:hAnsi="宋体"/>
          <w:szCs w:val="21"/>
        </w:rPr>
        <w:t>传    真：</w:t>
      </w:r>
      <w:r>
        <w:rPr>
          <w:rFonts w:hint="eastAsia" w:hAnsi="宋体"/>
          <w:szCs w:val="21"/>
          <w:u w:val="single"/>
          <w:lang w:val="en-US" w:eastAsia="zh-CN"/>
        </w:rPr>
        <w:t xml:space="preserve">                        </w:t>
      </w:r>
    </w:p>
    <w:p>
      <w:pPr>
        <w:pStyle w:val="25"/>
        <w:spacing w:line="400" w:lineRule="exact"/>
        <w:jc w:val="left"/>
        <w:rPr>
          <w:rFonts w:hAnsi="宋体"/>
          <w:szCs w:val="21"/>
        </w:rPr>
      </w:pPr>
      <w:r>
        <w:rPr>
          <w:rFonts w:hAnsi="宋体"/>
          <w:szCs w:val="21"/>
        </w:rPr>
        <w:t>电子信箱</w:t>
      </w:r>
      <w:r>
        <w:rPr>
          <w:rFonts w:hint="eastAsia" w:hAnsi="宋体"/>
          <w:szCs w:val="21"/>
        </w:rPr>
        <w:t>：</w:t>
      </w:r>
      <w:r>
        <w:rPr>
          <w:rFonts w:hint="eastAsia" w:hAnsi="宋体"/>
          <w:szCs w:val="21"/>
          <w:u w:val="single"/>
          <w:lang w:val="en-US" w:eastAsia="zh-CN"/>
        </w:rPr>
        <w:t xml:space="preserve">                        </w:t>
      </w:r>
    </w:p>
    <w:p>
      <w:pPr>
        <w:pStyle w:val="25"/>
        <w:spacing w:line="400" w:lineRule="exact"/>
        <w:jc w:val="left"/>
        <w:rPr>
          <w:rFonts w:hAnsi="宋体"/>
          <w:szCs w:val="21"/>
        </w:rPr>
      </w:pPr>
      <w:r>
        <w:rPr>
          <w:rFonts w:hint="eastAsia" w:hAnsi="宋体"/>
          <w:szCs w:val="21"/>
        </w:rPr>
        <w:t xml:space="preserve">    </w:t>
      </w:r>
    </w:p>
    <w:p>
      <w:pPr>
        <w:pStyle w:val="25"/>
        <w:spacing w:line="400" w:lineRule="exact"/>
        <w:jc w:val="left"/>
        <w:rPr>
          <w:rFonts w:hAnsi="宋体"/>
          <w:szCs w:val="21"/>
        </w:rPr>
      </w:pPr>
    </w:p>
    <w:p>
      <w:pPr>
        <w:pStyle w:val="25"/>
        <w:spacing w:line="400" w:lineRule="exact"/>
        <w:jc w:val="left"/>
        <w:rPr>
          <w:rFonts w:hAnsi="宋体"/>
          <w:szCs w:val="21"/>
        </w:rPr>
      </w:pPr>
      <w:r>
        <w:rPr>
          <w:rFonts w:hint="eastAsia" w:hAnsi="宋体"/>
          <w:szCs w:val="21"/>
        </w:rPr>
        <w:t xml:space="preserve">    本合同由甲方委托乙方就</w:t>
      </w:r>
      <w:r>
        <w:rPr>
          <w:rFonts w:hint="eastAsia" w:hAnsi="宋体"/>
          <w:szCs w:val="21"/>
          <w:u w:val="single"/>
        </w:rPr>
        <w:t xml:space="preserve">  福建福海创石油化工有限公司PX、PTA危险化学品重大危险辨识评估及PX安全现状评价项目</w:t>
      </w:r>
      <w:r>
        <w:rPr>
          <w:rFonts w:hint="eastAsia" w:hAnsi="宋体"/>
          <w:szCs w:val="21"/>
          <w:u w:val="single"/>
          <w:lang w:val="en-US" w:eastAsia="zh-CN"/>
        </w:rPr>
        <w:t xml:space="preserve"> </w:t>
      </w:r>
      <w:r>
        <w:rPr>
          <w:rFonts w:hint="eastAsia" w:hAnsi="宋体"/>
          <w:szCs w:val="21"/>
        </w:rPr>
        <w:t>进行技术服务及咨询，并支付技术服务及咨询报酬。双方经过平等协商，在真实、充分地表达各自意愿的基础上，根据《中华人民共和国合同法》的规定，达成如下协议，并由双方共同恪守。</w:t>
      </w:r>
    </w:p>
    <w:p>
      <w:pPr>
        <w:pStyle w:val="25"/>
        <w:spacing w:line="400" w:lineRule="exact"/>
        <w:jc w:val="left"/>
        <w:rPr>
          <w:rFonts w:hAnsi="宋体"/>
          <w:szCs w:val="21"/>
        </w:rPr>
      </w:pPr>
      <w:r>
        <w:rPr>
          <w:rFonts w:hint="eastAsia" w:hAnsi="宋体"/>
          <w:szCs w:val="21"/>
        </w:rPr>
        <w:t xml:space="preserve">    第一条　乙方进行技术咨询的内容、要求、方式：</w:t>
      </w:r>
    </w:p>
    <w:p>
      <w:pPr>
        <w:pStyle w:val="25"/>
        <w:spacing w:line="400" w:lineRule="exact"/>
        <w:jc w:val="left"/>
        <w:rPr>
          <w:rFonts w:hAnsi="宋体"/>
          <w:szCs w:val="21"/>
        </w:rPr>
      </w:pPr>
      <w:r>
        <w:rPr>
          <w:rFonts w:hint="eastAsia" w:hAnsi="宋体"/>
          <w:szCs w:val="21"/>
        </w:rPr>
        <w:t xml:space="preserve">   本合同由甲方委托乙方就</w:t>
      </w:r>
      <w:r>
        <w:rPr>
          <w:rFonts w:hint="eastAsia" w:hAnsi="宋体"/>
          <w:szCs w:val="21"/>
          <w:u w:val="single"/>
        </w:rPr>
        <w:t xml:space="preserve">  福建福海创石油化工有限公司PX、星誉化工和PTA三个项目重大危险源辨识评估重大危险源安全评估项目 </w:t>
      </w:r>
      <w:r>
        <w:rPr>
          <w:rFonts w:hint="eastAsia" w:hAnsi="宋体"/>
          <w:szCs w:val="21"/>
        </w:rPr>
        <w:t>进行技术服务及咨询，并支付技术服务及咨询报酬。双方经过平等协商，在真实、充分地表达各自意愿的基础上，根据《中华人民共和国合同法》的规定，达成如下协议，并由双方共同恪守。</w:t>
      </w:r>
    </w:p>
    <w:p>
      <w:pPr>
        <w:pStyle w:val="25"/>
        <w:spacing w:line="400" w:lineRule="exact"/>
        <w:jc w:val="left"/>
        <w:rPr>
          <w:rFonts w:hAnsi="宋体"/>
          <w:szCs w:val="21"/>
        </w:rPr>
      </w:pPr>
      <w:r>
        <w:rPr>
          <w:rFonts w:hint="eastAsia" w:hAnsi="宋体"/>
          <w:szCs w:val="21"/>
        </w:rPr>
        <w:t xml:space="preserve">    第一条　乙方进行技术咨询的内容、要求、方式：</w:t>
      </w:r>
    </w:p>
    <w:p>
      <w:pPr>
        <w:pStyle w:val="25"/>
        <w:spacing w:line="400" w:lineRule="exact"/>
        <w:jc w:val="left"/>
        <w:rPr>
          <w:rFonts w:hAnsi="宋体"/>
          <w:szCs w:val="21"/>
        </w:rPr>
      </w:pPr>
      <w:r>
        <w:rPr>
          <w:rFonts w:hint="eastAsia" w:hAnsi="宋体"/>
          <w:szCs w:val="21"/>
        </w:rPr>
        <w:t xml:space="preserve">    1.技术服务及咨询内容：</w:t>
      </w:r>
      <w:r>
        <w:rPr>
          <w:rFonts w:hint="eastAsia" w:hAnsi="宋体"/>
          <w:szCs w:val="21"/>
          <w:u w:val="single"/>
        </w:rPr>
        <w:t xml:space="preserve">                                              </w:t>
      </w:r>
    </w:p>
    <w:p>
      <w:pPr>
        <w:pStyle w:val="25"/>
        <w:spacing w:line="400" w:lineRule="exact"/>
        <w:jc w:val="left"/>
        <w:rPr>
          <w:rFonts w:hAnsi="宋体"/>
          <w:szCs w:val="21"/>
        </w:rPr>
      </w:pPr>
      <w:r>
        <w:rPr>
          <w:rFonts w:hint="eastAsia" w:hAnsi="宋体"/>
          <w:szCs w:val="21"/>
        </w:rPr>
        <w:t xml:space="preserve">    2.技术服务及咨询要求：</w:t>
      </w:r>
      <w:r>
        <w:rPr>
          <w:rFonts w:hint="eastAsia" w:hAnsi="宋体"/>
          <w:szCs w:val="21"/>
          <w:u w:val="single"/>
        </w:rPr>
        <w:t xml:space="preserve">                                              </w:t>
      </w:r>
    </w:p>
    <w:p>
      <w:pPr>
        <w:pStyle w:val="25"/>
        <w:spacing w:line="400" w:lineRule="exact"/>
        <w:jc w:val="left"/>
        <w:rPr>
          <w:rFonts w:hAnsi="宋体"/>
          <w:szCs w:val="21"/>
        </w:rPr>
      </w:pPr>
      <w:r>
        <w:rPr>
          <w:rFonts w:hint="eastAsia" w:hAnsi="宋体"/>
          <w:szCs w:val="21"/>
        </w:rPr>
        <w:t xml:space="preserve">    第二条 乙方按照下列要求进行本合同项目的技术咨询工作：</w:t>
      </w:r>
    </w:p>
    <w:p>
      <w:pPr>
        <w:pStyle w:val="25"/>
        <w:spacing w:line="400" w:lineRule="exact"/>
        <w:jc w:val="left"/>
        <w:rPr>
          <w:rFonts w:hAnsi="宋体"/>
          <w:szCs w:val="21"/>
        </w:rPr>
      </w:pPr>
      <w:r>
        <w:rPr>
          <w:rFonts w:hint="eastAsia" w:hAnsi="宋体"/>
          <w:szCs w:val="21"/>
        </w:rPr>
        <w:t xml:space="preserve">    1.技术服务及咨询地点：</w:t>
      </w:r>
      <w:r>
        <w:rPr>
          <w:rFonts w:hint="eastAsia" w:hAnsi="宋体"/>
          <w:szCs w:val="21"/>
          <w:u w:val="single"/>
        </w:rPr>
        <w:t xml:space="preserve">                                              </w:t>
      </w:r>
    </w:p>
    <w:p>
      <w:pPr>
        <w:pStyle w:val="25"/>
        <w:spacing w:line="400" w:lineRule="exact"/>
        <w:jc w:val="left"/>
        <w:rPr>
          <w:rFonts w:hAnsi="宋体"/>
          <w:szCs w:val="21"/>
        </w:rPr>
      </w:pPr>
      <w:r>
        <w:rPr>
          <w:rFonts w:hint="eastAsia" w:hAnsi="宋体"/>
          <w:szCs w:val="21"/>
        </w:rPr>
        <w:t xml:space="preserve">    2.技术服务及咨询期限：</w:t>
      </w:r>
      <w:r>
        <w:rPr>
          <w:rFonts w:hint="eastAsia" w:hAnsi="宋体"/>
          <w:szCs w:val="21"/>
          <w:u w:val="single"/>
        </w:rPr>
        <w:t xml:space="preserve">                                              </w:t>
      </w:r>
    </w:p>
    <w:p>
      <w:pPr>
        <w:pStyle w:val="25"/>
        <w:spacing w:line="400" w:lineRule="exact"/>
        <w:jc w:val="left"/>
        <w:rPr>
          <w:rFonts w:hAnsi="宋体"/>
          <w:szCs w:val="21"/>
        </w:rPr>
      </w:pPr>
      <w:r>
        <w:rPr>
          <w:rFonts w:hint="eastAsia" w:hAnsi="宋体"/>
          <w:szCs w:val="21"/>
        </w:rPr>
        <w:t xml:space="preserve">    3.技术服务及咨询进度：</w:t>
      </w:r>
      <w:r>
        <w:rPr>
          <w:rFonts w:hint="eastAsia" w:hAnsi="宋体"/>
          <w:szCs w:val="21"/>
          <w:u w:val="single"/>
        </w:rPr>
        <w:t xml:space="preserve">                                              </w:t>
      </w:r>
    </w:p>
    <w:p>
      <w:pPr>
        <w:pStyle w:val="25"/>
        <w:spacing w:line="400" w:lineRule="exact"/>
        <w:jc w:val="left"/>
        <w:rPr>
          <w:rFonts w:hAnsi="宋体"/>
          <w:szCs w:val="21"/>
        </w:rPr>
      </w:pPr>
      <w:r>
        <w:rPr>
          <w:rFonts w:hint="eastAsia" w:hAnsi="宋体"/>
          <w:szCs w:val="21"/>
        </w:rPr>
        <w:t xml:space="preserve">    4、技术服务及咨询质量要求：</w:t>
      </w:r>
      <w:r>
        <w:rPr>
          <w:rFonts w:hint="eastAsia"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5、技术服务及咨询质量期限要求：</w:t>
      </w:r>
      <w:r>
        <w:rPr>
          <w:rFonts w:hint="eastAsia"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第三条 为保证乙方有效进行技术咨询工作，甲方应当向乙方提供下列协作事项：</w:t>
      </w:r>
    </w:p>
    <w:p>
      <w:pPr>
        <w:pStyle w:val="25"/>
        <w:spacing w:line="400" w:lineRule="exact"/>
        <w:ind w:firstLine="440" w:firstLineChars="200"/>
        <w:jc w:val="left"/>
        <w:rPr>
          <w:rFonts w:hAnsi="宋体"/>
          <w:szCs w:val="21"/>
        </w:rPr>
      </w:pPr>
      <w:r>
        <w:rPr>
          <w:rFonts w:hint="eastAsia" w:hAnsi="宋体"/>
          <w:szCs w:val="21"/>
        </w:rPr>
        <w:t>提供技术资料：</w:t>
      </w:r>
      <w:r>
        <w:rPr>
          <w:rFonts w:hint="eastAsia" w:hAnsi="宋体"/>
          <w:szCs w:val="21"/>
          <w:u w:val="single"/>
        </w:rPr>
        <w:t xml:space="preserve">                                              </w:t>
      </w:r>
      <w:r>
        <w:rPr>
          <w:rFonts w:hint="eastAsia" w:hAnsi="宋体"/>
          <w:szCs w:val="21"/>
        </w:rPr>
        <w:t xml:space="preserve"> </w:t>
      </w:r>
    </w:p>
    <w:p>
      <w:pPr>
        <w:pStyle w:val="25"/>
        <w:spacing w:line="400" w:lineRule="exact"/>
        <w:ind w:firstLine="440" w:firstLineChars="200"/>
        <w:jc w:val="left"/>
        <w:rPr>
          <w:rFonts w:hAnsi="宋体"/>
          <w:szCs w:val="21"/>
        </w:rPr>
      </w:pPr>
      <w:r>
        <w:rPr>
          <w:rFonts w:hint="eastAsia" w:hAnsi="宋体"/>
          <w:szCs w:val="21"/>
        </w:rPr>
        <w:t>提供工作条件：</w:t>
      </w:r>
      <w:r>
        <w:rPr>
          <w:rFonts w:hint="eastAsia"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其他：</w:t>
      </w:r>
      <w:r>
        <w:rPr>
          <w:rFonts w:hint="eastAsia"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甲方提供上述协作事项的时间及方式：</w:t>
      </w:r>
      <w:r>
        <w:rPr>
          <w:rFonts w:hint="eastAsia"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第四条 甲方向乙方支付技术服务及咨询报酬及支付方式为：</w:t>
      </w:r>
    </w:p>
    <w:p>
      <w:pPr>
        <w:pStyle w:val="25"/>
        <w:spacing w:line="400" w:lineRule="exact"/>
        <w:ind w:firstLine="440" w:firstLineChars="200"/>
        <w:jc w:val="left"/>
        <w:rPr>
          <w:rFonts w:hAnsi="宋体"/>
          <w:szCs w:val="21"/>
        </w:rPr>
      </w:pPr>
      <w:r>
        <w:rPr>
          <w:rFonts w:hint="eastAsia" w:hAnsi="宋体"/>
          <w:szCs w:val="21"/>
        </w:rPr>
        <w:t>1. 技术服务及咨询报酬总价款为：</w:t>
      </w:r>
      <w:r>
        <w:rPr>
          <w:rFonts w:hAnsi="宋体"/>
          <w:szCs w:val="21"/>
        </w:rPr>
        <w:t>人民币</w:t>
      </w:r>
      <w:r>
        <w:rPr>
          <w:rFonts w:hint="eastAsia" w:hAnsi="宋体"/>
          <w:szCs w:val="21"/>
          <w:u w:val="single"/>
        </w:rPr>
        <w:t xml:space="preserve">           </w:t>
      </w:r>
      <w:r>
        <w:rPr>
          <w:rFonts w:hint="eastAsia" w:hAnsi="宋体"/>
          <w:szCs w:val="21"/>
        </w:rPr>
        <w:t>元（含6%增值税专用发票），其中两个项目费用分摊如下：</w:t>
      </w:r>
    </w:p>
    <w:p>
      <w:pPr>
        <w:pStyle w:val="25"/>
        <w:spacing w:line="400" w:lineRule="exact"/>
        <w:ind w:firstLine="440" w:firstLineChars="200"/>
        <w:jc w:val="left"/>
        <w:rPr>
          <w:rFonts w:hAnsi="宋体"/>
          <w:szCs w:val="21"/>
        </w:rPr>
      </w:pPr>
      <w:r>
        <w:rPr>
          <w:rFonts w:hint="eastAsia" w:hAnsi="宋体"/>
          <w:szCs w:val="21"/>
        </w:rPr>
        <w:t>腾龙芳烃（漳州）有限公司（PX项目）：RMB</w:t>
      </w:r>
      <w:r>
        <w:rPr>
          <w:rFonts w:hint="eastAsia" w:hAnsi="宋体"/>
          <w:szCs w:val="21"/>
          <w:lang w:val="en-US" w:eastAsia="zh-CN"/>
        </w:rPr>
        <w:t xml:space="preserve">     </w:t>
      </w:r>
      <w:r>
        <w:rPr>
          <w:rFonts w:hint="eastAsia" w:hAnsi="宋体"/>
          <w:szCs w:val="21"/>
        </w:rPr>
        <w:t>元，</w:t>
      </w:r>
    </w:p>
    <w:p>
      <w:pPr>
        <w:pStyle w:val="25"/>
        <w:spacing w:line="400" w:lineRule="exact"/>
        <w:ind w:firstLine="440" w:firstLineChars="200"/>
        <w:jc w:val="left"/>
        <w:rPr>
          <w:rFonts w:hAnsi="宋体"/>
          <w:szCs w:val="21"/>
        </w:rPr>
      </w:pPr>
      <w:r>
        <w:rPr>
          <w:rFonts w:hint="eastAsia" w:hAnsi="宋体"/>
          <w:szCs w:val="21"/>
        </w:rPr>
        <w:t>翔鹭石化（漳州）有限公司（PTA项目）：RMB</w:t>
      </w:r>
      <w:r>
        <w:rPr>
          <w:rFonts w:hint="eastAsia" w:hAnsi="宋体"/>
          <w:szCs w:val="21"/>
          <w:lang w:val="en-US" w:eastAsia="zh-CN"/>
        </w:rPr>
        <w:t xml:space="preserve">     </w:t>
      </w:r>
      <w:r>
        <w:rPr>
          <w:rFonts w:hint="eastAsia" w:hAnsi="宋体"/>
          <w:szCs w:val="21"/>
        </w:rPr>
        <w:t>元。</w:t>
      </w:r>
    </w:p>
    <w:p>
      <w:pPr>
        <w:pStyle w:val="25"/>
        <w:spacing w:line="400" w:lineRule="exact"/>
        <w:ind w:firstLine="440" w:firstLineChars="200"/>
        <w:jc w:val="left"/>
        <w:rPr>
          <w:rFonts w:hAnsi="宋体"/>
          <w:szCs w:val="21"/>
        </w:rPr>
      </w:pPr>
      <w:r>
        <w:rPr>
          <w:rFonts w:hint="eastAsia" w:hAnsi="宋体" w:cs="宋体"/>
          <w:kern w:val="0"/>
          <w:sz w:val="22"/>
          <w:szCs w:val="22"/>
        </w:rPr>
        <w:t>以上价格均为含税包干总价，包含成本，人工服务费，差旅费，发票税费等所有相关费用，除非合同另外有约定外，否则询价人不再另外支付任何费用。</w:t>
      </w:r>
    </w:p>
    <w:p>
      <w:pPr>
        <w:pStyle w:val="25"/>
        <w:spacing w:line="400" w:lineRule="exact"/>
        <w:jc w:val="left"/>
        <w:rPr>
          <w:rFonts w:hAnsi="宋体"/>
          <w:szCs w:val="21"/>
        </w:rPr>
      </w:pPr>
      <w:r>
        <w:rPr>
          <w:rFonts w:hAnsi="宋体"/>
          <w:szCs w:val="21"/>
        </w:rPr>
        <w:t xml:space="preserve"> </w:t>
      </w:r>
      <w:r>
        <w:rPr>
          <w:rFonts w:hint="eastAsia" w:hAnsi="宋体"/>
          <w:szCs w:val="21"/>
        </w:rPr>
        <w:t xml:space="preserve">  具体支付方式和时间分配如下：</w:t>
      </w:r>
    </w:p>
    <w:p>
      <w:pPr>
        <w:pStyle w:val="25"/>
        <w:spacing w:line="400" w:lineRule="exact"/>
        <w:jc w:val="left"/>
        <w:rPr>
          <w:rFonts w:hAnsi="宋体"/>
          <w:szCs w:val="21"/>
        </w:rPr>
      </w:pPr>
      <w:r>
        <w:rPr>
          <w:rFonts w:hAnsi="宋体"/>
          <w:szCs w:val="21"/>
        </w:rPr>
        <w:t xml:space="preserve">   </w:t>
      </w:r>
      <w:r>
        <w:rPr>
          <w:rFonts w:hint="eastAsia" w:hAnsi="宋体"/>
          <w:szCs w:val="21"/>
        </w:rPr>
        <w:t>（1）乙方按照合同约定提供</w:t>
      </w:r>
      <w:r>
        <w:rPr>
          <w:rFonts w:hAnsi="宋体"/>
          <w:szCs w:val="21"/>
        </w:rPr>
        <w:t>完整</w:t>
      </w:r>
      <w:r>
        <w:rPr>
          <w:rFonts w:hint="eastAsia" w:hAnsi="宋体"/>
          <w:szCs w:val="21"/>
        </w:rPr>
        <w:t>的服务，出具经甲方认可的正式</w:t>
      </w:r>
      <w:r>
        <w:rPr>
          <w:rFonts w:hAnsi="宋体"/>
          <w:szCs w:val="21"/>
        </w:rPr>
        <w:t>报告</w:t>
      </w:r>
      <w:r>
        <w:rPr>
          <w:rFonts w:hint="eastAsia" w:hAnsi="宋体"/>
          <w:szCs w:val="21"/>
        </w:rPr>
        <w:t>并由政府有权部门审批通过后且甲方收到乙方开具的全额增值税专用发票原件后</w:t>
      </w:r>
      <w:r>
        <w:rPr>
          <w:rFonts w:hint="eastAsia" w:hAnsi="宋体"/>
          <w:szCs w:val="21"/>
          <w:u w:val="single"/>
        </w:rPr>
        <w:t xml:space="preserve"> 30</w:t>
      </w:r>
      <w:r>
        <w:rPr>
          <w:rFonts w:hint="eastAsia" w:hAnsi="宋体"/>
          <w:szCs w:val="21"/>
        </w:rPr>
        <w:t>日内，甲方支付合同约定总价款的</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rPr>
        <w:t xml:space="preserve"> %，即人民币</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元</w:t>
      </w:r>
      <w:r>
        <w:rPr>
          <w:rFonts w:hint="eastAsia" w:hAnsi="宋体"/>
          <w:szCs w:val="21"/>
        </w:rPr>
        <w:t>整（￥</w:t>
      </w:r>
      <w:r>
        <w:rPr>
          <w:rFonts w:hint="eastAsia" w:hAnsi="宋体"/>
          <w:szCs w:val="21"/>
          <w:u w:val="single"/>
          <w:lang w:val="en-US" w:eastAsia="zh-CN"/>
        </w:rPr>
        <w:t xml:space="preserve">            </w:t>
      </w:r>
      <w:r>
        <w:rPr>
          <w:rFonts w:hint="eastAsia" w:hAnsi="宋体"/>
          <w:szCs w:val="21"/>
        </w:rPr>
        <w:t>元）。</w:t>
      </w:r>
    </w:p>
    <w:p>
      <w:pPr>
        <w:pStyle w:val="25"/>
        <w:spacing w:line="400" w:lineRule="exact"/>
        <w:jc w:val="left"/>
        <w:rPr>
          <w:rFonts w:hAnsi="宋体"/>
          <w:szCs w:val="21"/>
        </w:rPr>
      </w:pPr>
      <w:r>
        <w:rPr>
          <w:rFonts w:hint="eastAsia" w:hAnsi="宋体"/>
          <w:szCs w:val="21"/>
        </w:rPr>
        <w:t xml:space="preserve">   （2）乙方开具发票时，应按合同约定费用比例进行分别开具体甲方</w:t>
      </w:r>
      <w:r>
        <w:rPr>
          <w:rFonts w:hint="eastAsia" w:hAnsi="宋体"/>
          <w:szCs w:val="21"/>
          <w:lang w:val="en-US" w:eastAsia="zh-CN"/>
        </w:rPr>
        <w:t>两</w:t>
      </w:r>
      <w:r>
        <w:rPr>
          <w:rFonts w:hint="eastAsia" w:hAnsi="宋体"/>
          <w:szCs w:val="21"/>
        </w:rPr>
        <w:t>个抬头公司发票，其中腾龙芳烃（漳州）有限公司（PX项目）费用为RMB</w:t>
      </w:r>
      <w:r>
        <w:rPr>
          <w:rFonts w:hint="eastAsia" w:hAnsi="宋体"/>
          <w:szCs w:val="21"/>
          <w:u w:val="single"/>
          <w:lang w:val="en-US" w:eastAsia="zh-CN"/>
        </w:rPr>
        <w:t xml:space="preserve">      </w:t>
      </w:r>
      <w:r>
        <w:rPr>
          <w:rFonts w:hint="eastAsia" w:hAnsi="宋体"/>
          <w:szCs w:val="21"/>
        </w:rPr>
        <w:t>元，翔鹭石化（漳州）有限公司（PTA项目</w:t>
      </w:r>
      <w:r>
        <w:rPr>
          <w:rFonts w:hAnsi="宋体"/>
          <w:szCs w:val="21"/>
        </w:rPr>
        <w:t>）</w:t>
      </w:r>
      <w:r>
        <w:rPr>
          <w:rFonts w:hint="eastAsia" w:hAnsi="宋体"/>
          <w:szCs w:val="21"/>
        </w:rPr>
        <w:t>费用为RMB</w:t>
      </w:r>
      <w:r>
        <w:rPr>
          <w:rFonts w:hint="eastAsia" w:hAnsi="宋体"/>
          <w:szCs w:val="21"/>
          <w:u w:val="single"/>
          <w:lang w:val="en-US" w:eastAsia="zh-CN"/>
        </w:rPr>
        <w:t xml:space="preserve">      </w:t>
      </w:r>
      <w:r>
        <w:rPr>
          <w:rFonts w:hint="eastAsia" w:hAnsi="宋体"/>
          <w:szCs w:val="21"/>
        </w:rPr>
        <w:t>元,然后甲方根据相应发票金额由</w:t>
      </w:r>
      <w:r>
        <w:rPr>
          <w:rFonts w:hint="eastAsia" w:hAnsi="宋体"/>
          <w:szCs w:val="21"/>
          <w:lang w:val="en-US" w:eastAsia="zh-CN"/>
        </w:rPr>
        <w:t>两</w:t>
      </w:r>
      <w:r>
        <w:rPr>
          <w:rFonts w:hint="eastAsia" w:hAnsi="宋体"/>
          <w:szCs w:val="21"/>
        </w:rPr>
        <w:t>家公司分别支付相应金额费用。</w:t>
      </w:r>
    </w:p>
    <w:p>
      <w:pPr>
        <w:pStyle w:val="25"/>
        <w:spacing w:line="400" w:lineRule="exact"/>
        <w:ind w:firstLine="440" w:firstLineChars="200"/>
        <w:jc w:val="left"/>
        <w:rPr>
          <w:rFonts w:hAnsi="宋体"/>
          <w:szCs w:val="21"/>
        </w:rPr>
      </w:pPr>
      <w:r>
        <w:rPr>
          <w:rFonts w:hint="eastAsia" w:hAnsi="宋体"/>
          <w:szCs w:val="21"/>
        </w:rPr>
        <w:t>（</w:t>
      </w:r>
      <w:r>
        <w:rPr>
          <w:rFonts w:hint="eastAsia" w:hAnsi="宋体"/>
          <w:szCs w:val="21"/>
          <w:lang w:val="en-US" w:eastAsia="zh-CN"/>
        </w:rPr>
        <w:t>3</w:t>
      </w:r>
      <w:r>
        <w:rPr>
          <w:rFonts w:hint="eastAsia" w:hAnsi="宋体"/>
          <w:szCs w:val="21"/>
        </w:rPr>
        <w:t>）乙方应在甲方付款期限届满</w:t>
      </w:r>
      <w:r>
        <w:rPr>
          <w:rFonts w:hint="eastAsia" w:hAnsi="宋体"/>
          <w:szCs w:val="21"/>
          <w:u w:val="single"/>
        </w:rPr>
        <w:t xml:space="preserve">    </w:t>
      </w:r>
      <w:r>
        <w:rPr>
          <w:rFonts w:hAnsi="宋体"/>
          <w:szCs w:val="21"/>
          <w:u w:val="single"/>
        </w:rPr>
        <w:t xml:space="preserve"> </w:t>
      </w:r>
      <w:r>
        <w:rPr>
          <w:rFonts w:hint="eastAsia" w:hAnsi="宋体"/>
          <w:szCs w:val="21"/>
        </w:rPr>
        <w:t>日前提供正式税务发票，否则甲方有权顺延付款。上述技术服务及咨询报酬直接支付至乙方指定的下列账号：</w:t>
      </w:r>
    </w:p>
    <w:p>
      <w:pPr>
        <w:pStyle w:val="25"/>
        <w:spacing w:line="400" w:lineRule="exact"/>
        <w:ind w:firstLine="440" w:firstLineChars="200"/>
        <w:jc w:val="left"/>
        <w:rPr>
          <w:rFonts w:hAnsi="宋体"/>
          <w:szCs w:val="21"/>
        </w:rPr>
      </w:pPr>
      <w:r>
        <w:rPr>
          <w:rFonts w:hint="eastAsia" w:hAnsi="宋体"/>
          <w:szCs w:val="21"/>
        </w:rPr>
        <w:t>乙方开户银行：</w:t>
      </w:r>
      <w:r>
        <w:rPr>
          <w:rFonts w:hint="eastAsia" w:hAnsi="宋体"/>
          <w:szCs w:val="21"/>
          <w:u w:val="single"/>
        </w:rPr>
        <w:t xml:space="preserve">    </w:t>
      </w:r>
      <w:r>
        <w:rPr>
          <w:rFonts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公司名称：</w:t>
      </w:r>
      <w:r>
        <w:rPr>
          <w:rFonts w:hint="eastAsia" w:hAnsi="宋体"/>
          <w:szCs w:val="21"/>
          <w:u w:val="single"/>
        </w:rPr>
        <w:t xml:space="preserve">    </w:t>
      </w:r>
      <w:r>
        <w:rPr>
          <w:rFonts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账号：</w:t>
      </w:r>
      <w:r>
        <w:rPr>
          <w:rFonts w:hint="eastAsia" w:hAnsi="宋体"/>
          <w:szCs w:val="21"/>
          <w:u w:val="single"/>
        </w:rPr>
        <w:t xml:space="preserve">    </w:t>
      </w:r>
      <w:r>
        <w:rPr>
          <w:rFonts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第五条 双方确定因履行本合同应遵守的保密义务如下：</w:t>
      </w:r>
    </w:p>
    <w:p>
      <w:pPr>
        <w:pStyle w:val="25"/>
        <w:spacing w:line="400" w:lineRule="exact"/>
        <w:ind w:firstLine="440" w:firstLineChars="200"/>
        <w:jc w:val="left"/>
        <w:rPr>
          <w:rFonts w:hAnsi="宋体"/>
          <w:szCs w:val="21"/>
        </w:rPr>
      </w:pPr>
      <w:r>
        <w:rPr>
          <w:rFonts w:hint="eastAsia" w:hAnsi="宋体"/>
          <w:szCs w:val="21"/>
        </w:rPr>
        <w:t>甲方：</w:t>
      </w:r>
    </w:p>
    <w:p>
      <w:pPr>
        <w:pStyle w:val="25"/>
        <w:spacing w:line="400" w:lineRule="exact"/>
        <w:ind w:firstLine="440" w:firstLineChars="200"/>
        <w:jc w:val="left"/>
        <w:rPr>
          <w:rFonts w:hAnsi="宋体"/>
          <w:szCs w:val="21"/>
        </w:rPr>
      </w:pPr>
      <w:r>
        <w:rPr>
          <w:rFonts w:hint="eastAsia" w:hAnsi="宋体"/>
          <w:szCs w:val="21"/>
        </w:rPr>
        <w:t>1.保密内容：乙方提供的资料，服务咨询报告及该服务咨询报告的附件资料除外。</w:t>
      </w:r>
    </w:p>
    <w:p>
      <w:pPr>
        <w:pStyle w:val="25"/>
        <w:spacing w:line="400" w:lineRule="exact"/>
        <w:ind w:firstLine="440" w:firstLineChars="200"/>
        <w:jc w:val="left"/>
        <w:rPr>
          <w:rFonts w:hAnsi="宋体"/>
          <w:szCs w:val="21"/>
        </w:rPr>
      </w:pPr>
      <w:r>
        <w:rPr>
          <w:rFonts w:hint="eastAsia" w:hAnsi="宋体"/>
          <w:szCs w:val="21"/>
        </w:rPr>
        <w:t xml:space="preserve">2.涉密人员范围：甲方及甲方工作人员 </w:t>
      </w:r>
    </w:p>
    <w:p>
      <w:pPr>
        <w:pStyle w:val="25"/>
        <w:spacing w:line="400" w:lineRule="exact"/>
        <w:ind w:firstLine="440" w:firstLineChars="200"/>
        <w:jc w:val="left"/>
        <w:rPr>
          <w:rFonts w:hAnsi="宋体"/>
          <w:szCs w:val="21"/>
        </w:rPr>
      </w:pPr>
      <w:r>
        <w:rPr>
          <w:rFonts w:hint="eastAsia" w:hAnsi="宋体"/>
          <w:szCs w:val="21"/>
        </w:rPr>
        <w:t xml:space="preserve">3.泄密责任：  按本合同约定及国家有关保密法的规定执行 </w:t>
      </w:r>
    </w:p>
    <w:p>
      <w:pPr>
        <w:pStyle w:val="25"/>
        <w:spacing w:line="400" w:lineRule="exact"/>
        <w:ind w:firstLine="440" w:firstLineChars="200"/>
        <w:jc w:val="left"/>
        <w:rPr>
          <w:rFonts w:hAnsi="宋体"/>
          <w:szCs w:val="21"/>
        </w:rPr>
      </w:pPr>
      <w:r>
        <w:rPr>
          <w:rFonts w:hint="eastAsia" w:hAnsi="宋体"/>
          <w:szCs w:val="21"/>
        </w:rPr>
        <w:t>乙方：</w:t>
      </w:r>
    </w:p>
    <w:p>
      <w:pPr>
        <w:pStyle w:val="25"/>
        <w:numPr>
          <w:ilvl w:val="0"/>
          <w:numId w:val="7"/>
        </w:numPr>
        <w:spacing w:line="400" w:lineRule="exact"/>
        <w:ind w:firstLine="440" w:firstLineChars="200"/>
        <w:jc w:val="left"/>
        <w:rPr>
          <w:rFonts w:hint="eastAsia" w:hAnsi="宋体"/>
          <w:szCs w:val="21"/>
        </w:rPr>
      </w:pPr>
      <w:r>
        <w:rPr>
          <w:rFonts w:hint="eastAsia" w:hAnsi="宋体"/>
          <w:szCs w:val="21"/>
        </w:rPr>
        <w:t>保密内容：</w:t>
      </w:r>
    </w:p>
    <w:p>
      <w:pPr>
        <w:spacing w:line="520" w:lineRule="exact"/>
        <w:ind w:firstLine="440" w:firstLineChars="200"/>
        <w:rPr>
          <w:rFonts w:ascii="宋体" w:hAnsi="宋体"/>
          <w:szCs w:val="21"/>
          <w:u w:val="single"/>
        </w:rPr>
      </w:pPr>
      <w:r>
        <w:rPr>
          <w:rFonts w:hint="eastAsia" w:ascii="宋体" w:hAnsi="宋体"/>
          <w:szCs w:val="21"/>
          <w:u w:val="single"/>
        </w:rPr>
        <w:t xml:space="preserve">（1）甲方提供的资料以及乙方在提供本合同约定服务过程中知悉的甲方技术信息、经营信息、生产工艺、操作流程等。 </w:t>
      </w:r>
    </w:p>
    <w:p>
      <w:pPr>
        <w:spacing w:line="520" w:lineRule="exact"/>
        <w:ind w:firstLine="440" w:firstLineChars="200"/>
        <w:rPr>
          <w:rFonts w:ascii="宋体" w:hAnsi="宋体"/>
          <w:szCs w:val="21"/>
          <w:u w:val="single"/>
        </w:rPr>
      </w:pPr>
      <w:r>
        <w:rPr>
          <w:rFonts w:hint="eastAsia" w:ascii="宋体" w:hAnsi="宋体"/>
          <w:szCs w:val="21"/>
          <w:u w:val="single"/>
        </w:rPr>
        <w:t>（2）乙方对甲方提供的有关资料应妥善保存，并负责保密，不得对外泄密；</w:t>
      </w:r>
    </w:p>
    <w:p>
      <w:pPr>
        <w:spacing w:line="520" w:lineRule="exact"/>
        <w:ind w:firstLine="440" w:firstLineChars="200"/>
        <w:rPr>
          <w:rFonts w:hAnsi="宋体"/>
          <w:szCs w:val="21"/>
        </w:rPr>
      </w:pPr>
      <w:r>
        <w:rPr>
          <w:rFonts w:hint="eastAsia" w:ascii="宋体" w:hAnsi="宋体"/>
          <w:szCs w:val="21"/>
          <w:u w:val="single"/>
        </w:rPr>
        <w:t>（3）报告书属技术性资料、知识产权，未经双方同意，任何一方不得向第三方提供该报告书。</w:t>
      </w:r>
      <w:r>
        <w:rPr>
          <w:rFonts w:hint="eastAsia" w:hAnsi="宋体"/>
          <w:szCs w:val="21"/>
        </w:rPr>
        <w:t xml:space="preserve"> </w:t>
      </w:r>
    </w:p>
    <w:p>
      <w:pPr>
        <w:pStyle w:val="25"/>
        <w:spacing w:line="400" w:lineRule="exact"/>
        <w:ind w:firstLine="440" w:firstLineChars="200"/>
        <w:jc w:val="left"/>
        <w:rPr>
          <w:rFonts w:hAnsi="宋体"/>
          <w:szCs w:val="21"/>
        </w:rPr>
      </w:pPr>
      <w:r>
        <w:rPr>
          <w:rFonts w:hint="eastAsia" w:hAnsi="宋体"/>
          <w:szCs w:val="21"/>
        </w:rPr>
        <w:t>2.涉密人员范围：</w:t>
      </w:r>
      <w:r>
        <w:rPr>
          <w:rFonts w:hint="eastAsia" w:hAnsi="宋体"/>
          <w:szCs w:val="21"/>
          <w:u w:val="single"/>
        </w:rPr>
        <w:t>项目管理人员、参与人员和其他涉密人员。</w:t>
      </w:r>
    </w:p>
    <w:p>
      <w:pPr>
        <w:pStyle w:val="25"/>
        <w:spacing w:line="400" w:lineRule="exact"/>
        <w:ind w:firstLine="440" w:firstLineChars="200"/>
        <w:jc w:val="left"/>
        <w:rPr>
          <w:rFonts w:hAnsi="宋体"/>
          <w:szCs w:val="21"/>
        </w:rPr>
      </w:pPr>
      <w:r>
        <w:rPr>
          <w:rFonts w:hint="eastAsia" w:hAnsi="宋体"/>
          <w:szCs w:val="21"/>
        </w:rPr>
        <w:t xml:space="preserve">3.泄密责任：按本合同约定及国家有关保密法的规定执行 </w:t>
      </w:r>
    </w:p>
    <w:p>
      <w:pPr>
        <w:pStyle w:val="25"/>
        <w:spacing w:line="400" w:lineRule="exact"/>
        <w:ind w:firstLine="440" w:firstLineChars="200"/>
        <w:jc w:val="left"/>
        <w:rPr>
          <w:rFonts w:hAnsi="宋体"/>
          <w:szCs w:val="21"/>
        </w:rPr>
      </w:pPr>
      <w:r>
        <w:rPr>
          <w:rFonts w:hint="eastAsia" w:hAnsi="宋体"/>
          <w:szCs w:val="21"/>
        </w:rPr>
        <w:t>第六条 本合同的变更必须由双方协商一致，并以书面形式确定。</w:t>
      </w:r>
    </w:p>
    <w:p>
      <w:pPr>
        <w:pStyle w:val="25"/>
        <w:spacing w:line="400" w:lineRule="exact"/>
        <w:ind w:firstLine="440" w:firstLineChars="200"/>
        <w:jc w:val="left"/>
        <w:rPr>
          <w:rFonts w:hAnsi="宋体"/>
          <w:szCs w:val="21"/>
        </w:rPr>
      </w:pPr>
      <w:r>
        <w:rPr>
          <w:rFonts w:hint="eastAsia" w:hAnsi="宋体"/>
          <w:szCs w:val="21"/>
        </w:rPr>
        <w:t>第七条 双方确定，按以下标准和方式对乙方提交的技术咨询工作成果进行验收：</w:t>
      </w:r>
    </w:p>
    <w:p>
      <w:pPr>
        <w:pStyle w:val="25"/>
        <w:spacing w:line="400" w:lineRule="exact"/>
        <w:ind w:firstLine="440" w:firstLineChars="200"/>
        <w:jc w:val="left"/>
        <w:rPr>
          <w:rFonts w:hAnsi="宋体"/>
          <w:szCs w:val="21"/>
        </w:rPr>
      </w:pPr>
      <w:r>
        <w:rPr>
          <w:rFonts w:hint="eastAsia" w:hAnsi="宋体"/>
          <w:szCs w:val="21"/>
        </w:rPr>
        <w:t>1、乙方提交技术</w:t>
      </w:r>
      <w:r>
        <w:rPr>
          <w:rFonts w:hint="eastAsia" w:hAnsi="宋体"/>
          <w:szCs w:val="21"/>
          <w:u w:val="single"/>
          <w:lang w:val="en-US" w:eastAsia="zh-CN"/>
        </w:rPr>
        <w:t>咨询</w:t>
      </w:r>
      <w:r>
        <w:rPr>
          <w:rFonts w:hint="eastAsia" w:hAnsi="宋体"/>
          <w:szCs w:val="21"/>
        </w:rPr>
        <w:t>工作成果的形式：</w:t>
      </w:r>
      <w:r>
        <w:rPr>
          <w:rFonts w:hint="eastAsia" w:hAnsi="宋体"/>
          <w:szCs w:val="21"/>
          <w:u w:val="single"/>
        </w:rPr>
        <w:t xml:space="preserve">    </w:t>
      </w:r>
      <w:r>
        <w:rPr>
          <w:rFonts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2、技术</w:t>
      </w:r>
      <w:r>
        <w:rPr>
          <w:rFonts w:hint="eastAsia" w:hAnsi="宋体"/>
          <w:szCs w:val="21"/>
          <w:u w:val="single"/>
        </w:rPr>
        <w:t xml:space="preserve">    </w:t>
      </w:r>
      <w:r>
        <w:rPr>
          <w:rFonts w:hAnsi="宋体"/>
          <w:szCs w:val="21"/>
          <w:u w:val="single"/>
        </w:rPr>
        <w:t xml:space="preserve"> </w:t>
      </w:r>
      <w:r>
        <w:rPr>
          <w:rFonts w:hint="eastAsia" w:hAnsi="宋体"/>
          <w:szCs w:val="21"/>
        </w:rPr>
        <w:t>工作成果的验收标准：</w:t>
      </w:r>
      <w:r>
        <w:rPr>
          <w:rFonts w:hint="eastAsia" w:hAnsi="宋体"/>
          <w:szCs w:val="21"/>
          <w:u w:val="single"/>
        </w:rPr>
        <w:t xml:space="preserve">    </w:t>
      </w:r>
      <w:r>
        <w:rPr>
          <w:rFonts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3、验收地点：</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w:t>
      </w:r>
      <w:r>
        <w:rPr>
          <w:rFonts w:hAnsi="宋体"/>
          <w:szCs w:val="21"/>
          <w:u w:val="single"/>
        </w:rPr>
        <w:t xml:space="preserve">                            </w:t>
      </w:r>
    </w:p>
    <w:p>
      <w:pPr>
        <w:spacing w:line="520" w:lineRule="exact"/>
        <w:ind w:firstLine="440" w:firstLineChars="200"/>
        <w:rPr>
          <w:rFonts w:ascii="宋体" w:hAnsi="宋体"/>
          <w:sz w:val="24"/>
        </w:rPr>
      </w:pPr>
      <w:r>
        <w:rPr>
          <w:rFonts w:hint="eastAsia" w:hAnsi="宋体"/>
          <w:szCs w:val="21"/>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25"/>
        <w:spacing w:line="400" w:lineRule="exact"/>
        <w:ind w:firstLine="440" w:firstLineChars="200"/>
        <w:jc w:val="left"/>
        <w:rPr>
          <w:rFonts w:hAnsi="宋体"/>
          <w:szCs w:val="21"/>
        </w:rPr>
      </w:pPr>
      <w:r>
        <w:rPr>
          <w:rFonts w:hint="eastAsia" w:hAnsi="宋体"/>
          <w:szCs w:val="21"/>
        </w:rPr>
        <w:t>第八条 双方确定，甲方指定</w:t>
      </w:r>
      <w:r>
        <w:rPr>
          <w:rFonts w:hint="eastAsia" w:hAnsi="宋体"/>
          <w:szCs w:val="21"/>
          <w:u w:val="single"/>
          <w:lang w:val="en-US" w:eastAsia="zh-CN"/>
        </w:rPr>
        <w:t>寻永昌 19959614141</w:t>
      </w:r>
      <w:r>
        <w:rPr>
          <w:rFonts w:hint="eastAsia" w:hAnsi="宋体"/>
          <w:szCs w:val="21"/>
        </w:rPr>
        <w:t>为甲方项目联系人，乙方指定</w:t>
      </w:r>
      <w:r>
        <w:rPr>
          <w:rFonts w:hint="eastAsia" w:hAnsi="宋体"/>
          <w:szCs w:val="21"/>
          <w:u w:val="single"/>
        </w:rPr>
        <w:t xml:space="preserve">    </w:t>
      </w:r>
      <w:r>
        <w:rPr>
          <w:rFonts w:hAnsi="宋体"/>
          <w:szCs w:val="21"/>
          <w:u w:val="single"/>
        </w:rPr>
        <w:t xml:space="preserve"> </w:t>
      </w:r>
      <w:r>
        <w:rPr>
          <w:rFonts w:hint="eastAsia" w:hAnsi="宋体"/>
          <w:szCs w:val="21"/>
        </w:rPr>
        <w:t>为乙方项目联系人。项目联系人承担以下责任：</w:t>
      </w:r>
    </w:p>
    <w:p>
      <w:pPr>
        <w:pStyle w:val="25"/>
        <w:spacing w:line="400" w:lineRule="exact"/>
        <w:ind w:firstLine="440" w:firstLineChars="200"/>
        <w:jc w:val="left"/>
        <w:rPr>
          <w:rFonts w:hAnsi="宋体"/>
          <w:szCs w:val="21"/>
          <w:u w:val="single"/>
        </w:rPr>
      </w:pPr>
      <w:r>
        <w:rPr>
          <w:rFonts w:hint="eastAsia" w:hAnsi="宋体"/>
          <w:szCs w:val="21"/>
          <w:u w:val="single"/>
        </w:rPr>
        <w:t xml:space="preserve">    </w:t>
      </w:r>
      <w:r>
        <w:rPr>
          <w:rFonts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u w:val="single"/>
        </w:rPr>
        <w:t xml:space="preserve">    </w:t>
      </w:r>
      <w:r>
        <w:rPr>
          <w:rFonts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u w:val="single"/>
        </w:rPr>
        <w:t xml:space="preserve">    </w:t>
      </w:r>
      <w:r>
        <w:rPr>
          <w:rFonts w:hAnsi="宋体"/>
          <w:szCs w:val="21"/>
          <w:u w:val="single"/>
        </w:rPr>
        <w:t xml:space="preserve">                                                             </w:t>
      </w:r>
    </w:p>
    <w:p>
      <w:pPr>
        <w:pStyle w:val="25"/>
        <w:spacing w:line="400" w:lineRule="exact"/>
        <w:ind w:firstLine="440" w:firstLineChars="200"/>
        <w:jc w:val="left"/>
        <w:rPr>
          <w:rFonts w:hAnsi="宋体"/>
          <w:szCs w:val="21"/>
        </w:rPr>
      </w:pPr>
      <w:r>
        <w:rPr>
          <w:rFonts w:hint="eastAsia" w:hAnsi="宋体"/>
          <w:szCs w:val="21"/>
        </w:rPr>
        <w:t>一方变更项目联系人的，应当及时以书面形式通知另一方。未及时通知并影响本合同履行或造成损失的，应承担相应的责任。</w:t>
      </w:r>
    </w:p>
    <w:p>
      <w:pPr>
        <w:pStyle w:val="25"/>
        <w:spacing w:line="400" w:lineRule="exact"/>
        <w:ind w:firstLine="442" w:firstLineChars="200"/>
        <w:jc w:val="left"/>
        <w:rPr>
          <w:rFonts w:hAnsi="宋体"/>
          <w:b/>
          <w:szCs w:val="21"/>
        </w:rPr>
      </w:pPr>
      <w:r>
        <w:rPr>
          <w:rFonts w:hint="eastAsia" w:hAnsi="宋体"/>
          <w:b/>
          <w:szCs w:val="21"/>
        </w:rPr>
        <w:t>第九条  违约责任</w:t>
      </w:r>
    </w:p>
    <w:p>
      <w:pPr>
        <w:spacing w:line="400" w:lineRule="exact"/>
        <w:ind w:firstLine="442" w:firstLineChars="200"/>
        <w:rPr>
          <w:rStyle w:val="83"/>
          <w:b/>
          <w:color w:val="000000"/>
        </w:rPr>
      </w:pPr>
      <w:r>
        <w:rPr>
          <w:rStyle w:val="83"/>
          <w:rFonts w:hint="eastAsia"/>
          <w:b/>
          <w:color w:val="000000"/>
        </w:rPr>
        <w:t>1．乙方逾期提交服务咨询报告的，每日应向甲方支付违约金人民币</w:t>
      </w:r>
      <w:r>
        <w:rPr>
          <w:rFonts w:hint="eastAsia" w:hAnsi="宋体"/>
          <w:b/>
          <w:szCs w:val="21"/>
          <w:u w:val="single"/>
        </w:rPr>
        <w:t xml:space="preserve"> </w:t>
      </w:r>
      <w:r>
        <w:rPr>
          <w:rFonts w:hint="eastAsia"/>
          <w:b/>
          <w:szCs w:val="21"/>
          <w:u w:val="single"/>
          <w:lang w:val="en-US" w:eastAsia="zh-CN"/>
        </w:rPr>
        <w:t>500</w:t>
      </w:r>
      <w:r>
        <w:rPr>
          <w:rFonts w:hAnsi="宋体"/>
          <w:b/>
          <w:szCs w:val="21"/>
          <w:u w:val="single"/>
        </w:rPr>
        <w:t xml:space="preserve"> </w:t>
      </w:r>
      <w:r>
        <w:rPr>
          <w:rStyle w:val="83"/>
          <w:rFonts w:hint="eastAsia"/>
          <w:b/>
          <w:color w:val="000000"/>
        </w:rPr>
        <w:t>元，逾期超过</w:t>
      </w:r>
      <w:r>
        <w:rPr>
          <w:rFonts w:hint="eastAsia" w:hAnsi="宋体"/>
          <w:b/>
          <w:szCs w:val="21"/>
          <w:u w:val="single"/>
        </w:rPr>
        <w:t xml:space="preserve">  </w:t>
      </w:r>
      <w:r>
        <w:rPr>
          <w:rFonts w:hint="eastAsia"/>
          <w:b/>
          <w:szCs w:val="21"/>
          <w:u w:val="single"/>
          <w:lang w:val="en-US" w:eastAsia="zh-CN"/>
        </w:rPr>
        <w:t xml:space="preserve">30 </w:t>
      </w:r>
      <w:r>
        <w:rPr>
          <w:rStyle w:val="83"/>
          <w:rFonts w:hint="eastAsia"/>
          <w:b/>
          <w:color w:val="000000"/>
        </w:rPr>
        <w:t>日的，甲方还有权解除本合同并要求乙方一次性支付合同总额</w:t>
      </w:r>
      <w:r>
        <w:rPr>
          <w:rStyle w:val="83"/>
          <w:rFonts w:hint="eastAsia"/>
          <w:b/>
          <w:color w:val="000000"/>
          <w:u w:val="single"/>
        </w:rPr>
        <w:t xml:space="preserve"> </w:t>
      </w:r>
      <w:r>
        <w:rPr>
          <w:rStyle w:val="83"/>
          <w:rFonts w:hint="eastAsia"/>
          <w:b/>
          <w:color w:val="000000"/>
          <w:u w:val="single"/>
          <w:lang w:val="en-US" w:eastAsia="zh-CN"/>
        </w:rPr>
        <w:t xml:space="preserve">10 </w:t>
      </w:r>
      <w:r>
        <w:rPr>
          <w:rStyle w:val="83"/>
          <w:rFonts w:hint="eastAsia"/>
          <w:b/>
          <w:color w:val="000000"/>
        </w:rPr>
        <w:t>%的违约金。</w:t>
      </w:r>
    </w:p>
    <w:p>
      <w:pPr>
        <w:pStyle w:val="25"/>
        <w:spacing w:line="400" w:lineRule="exact"/>
        <w:ind w:firstLine="442" w:firstLineChars="200"/>
        <w:jc w:val="left"/>
        <w:rPr>
          <w:rStyle w:val="83"/>
          <w:b/>
          <w:color w:val="000000"/>
        </w:rPr>
      </w:pPr>
      <w:r>
        <w:rPr>
          <w:rStyle w:val="83"/>
          <w:rFonts w:hint="eastAsia"/>
          <w:b/>
          <w:color w:val="000000"/>
        </w:rPr>
        <w:t>2．乙方提交的服务咨询报告不符合合同约定的，应在甲方指定期限内修改完善直至符合合同约定为止，由此造成逾期提交的，按照第1款约定执行。</w:t>
      </w:r>
    </w:p>
    <w:p>
      <w:pPr>
        <w:pStyle w:val="25"/>
        <w:spacing w:line="400" w:lineRule="exact"/>
        <w:ind w:firstLine="442" w:firstLineChars="200"/>
        <w:jc w:val="left"/>
        <w:rPr>
          <w:rStyle w:val="83"/>
          <w:rFonts w:hint="eastAsia"/>
          <w:b/>
          <w:color w:val="000000"/>
        </w:rPr>
      </w:pPr>
      <w:r>
        <w:rPr>
          <w:rStyle w:val="83"/>
          <w:rFonts w:hint="eastAsia"/>
          <w:b/>
          <w:color w:val="000000"/>
        </w:rPr>
        <w:t>3．任何一方违反保密义务的，应向对方支付违约金人民币</w:t>
      </w:r>
      <w:r>
        <w:rPr>
          <w:rFonts w:hint="eastAsia" w:hAnsi="宋体"/>
          <w:b/>
          <w:szCs w:val="21"/>
          <w:u w:val="single"/>
        </w:rPr>
        <w:t xml:space="preserve"> </w:t>
      </w:r>
      <w:r>
        <w:rPr>
          <w:rFonts w:hint="eastAsia" w:hAnsi="宋体"/>
          <w:b/>
          <w:szCs w:val="21"/>
          <w:u w:val="single"/>
          <w:lang w:val="en-US" w:eastAsia="zh-CN"/>
        </w:rPr>
        <w:t>20万</w:t>
      </w:r>
      <w:r>
        <w:rPr>
          <w:rStyle w:val="83"/>
          <w:rFonts w:hint="eastAsia"/>
          <w:b/>
          <w:color w:val="000000"/>
        </w:rPr>
        <w:t>元；赔偿由此给对方造成的损失。</w:t>
      </w:r>
    </w:p>
    <w:p>
      <w:pPr>
        <w:pStyle w:val="25"/>
        <w:spacing w:line="400" w:lineRule="exact"/>
        <w:ind w:firstLine="442" w:firstLineChars="200"/>
        <w:jc w:val="left"/>
        <w:rPr>
          <w:rFonts w:hAnsi="宋体"/>
          <w:b/>
          <w:szCs w:val="21"/>
        </w:rPr>
      </w:pPr>
      <w:r>
        <w:rPr>
          <w:rStyle w:val="83"/>
          <w:rFonts w:hint="eastAsia"/>
          <w:b/>
          <w:color w:val="000000"/>
        </w:rPr>
        <w:t>4.甲方已就本合同项下涉及乙方重大利害关系的条款向乙方作出详细说明，乙方充分理解上述条款含义，并自愿签订本合同。</w:t>
      </w:r>
    </w:p>
    <w:p>
      <w:pPr>
        <w:pStyle w:val="25"/>
        <w:spacing w:line="400" w:lineRule="exact"/>
        <w:ind w:firstLine="440" w:firstLineChars="200"/>
        <w:jc w:val="left"/>
        <w:rPr>
          <w:rFonts w:hAnsi="宋体"/>
          <w:szCs w:val="21"/>
        </w:rPr>
      </w:pPr>
      <w:r>
        <w:rPr>
          <w:rFonts w:hint="eastAsia" w:hAnsi="宋体"/>
          <w:szCs w:val="21"/>
        </w:rPr>
        <w:t>第十条 双方因履行本合同而发生的争议，可协商、调解解决，也可直接向甲方所在地人民法院提起诉讼。</w:t>
      </w:r>
    </w:p>
    <w:p>
      <w:pPr>
        <w:pStyle w:val="25"/>
        <w:spacing w:line="400" w:lineRule="exact"/>
        <w:ind w:firstLine="440" w:firstLineChars="200"/>
        <w:jc w:val="left"/>
        <w:rPr>
          <w:rFonts w:hAnsi="宋体"/>
          <w:szCs w:val="21"/>
        </w:rPr>
      </w:pPr>
      <w:r>
        <w:rPr>
          <w:rFonts w:hint="eastAsia" w:hAnsi="宋体"/>
          <w:szCs w:val="21"/>
        </w:rPr>
        <w:t>第十一条 其他</w:t>
      </w:r>
    </w:p>
    <w:p>
      <w:pPr>
        <w:pStyle w:val="25"/>
        <w:spacing w:line="400" w:lineRule="exact"/>
        <w:ind w:firstLine="440" w:firstLineChars="200"/>
        <w:jc w:val="left"/>
        <w:rPr>
          <w:rStyle w:val="83"/>
          <w:color w:val="000000"/>
        </w:rPr>
      </w:pPr>
      <w:r>
        <w:rPr>
          <w:rStyle w:val="83"/>
          <w:rFonts w:hint="eastAsia"/>
          <w:color w:val="000000"/>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line="400" w:lineRule="exact"/>
        <w:ind w:firstLine="440" w:firstLineChars="200"/>
        <w:jc w:val="left"/>
        <w:rPr>
          <w:rFonts w:hAnsi="宋体"/>
          <w:szCs w:val="21"/>
        </w:rPr>
      </w:pPr>
      <w:r>
        <w:rPr>
          <w:rFonts w:hint="eastAsia" w:hAnsi="宋体"/>
          <w:szCs w:val="21"/>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25"/>
        <w:spacing w:line="400" w:lineRule="exact"/>
        <w:ind w:firstLine="440" w:firstLineChars="200"/>
        <w:jc w:val="left"/>
        <w:rPr>
          <w:rFonts w:hAnsi="宋体"/>
          <w:szCs w:val="21"/>
        </w:rPr>
      </w:pPr>
      <w:r>
        <w:rPr>
          <w:rFonts w:hint="eastAsia" w:hAnsi="宋体"/>
          <w:szCs w:val="21"/>
        </w:rPr>
        <w:t>第十二条 本合同经双方签订后生效。本合同一式</w:t>
      </w:r>
      <w:r>
        <w:rPr>
          <w:rFonts w:hint="eastAsia" w:hAnsi="宋体"/>
          <w:szCs w:val="21"/>
          <w:u w:val="single"/>
        </w:rPr>
        <w:t xml:space="preserve">    </w:t>
      </w:r>
      <w:r>
        <w:rPr>
          <w:rFonts w:hAnsi="宋体"/>
          <w:szCs w:val="21"/>
          <w:u w:val="single"/>
        </w:rPr>
        <w:t xml:space="preserve"> </w:t>
      </w:r>
      <w:r>
        <w:rPr>
          <w:rFonts w:hint="eastAsia" w:hAnsi="宋体"/>
          <w:szCs w:val="21"/>
        </w:rPr>
        <w:t>份，甲方执</w:t>
      </w:r>
      <w:r>
        <w:rPr>
          <w:rFonts w:hint="eastAsia" w:hAnsi="宋体"/>
          <w:szCs w:val="21"/>
          <w:u w:val="single"/>
        </w:rPr>
        <w:t xml:space="preserve">    </w:t>
      </w:r>
      <w:r>
        <w:rPr>
          <w:rFonts w:hAnsi="宋体"/>
          <w:szCs w:val="21"/>
          <w:u w:val="single"/>
        </w:rPr>
        <w:t xml:space="preserve"> </w:t>
      </w:r>
      <w:r>
        <w:rPr>
          <w:rFonts w:hint="eastAsia" w:hAnsi="宋体"/>
          <w:szCs w:val="21"/>
        </w:rPr>
        <w:t>份，乙方执</w:t>
      </w:r>
      <w:r>
        <w:rPr>
          <w:rFonts w:hint="eastAsia" w:hAnsi="宋体"/>
          <w:szCs w:val="21"/>
          <w:u w:val="single"/>
        </w:rPr>
        <w:t xml:space="preserve">    </w:t>
      </w:r>
      <w:r>
        <w:rPr>
          <w:rFonts w:hAnsi="宋体"/>
          <w:szCs w:val="21"/>
          <w:u w:val="single"/>
        </w:rPr>
        <w:t xml:space="preserve"> </w:t>
      </w:r>
      <w:r>
        <w:rPr>
          <w:rFonts w:hint="eastAsia" w:hAnsi="宋体"/>
          <w:szCs w:val="21"/>
        </w:rPr>
        <w:t>份，具有同等法律效力。</w:t>
      </w:r>
    </w:p>
    <w:p>
      <w:pPr>
        <w:pStyle w:val="25"/>
        <w:spacing w:line="400" w:lineRule="exact"/>
        <w:jc w:val="left"/>
        <w:rPr>
          <w:rFonts w:hAnsi="宋体"/>
          <w:szCs w:val="21"/>
        </w:rPr>
      </w:pPr>
    </w:p>
    <w:p>
      <w:pPr>
        <w:pStyle w:val="25"/>
        <w:spacing w:line="400" w:lineRule="exact"/>
        <w:ind w:firstLine="440" w:firstLineChars="200"/>
        <w:jc w:val="left"/>
        <w:rPr>
          <w:rFonts w:hAnsi="宋体"/>
          <w:szCs w:val="21"/>
        </w:rPr>
      </w:pPr>
    </w:p>
    <w:p>
      <w:pPr>
        <w:pStyle w:val="25"/>
        <w:spacing w:line="400" w:lineRule="exact"/>
        <w:ind w:firstLine="440" w:firstLineChars="200"/>
        <w:jc w:val="left"/>
        <w:rPr>
          <w:rFonts w:hAnsi="宋体"/>
          <w:szCs w:val="21"/>
        </w:rPr>
      </w:pPr>
    </w:p>
    <w:p>
      <w:pPr>
        <w:pStyle w:val="25"/>
        <w:spacing w:line="400" w:lineRule="exact"/>
        <w:jc w:val="left"/>
        <w:rPr>
          <w:rFonts w:hint="eastAsia" w:hAnsi="宋体" w:eastAsia="宋体"/>
          <w:b/>
          <w:szCs w:val="21"/>
          <w:lang w:val="en-US" w:eastAsia="zh-CN"/>
        </w:rPr>
      </w:pPr>
      <w:r>
        <w:rPr>
          <w:rFonts w:hint="eastAsia" w:hAnsi="宋体"/>
          <w:szCs w:val="21"/>
        </w:rPr>
        <w:t>甲方:</w:t>
      </w:r>
      <w:r>
        <w:rPr>
          <w:rFonts w:hint="eastAsia"/>
          <w:sz w:val="36"/>
          <w:szCs w:val="36"/>
        </w:rPr>
        <w:t xml:space="preserve"> </w:t>
      </w:r>
      <w:r>
        <w:rPr>
          <w:rFonts w:hint="eastAsia" w:hAnsi="宋体"/>
          <w:b/>
          <w:szCs w:val="21"/>
        </w:rPr>
        <w:t xml:space="preserve">腾龙芳烃（漳州）有限公司 </w:t>
      </w:r>
      <w:r>
        <w:rPr>
          <w:rFonts w:hint="eastAsia" w:hAnsi="宋体"/>
          <w:szCs w:val="21"/>
        </w:rPr>
        <w:t xml:space="preserve">        </w:t>
      </w:r>
      <w:r>
        <w:rPr>
          <w:rFonts w:hint="eastAsia" w:hAnsi="宋体"/>
          <w:szCs w:val="21"/>
          <w:lang w:val="en-US" w:eastAsia="zh-CN"/>
        </w:rPr>
        <w:t xml:space="preserve">     </w:t>
      </w:r>
      <w:r>
        <w:rPr>
          <w:rFonts w:hint="eastAsia" w:hAnsi="宋体"/>
          <w:szCs w:val="21"/>
        </w:rPr>
        <w:t>乙方：</w:t>
      </w:r>
      <w:r>
        <w:rPr>
          <w:rFonts w:hint="eastAsia" w:hAnsi="宋体"/>
          <w:b/>
          <w:szCs w:val="21"/>
          <w:lang w:val="en-US" w:eastAsia="zh-CN"/>
        </w:rPr>
        <w:t xml:space="preserve"> </w:t>
      </w:r>
    </w:p>
    <w:p>
      <w:pPr>
        <w:pStyle w:val="25"/>
        <w:spacing w:line="400" w:lineRule="exact"/>
        <w:ind w:firstLine="442" w:firstLineChars="200"/>
        <w:jc w:val="left"/>
        <w:rPr>
          <w:rFonts w:hAnsi="宋体"/>
          <w:b/>
          <w:szCs w:val="21"/>
        </w:rPr>
      </w:pPr>
      <w:r>
        <w:rPr>
          <w:rFonts w:hint="eastAsia" w:hAnsi="宋体"/>
          <w:b/>
          <w:szCs w:val="21"/>
        </w:rPr>
        <w:t xml:space="preserve">                    </w:t>
      </w:r>
    </w:p>
    <w:p>
      <w:pPr>
        <w:pStyle w:val="25"/>
        <w:spacing w:line="400" w:lineRule="exact"/>
        <w:ind w:firstLine="442" w:firstLineChars="200"/>
        <w:jc w:val="left"/>
        <w:rPr>
          <w:rFonts w:hAnsi="宋体"/>
          <w:b/>
          <w:szCs w:val="21"/>
        </w:rPr>
      </w:pPr>
    </w:p>
    <w:p>
      <w:pPr>
        <w:pStyle w:val="25"/>
        <w:spacing w:line="400" w:lineRule="exact"/>
        <w:ind w:firstLine="442" w:firstLineChars="200"/>
        <w:jc w:val="left"/>
        <w:rPr>
          <w:rFonts w:hAnsi="宋体"/>
          <w:b/>
          <w:szCs w:val="21"/>
        </w:rPr>
      </w:pPr>
    </w:p>
    <w:p>
      <w:pPr>
        <w:pStyle w:val="25"/>
        <w:spacing w:line="400" w:lineRule="exact"/>
        <w:ind w:firstLine="552" w:firstLineChars="250"/>
        <w:jc w:val="left"/>
        <w:rPr>
          <w:rFonts w:hint="eastAsia" w:hAnsi="宋体"/>
          <w:b/>
          <w:szCs w:val="21"/>
        </w:rPr>
      </w:pPr>
    </w:p>
    <w:p>
      <w:pPr>
        <w:pStyle w:val="25"/>
        <w:spacing w:line="400" w:lineRule="exact"/>
        <w:ind w:firstLine="552" w:firstLineChars="250"/>
        <w:jc w:val="left"/>
        <w:rPr>
          <w:rFonts w:hAnsi="宋体"/>
          <w:b/>
          <w:szCs w:val="21"/>
        </w:rPr>
      </w:pPr>
      <w:r>
        <w:rPr>
          <w:rFonts w:hint="eastAsia" w:hAnsi="宋体"/>
          <w:b/>
          <w:szCs w:val="21"/>
        </w:rPr>
        <w:t>翔鹭石化（漳州）有限公司</w:t>
      </w:r>
    </w:p>
    <w:p>
      <w:pPr>
        <w:pStyle w:val="2"/>
      </w:pPr>
    </w:p>
    <w:p>
      <w:pPr>
        <w:jc w:val="center"/>
        <w:rPr>
          <w:b/>
          <w:sz w:val="36"/>
          <w:szCs w:val="36"/>
          <w:lang w:eastAsia="zh-CN"/>
        </w:rPr>
      </w:pPr>
    </w:p>
    <w:p>
      <w:pPr>
        <w:jc w:val="center"/>
        <w:rPr>
          <w:b/>
          <w:sz w:val="36"/>
          <w:szCs w:val="36"/>
          <w:lang w:eastAsia="zh-CN"/>
        </w:rPr>
      </w:pPr>
    </w:p>
    <w:p>
      <w:pPr>
        <w:jc w:val="center"/>
        <w:rPr>
          <w:b/>
          <w:sz w:val="36"/>
          <w:szCs w:val="36"/>
          <w:lang w:eastAsia="zh-CN"/>
        </w:rPr>
      </w:pPr>
    </w:p>
    <w:p>
      <w:pPr>
        <w:jc w:val="center"/>
        <w:rPr>
          <w:b/>
          <w:sz w:val="36"/>
          <w:szCs w:val="36"/>
          <w:lang w:eastAsia="zh-CN"/>
        </w:rPr>
      </w:pPr>
    </w:p>
    <w:p>
      <w:pPr>
        <w:pStyle w:val="2"/>
        <w:rPr>
          <w:b/>
          <w:sz w:val="36"/>
          <w:szCs w:val="36"/>
          <w:lang w:eastAsia="zh-CN"/>
        </w:rPr>
      </w:pPr>
    </w:p>
    <w:p>
      <w:pPr>
        <w:pStyle w:val="2"/>
        <w:rPr>
          <w:b/>
          <w:sz w:val="36"/>
          <w:szCs w:val="36"/>
          <w:lang w:eastAsia="zh-CN"/>
        </w:rPr>
      </w:pPr>
    </w:p>
    <w:p>
      <w:pPr>
        <w:jc w:val="center"/>
        <w:rPr>
          <w:b/>
          <w:sz w:val="36"/>
          <w:szCs w:val="36"/>
          <w:lang w:eastAsia="zh-CN"/>
        </w:rPr>
      </w:pPr>
    </w:p>
    <w:p>
      <w:pPr>
        <w:pStyle w:val="2"/>
      </w:pPr>
    </w:p>
    <w:p>
      <w:pPr>
        <w:tabs>
          <w:tab w:val="center" w:pos="4923"/>
          <w:tab w:val="right" w:pos="9525"/>
        </w:tabs>
        <w:spacing w:line="276" w:lineRule="auto"/>
        <w:ind w:firstLine="220" w:firstLineChars="100"/>
        <w:rPr>
          <w:lang w:eastAsia="zh-CN"/>
        </w:rPr>
      </w:pPr>
      <w:r>
        <w:rPr>
          <w:rFonts w:hint="eastAsia"/>
          <w:lang w:eastAsia="zh-CN"/>
        </w:rPr>
        <w:t>附件1、</w:t>
      </w:r>
    </w:p>
    <w:p>
      <w:pPr>
        <w:spacing w:line="360" w:lineRule="auto"/>
        <w:jc w:val="center"/>
        <w:rPr>
          <w:rFonts w:hint="eastAsia"/>
          <w:sz w:val="36"/>
          <w:szCs w:val="36"/>
        </w:rPr>
      </w:pPr>
      <w:r>
        <w:rPr>
          <w:rFonts w:hint="eastAsia"/>
          <w:sz w:val="36"/>
          <w:szCs w:val="36"/>
        </w:rPr>
        <w:t>腾龙芳烃（漳州）有限公司</w:t>
      </w:r>
    </w:p>
    <w:p>
      <w:pPr>
        <w:spacing w:line="360" w:lineRule="auto"/>
        <w:jc w:val="center"/>
        <w:rPr>
          <w:rFonts w:hint="eastAsia"/>
          <w:sz w:val="36"/>
          <w:szCs w:val="36"/>
        </w:rPr>
      </w:pPr>
      <w:r>
        <w:rPr>
          <w:rFonts w:hint="eastAsia"/>
          <w:sz w:val="36"/>
          <w:szCs w:val="36"/>
        </w:rPr>
        <w:t>安全现状评价报告的采购说明</w:t>
      </w:r>
    </w:p>
    <w:p>
      <w:pPr>
        <w:spacing w:line="360" w:lineRule="auto"/>
        <w:ind w:firstLine="361" w:firstLineChars="150"/>
        <w:rPr>
          <w:rFonts w:hint="eastAsia" w:ascii="宋体" w:hAnsi="宋体"/>
          <w:b/>
          <w:color w:val="000000"/>
          <w:sz w:val="24"/>
        </w:rPr>
      </w:pPr>
      <w:r>
        <w:rPr>
          <w:rFonts w:hint="eastAsia" w:ascii="宋体" w:hAnsi="宋体"/>
          <w:b/>
          <w:sz w:val="24"/>
        </w:rPr>
        <w:t>1、</w:t>
      </w:r>
      <w:r>
        <w:rPr>
          <w:rFonts w:hint="eastAsia" w:ascii="宋体" w:hAnsi="宋体"/>
          <w:b/>
          <w:color w:val="000000"/>
          <w:sz w:val="24"/>
        </w:rPr>
        <w:t>项目基本情况：</w:t>
      </w:r>
    </w:p>
    <w:p>
      <w:pPr>
        <w:spacing w:line="360" w:lineRule="auto"/>
        <w:ind w:left="420"/>
        <w:jc w:val="left"/>
        <w:rPr>
          <w:rFonts w:hint="eastAsia" w:ascii="宋体" w:hAnsi="宋体"/>
          <w:color w:val="000000"/>
          <w:sz w:val="24"/>
        </w:rPr>
      </w:pPr>
      <w:r>
        <w:rPr>
          <w:rFonts w:hint="eastAsia" w:ascii="宋体" w:hAnsi="宋体"/>
          <w:color w:val="000000"/>
          <w:sz w:val="24"/>
        </w:rPr>
        <w:t>1.1项目名称：</w:t>
      </w:r>
    </w:p>
    <w:p>
      <w:pPr>
        <w:spacing w:line="360" w:lineRule="auto"/>
        <w:ind w:left="440" w:leftChars="200" w:firstLine="480" w:firstLineChars="200"/>
        <w:jc w:val="left"/>
        <w:rPr>
          <w:rFonts w:hint="eastAsia" w:ascii="宋体" w:hAnsi="宋体"/>
          <w:color w:val="000000"/>
          <w:sz w:val="24"/>
        </w:rPr>
      </w:pPr>
      <w:r>
        <w:rPr>
          <w:rFonts w:hint="eastAsia" w:ascii="宋体" w:hAnsi="宋体"/>
          <w:color w:val="000000"/>
          <w:sz w:val="24"/>
        </w:rPr>
        <w:t>腾龙芳烃（漳州）有限公司安全现状评价。</w:t>
      </w:r>
    </w:p>
    <w:p>
      <w:pPr>
        <w:spacing w:line="360" w:lineRule="auto"/>
        <w:ind w:firstLine="470" w:firstLineChars="196"/>
        <w:jc w:val="left"/>
        <w:rPr>
          <w:rFonts w:hint="eastAsia" w:ascii="宋体" w:hAnsi="宋体"/>
          <w:color w:val="000000"/>
          <w:sz w:val="24"/>
        </w:rPr>
      </w:pPr>
      <w:r>
        <w:rPr>
          <w:rFonts w:hint="eastAsia" w:ascii="宋体" w:hAnsi="宋体"/>
          <w:color w:val="000000"/>
          <w:sz w:val="24"/>
        </w:rPr>
        <w:t>1.2基本概况：</w:t>
      </w:r>
    </w:p>
    <w:p>
      <w:pPr>
        <w:spacing w:line="360" w:lineRule="auto"/>
        <w:ind w:left="440" w:leftChars="200" w:firstLine="480" w:firstLineChars="200"/>
        <w:rPr>
          <w:rFonts w:hint="eastAsia" w:ascii="宋体" w:hAnsi="宋体"/>
          <w:color w:val="000000"/>
          <w:sz w:val="24"/>
        </w:rPr>
      </w:pPr>
      <w:r>
        <w:rPr>
          <w:rFonts w:hint="eastAsia" w:ascii="宋体" w:hAnsi="宋体"/>
          <w:color w:val="000000"/>
          <w:sz w:val="24"/>
        </w:rPr>
        <w:t>腾龙芳烃（漳州）有限公司建有18套工艺装置以及配套的储运设施、热电站、公用工程、辅助工程、厂外管廊，生产工艺涉及加氢、氧化2种重点监管的危险化工工艺。公司主要产品有：苯、对二甲苯、邻二甲苯、减压蜡油、减粘汽油、减粘柴油、VGO（柴油、蜡油混合物）、减粘渣油，副产品有轻石脑油、液化石油气、碳五、重芳烃、抽余油、液体硫磺、氢气、减粘裂解气等。</w:t>
      </w:r>
    </w:p>
    <w:p>
      <w:pPr>
        <w:spacing w:line="360" w:lineRule="auto"/>
        <w:ind w:left="440" w:leftChars="200" w:firstLine="480" w:firstLineChars="200"/>
        <w:rPr>
          <w:rFonts w:hint="eastAsia" w:ascii="宋体" w:hAnsi="宋体"/>
          <w:sz w:val="24"/>
        </w:rPr>
      </w:pPr>
      <w:r>
        <w:rPr>
          <w:rFonts w:hint="eastAsia" w:ascii="宋体" w:hAnsi="宋体"/>
          <w:color w:val="000000"/>
          <w:sz w:val="24"/>
        </w:rPr>
        <w:t>2019年10月，由</w:t>
      </w:r>
      <w:r>
        <w:rPr>
          <w:rFonts w:hint="eastAsia" w:ascii="宋体" w:hAnsi="宋体"/>
          <w:sz w:val="24"/>
        </w:rPr>
        <w:t>世纪万安科技（北京）有限公司为我司编制第一阶段安全设施竣工验收评价报告并将报告备案至漳州市应急管理局。2021年3月，聘请世纪万安科技（北京）有限公司为我司完成第二阶段安全设施竣工验收评价报告并备案至漳州市应急管理局，标志着腾龙芳烃（漳州）有限公司对二甲苯（PX）项目安全设施竣工验收工作全面完成。根据《危险化学品安全管理条例》（国务院令第591号；2013年国务院第645号令修改），“第二十二</w:t>
      </w:r>
      <w:r>
        <w:rPr>
          <w:rFonts w:ascii="宋体" w:hAnsi="宋体"/>
          <w:sz w:val="24"/>
        </w:rPr>
        <w:t>条 生产、储存危险化学品的企业，应当委托具备国家规定的资质条件的机构，对本企业的安全生产条件每3年进行一次安全评价，提出安全评价报告</w:t>
      </w:r>
      <w:r>
        <w:rPr>
          <w:rFonts w:hint="eastAsia" w:ascii="宋体" w:hAnsi="宋体"/>
          <w:sz w:val="24"/>
        </w:rPr>
        <w:t>”的要求，申请开展公司安全现状评价工作。</w:t>
      </w:r>
    </w:p>
    <w:p>
      <w:pPr>
        <w:spacing w:line="360" w:lineRule="auto"/>
        <w:ind w:left="420"/>
        <w:rPr>
          <w:rFonts w:hint="eastAsia" w:ascii="宋体" w:hAnsi="宋体"/>
          <w:b/>
          <w:color w:val="000000"/>
          <w:sz w:val="24"/>
        </w:rPr>
      </w:pPr>
      <w:r>
        <w:rPr>
          <w:rFonts w:hint="eastAsia" w:ascii="宋体" w:hAnsi="宋体"/>
          <w:b/>
          <w:color w:val="000000"/>
          <w:sz w:val="24"/>
        </w:rPr>
        <w:t>2、项目需开展工作的采购要求</w:t>
      </w:r>
    </w:p>
    <w:p>
      <w:pPr>
        <w:spacing w:line="360" w:lineRule="auto"/>
        <w:ind w:firstLine="424" w:firstLineChars="177"/>
        <w:rPr>
          <w:rFonts w:hint="eastAsia" w:ascii="宋体" w:hAnsi="宋体"/>
          <w:color w:val="000000"/>
          <w:sz w:val="24"/>
        </w:rPr>
      </w:pPr>
      <w:r>
        <w:rPr>
          <w:rFonts w:hint="eastAsia" w:ascii="宋体" w:hAnsi="宋体"/>
          <w:color w:val="000000"/>
          <w:sz w:val="24"/>
        </w:rPr>
        <w:t>2.1资质、工作范围及进度等特殊要求：</w:t>
      </w:r>
    </w:p>
    <w:p>
      <w:pPr>
        <w:spacing w:line="360" w:lineRule="auto"/>
        <w:ind w:left="444" w:leftChars="202" w:firstLine="427"/>
        <w:rPr>
          <w:rFonts w:hint="eastAsia" w:ascii="宋体" w:hAnsi="宋体"/>
          <w:color w:val="000000"/>
          <w:sz w:val="24"/>
        </w:rPr>
      </w:pPr>
      <w:r>
        <w:rPr>
          <w:rFonts w:hint="eastAsia" w:ascii="宋体" w:hAnsi="宋体"/>
          <w:color w:val="000000"/>
          <w:sz w:val="24"/>
        </w:rPr>
        <w:t>2.1.1资质要求：受托方应满足</w:t>
      </w:r>
      <w:r>
        <w:rPr>
          <w:rFonts w:ascii="宋体" w:hAnsi="宋体"/>
          <w:color w:val="000000"/>
          <w:sz w:val="24"/>
        </w:rPr>
        <w:t>《安全评价检测检验机构管理办法》</w:t>
      </w:r>
      <w:r>
        <w:rPr>
          <w:rFonts w:hint="eastAsia" w:ascii="宋体" w:hAnsi="宋体"/>
          <w:color w:val="000000"/>
          <w:sz w:val="24"/>
        </w:rPr>
        <w:t>（2019安监总局第1号令）中，具备承担危险化学品生产和储存安全评价的资质要求，并提供企业营业执照、项目负责人身份证，法人委托书原件及复印件，且资质在有效期内。投标人须具有独立法人资格，不得以挂靠公司形式参与投标。</w:t>
      </w:r>
    </w:p>
    <w:p>
      <w:pPr>
        <w:spacing w:line="360" w:lineRule="auto"/>
        <w:ind w:left="444" w:leftChars="202" w:firstLine="427"/>
        <w:rPr>
          <w:rFonts w:hint="eastAsia" w:ascii="宋体" w:hAnsi="宋体"/>
          <w:color w:val="000000"/>
          <w:sz w:val="24"/>
        </w:rPr>
      </w:pPr>
      <w:r>
        <w:rPr>
          <w:rFonts w:hint="eastAsia" w:ascii="宋体" w:hAnsi="宋体"/>
          <w:color w:val="000000"/>
          <w:sz w:val="24"/>
        </w:rPr>
        <w:t>2.1.2 业绩要求：投标人在近3年（20</w:t>
      </w:r>
      <w:r>
        <w:rPr>
          <w:rFonts w:ascii="宋体" w:hAnsi="宋体"/>
          <w:color w:val="000000"/>
          <w:sz w:val="24"/>
        </w:rPr>
        <w:t>1</w:t>
      </w:r>
      <w:r>
        <w:rPr>
          <w:rFonts w:hint="eastAsia" w:ascii="宋体" w:hAnsi="宋体"/>
          <w:color w:val="000000"/>
          <w:sz w:val="24"/>
        </w:rPr>
        <w:t>9-20</w:t>
      </w:r>
      <w:r>
        <w:rPr>
          <w:rFonts w:ascii="宋体" w:hAnsi="宋体"/>
          <w:color w:val="000000"/>
          <w:sz w:val="24"/>
        </w:rPr>
        <w:t>21</w:t>
      </w:r>
      <w:r>
        <w:rPr>
          <w:rFonts w:hint="eastAsia" w:ascii="宋体" w:hAnsi="宋体"/>
          <w:color w:val="000000"/>
          <w:sz w:val="24"/>
        </w:rPr>
        <w:t>）主持完成3</w:t>
      </w:r>
      <w:r>
        <w:rPr>
          <w:rFonts w:ascii="宋体" w:hAnsi="宋体"/>
          <w:color w:val="000000"/>
          <w:sz w:val="24"/>
        </w:rPr>
        <w:t>个及以上</w:t>
      </w:r>
      <w:r>
        <w:rPr>
          <w:rFonts w:hint="eastAsia" w:ascii="宋体" w:hAnsi="宋体"/>
          <w:color w:val="000000"/>
          <w:sz w:val="24"/>
        </w:rPr>
        <w:t>石油化工项目（单个项目投资总额在5</w:t>
      </w:r>
      <w:r>
        <w:rPr>
          <w:rFonts w:ascii="宋体" w:hAnsi="宋体"/>
          <w:color w:val="000000"/>
          <w:sz w:val="24"/>
        </w:rPr>
        <w:t>0</w:t>
      </w:r>
      <w:r>
        <w:rPr>
          <w:rFonts w:hint="eastAsia" w:ascii="宋体" w:hAnsi="宋体"/>
          <w:color w:val="000000"/>
          <w:sz w:val="24"/>
        </w:rPr>
        <w:t>亿元以上）的安全</w:t>
      </w:r>
      <w:r>
        <w:rPr>
          <w:rFonts w:ascii="宋体" w:hAnsi="宋体"/>
          <w:color w:val="000000"/>
          <w:sz w:val="24"/>
        </w:rPr>
        <w:t>评价技术服务</w:t>
      </w:r>
      <w:r>
        <w:rPr>
          <w:rFonts w:hint="eastAsia" w:ascii="宋体" w:hAnsi="宋体"/>
          <w:color w:val="000000"/>
          <w:sz w:val="24"/>
        </w:rPr>
        <w:t>业绩，并获得主管部门批复（需提供业绩合同及主管部门批复）。</w:t>
      </w:r>
    </w:p>
    <w:p>
      <w:pPr>
        <w:spacing w:line="360" w:lineRule="auto"/>
        <w:ind w:left="444" w:leftChars="202" w:firstLine="427"/>
        <w:rPr>
          <w:rFonts w:hint="eastAsia" w:ascii="宋体" w:hAnsi="宋体"/>
          <w:color w:val="000000"/>
          <w:sz w:val="24"/>
        </w:rPr>
      </w:pPr>
      <w:r>
        <w:rPr>
          <w:rFonts w:hint="eastAsia" w:ascii="宋体" w:hAnsi="宋体"/>
          <w:color w:val="000000"/>
          <w:sz w:val="24"/>
        </w:rPr>
        <w:t>2.1.2工作范围：编制符合国家现行有关安全生产法律、法规和部门规章及标准规定的评价报告</w:t>
      </w:r>
      <w:r>
        <w:rPr>
          <w:rFonts w:hint="eastAsia" w:ascii="宋体" w:hAnsi="宋体"/>
          <w:b/>
          <w:color w:val="000000"/>
          <w:sz w:val="24"/>
        </w:rPr>
        <w:t>（含外部安全防护距离评价）</w:t>
      </w:r>
      <w:r>
        <w:rPr>
          <w:rFonts w:hint="eastAsia" w:ascii="宋体" w:hAnsi="宋体"/>
          <w:color w:val="000000"/>
          <w:sz w:val="24"/>
        </w:rPr>
        <w:t>，并满足地方政府主管部门的监管要求。</w:t>
      </w:r>
    </w:p>
    <w:p>
      <w:pPr>
        <w:spacing w:line="360" w:lineRule="auto"/>
        <w:ind w:left="444" w:leftChars="202" w:firstLine="427"/>
        <w:rPr>
          <w:rFonts w:hint="eastAsia" w:ascii="宋体" w:hAnsi="宋体"/>
          <w:color w:val="000000"/>
          <w:sz w:val="24"/>
        </w:rPr>
      </w:pPr>
      <w:r>
        <w:rPr>
          <w:rFonts w:hint="eastAsia" w:ascii="宋体" w:hAnsi="宋体"/>
          <w:color w:val="000000"/>
          <w:sz w:val="24"/>
        </w:rPr>
        <w:t>2.1.3进度要求：3个月。</w:t>
      </w:r>
    </w:p>
    <w:p>
      <w:pPr>
        <w:spacing w:line="360" w:lineRule="auto"/>
        <w:ind w:left="444" w:leftChars="202" w:firstLine="425"/>
        <w:rPr>
          <w:rFonts w:hint="eastAsia" w:ascii="宋体" w:hAnsi="宋体"/>
          <w:color w:val="000000"/>
          <w:sz w:val="24"/>
        </w:rPr>
      </w:pPr>
      <w:r>
        <w:rPr>
          <w:rFonts w:hint="eastAsia" w:ascii="宋体" w:hAnsi="宋体"/>
          <w:color w:val="000000"/>
          <w:sz w:val="24"/>
        </w:rPr>
        <w:t xml:space="preserve">2.1.4其他要求：无。 </w:t>
      </w:r>
    </w:p>
    <w:p>
      <w:pPr>
        <w:spacing w:line="360" w:lineRule="auto"/>
        <w:ind w:firstLine="424" w:firstLineChars="177"/>
        <w:rPr>
          <w:rFonts w:hint="eastAsia" w:ascii="宋体" w:hAnsi="宋体"/>
          <w:color w:val="000000"/>
          <w:sz w:val="24"/>
        </w:rPr>
      </w:pPr>
      <w:r>
        <w:rPr>
          <w:rFonts w:hint="eastAsia" w:ascii="宋体" w:hAnsi="宋体"/>
          <w:color w:val="000000"/>
          <w:sz w:val="24"/>
        </w:rPr>
        <w:t>2.2工作开展的要求：</w:t>
      </w:r>
    </w:p>
    <w:p>
      <w:pPr>
        <w:spacing w:line="360" w:lineRule="auto"/>
        <w:ind w:left="444" w:leftChars="202" w:firstLine="427"/>
        <w:rPr>
          <w:rFonts w:hint="eastAsia" w:ascii="宋体" w:hAnsi="宋体"/>
          <w:color w:val="000000"/>
          <w:sz w:val="24"/>
        </w:rPr>
      </w:pPr>
      <w:r>
        <w:rPr>
          <w:rFonts w:hint="eastAsia" w:ascii="宋体" w:hAnsi="宋体"/>
          <w:color w:val="000000"/>
          <w:sz w:val="24"/>
        </w:rPr>
        <w:t>2.2.1 乙方负责开展相应的工作，依要求编制相应的报告书, 引用资料及所叙述内容应真实可靠，所得结论应有理有据，论证充分，并以乙方名义出版(含盖章确认)，以便甲方开展与项目相关的各项工作。</w:t>
      </w:r>
    </w:p>
    <w:p>
      <w:pPr>
        <w:spacing w:line="360" w:lineRule="auto"/>
        <w:ind w:left="444" w:leftChars="202" w:firstLine="427"/>
        <w:rPr>
          <w:rFonts w:hint="eastAsia" w:ascii="宋体" w:hAnsi="宋体"/>
          <w:color w:val="000000"/>
          <w:sz w:val="24"/>
        </w:rPr>
      </w:pPr>
      <w:r>
        <w:rPr>
          <w:rFonts w:hint="eastAsia" w:ascii="宋体" w:hAnsi="宋体"/>
          <w:color w:val="000000"/>
          <w:sz w:val="24"/>
        </w:rPr>
        <w:t>2.2.2报告内容应遵守国家、地方相关法律法规、符合相关国家标准及行业实际情况。</w:t>
      </w:r>
    </w:p>
    <w:p>
      <w:pPr>
        <w:spacing w:line="360" w:lineRule="auto"/>
        <w:ind w:left="444" w:leftChars="202" w:firstLine="427"/>
        <w:rPr>
          <w:rFonts w:hint="eastAsia" w:ascii="宋体" w:hAnsi="宋体"/>
          <w:color w:val="000000"/>
          <w:sz w:val="24"/>
        </w:rPr>
      </w:pPr>
      <w:r>
        <w:rPr>
          <w:rFonts w:hint="eastAsia" w:ascii="宋体" w:hAnsi="宋体"/>
          <w:color w:val="000000"/>
          <w:sz w:val="24"/>
        </w:rPr>
        <w:t>2.2.3报告应做到语句通顺易懂、条理清晰、分析论证充分，排版美观、样式规范。</w:t>
      </w:r>
    </w:p>
    <w:p>
      <w:pPr>
        <w:spacing w:line="360" w:lineRule="auto"/>
        <w:ind w:left="444" w:leftChars="202" w:firstLine="427"/>
        <w:rPr>
          <w:rFonts w:hint="eastAsia" w:ascii="宋体" w:hAnsi="宋体"/>
          <w:color w:val="000000"/>
          <w:sz w:val="24"/>
        </w:rPr>
      </w:pPr>
      <w:r>
        <w:rPr>
          <w:rFonts w:hint="eastAsia" w:ascii="宋体" w:hAnsi="宋体"/>
          <w:color w:val="000000"/>
          <w:sz w:val="24"/>
        </w:rPr>
        <w:t>2.2.4报告编制的内容应经甲方审核、确认，并接受甲方对相关内容的调整。</w:t>
      </w:r>
    </w:p>
    <w:p>
      <w:pPr>
        <w:spacing w:line="360" w:lineRule="auto"/>
        <w:ind w:left="444" w:leftChars="202" w:firstLine="427"/>
        <w:rPr>
          <w:rFonts w:hint="eastAsia" w:ascii="宋体" w:hAnsi="宋体"/>
          <w:color w:val="000000"/>
          <w:sz w:val="24"/>
        </w:rPr>
      </w:pPr>
      <w:r>
        <w:rPr>
          <w:rFonts w:hint="eastAsia" w:ascii="宋体" w:hAnsi="宋体"/>
          <w:color w:val="000000"/>
          <w:sz w:val="24"/>
        </w:rPr>
        <w:t>2.2.5乙方负责组织召开专家评审会，评审涉及的</w:t>
      </w:r>
      <w:r>
        <w:rPr>
          <w:rFonts w:hint="eastAsia" w:ascii="宋体" w:hAnsi="宋体"/>
          <w:b/>
          <w:color w:val="000000"/>
          <w:sz w:val="24"/>
        </w:rPr>
        <w:t>所有费用由乙方负责</w:t>
      </w:r>
      <w:r>
        <w:rPr>
          <w:rFonts w:hint="eastAsia" w:ascii="宋体" w:hAnsi="宋体"/>
          <w:color w:val="000000"/>
          <w:sz w:val="24"/>
        </w:rPr>
        <w:t>。乙方负责报告评审时汇报和解释评审专家提出的问题，协助甲方完成送审工作。报告应满足政府主管部门对相应的报告的编制要求，并被受理；如政府主管部门对报告内容、名称、样式等提出修改要求，则乙方应无条件按要求进行修改。</w:t>
      </w:r>
    </w:p>
    <w:p>
      <w:pPr>
        <w:spacing w:line="360" w:lineRule="auto"/>
        <w:ind w:left="444" w:leftChars="202" w:firstLine="427"/>
        <w:rPr>
          <w:rFonts w:hint="eastAsia" w:ascii="宋体" w:hAnsi="宋体"/>
          <w:color w:val="000000"/>
          <w:sz w:val="24"/>
        </w:rPr>
      </w:pPr>
      <w:r>
        <w:rPr>
          <w:rFonts w:hint="eastAsia" w:ascii="宋体" w:hAnsi="宋体"/>
          <w:color w:val="000000"/>
          <w:sz w:val="24"/>
        </w:rPr>
        <w:t>2.2.6本项目工作成果的验收方法:通过专家评审及政府相关监管部门认可，并由甲方审查确认。</w:t>
      </w:r>
    </w:p>
    <w:p>
      <w:pPr>
        <w:spacing w:line="360" w:lineRule="auto"/>
        <w:ind w:left="444" w:leftChars="202" w:firstLine="427"/>
        <w:rPr>
          <w:rFonts w:hint="eastAsia" w:ascii="宋体" w:hAnsi="宋体"/>
          <w:color w:val="000000"/>
          <w:sz w:val="24"/>
        </w:rPr>
      </w:pPr>
      <w:r>
        <w:rPr>
          <w:rFonts w:hint="eastAsia" w:ascii="宋体" w:hAnsi="宋体"/>
          <w:color w:val="000000"/>
          <w:sz w:val="24"/>
        </w:rPr>
        <w:t>2.2.7报告应按标准格式电脑打印，内容齐全，以简体中文叙述。装订成正式文本，除上报外，另加十份印刷文本、一份可编辑电子版和一份盖章扫描版的报告提交我司存档。</w:t>
      </w:r>
    </w:p>
    <w:p>
      <w:pPr>
        <w:spacing w:line="360" w:lineRule="auto"/>
        <w:ind w:left="444" w:leftChars="202" w:firstLine="427"/>
        <w:rPr>
          <w:rFonts w:hint="eastAsia" w:ascii="宋体" w:hAnsi="宋体"/>
          <w:color w:val="000000"/>
          <w:sz w:val="24"/>
        </w:rPr>
      </w:pPr>
      <w:r>
        <w:rPr>
          <w:rFonts w:hint="eastAsia" w:ascii="宋体" w:hAnsi="宋体"/>
          <w:color w:val="000000"/>
          <w:sz w:val="24"/>
        </w:rPr>
        <w:t>2.2.8乙方根据项目情况编制相应的技术服务协议提供给甲方审核。</w:t>
      </w:r>
    </w:p>
    <w:p>
      <w:pPr>
        <w:spacing w:line="360" w:lineRule="auto"/>
        <w:ind w:left="444" w:leftChars="202"/>
        <w:rPr>
          <w:rFonts w:ascii="宋体" w:hAnsi="宋体"/>
          <w:b/>
          <w:color w:val="000000"/>
          <w:sz w:val="24"/>
        </w:rPr>
      </w:pPr>
      <w:r>
        <w:rPr>
          <w:rFonts w:hint="eastAsia" w:ascii="宋体" w:hAnsi="宋体"/>
          <w:b/>
          <w:color w:val="000000"/>
          <w:sz w:val="24"/>
        </w:rPr>
        <w:t>3、投标报价</w:t>
      </w:r>
    </w:p>
    <w:p>
      <w:pPr>
        <w:spacing w:line="360" w:lineRule="auto"/>
        <w:ind w:left="444" w:leftChars="202"/>
        <w:rPr>
          <w:rFonts w:hint="eastAsia" w:ascii="宋体" w:hAnsi="宋体"/>
          <w:color w:val="000000"/>
          <w:sz w:val="24"/>
        </w:rPr>
      </w:pPr>
      <w:r>
        <w:rPr>
          <w:rFonts w:hint="eastAsia" w:ascii="宋体" w:hAnsi="宋体"/>
          <w:color w:val="000000"/>
          <w:sz w:val="24"/>
        </w:rPr>
        <w:t>报含税包干总价：</w:t>
      </w:r>
    </w:p>
    <w:p>
      <w:pPr>
        <w:spacing w:line="360" w:lineRule="auto"/>
        <w:ind w:firstLine="424" w:firstLineChars="177"/>
        <w:rPr>
          <w:rFonts w:hint="eastAsia" w:ascii="宋体" w:hAnsi="宋体"/>
          <w:color w:val="000000"/>
          <w:sz w:val="24"/>
        </w:rPr>
      </w:pPr>
      <w:r>
        <w:rPr>
          <w:rFonts w:hint="eastAsia" w:ascii="宋体" w:hAnsi="宋体"/>
          <w:color w:val="000000"/>
          <w:sz w:val="24"/>
        </w:rPr>
        <w:t>3.1 包括但不限于</w:t>
      </w:r>
      <w:r>
        <w:rPr>
          <w:rFonts w:ascii="宋体" w:hAnsi="宋体"/>
          <w:color w:val="000000"/>
          <w:sz w:val="24"/>
        </w:rPr>
        <w:t>项目</w:t>
      </w:r>
      <w:r>
        <w:rPr>
          <w:rFonts w:hint="eastAsia" w:ascii="宋体" w:hAnsi="宋体"/>
          <w:color w:val="000000"/>
          <w:sz w:val="24"/>
        </w:rPr>
        <w:t>评估</w:t>
      </w:r>
      <w:r>
        <w:rPr>
          <w:rFonts w:ascii="宋体" w:hAnsi="宋体"/>
          <w:color w:val="000000"/>
          <w:sz w:val="24"/>
        </w:rPr>
        <w:t>评价报告的编制所需费用</w:t>
      </w:r>
      <w:r>
        <w:rPr>
          <w:rFonts w:hint="eastAsia" w:ascii="宋体" w:hAnsi="宋体"/>
          <w:color w:val="000000"/>
          <w:sz w:val="24"/>
        </w:rPr>
        <w:t>，</w:t>
      </w:r>
      <w:r>
        <w:rPr>
          <w:rFonts w:ascii="宋体" w:hAnsi="宋体"/>
          <w:color w:val="000000"/>
          <w:sz w:val="24"/>
        </w:rPr>
        <w:t>为编制报告基础数据</w:t>
      </w:r>
      <w:r>
        <w:rPr>
          <w:rFonts w:hint="eastAsia" w:ascii="宋体" w:hAnsi="宋体"/>
          <w:color w:val="000000"/>
          <w:sz w:val="24"/>
        </w:rPr>
        <w:t>收集</w:t>
      </w:r>
      <w:r>
        <w:rPr>
          <w:rFonts w:ascii="宋体" w:hAnsi="宋体"/>
          <w:color w:val="000000"/>
          <w:sz w:val="24"/>
        </w:rPr>
        <w:t>所需费用</w:t>
      </w:r>
      <w:r>
        <w:rPr>
          <w:rFonts w:hint="eastAsia" w:ascii="宋体" w:hAnsi="宋体"/>
          <w:color w:val="000000"/>
          <w:sz w:val="24"/>
        </w:rPr>
        <w:t>等</w:t>
      </w:r>
      <w:r>
        <w:rPr>
          <w:rFonts w:ascii="宋体" w:hAnsi="宋体"/>
          <w:color w:val="000000"/>
          <w:sz w:val="24"/>
        </w:rPr>
        <w:t>。</w:t>
      </w:r>
    </w:p>
    <w:p>
      <w:pPr>
        <w:spacing w:line="360" w:lineRule="auto"/>
        <w:ind w:firstLine="424" w:firstLineChars="177"/>
        <w:rPr>
          <w:rFonts w:hint="eastAsia" w:ascii="宋体" w:hAnsi="宋体"/>
          <w:color w:val="000000"/>
          <w:sz w:val="24"/>
        </w:rPr>
      </w:pPr>
      <w:r>
        <w:rPr>
          <w:rFonts w:hint="eastAsia" w:ascii="宋体" w:hAnsi="宋体"/>
          <w:color w:val="000000"/>
          <w:sz w:val="24"/>
        </w:rPr>
        <w:t>3.2 专家内审会（如有）、专家评审会全部费用（专家费、会议费、餐费、交通费、住宿费等），直至取得危险化学品生产企业安全生产许可证延期换证的全部所需费用</w:t>
      </w:r>
      <w:r>
        <w:rPr>
          <w:rFonts w:ascii="宋体" w:hAnsi="宋体"/>
          <w:color w:val="000000"/>
          <w:sz w:val="24"/>
        </w:rPr>
        <w:t>。</w:t>
      </w:r>
    </w:p>
    <w:p>
      <w:pPr>
        <w:spacing w:line="360" w:lineRule="auto"/>
        <w:ind w:left="442" w:leftChars="201"/>
        <w:rPr>
          <w:rFonts w:hint="eastAsia" w:ascii="宋体" w:hAnsi="宋体"/>
          <w:b/>
          <w:color w:val="000000"/>
          <w:sz w:val="24"/>
        </w:rPr>
      </w:pPr>
      <w:r>
        <w:rPr>
          <w:rFonts w:hint="eastAsia" w:ascii="宋体" w:hAnsi="宋体"/>
          <w:b/>
          <w:color w:val="000000"/>
          <w:sz w:val="24"/>
        </w:rPr>
        <w:t>4、</w:t>
      </w:r>
      <w:r>
        <w:rPr>
          <w:rFonts w:ascii="宋体" w:hAnsi="宋体"/>
          <w:b/>
          <w:color w:val="000000"/>
          <w:sz w:val="24"/>
        </w:rPr>
        <w:t>评标方式</w:t>
      </w:r>
    </w:p>
    <w:p>
      <w:pPr>
        <w:spacing w:line="360" w:lineRule="auto"/>
        <w:ind w:firstLine="424" w:firstLineChars="177"/>
        <w:rPr>
          <w:rFonts w:hint="eastAsia" w:ascii="宋体" w:hAnsi="宋体" w:cs="宋体"/>
          <w:kern w:val="0"/>
          <w:sz w:val="24"/>
        </w:rPr>
      </w:pPr>
      <w:r>
        <w:rPr>
          <w:rFonts w:hint="eastAsia" w:ascii="宋体" w:hAnsi="宋体" w:cs="宋体"/>
          <w:kern w:val="0"/>
          <w:sz w:val="24"/>
        </w:rPr>
        <w:t>本案以商务评标的形式进行评标。</w:t>
      </w:r>
    </w:p>
    <w:p>
      <w:pPr>
        <w:spacing w:line="360" w:lineRule="auto"/>
        <w:ind w:left="442" w:leftChars="201"/>
        <w:rPr>
          <w:rFonts w:hint="eastAsia" w:ascii="宋体" w:hAnsi="宋体"/>
          <w:b/>
          <w:color w:val="000000"/>
          <w:sz w:val="24"/>
        </w:rPr>
      </w:pPr>
      <w:r>
        <w:rPr>
          <w:rFonts w:hint="eastAsia" w:ascii="宋体" w:hAnsi="宋体"/>
          <w:b/>
          <w:color w:val="000000"/>
          <w:sz w:val="24"/>
        </w:rPr>
        <w:t>5、资料归档及保密</w:t>
      </w:r>
    </w:p>
    <w:p>
      <w:pPr>
        <w:autoSpaceDE w:val="0"/>
        <w:autoSpaceDN w:val="0"/>
        <w:adjustRightInd w:val="0"/>
        <w:spacing w:line="360" w:lineRule="auto"/>
        <w:ind w:firstLine="480" w:firstLineChars="200"/>
        <w:jc w:val="left"/>
        <w:rPr>
          <w:rFonts w:ascii="宋体" w:hAnsi="宋体"/>
          <w:color w:val="000000"/>
          <w:sz w:val="24"/>
        </w:rPr>
      </w:pPr>
      <w:r>
        <w:rPr>
          <w:rFonts w:hint="eastAsia" w:ascii="宋体" w:hAnsi="宋体" w:cs="宋体"/>
          <w:kern w:val="0"/>
          <w:sz w:val="24"/>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spacing w:line="360" w:lineRule="auto"/>
        <w:jc w:val="center"/>
        <w:rPr>
          <w:rFonts w:hint="eastAsia"/>
          <w:sz w:val="36"/>
          <w:szCs w:val="36"/>
        </w:rPr>
      </w:pPr>
      <w:r>
        <w:rPr>
          <w:rFonts w:hint="eastAsia"/>
          <w:sz w:val="36"/>
          <w:szCs w:val="36"/>
        </w:rPr>
        <w:t>腾龙芳烃（漳州）有限公司</w:t>
      </w:r>
    </w:p>
    <w:p>
      <w:pPr>
        <w:spacing w:line="360" w:lineRule="auto"/>
        <w:jc w:val="center"/>
        <w:rPr>
          <w:rFonts w:hint="eastAsia"/>
          <w:sz w:val="36"/>
          <w:szCs w:val="36"/>
        </w:rPr>
      </w:pPr>
      <w:r>
        <w:rPr>
          <w:rFonts w:hint="eastAsia"/>
          <w:sz w:val="36"/>
          <w:szCs w:val="36"/>
        </w:rPr>
        <w:t>危险化学品重大危险源辨识评估报告的采购说明</w:t>
      </w:r>
    </w:p>
    <w:p>
      <w:pPr>
        <w:spacing w:line="360" w:lineRule="auto"/>
        <w:ind w:firstLine="361" w:firstLineChars="150"/>
        <w:rPr>
          <w:rFonts w:hint="eastAsia" w:ascii="宋体" w:hAnsi="宋体"/>
          <w:b/>
          <w:color w:val="000000"/>
          <w:sz w:val="24"/>
        </w:rPr>
      </w:pPr>
      <w:r>
        <w:rPr>
          <w:rFonts w:hint="eastAsia" w:ascii="宋体" w:hAnsi="宋体"/>
          <w:b/>
          <w:sz w:val="24"/>
        </w:rPr>
        <w:t>1、</w:t>
      </w:r>
      <w:r>
        <w:rPr>
          <w:rFonts w:hint="eastAsia" w:ascii="宋体" w:hAnsi="宋体"/>
          <w:b/>
          <w:color w:val="000000"/>
          <w:sz w:val="24"/>
        </w:rPr>
        <w:t>项目基本情况：</w:t>
      </w:r>
    </w:p>
    <w:p>
      <w:pPr>
        <w:spacing w:line="360" w:lineRule="auto"/>
        <w:ind w:left="420"/>
        <w:jc w:val="left"/>
        <w:rPr>
          <w:rFonts w:hint="eastAsia" w:ascii="宋体" w:hAnsi="宋体"/>
          <w:color w:val="000000"/>
          <w:sz w:val="24"/>
        </w:rPr>
      </w:pPr>
      <w:r>
        <w:rPr>
          <w:rFonts w:hint="eastAsia" w:ascii="宋体" w:hAnsi="宋体"/>
          <w:color w:val="000000"/>
          <w:sz w:val="24"/>
        </w:rPr>
        <w:t>1.1项目名称：</w:t>
      </w:r>
    </w:p>
    <w:p>
      <w:pPr>
        <w:spacing w:line="360" w:lineRule="auto"/>
        <w:ind w:left="440" w:leftChars="200" w:firstLine="480" w:firstLineChars="200"/>
        <w:jc w:val="left"/>
        <w:rPr>
          <w:rFonts w:hint="eastAsia" w:ascii="宋体" w:hAnsi="宋体"/>
          <w:color w:val="000000"/>
          <w:sz w:val="24"/>
        </w:rPr>
      </w:pPr>
      <w:r>
        <w:rPr>
          <w:rFonts w:hint="eastAsia" w:ascii="宋体" w:hAnsi="宋体"/>
          <w:color w:val="000000"/>
          <w:sz w:val="24"/>
        </w:rPr>
        <w:t>腾龙芳烃（漳州）有限公司危险化学品重大危险源辨识评估。</w:t>
      </w:r>
    </w:p>
    <w:p>
      <w:pPr>
        <w:spacing w:line="360" w:lineRule="auto"/>
        <w:ind w:firstLine="470" w:firstLineChars="196"/>
        <w:jc w:val="left"/>
        <w:rPr>
          <w:rFonts w:hint="eastAsia" w:ascii="宋体" w:hAnsi="宋体"/>
          <w:color w:val="000000"/>
          <w:sz w:val="24"/>
        </w:rPr>
      </w:pPr>
      <w:r>
        <w:rPr>
          <w:rFonts w:hint="eastAsia" w:ascii="宋体" w:hAnsi="宋体"/>
          <w:color w:val="000000"/>
          <w:sz w:val="24"/>
        </w:rPr>
        <w:t>1.2基本概况：</w:t>
      </w:r>
    </w:p>
    <w:p>
      <w:pPr>
        <w:spacing w:line="360" w:lineRule="auto"/>
        <w:ind w:left="440" w:leftChars="200" w:firstLine="480" w:firstLineChars="200"/>
        <w:rPr>
          <w:rFonts w:hint="eastAsia" w:ascii="宋体" w:hAnsi="宋体"/>
          <w:color w:val="000000"/>
          <w:sz w:val="24"/>
        </w:rPr>
      </w:pPr>
      <w:r>
        <w:rPr>
          <w:rFonts w:hint="eastAsia" w:ascii="宋体" w:hAnsi="宋体"/>
          <w:color w:val="000000"/>
          <w:sz w:val="24"/>
        </w:rPr>
        <w:t>腾龙芳烃（漳州）有限公司建有18套工艺装置以及配套的储运设施、热电站、公用工程、辅助工程、厂外管廊，生产工艺涉及加氢、氧化2种重点监管的危险化工工艺。公司主要产品有：苯、对二甲苯、邻二甲苯、减压蜡油、减粘汽油、减粘柴油、VGO（柴油、蜡油混合物）、减粘渣油，副产品有轻石脑油、液化石油气、碳五、重芳烃、抽余油、液体硫磺、氢气、减粘裂解气等。</w:t>
      </w:r>
    </w:p>
    <w:p>
      <w:pPr>
        <w:spacing w:line="360" w:lineRule="auto"/>
        <w:ind w:left="440" w:leftChars="200" w:firstLine="480" w:firstLineChars="200"/>
        <w:rPr>
          <w:rFonts w:hint="eastAsia" w:ascii="宋体" w:hAnsi="宋体"/>
          <w:sz w:val="24"/>
        </w:rPr>
      </w:pPr>
      <w:r>
        <w:rPr>
          <w:rFonts w:hint="eastAsia" w:ascii="宋体" w:hAnsi="宋体"/>
          <w:color w:val="000000"/>
          <w:sz w:val="24"/>
        </w:rPr>
        <w:t>2019年6月，由</w:t>
      </w:r>
      <w:r>
        <w:rPr>
          <w:rFonts w:hint="eastAsia" w:ascii="宋体" w:hAnsi="宋体"/>
          <w:sz w:val="24"/>
        </w:rPr>
        <w:t>福州正先安全科技咨询服务有限公司对我司危险化学品重大危险源进行了辨识评估，2019年10月备案至古雷经济开发区应急管理局并取得备案回执。根据《危险化学品重大危险源监督管理暂行规定》（国家安监总局令第40号；安监总局令第79号修改）要求： “</w:t>
      </w:r>
      <w:r>
        <w:rPr>
          <w:rFonts w:ascii="宋体" w:hAnsi="宋体"/>
          <w:sz w:val="24"/>
        </w:rPr>
        <w:t>重大危险源安全评估已满三年的</w:t>
      </w:r>
      <w:r>
        <w:rPr>
          <w:rFonts w:hint="eastAsia" w:ascii="宋体" w:hAnsi="宋体"/>
          <w:sz w:val="24"/>
        </w:rPr>
        <w:t>，</w:t>
      </w:r>
      <w:r>
        <w:rPr>
          <w:rFonts w:ascii="宋体" w:hAnsi="宋体"/>
          <w:sz w:val="24"/>
        </w:rPr>
        <w:t>危险化学品单位应当对</w:t>
      </w:r>
      <w:r>
        <w:rPr>
          <w:rFonts w:ascii="宋体" w:hAnsi="宋体"/>
          <w:sz w:val="24"/>
        </w:rPr>
        <w:fldChar w:fldCharType="begin"/>
      </w:r>
      <w:r>
        <w:rPr>
          <w:rFonts w:ascii="宋体" w:hAnsi="宋体"/>
          <w:sz w:val="24"/>
        </w:rPr>
        <w:instrText xml:space="preserve"> HYPERLINK "https://baike.baidu.com/item/%E9%87%8D%E5%A4%A7%E5%8D%B1%E9%99%A9%E6%BA%90/10983922" \t "_blank" </w:instrText>
      </w:r>
      <w:r>
        <w:rPr>
          <w:rFonts w:ascii="宋体" w:hAnsi="宋体"/>
          <w:sz w:val="24"/>
        </w:rPr>
        <w:fldChar w:fldCharType="separate"/>
      </w:r>
      <w:r>
        <w:rPr>
          <w:rFonts w:ascii="宋体" w:hAnsi="宋体"/>
          <w:sz w:val="24"/>
        </w:rPr>
        <w:t>重大危险源</w:t>
      </w:r>
      <w:r>
        <w:rPr>
          <w:rFonts w:ascii="宋体" w:hAnsi="宋体"/>
          <w:sz w:val="24"/>
        </w:rPr>
        <w:fldChar w:fldCharType="end"/>
      </w:r>
      <w:r>
        <w:rPr>
          <w:rFonts w:ascii="宋体" w:hAnsi="宋体"/>
          <w:sz w:val="24"/>
        </w:rPr>
        <w:t>重新进行辨识、</w:t>
      </w:r>
      <w:r>
        <w:rPr>
          <w:rFonts w:ascii="宋体" w:hAnsi="宋体"/>
          <w:sz w:val="24"/>
        </w:rPr>
        <w:fldChar w:fldCharType="begin"/>
      </w:r>
      <w:r>
        <w:rPr>
          <w:rFonts w:ascii="宋体" w:hAnsi="宋体"/>
          <w:sz w:val="24"/>
        </w:rPr>
        <w:instrText xml:space="preserve"> HYPERLINK "https://baike.baidu.com/item/%E5%AE%89%E5%85%A8%E8%AF%84%E4%BC%B0/3971370" \t "_blank" </w:instrText>
      </w:r>
      <w:r>
        <w:rPr>
          <w:rFonts w:ascii="宋体" w:hAnsi="宋体"/>
          <w:sz w:val="24"/>
        </w:rPr>
        <w:fldChar w:fldCharType="separate"/>
      </w:r>
      <w:r>
        <w:rPr>
          <w:rFonts w:ascii="宋体" w:hAnsi="宋体"/>
          <w:sz w:val="24"/>
        </w:rPr>
        <w:t>安全评估</w:t>
      </w:r>
      <w:r>
        <w:rPr>
          <w:rFonts w:ascii="宋体" w:hAnsi="宋体"/>
          <w:sz w:val="24"/>
        </w:rPr>
        <w:fldChar w:fldCharType="end"/>
      </w:r>
      <w:r>
        <w:rPr>
          <w:rFonts w:ascii="宋体" w:hAnsi="宋体"/>
          <w:sz w:val="24"/>
        </w:rPr>
        <w:t>及分级</w:t>
      </w:r>
      <w:r>
        <w:rPr>
          <w:rFonts w:hint="eastAsia" w:ascii="宋体" w:hAnsi="宋体"/>
          <w:sz w:val="24"/>
        </w:rPr>
        <w:t>”，因此申请开展公司危险化学品重大危险源辨识评估工作。</w:t>
      </w:r>
    </w:p>
    <w:p>
      <w:pPr>
        <w:spacing w:line="360" w:lineRule="auto"/>
        <w:ind w:left="420"/>
        <w:rPr>
          <w:rFonts w:hint="eastAsia" w:ascii="宋体" w:hAnsi="宋体"/>
          <w:b/>
          <w:color w:val="000000"/>
          <w:sz w:val="24"/>
        </w:rPr>
      </w:pPr>
      <w:r>
        <w:rPr>
          <w:rFonts w:hint="eastAsia" w:ascii="宋体" w:hAnsi="宋体"/>
          <w:b/>
          <w:color w:val="000000"/>
          <w:sz w:val="24"/>
        </w:rPr>
        <w:t>2、项目需开展工作的采购要求</w:t>
      </w:r>
    </w:p>
    <w:p>
      <w:pPr>
        <w:spacing w:line="360" w:lineRule="auto"/>
        <w:ind w:firstLine="424" w:firstLineChars="177"/>
        <w:rPr>
          <w:rFonts w:hint="eastAsia" w:ascii="宋体" w:hAnsi="宋体"/>
          <w:color w:val="000000"/>
          <w:sz w:val="24"/>
        </w:rPr>
      </w:pPr>
      <w:r>
        <w:rPr>
          <w:rFonts w:hint="eastAsia" w:ascii="宋体" w:hAnsi="宋体"/>
          <w:color w:val="000000"/>
          <w:sz w:val="24"/>
        </w:rPr>
        <w:t>2.1资质、工作范围及进度等特殊要求：</w:t>
      </w:r>
    </w:p>
    <w:p>
      <w:pPr>
        <w:spacing w:line="360" w:lineRule="auto"/>
        <w:ind w:left="444" w:leftChars="202" w:firstLine="427"/>
        <w:rPr>
          <w:rFonts w:hint="eastAsia" w:ascii="宋体" w:hAnsi="宋体"/>
          <w:color w:val="000000"/>
          <w:sz w:val="24"/>
        </w:rPr>
      </w:pPr>
      <w:r>
        <w:rPr>
          <w:rFonts w:hint="eastAsia" w:ascii="宋体" w:hAnsi="宋体"/>
          <w:color w:val="000000"/>
          <w:sz w:val="24"/>
        </w:rPr>
        <w:t>2.1.1资质要求：受托方应满足</w:t>
      </w:r>
      <w:r>
        <w:rPr>
          <w:rFonts w:ascii="宋体" w:hAnsi="宋体"/>
          <w:color w:val="000000"/>
          <w:sz w:val="24"/>
        </w:rPr>
        <w:t>《安全评价检测检验机构管理办法》</w:t>
      </w:r>
      <w:r>
        <w:rPr>
          <w:rFonts w:hint="eastAsia" w:ascii="宋体" w:hAnsi="宋体"/>
          <w:color w:val="000000"/>
          <w:sz w:val="24"/>
        </w:rPr>
        <w:t>（2019安监总局第1号令）中，具备承担危险化学品生产和储存安全评价的资质要求，并提供企业营业执照、项目负责人身份证，法人委托书原件及复印件，且资质在有效期内。投标人须具有独立法人资格，不得以挂靠公司形式参与投标。</w:t>
      </w:r>
    </w:p>
    <w:p>
      <w:pPr>
        <w:spacing w:line="360" w:lineRule="auto"/>
        <w:ind w:left="444" w:leftChars="202" w:firstLine="427"/>
        <w:rPr>
          <w:rFonts w:hint="eastAsia" w:ascii="宋体" w:hAnsi="宋体"/>
          <w:color w:val="000000"/>
          <w:sz w:val="24"/>
        </w:rPr>
      </w:pPr>
      <w:r>
        <w:rPr>
          <w:rFonts w:hint="eastAsia" w:ascii="宋体" w:hAnsi="宋体"/>
          <w:color w:val="000000"/>
          <w:sz w:val="24"/>
        </w:rPr>
        <w:t>2.1.2 业绩要求：投标人在近3年（20</w:t>
      </w:r>
      <w:r>
        <w:rPr>
          <w:rFonts w:ascii="宋体" w:hAnsi="宋体"/>
          <w:color w:val="000000"/>
          <w:sz w:val="24"/>
        </w:rPr>
        <w:t>1</w:t>
      </w:r>
      <w:r>
        <w:rPr>
          <w:rFonts w:hint="eastAsia" w:ascii="宋体" w:hAnsi="宋体"/>
          <w:color w:val="000000"/>
          <w:sz w:val="24"/>
        </w:rPr>
        <w:t>9-20</w:t>
      </w:r>
      <w:r>
        <w:rPr>
          <w:rFonts w:ascii="宋体" w:hAnsi="宋体"/>
          <w:color w:val="000000"/>
          <w:sz w:val="24"/>
        </w:rPr>
        <w:t>21</w:t>
      </w:r>
      <w:r>
        <w:rPr>
          <w:rFonts w:hint="eastAsia" w:ascii="宋体" w:hAnsi="宋体"/>
          <w:color w:val="000000"/>
          <w:sz w:val="24"/>
        </w:rPr>
        <w:t>）主持完成3</w:t>
      </w:r>
      <w:r>
        <w:rPr>
          <w:rFonts w:ascii="宋体" w:hAnsi="宋体"/>
          <w:color w:val="000000"/>
          <w:sz w:val="24"/>
        </w:rPr>
        <w:t>个及以上</w:t>
      </w:r>
      <w:r>
        <w:rPr>
          <w:rFonts w:hint="eastAsia" w:ascii="宋体" w:hAnsi="宋体"/>
          <w:color w:val="000000"/>
          <w:sz w:val="24"/>
        </w:rPr>
        <w:t>石油化工项目（单个项目投资总额在5</w:t>
      </w:r>
      <w:r>
        <w:rPr>
          <w:rFonts w:ascii="宋体" w:hAnsi="宋体"/>
          <w:color w:val="000000"/>
          <w:sz w:val="24"/>
        </w:rPr>
        <w:t>0</w:t>
      </w:r>
      <w:r>
        <w:rPr>
          <w:rFonts w:hint="eastAsia" w:ascii="宋体" w:hAnsi="宋体"/>
          <w:color w:val="000000"/>
          <w:sz w:val="24"/>
        </w:rPr>
        <w:t>亿元以上）的安全</w:t>
      </w:r>
      <w:r>
        <w:rPr>
          <w:rFonts w:ascii="宋体" w:hAnsi="宋体"/>
          <w:color w:val="000000"/>
          <w:sz w:val="24"/>
        </w:rPr>
        <w:t>评价技术服务</w:t>
      </w:r>
      <w:r>
        <w:rPr>
          <w:rFonts w:hint="eastAsia" w:ascii="宋体" w:hAnsi="宋体"/>
          <w:color w:val="000000"/>
          <w:sz w:val="24"/>
        </w:rPr>
        <w:t>业绩，并获得主管部门批复（需提供业绩合同及主管部门批复）。</w:t>
      </w:r>
    </w:p>
    <w:p>
      <w:pPr>
        <w:spacing w:line="360" w:lineRule="auto"/>
        <w:ind w:left="444" w:leftChars="202" w:firstLine="427"/>
        <w:rPr>
          <w:rFonts w:hint="eastAsia" w:ascii="宋体" w:hAnsi="宋体"/>
          <w:color w:val="000000"/>
          <w:sz w:val="24"/>
        </w:rPr>
      </w:pPr>
      <w:r>
        <w:rPr>
          <w:rFonts w:hint="eastAsia" w:ascii="宋体" w:hAnsi="宋体"/>
          <w:color w:val="000000"/>
          <w:sz w:val="24"/>
        </w:rPr>
        <w:t>2.1.3工作范围：编制符合《危险化学品重大危险源辨识》（GB18218-2018）标准要求的危险化学品重大危险源辨识评估报告，并满足地方政府主管部门的监管要求。</w:t>
      </w:r>
    </w:p>
    <w:p>
      <w:pPr>
        <w:spacing w:line="360" w:lineRule="auto"/>
        <w:ind w:left="444" w:leftChars="202" w:firstLine="427"/>
        <w:rPr>
          <w:rFonts w:hint="eastAsia" w:ascii="宋体" w:hAnsi="宋体"/>
          <w:color w:val="000000"/>
          <w:sz w:val="24"/>
        </w:rPr>
      </w:pPr>
      <w:r>
        <w:rPr>
          <w:rFonts w:hint="eastAsia" w:ascii="宋体" w:hAnsi="宋体"/>
          <w:color w:val="000000"/>
          <w:sz w:val="24"/>
        </w:rPr>
        <w:t>2.1.4进度要求：3个月。</w:t>
      </w:r>
    </w:p>
    <w:p>
      <w:pPr>
        <w:spacing w:line="360" w:lineRule="auto"/>
        <w:ind w:left="444" w:leftChars="202" w:firstLine="425"/>
        <w:rPr>
          <w:rFonts w:hint="eastAsia" w:ascii="宋体" w:hAnsi="宋体"/>
          <w:color w:val="000000"/>
          <w:sz w:val="24"/>
        </w:rPr>
      </w:pPr>
      <w:r>
        <w:rPr>
          <w:rFonts w:hint="eastAsia" w:ascii="宋体" w:hAnsi="宋体"/>
          <w:color w:val="000000"/>
          <w:sz w:val="24"/>
        </w:rPr>
        <w:t xml:space="preserve">2.1.5其他要求：无。 </w:t>
      </w:r>
    </w:p>
    <w:p>
      <w:pPr>
        <w:spacing w:line="360" w:lineRule="auto"/>
        <w:ind w:firstLine="424" w:firstLineChars="177"/>
        <w:rPr>
          <w:rFonts w:hint="eastAsia" w:ascii="宋体" w:hAnsi="宋体"/>
          <w:color w:val="000000"/>
          <w:sz w:val="24"/>
        </w:rPr>
      </w:pPr>
      <w:r>
        <w:rPr>
          <w:rFonts w:hint="eastAsia" w:ascii="宋体" w:hAnsi="宋体"/>
          <w:color w:val="000000"/>
          <w:sz w:val="24"/>
        </w:rPr>
        <w:t>2.2工作开展的要求：</w:t>
      </w:r>
    </w:p>
    <w:p>
      <w:pPr>
        <w:spacing w:line="360" w:lineRule="auto"/>
        <w:ind w:left="444" w:leftChars="202" w:firstLine="427"/>
        <w:rPr>
          <w:rFonts w:hint="eastAsia" w:ascii="宋体" w:hAnsi="宋体"/>
          <w:color w:val="000000"/>
          <w:sz w:val="24"/>
        </w:rPr>
      </w:pPr>
      <w:r>
        <w:rPr>
          <w:rFonts w:hint="eastAsia" w:ascii="宋体" w:hAnsi="宋体"/>
          <w:color w:val="000000"/>
          <w:sz w:val="24"/>
        </w:rPr>
        <w:t>2.2.1 乙方负责开展相应的工作，依要求编制相应的报告书, 引用资料及所叙述内容应真实可靠，所得结论应有理有据，论证充分，并以乙方名义出版(含盖章确认)，以便甲方开展与项目相关的各项工作。</w:t>
      </w:r>
    </w:p>
    <w:p>
      <w:pPr>
        <w:spacing w:line="360" w:lineRule="auto"/>
        <w:ind w:left="444" w:leftChars="202" w:firstLine="427"/>
        <w:rPr>
          <w:rFonts w:hint="eastAsia" w:ascii="宋体" w:hAnsi="宋体"/>
          <w:color w:val="000000"/>
          <w:sz w:val="24"/>
        </w:rPr>
      </w:pPr>
      <w:r>
        <w:rPr>
          <w:rFonts w:hint="eastAsia" w:ascii="宋体" w:hAnsi="宋体"/>
          <w:color w:val="000000"/>
          <w:sz w:val="24"/>
        </w:rPr>
        <w:t>2.2.2报告内容应遵守国家、地方相关法律法规、符合相关国家标准及行业实际情况。</w:t>
      </w:r>
    </w:p>
    <w:p>
      <w:pPr>
        <w:spacing w:line="360" w:lineRule="auto"/>
        <w:ind w:left="444" w:leftChars="202" w:firstLine="427"/>
        <w:rPr>
          <w:rFonts w:hint="eastAsia" w:ascii="宋体" w:hAnsi="宋体"/>
          <w:color w:val="000000"/>
          <w:sz w:val="24"/>
        </w:rPr>
      </w:pPr>
      <w:r>
        <w:rPr>
          <w:rFonts w:hint="eastAsia" w:ascii="宋体" w:hAnsi="宋体"/>
          <w:color w:val="000000"/>
          <w:sz w:val="24"/>
        </w:rPr>
        <w:t>2.2.3报告应做到语句通顺易懂、条理清晰、分析论证充分，排版美观、样式规范。</w:t>
      </w:r>
    </w:p>
    <w:p>
      <w:pPr>
        <w:spacing w:line="360" w:lineRule="auto"/>
        <w:ind w:left="444" w:leftChars="202" w:firstLine="427"/>
        <w:rPr>
          <w:rFonts w:hint="eastAsia" w:ascii="宋体" w:hAnsi="宋体"/>
          <w:color w:val="000000"/>
          <w:sz w:val="24"/>
        </w:rPr>
      </w:pPr>
      <w:r>
        <w:rPr>
          <w:rFonts w:hint="eastAsia" w:ascii="宋体" w:hAnsi="宋体"/>
          <w:color w:val="000000"/>
          <w:sz w:val="24"/>
        </w:rPr>
        <w:t>2.2.4报告编制的内容应经甲方审核、确认，并接受甲方对相关内容的调整。</w:t>
      </w:r>
    </w:p>
    <w:p>
      <w:pPr>
        <w:spacing w:line="360" w:lineRule="auto"/>
        <w:ind w:left="444" w:leftChars="202" w:firstLine="427"/>
        <w:rPr>
          <w:rFonts w:hint="eastAsia" w:ascii="宋体" w:hAnsi="宋体"/>
          <w:color w:val="000000"/>
          <w:sz w:val="24"/>
        </w:rPr>
      </w:pPr>
      <w:r>
        <w:rPr>
          <w:rFonts w:hint="eastAsia" w:ascii="宋体" w:hAnsi="宋体"/>
          <w:color w:val="000000"/>
          <w:sz w:val="24"/>
        </w:rPr>
        <w:t>2.2.5乙方负责组织召开专家评审会，评审涉及的</w:t>
      </w:r>
      <w:r>
        <w:rPr>
          <w:rFonts w:hint="eastAsia" w:ascii="宋体" w:hAnsi="宋体"/>
          <w:b/>
          <w:color w:val="000000"/>
          <w:sz w:val="24"/>
        </w:rPr>
        <w:t>所有费用由乙方负责</w:t>
      </w:r>
      <w:r>
        <w:rPr>
          <w:rFonts w:hint="eastAsia" w:ascii="宋体" w:hAnsi="宋体"/>
          <w:color w:val="000000"/>
          <w:sz w:val="24"/>
        </w:rPr>
        <w:t>。乙方负责报告评审时汇报和解释评审专家提出的问题，协助甲方完成送审工作。报告应满足政府主管部门对相应的报告的编制要求，并被受理；如政府主管部门对报告内容、名称、样式等提出修改要求，则乙方应无条件按要求进行修改。</w:t>
      </w:r>
    </w:p>
    <w:p>
      <w:pPr>
        <w:spacing w:line="360" w:lineRule="auto"/>
        <w:ind w:left="444" w:leftChars="202" w:firstLine="427"/>
        <w:rPr>
          <w:rFonts w:hint="eastAsia" w:ascii="宋体" w:hAnsi="宋体"/>
          <w:color w:val="000000"/>
          <w:sz w:val="24"/>
        </w:rPr>
      </w:pPr>
      <w:r>
        <w:rPr>
          <w:rFonts w:hint="eastAsia" w:ascii="宋体" w:hAnsi="宋体"/>
          <w:color w:val="000000"/>
          <w:sz w:val="24"/>
        </w:rPr>
        <w:t>2.2.6本项目工作成果的验收方法:通过专家评审及政府相关监管部门认可，并由甲方审查确认。</w:t>
      </w:r>
    </w:p>
    <w:p>
      <w:pPr>
        <w:spacing w:line="360" w:lineRule="auto"/>
        <w:ind w:left="444" w:leftChars="202" w:firstLine="427"/>
        <w:rPr>
          <w:rFonts w:hint="eastAsia" w:ascii="宋体" w:hAnsi="宋体"/>
          <w:color w:val="000000"/>
          <w:sz w:val="24"/>
        </w:rPr>
      </w:pPr>
      <w:r>
        <w:rPr>
          <w:rFonts w:hint="eastAsia" w:ascii="宋体" w:hAnsi="宋体"/>
          <w:color w:val="000000"/>
          <w:sz w:val="24"/>
        </w:rPr>
        <w:t>2.2.7报告应按标准格式电脑打印，内容齐全，以简体中文叙述。装订成正式文本，除上报外，另加十份印刷文本、一份可编辑电子版和一份盖章扫描版的报告提交我司存档。</w:t>
      </w:r>
    </w:p>
    <w:p>
      <w:pPr>
        <w:spacing w:line="360" w:lineRule="auto"/>
        <w:ind w:left="444" w:leftChars="202" w:firstLine="427"/>
        <w:rPr>
          <w:rFonts w:hint="eastAsia" w:ascii="宋体" w:hAnsi="宋体"/>
          <w:color w:val="000000"/>
          <w:sz w:val="24"/>
        </w:rPr>
      </w:pPr>
      <w:r>
        <w:rPr>
          <w:rFonts w:hint="eastAsia" w:ascii="宋体" w:hAnsi="宋体"/>
          <w:color w:val="000000"/>
          <w:sz w:val="24"/>
        </w:rPr>
        <w:t>2.2.8乙方根据项目情况编制相应的技术服务协议提供给甲方审核。</w:t>
      </w:r>
    </w:p>
    <w:p>
      <w:pPr>
        <w:spacing w:line="360" w:lineRule="auto"/>
        <w:ind w:left="444" w:leftChars="202"/>
        <w:rPr>
          <w:rFonts w:ascii="宋体" w:hAnsi="宋体"/>
          <w:b/>
          <w:color w:val="000000"/>
          <w:sz w:val="24"/>
        </w:rPr>
      </w:pPr>
      <w:r>
        <w:rPr>
          <w:rFonts w:hint="eastAsia" w:ascii="宋体" w:hAnsi="宋体"/>
          <w:b/>
          <w:color w:val="000000"/>
          <w:sz w:val="24"/>
        </w:rPr>
        <w:t>3、投标报价</w:t>
      </w:r>
    </w:p>
    <w:p>
      <w:pPr>
        <w:spacing w:line="360" w:lineRule="auto"/>
        <w:ind w:left="444" w:leftChars="202"/>
        <w:rPr>
          <w:rFonts w:hint="eastAsia" w:ascii="宋体" w:hAnsi="宋体"/>
          <w:color w:val="000000"/>
          <w:sz w:val="24"/>
        </w:rPr>
      </w:pPr>
      <w:r>
        <w:rPr>
          <w:rFonts w:hint="eastAsia" w:ascii="宋体" w:hAnsi="宋体"/>
          <w:color w:val="000000"/>
          <w:sz w:val="24"/>
        </w:rPr>
        <w:t>报含税包干总价：</w:t>
      </w:r>
    </w:p>
    <w:p>
      <w:pPr>
        <w:spacing w:line="360" w:lineRule="auto"/>
        <w:ind w:firstLine="424" w:firstLineChars="177"/>
        <w:rPr>
          <w:rFonts w:hint="eastAsia" w:ascii="宋体" w:hAnsi="宋体"/>
          <w:color w:val="000000"/>
          <w:sz w:val="24"/>
        </w:rPr>
      </w:pPr>
      <w:r>
        <w:rPr>
          <w:rFonts w:hint="eastAsia" w:ascii="宋体" w:hAnsi="宋体"/>
          <w:color w:val="000000"/>
          <w:sz w:val="24"/>
        </w:rPr>
        <w:t>3.1 包括但不限于</w:t>
      </w:r>
      <w:r>
        <w:rPr>
          <w:rFonts w:ascii="宋体" w:hAnsi="宋体"/>
          <w:color w:val="000000"/>
          <w:sz w:val="24"/>
        </w:rPr>
        <w:t>项目</w:t>
      </w:r>
      <w:r>
        <w:rPr>
          <w:rFonts w:hint="eastAsia" w:ascii="宋体" w:hAnsi="宋体"/>
          <w:color w:val="000000"/>
          <w:sz w:val="24"/>
        </w:rPr>
        <w:t>评估</w:t>
      </w:r>
      <w:r>
        <w:rPr>
          <w:rFonts w:ascii="宋体" w:hAnsi="宋体"/>
          <w:color w:val="000000"/>
          <w:sz w:val="24"/>
        </w:rPr>
        <w:t>评价报告的编制所需费用</w:t>
      </w:r>
      <w:r>
        <w:rPr>
          <w:rFonts w:hint="eastAsia" w:ascii="宋体" w:hAnsi="宋体"/>
          <w:color w:val="000000"/>
          <w:sz w:val="24"/>
        </w:rPr>
        <w:t>，</w:t>
      </w:r>
      <w:r>
        <w:rPr>
          <w:rFonts w:ascii="宋体" w:hAnsi="宋体"/>
          <w:color w:val="000000"/>
          <w:sz w:val="24"/>
        </w:rPr>
        <w:t>为编制报告基础数据</w:t>
      </w:r>
      <w:r>
        <w:rPr>
          <w:rFonts w:hint="eastAsia" w:ascii="宋体" w:hAnsi="宋体"/>
          <w:color w:val="000000"/>
          <w:sz w:val="24"/>
        </w:rPr>
        <w:t>收集</w:t>
      </w:r>
      <w:r>
        <w:rPr>
          <w:rFonts w:ascii="宋体" w:hAnsi="宋体"/>
          <w:color w:val="000000"/>
          <w:sz w:val="24"/>
        </w:rPr>
        <w:t>所需费用</w:t>
      </w:r>
      <w:r>
        <w:rPr>
          <w:rFonts w:hint="eastAsia" w:ascii="宋体" w:hAnsi="宋体"/>
          <w:color w:val="000000"/>
          <w:sz w:val="24"/>
        </w:rPr>
        <w:t>等</w:t>
      </w:r>
      <w:r>
        <w:rPr>
          <w:rFonts w:ascii="宋体" w:hAnsi="宋体"/>
          <w:color w:val="000000"/>
          <w:sz w:val="24"/>
        </w:rPr>
        <w:t>。</w:t>
      </w:r>
    </w:p>
    <w:p>
      <w:pPr>
        <w:spacing w:line="360" w:lineRule="auto"/>
        <w:ind w:firstLine="424" w:firstLineChars="177"/>
        <w:rPr>
          <w:rFonts w:hint="eastAsia" w:ascii="宋体" w:hAnsi="宋体"/>
          <w:color w:val="000000"/>
          <w:sz w:val="24"/>
        </w:rPr>
      </w:pPr>
      <w:r>
        <w:rPr>
          <w:rFonts w:hint="eastAsia" w:ascii="宋体" w:hAnsi="宋体"/>
          <w:color w:val="000000"/>
          <w:sz w:val="24"/>
        </w:rPr>
        <w:t>3.2 专家内审会（如有）、专家评审会全部费用（专家费、会议费、餐费、交通费、住宿费等），直至取得政府主管部门备案回执的全部所需费用</w:t>
      </w:r>
      <w:r>
        <w:rPr>
          <w:rFonts w:ascii="宋体" w:hAnsi="宋体"/>
          <w:color w:val="000000"/>
          <w:sz w:val="24"/>
        </w:rPr>
        <w:t>。</w:t>
      </w:r>
    </w:p>
    <w:p>
      <w:pPr>
        <w:spacing w:line="360" w:lineRule="auto"/>
        <w:ind w:left="442" w:leftChars="201"/>
        <w:rPr>
          <w:rFonts w:hint="eastAsia" w:ascii="宋体" w:hAnsi="宋体"/>
          <w:b/>
          <w:color w:val="000000"/>
          <w:sz w:val="24"/>
        </w:rPr>
      </w:pPr>
      <w:r>
        <w:rPr>
          <w:rFonts w:hint="eastAsia" w:ascii="宋体" w:hAnsi="宋体"/>
          <w:b/>
          <w:color w:val="000000"/>
          <w:sz w:val="24"/>
        </w:rPr>
        <w:t>4、</w:t>
      </w:r>
      <w:r>
        <w:rPr>
          <w:rFonts w:ascii="宋体" w:hAnsi="宋体"/>
          <w:b/>
          <w:color w:val="000000"/>
          <w:sz w:val="24"/>
        </w:rPr>
        <w:t>评标方式</w:t>
      </w:r>
    </w:p>
    <w:p>
      <w:pPr>
        <w:spacing w:line="360" w:lineRule="auto"/>
        <w:ind w:firstLine="424" w:firstLineChars="177"/>
        <w:rPr>
          <w:rFonts w:hint="eastAsia" w:ascii="宋体" w:hAnsi="宋体" w:cs="宋体"/>
          <w:kern w:val="0"/>
          <w:sz w:val="24"/>
        </w:rPr>
      </w:pPr>
      <w:r>
        <w:rPr>
          <w:rFonts w:hint="eastAsia" w:ascii="宋体" w:hAnsi="宋体" w:cs="宋体"/>
          <w:kern w:val="0"/>
          <w:sz w:val="24"/>
        </w:rPr>
        <w:t>本案以商务评标的形式进行评标。</w:t>
      </w:r>
    </w:p>
    <w:p>
      <w:pPr>
        <w:spacing w:line="360" w:lineRule="auto"/>
        <w:ind w:left="442" w:leftChars="201"/>
        <w:rPr>
          <w:rFonts w:hint="eastAsia" w:ascii="宋体" w:hAnsi="宋体"/>
          <w:b/>
          <w:color w:val="000000"/>
          <w:sz w:val="24"/>
        </w:rPr>
      </w:pPr>
      <w:r>
        <w:rPr>
          <w:rFonts w:hint="eastAsia" w:ascii="宋体" w:hAnsi="宋体"/>
          <w:b/>
          <w:color w:val="000000"/>
          <w:sz w:val="24"/>
        </w:rPr>
        <w:t>5、资料归档及保密</w:t>
      </w:r>
    </w:p>
    <w:p>
      <w:pPr>
        <w:autoSpaceDE w:val="0"/>
        <w:autoSpaceDN w:val="0"/>
        <w:adjustRightInd w:val="0"/>
        <w:spacing w:line="360" w:lineRule="auto"/>
        <w:ind w:firstLine="480" w:firstLineChars="200"/>
        <w:jc w:val="left"/>
        <w:rPr>
          <w:rFonts w:ascii="宋体" w:hAnsi="宋体"/>
          <w:color w:val="000000"/>
          <w:sz w:val="24"/>
        </w:rPr>
      </w:pPr>
      <w:r>
        <w:rPr>
          <w:rFonts w:hint="eastAsia" w:ascii="宋体" w:hAnsi="宋体" w:cs="宋体"/>
          <w:kern w:val="0"/>
          <w:sz w:val="24"/>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spacing w:line="360" w:lineRule="auto"/>
        <w:jc w:val="center"/>
        <w:rPr>
          <w:rFonts w:hint="eastAsia"/>
          <w:sz w:val="36"/>
          <w:szCs w:val="36"/>
        </w:rPr>
      </w:pPr>
      <w:r>
        <w:rPr>
          <w:rFonts w:hint="eastAsia"/>
          <w:sz w:val="36"/>
          <w:szCs w:val="36"/>
        </w:rPr>
        <w:t>翔鹭石化（漳州）有限公司</w:t>
      </w:r>
    </w:p>
    <w:p>
      <w:pPr>
        <w:spacing w:line="360" w:lineRule="auto"/>
        <w:jc w:val="center"/>
        <w:rPr>
          <w:rFonts w:hint="eastAsia"/>
          <w:sz w:val="36"/>
          <w:szCs w:val="36"/>
        </w:rPr>
      </w:pPr>
      <w:r>
        <w:rPr>
          <w:rFonts w:hint="eastAsia"/>
          <w:sz w:val="36"/>
          <w:szCs w:val="36"/>
        </w:rPr>
        <w:t>危险化学品重大危险源辨识评估报告的采购说明</w:t>
      </w:r>
    </w:p>
    <w:p>
      <w:pPr>
        <w:spacing w:line="360" w:lineRule="auto"/>
        <w:ind w:firstLine="361" w:firstLineChars="150"/>
        <w:rPr>
          <w:rFonts w:hint="eastAsia" w:ascii="宋体" w:hAnsi="宋体"/>
          <w:b/>
          <w:color w:val="000000"/>
          <w:sz w:val="24"/>
        </w:rPr>
      </w:pPr>
      <w:r>
        <w:rPr>
          <w:rFonts w:hint="eastAsia" w:ascii="宋体" w:hAnsi="宋体"/>
          <w:b/>
          <w:sz w:val="24"/>
        </w:rPr>
        <w:t>1、</w:t>
      </w:r>
      <w:r>
        <w:rPr>
          <w:rFonts w:hint="eastAsia" w:ascii="宋体" w:hAnsi="宋体"/>
          <w:b/>
          <w:color w:val="000000"/>
          <w:sz w:val="24"/>
        </w:rPr>
        <w:t>项目基本情况：</w:t>
      </w:r>
    </w:p>
    <w:p>
      <w:pPr>
        <w:spacing w:line="360" w:lineRule="auto"/>
        <w:ind w:left="420"/>
        <w:jc w:val="left"/>
        <w:rPr>
          <w:rFonts w:hint="eastAsia" w:ascii="宋体" w:hAnsi="宋体"/>
          <w:color w:val="000000"/>
          <w:sz w:val="24"/>
        </w:rPr>
      </w:pPr>
      <w:r>
        <w:rPr>
          <w:rFonts w:hint="eastAsia" w:ascii="宋体" w:hAnsi="宋体"/>
          <w:color w:val="000000"/>
          <w:sz w:val="24"/>
        </w:rPr>
        <w:t>1.1项目名称：</w:t>
      </w:r>
    </w:p>
    <w:p>
      <w:pPr>
        <w:spacing w:line="360" w:lineRule="auto"/>
        <w:ind w:left="440" w:leftChars="200" w:firstLine="480" w:firstLineChars="200"/>
        <w:jc w:val="left"/>
        <w:rPr>
          <w:rFonts w:hint="eastAsia" w:ascii="宋体" w:hAnsi="宋体"/>
          <w:color w:val="000000"/>
          <w:sz w:val="24"/>
        </w:rPr>
      </w:pPr>
      <w:r>
        <w:rPr>
          <w:rFonts w:hint="eastAsia" w:ascii="宋体" w:hAnsi="宋体"/>
          <w:color w:val="000000"/>
          <w:sz w:val="24"/>
        </w:rPr>
        <w:t>翔鹭石化（漳州）有限公司危险化学品重大危险源辨识评估。</w:t>
      </w:r>
    </w:p>
    <w:p>
      <w:pPr>
        <w:spacing w:line="360" w:lineRule="auto"/>
        <w:ind w:firstLine="470" w:firstLineChars="196"/>
        <w:jc w:val="left"/>
        <w:rPr>
          <w:rFonts w:hint="eastAsia" w:ascii="宋体" w:hAnsi="宋体"/>
          <w:color w:val="000000"/>
          <w:sz w:val="24"/>
        </w:rPr>
      </w:pPr>
      <w:r>
        <w:rPr>
          <w:rFonts w:hint="eastAsia" w:ascii="宋体" w:hAnsi="宋体"/>
          <w:color w:val="000000"/>
          <w:sz w:val="24"/>
        </w:rPr>
        <w:t>1.2基本概况：</w:t>
      </w:r>
    </w:p>
    <w:p>
      <w:pPr>
        <w:spacing w:line="360" w:lineRule="auto"/>
        <w:ind w:left="440" w:leftChars="200" w:firstLine="480" w:firstLineChars="200"/>
        <w:rPr>
          <w:rFonts w:hint="eastAsia" w:ascii="宋体" w:hAnsi="宋体"/>
          <w:color w:val="000000"/>
          <w:sz w:val="24"/>
        </w:rPr>
      </w:pPr>
      <w:r>
        <w:rPr>
          <w:rFonts w:hint="eastAsia" w:ascii="宋体" w:hAnsi="宋体"/>
          <w:color w:val="000000"/>
          <w:sz w:val="24"/>
        </w:rPr>
        <w:t>翔鹭石化（漳州）有限公司主营业务包括：精对苯二甲酸（PTA）、工业甲醇（ME）、醋酸甲脂（MA）的生产、加工和销售；精对苯二甲酸（PTA）、对二甲苯（PX）、醋酸（AceticAcid）、醋酸异丁酯（IBA）的进出口、批发；从事货物仓储业务。</w:t>
      </w:r>
    </w:p>
    <w:p>
      <w:pPr>
        <w:spacing w:line="360" w:lineRule="auto"/>
        <w:ind w:left="440" w:leftChars="200" w:firstLine="480" w:firstLineChars="200"/>
        <w:rPr>
          <w:rFonts w:hint="eastAsia" w:ascii="宋体" w:hAnsi="宋体"/>
          <w:color w:val="000000"/>
          <w:sz w:val="24"/>
        </w:rPr>
      </w:pPr>
      <w:r>
        <w:rPr>
          <w:rFonts w:hint="eastAsia" w:ascii="宋体" w:hAnsi="宋体"/>
          <w:color w:val="000000"/>
          <w:sz w:val="24"/>
        </w:rPr>
        <w:t>2019年6月，由福州正先安全科技咨询服务有限公司对我司危险化学品重大危险源进行了辨识评估，2019年10月备案至古雷经济开发区应急管理局并取得备案回执。根据《危险化学品重大危险源监督管理暂行规定》（国家安监总局令第40号；安监总局令第79号修改），</w:t>
      </w:r>
      <w:r>
        <w:rPr>
          <w:rFonts w:hint="eastAsia" w:ascii="宋体" w:hAnsi="宋体"/>
          <w:sz w:val="24"/>
        </w:rPr>
        <w:t>要求： “</w:t>
      </w:r>
      <w:r>
        <w:rPr>
          <w:rFonts w:ascii="宋体" w:hAnsi="宋体"/>
          <w:sz w:val="24"/>
        </w:rPr>
        <w:t>重大危险源安全评估已满三年的</w:t>
      </w:r>
      <w:r>
        <w:rPr>
          <w:rFonts w:hint="eastAsia" w:ascii="宋体" w:hAnsi="宋体"/>
          <w:sz w:val="24"/>
        </w:rPr>
        <w:t>，</w:t>
      </w:r>
      <w:r>
        <w:rPr>
          <w:rFonts w:ascii="宋体" w:hAnsi="宋体"/>
          <w:sz w:val="24"/>
        </w:rPr>
        <w:t>危险化学品单位应当对</w:t>
      </w:r>
      <w:r>
        <w:rPr>
          <w:rFonts w:ascii="宋体" w:hAnsi="宋体"/>
          <w:sz w:val="24"/>
        </w:rPr>
        <w:fldChar w:fldCharType="begin"/>
      </w:r>
      <w:r>
        <w:rPr>
          <w:rFonts w:ascii="宋体" w:hAnsi="宋体"/>
          <w:sz w:val="24"/>
        </w:rPr>
        <w:instrText xml:space="preserve"> HYPERLINK "https://baike.baidu.com/item/%E9%87%8D%E5%A4%A7%E5%8D%B1%E9%99%A9%E6%BA%90/10983922" \t "_blank" </w:instrText>
      </w:r>
      <w:r>
        <w:rPr>
          <w:rFonts w:ascii="宋体" w:hAnsi="宋体"/>
          <w:sz w:val="24"/>
        </w:rPr>
        <w:fldChar w:fldCharType="separate"/>
      </w:r>
      <w:r>
        <w:rPr>
          <w:rFonts w:ascii="宋体" w:hAnsi="宋体"/>
          <w:sz w:val="24"/>
        </w:rPr>
        <w:t>重大危险源</w:t>
      </w:r>
      <w:r>
        <w:rPr>
          <w:rFonts w:ascii="宋体" w:hAnsi="宋体"/>
          <w:sz w:val="24"/>
        </w:rPr>
        <w:fldChar w:fldCharType="end"/>
      </w:r>
      <w:r>
        <w:rPr>
          <w:rFonts w:ascii="宋体" w:hAnsi="宋体"/>
          <w:sz w:val="24"/>
        </w:rPr>
        <w:t>重新进行辨识、</w:t>
      </w:r>
      <w:r>
        <w:rPr>
          <w:rFonts w:ascii="宋体" w:hAnsi="宋体"/>
          <w:sz w:val="24"/>
        </w:rPr>
        <w:fldChar w:fldCharType="begin"/>
      </w:r>
      <w:r>
        <w:rPr>
          <w:rFonts w:ascii="宋体" w:hAnsi="宋体"/>
          <w:sz w:val="24"/>
        </w:rPr>
        <w:instrText xml:space="preserve"> HYPERLINK "https://baike.baidu.com/item/%E5%AE%89%E5%85%A8%E8%AF%84%E4%BC%B0/3971370" \t "_blank" </w:instrText>
      </w:r>
      <w:r>
        <w:rPr>
          <w:rFonts w:ascii="宋体" w:hAnsi="宋体"/>
          <w:sz w:val="24"/>
        </w:rPr>
        <w:fldChar w:fldCharType="separate"/>
      </w:r>
      <w:r>
        <w:rPr>
          <w:rFonts w:ascii="宋体" w:hAnsi="宋体"/>
          <w:sz w:val="24"/>
        </w:rPr>
        <w:t>安全评估</w:t>
      </w:r>
      <w:r>
        <w:rPr>
          <w:rFonts w:ascii="宋体" w:hAnsi="宋体"/>
          <w:sz w:val="24"/>
        </w:rPr>
        <w:fldChar w:fldCharType="end"/>
      </w:r>
      <w:r>
        <w:rPr>
          <w:rFonts w:ascii="宋体" w:hAnsi="宋体"/>
          <w:sz w:val="24"/>
        </w:rPr>
        <w:t>及分级</w:t>
      </w:r>
      <w:r>
        <w:rPr>
          <w:rFonts w:hint="eastAsia" w:ascii="宋体" w:hAnsi="宋体"/>
          <w:sz w:val="24"/>
        </w:rPr>
        <w:t>”</w:t>
      </w:r>
      <w:r>
        <w:rPr>
          <w:rFonts w:hint="eastAsia" w:ascii="宋体" w:hAnsi="宋体"/>
          <w:color w:val="000000"/>
          <w:sz w:val="24"/>
        </w:rPr>
        <w:t>，因此申请开展公司危险化学品重大危险源辨识评估工作。</w:t>
      </w:r>
    </w:p>
    <w:p>
      <w:pPr>
        <w:spacing w:line="360" w:lineRule="auto"/>
        <w:ind w:left="420"/>
        <w:rPr>
          <w:rFonts w:hint="eastAsia" w:ascii="宋体" w:hAnsi="宋体"/>
          <w:b/>
          <w:color w:val="000000"/>
          <w:sz w:val="24"/>
        </w:rPr>
      </w:pPr>
      <w:r>
        <w:rPr>
          <w:rFonts w:hint="eastAsia" w:ascii="宋体" w:hAnsi="宋体"/>
          <w:b/>
          <w:color w:val="000000"/>
          <w:sz w:val="24"/>
        </w:rPr>
        <w:t>2、项目需开展工作的采购要求</w:t>
      </w:r>
    </w:p>
    <w:p>
      <w:pPr>
        <w:spacing w:line="360" w:lineRule="auto"/>
        <w:ind w:firstLine="424" w:firstLineChars="177"/>
        <w:rPr>
          <w:rFonts w:hint="eastAsia" w:ascii="宋体" w:hAnsi="宋体"/>
          <w:color w:val="000000"/>
          <w:sz w:val="24"/>
        </w:rPr>
      </w:pPr>
      <w:r>
        <w:rPr>
          <w:rFonts w:hint="eastAsia" w:ascii="宋体" w:hAnsi="宋体"/>
          <w:color w:val="000000"/>
          <w:sz w:val="24"/>
        </w:rPr>
        <w:t>2.1资质、工作范围及进度等特殊要求：</w:t>
      </w:r>
    </w:p>
    <w:p>
      <w:pPr>
        <w:spacing w:line="360" w:lineRule="auto"/>
        <w:ind w:left="444" w:leftChars="202" w:firstLine="427"/>
        <w:rPr>
          <w:rFonts w:hint="eastAsia" w:ascii="宋体" w:hAnsi="宋体"/>
          <w:color w:val="000000"/>
          <w:sz w:val="24"/>
        </w:rPr>
      </w:pPr>
      <w:r>
        <w:rPr>
          <w:rFonts w:hint="eastAsia" w:ascii="宋体" w:hAnsi="宋体"/>
          <w:color w:val="000000"/>
          <w:sz w:val="24"/>
        </w:rPr>
        <w:t>2.1.1资质要求：受托方应满足</w:t>
      </w:r>
      <w:r>
        <w:rPr>
          <w:rFonts w:ascii="宋体" w:hAnsi="宋体"/>
          <w:color w:val="000000"/>
          <w:sz w:val="24"/>
        </w:rPr>
        <w:t>《安全评价检测检验机构管理办法》</w:t>
      </w:r>
      <w:r>
        <w:rPr>
          <w:rFonts w:hint="eastAsia" w:ascii="宋体" w:hAnsi="宋体"/>
          <w:color w:val="000000"/>
          <w:sz w:val="24"/>
        </w:rPr>
        <w:t>（2019安监总局第1号令）中，承担危险化学品生产和储存资质的要求，并提供企业营业执照、项目负责人身份证，法人委托书原件及复印件，且资质在有效期内。投标人须具有独立法人资格，不得以挂靠公司形式参与投标。</w:t>
      </w:r>
    </w:p>
    <w:p>
      <w:pPr>
        <w:spacing w:line="360" w:lineRule="auto"/>
        <w:ind w:left="444" w:leftChars="202" w:firstLine="427"/>
        <w:rPr>
          <w:rFonts w:hint="eastAsia" w:ascii="宋体" w:hAnsi="宋体"/>
          <w:color w:val="000000"/>
          <w:sz w:val="24"/>
        </w:rPr>
      </w:pPr>
      <w:r>
        <w:rPr>
          <w:rFonts w:hint="eastAsia" w:ascii="宋体" w:hAnsi="宋体"/>
          <w:color w:val="000000"/>
          <w:sz w:val="24"/>
        </w:rPr>
        <w:t>2.1.2 业绩要求：投标人在近3年（20</w:t>
      </w:r>
      <w:r>
        <w:rPr>
          <w:rFonts w:ascii="宋体" w:hAnsi="宋体"/>
          <w:color w:val="000000"/>
          <w:sz w:val="24"/>
        </w:rPr>
        <w:t>1</w:t>
      </w:r>
      <w:r>
        <w:rPr>
          <w:rFonts w:hint="eastAsia" w:ascii="宋体" w:hAnsi="宋体"/>
          <w:color w:val="000000"/>
          <w:sz w:val="24"/>
        </w:rPr>
        <w:t>9-20</w:t>
      </w:r>
      <w:r>
        <w:rPr>
          <w:rFonts w:ascii="宋体" w:hAnsi="宋体"/>
          <w:color w:val="000000"/>
          <w:sz w:val="24"/>
        </w:rPr>
        <w:t>21</w:t>
      </w:r>
      <w:r>
        <w:rPr>
          <w:rFonts w:hint="eastAsia" w:ascii="宋体" w:hAnsi="宋体"/>
          <w:color w:val="000000"/>
          <w:sz w:val="24"/>
        </w:rPr>
        <w:t>）主持完成3</w:t>
      </w:r>
      <w:r>
        <w:rPr>
          <w:rFonts w:ascii="宋体" w:hAnsi="宋体"/>
          <w:color w:val="000000"/>
          <w:sz w:val="24"/>
        </w:rPr>
        <w:t>个及以上</w:t>
      </w:r>
      <w:r>
        <w:rPr>
          <w:rFonts w:hint="eastAsia" w:ascii="宋体" w:hAnsi="宋体"/>
          <w:color w:val="000000"/>
          <w:sz w:val="24"/>
        </w:rPr>
        <w:t>石油化工项目（单个项目投资总额在5</w:t>
      </w:r>
      <w:r>
        <w:rPr>
          <w:rFonts w:ascii="宋体" w:hAnsi="宋体"/>
          <w:color w:val="000000"/>
          <w:sz w:val="24"/>
        </w:rPr>
        <w:t>0</w:t>
      </w:r>
      <w:r>
        <w:rPr>
          <w:rFonts w:hint="eastAsia" w:ascii="宋体" w:hAnsi="宋体"/>
          <w:color w:val="000000"/>
          <w:sz w:val="24"/>
        </w:rPr>
        <w:t>亿元以上）的安全</w:t>
      </w:r>
      <w:r>
        <w:rPr>
          <w:rFonts w:ascii="宋体" w:hAnsi="宋体"/>
          <w:color w:val="000000"/>
          <w:sz w:val="24"/>
        </w:rPr>
        <w:t>评价技术服务</w:t>
      </w:r>
      <w:r>
        <w:rPr>
          <w:rFonts w:hint="eastAsia" w:ascii="宋体" w:hAnsi="宋体"/>
          <w:color w:val="000000"/>
          <w:sz w:val="24"/>
        </w:rPr>
        <w:t>业绩，并获得主管部门批复（需提供业绩合同及主管部门批复）。</w:t>
      </w:r>
    </w:p>
    <w:p>
      <w:pPr>
        <w:spacing w:line="360" w:lineRule="auto"/>
        <w:ind w:left="444" w:leftChars="202" w:firstLine="427"/>
        <w:rPr>
          <w:rFonts w:hint="eastAsia" w:ascii="宋体" w:hAnsi="宋体"/>
          <w:sz w:val="24"/>
        </w:rPr>
      </w:pPr>
      <w:r>
        <w:rPr>
          <w:rFonts w:hint="eastAsia" w:ascii="宋体" w:hAnsi="宋体"/>
          <w:color w:val="000000"/>
          <w:sz w:val="24"/>
        </w:rPr>
        <w:t>2.1.3工作范围：编制符合《危险化学品重大危险源辨识》（GB18218-2018）标准要求的危险化学品重大危险源辨识评估报告，并满足地方政府主管部门的监管要求。</w:t>
      </w:r>
    </w:p>
    <w:p>
      <w:pPr>
        <w:spacing w:line="360" w:lineRule="auto"/>
        <w:ind w:left="444" w:leftChars="202" w:firstLine="427"/>
        <w:rPr>
          <w:rFonts w:hint="eastAsia" w:ascii="宋体" w:hAnsi="宋体"/>
          <w:color w:val="000000"/>
          <w:sz w:val="24"/>
        </w:rPr>
      </w:pPr>
      <w:r>
        <w:rPr>
          <w:rFonts w:hint="eastAsia" w:ascii="宋体" w:hAnsi="宋体"/>
          <w:color w:val="000000"/>
          <w:sz w:val="24"/>
        </w:rPr>
        <w:t>2.1.4进度要求：3个月。</w:t>
      </w:r>
    </w:p>
    <w:p>
      <w:pPr>
        <w:spacing w:line="360" w:lineRule="auto"/>
        <w:ind w:left="444" w:leftChars="202" w:firstLine="425"/>
        <w:rPr>
          <w:rFonts w:hint="eastAsia" w:ascii="宋体" w:hAnsi="宋体"/>
          <w:color w:val="000000"/>
          <w:sz w:val="24"/>
        </w:rPr>
      </w:pPr>
      <w:r>
        <w:rPr>
          <w:rFonts w:hint="eastAsia" w:ascii="宋体" w:hAnsi="宋体"/>
          <w:color w:val="000000"/>
          <w:sz w:val="24"/>
        </w:rPr>
        <w:t xml:space="preserve">2.1.5其他要求：无。 </w:t>
      </w:r>
    </w:p>
    <w:p>
      <w:pPr>
        <w:spacing w:line="360" w:lineRule="auto"/>
        <w:ind w:firstLine="424" w:firstLineChars="177"/>
        <w:rPr>
          <w:rFonts w:hint="eastAsia" w:ascii="宋体" w:hAnsi="宋体"/>
          <w:color w:val="000000"/>
          <w:sz w:val="24"/>
        </w:rPr>
      </w:pPr>
      <w:r>
        <w:rPr>
          <w:rFonts w:hint="eastAsia" w:ascii="宋体" w:hAnsi="宋体"/>
          <w:color w:val="000000"/>
          <w:sz w:val="24"/>
        </w:rPr>
        <w:t>2.2工作开展的要求：</w:t>
      </w:r>
    </w:p>
    <w:p>
      <w:pPr>
        <w:spacing w:line="360" w:lineRule="auto"/>
        <w:ind w:left="444" w:leftChars="202" w:firstLine="427"/>
        <w:rPr>
          <w:rFonts w:hint="eastAsia" w:ascii="宋体" w:hAnsi="宋体"/>
          <w:color w:val="000000"/>
          <w:sz w:val="24"/>
        </w:rPr>
      </w:pPr>
      <w:r>
        <w:rPr>
          <w:rFonts w:hint="eastAsia" w:ascii="宋体" w:hAnsi="宋体"/>
          <w:color w:val="000000"/>
          <w:sz w:val="24"/>
        </w:rPr>
        <w:t>2.2.1 乙方负责开展相应的工作，依要求编制相应的报告书, 引用资料及所叙述内容应真实可靠，所得结论应有理有据，论证充分，并以乙方名义出版(含盖章确认)，以便甲方开展与项目相关的各项工作。</w:t>
      </w:r>
    </w:p>
    <w:p>
      <w:pPr>
        <w:spacing w:line="360" w:lineRule="auto"/>
        <w:ind w:left="444" w:leftChars="202" w:firstLine="427"/>
        <w:rPr>
          <w:rFonts w:hint="eastAsia" w:ascii="宋体" w:hAnsi="宋体"/>
          <w:color w:val="000000"/>
          <w:sz w:val="24"/>
        </w:rPr>
      </w:pPr>
      <w:r>
        <w:rPr>
          <w:rFonts w:hint="eastAsia" w:ascii="宋体" w:hAnsi="宋体"/>
          <w:color w:val="000000"/>
          <w:sz w:val="24"/>
        </w:rPr>
        <w:t>2.2.2报告内容应遵守国家、地方相关法律法规、符合相关国家标准及行业实际情况。</w:t>
      </w:r>
    </w:p>
    <w:p>
      <w:pPr>
        <w:spacing w:line="360" w:lineRule="auto"/>
        <w:ind w:left="444" w:leftChars="202" w:firstLine="427"/>
        <w:rPr>
          <w:rFonts w:hint="eastAsia" w:ascii="宋体" w:hAnsi="宋体"/>
          <w:color w:val="000000"/>
          <w:sz w:val="24"/>
        </w:rPr>
      </w:pPr>
      <w:r>
        <w:rPr>
          <w:rFonts w:hint="eastAsia" w:ascii="宋体" w:hAnsi="宋体"/>
          <w:color w:val="000000"/>
          <w:sz w:val="24"/>
        </w:rPr>
        <w:t>2.2.3报告应做到语句通顺易懂、条理清晰、分析论证充分，排版美观、样式规范。</w:t>
      </w:r>
    </w:p>
    <w:p>
      <w:pPr>
        <w:spacing w:line="360" w:lineRule="auto"/>
        <w:ind w:left="444" w:leftChars="202" w:firstLine="427"/>
        <w:rPr>
          <w:rFonts w:hint="eastAsia" w:ascii="宋体" w:hAnsi="宋体"/>
          <w:color w:val="000000"/>
          <w:sz w:val="24"/>
        </w:rPr>
      </w:pPr>
      <w:r>
        <w:rPr>
          <w:rFonts w:hint="eastAsia" w:ascii="宋体" w:hAnsi="宋体"/>
          <w:color w:val="000000"/>
          <w:sz w:val="24"/>
        </w:rPr>
        <w:t>2.2.4报告编制的内容应经甲方审核、确认，并接受甲方对相关内容的调整。</w:t>
      </w:r>
    </w:p>
    <w:p>
      <w:pPr>
        <w:spacing w:line="360" w:lineRule="auto"/>
        <w:ind w:left="444" w:leftChars="202" w:firstLine="427"/>
        <w:rPr>
          <w:rFonts w:hint="eastAsia" w:ascii="宋体" w:hAnsi="宋体"/>
          <w:color w:val="000000"/>
          <w:sz w:val="24"/>
        </w:rPr>
      </w:pPr>
      <w:r>
        <w:rPr>
          <w:rFonts w:hint="eastAsia" w:ascii="宋体" w:hAnsi="宋体"/>
          <w:color w:val="000000"/>
          <w:sz w:val="24"/>
        </w:rPr>
        <w:t>2.2.5乙方负责组织召开专家评审会，评审涉及的</w:t>
      </w:r>
      <w:r>
        <w:rPr>
          <w:rFonts w:hint="eastAsia" w:ascii="宋体" w:hAnsi="宋体"/>
          <w:b/>
          <w:color w:val="000000"/>
          <w:sz w:val="24"/>
        </w:rPr>
        <w:t>所有费用由乙方负责</w:t>
      </w:r>
      <w:r>
        <w:rPr>
          <w:rFonts w:hint="eastAsia" w:ascii="宋体" w:hAnsi="宋体"/>
          <w:color w:val="000000"/>
          <w:sz w:val="24"/>
        </w:rPr>
        <w:t>。乙方负责报告评审时汇报和解释评审专家提出的问题，协助甲方完成送审工作。报告应满足政府主管部门对相应的报告的编制要求，并被受理；如政府主管部门对报告内容、名称、样式等提出修改要求，则乙方应无条件按要求进行修改。</w:t>
      </w:r>
    </w:p>
    <w:p>
      <w:pPr>
        <w:spacing w:line="360" w:lineRule="auto"/>
        <w:ind w:left="444" w:leftChars="202" w:firstLine="427"/>
        <w:rPr>
          <w:rFonts w:hint="eastAsia" w:ascii="宋体" w:hAnsi="宋体"/>
          <w:color w:val="000000"/>
          <w:sz w:val="24"/>
        </w:rPr>
      </w:pPr>
      <w:r>
        <w:rPr>
          <w:rFonts w:hint="eastAsia" w:ascii="宋体" w:hAnsi="宋体"/>
          <w:color w:val="000000"/>
          <w:sz w:val="24"/>
        </w:rPr>
        <w:t>2.2.6本项目工作成果的验收方法:通过专家评审及政府相关监管部门认可，并由甲方审查确认。</w:t>
      </w:r>
    </w:p>
    <w:p>
      <w:pPr>
        <w:spacing w:line="360" w:lineRule="auto"/>
        <w:ind w:left="444" w:leftChars="202" w:firstLine="427"/>
        <w:rPr>
          <w:rFonts w:hint="eastAsia" w:ascii="宋体" w:hAnsi="宋体"/>
          <w:color w:val="000000"/>
          <w:sz w:val="24"/>
        </w:rPr>
      </w:pPr>
      <w:r>
        <w:rPr>
          <w:rFonts w:hint="eastAsia" w:ascii="宋体" w:hAnsi="宋体"/>
          <w:color w:val="000000"/>
          <w:sz w:val="24"/>
        </w:rPr>
        <w:t>2.2.7报告应按标准格式电脑打印，内容齐全，以简体中文叙述。装订成正式文本，除上报外，另加十份印刷文本、一份可编辑电子版和一份盖章扫描版的报告提交我司存档。</w:t>
      </w:r>
    </w:p>
    <w:p>
      <w:pPr>
        <w:spacing w:line="360" w:lineRule="auto"/>
        <w:ind w:left="444" w:leftChars="202" w:firstLine="427"/>
        <w:rPr>
          <w:rFonts w:hint="eastAsia" w:ascii="宋体" w:hAnsi="宋体"/>
          <w:color w:val="000000"/>
          <w:sz w:val="24"/>
        </w:rPr>
      </w:pPr>
      <w:r>
        <w:rPr>
          <w:rFonts w:hint="eastAsia" w:ascii="宋体" w:hAnsi="宋体"/>
          <w:color w:val="000000"/>
          <w:sz w:val="24"/>
        </w:rPr>
        <w:t>2.2.8乙方根据项目情况编制相应的技术服务协议提供给甲方审核。</w:t>
      </w:r>
    </w:p>
    <w:p>
      <w:pPr>
        <w:spacing w:line="360" w:lineRule="auto"/>
        <w:ind w:left="444" w:leftChars="202"/>
        <w:rPr>
          <w:rFonts w:ascii="宋体" w:hAnsi="宋体"/>
          <w:b/>
          <w:color w:val="000000"/>
          <w:sz w:val="24"/>
        </w:rPr>
      </w:pPr>
      <w:r>
        <w:rPr>
          <w:rFonts w:hint="eastAsia" w:ascii="宋体" w:hAnsi="宋体"/>
          <w:b/>
          <w:color w:val="000000"/>
          <w:sz w:val="24"/>
        </w:rPr>
        <w:t>3、投标报价</w:t>
      </w:r>
    </w:p>
    <w:p>
      <w:pPr>
        <w:spacing w:line="360" w:lineRule="auto"/>
        <w:ind w:left="444" w:leftChars="202"/>
        <w:rPr>
          <w:rFonts w:hint="eastAsia" w:ascii="宋体" w:hAnsi="宋体"/>
          <w:color w:val="000000"/>
          <w:sz w:val="24"/>
        </w:rPr>
      </w:pPr>
      <w:r>
        <w:rPr>
          <w:rFonts w:hint="eastAsia" w:ascii="宋体" w:hAnsi="宋体"/>
          <w:color w:val="000000"/>
          <w:sz w:val="24"/>
        </w:rPr>
        <w:t>报含税包干总价：</w:t>
      </w:r>
    </w:p>
    <w:p>
      <w:pPr>
        <w:spacing w:line="360" w:lineRule="auto"/>
        <w:ind w:firstLine="424" w:firstLineChars="177"/>
        <w:rPr>
          <w:rFonts w:hint="eastAsia" w:ascii="宋体" w:hAnsi="宋体"/>
          <w:color w:val="000000"/>
          <w:sz w:val="24"/>
        </w:rPr>
      </w:pPr>
      <w:r>
        <w:rPr>
          <w:rFonts w:hint="eastAsia" w:ascii="宋体" w:hAnsi="宋体"/>
          <w:color w:val="000000"/>
          <w:sz w:val="24"/>
        </w:rPr>
        <w:t>3.1 包括但不限于</w:t>
      </w:r>
      <w:r>
        <w:rPr>
          <w:rFonts w:ascii="宋体" w:hAnsi="宋体"/>
          <w:color w:val="000000"/>
          <w:sz w:val="24"/>
        </w:rPr>
        <w:t>项目</w:t>
      </w:r>
      <w:r>
        <w:rPr>
          <w:rFonts w:hint="eastAsia" w:ascii="宋体" w:hAnsi="宋体"/>
          <w:color w:val="000000"/>
          <w:sz w:val="24"/>
        </w:rPr>
        <w:t>评估</w:t>
      </w:r>
      <w:r>
        <w:rPr>
          <w:rFonts w:ascii="宋体" w:hAnsi="宋体"/>
          <w:color w:val="000000"/>
          <w:sz w:val="24"/>
        </w:rPr>
        <w:t>评价报告的编制所需费用</w:t>
      </w:r>
      <w:r>
        <w:rPr>
          <w:rFonts w:hint="eastAsia" w:ascii="宋体" w:hAnsi="宋体"/>
          <w:color w:val="000000"/>
          <w:sz w:val="24"/>
        </w:rPr>
        <w:t>，</w:t>
      </w:r>
      <w:r>
        <w:rPr>
          <w:rFonts w:ascii="宋体" w:hAnsi="宋体"/>
          <w:color w:val="000000"/>
          <w:sz w:val="24"/>
        </w:rPr>
        <w:t>为编制报告基础数据</w:t>
      </w:r>
      <w:r>
        <w:rPr>
          <w:rFonts w:hint="eastAsia" w:ascii="宋体" w:hAnsi="宋体"/>
          <w:color w:val="000000"/>
          <w:sz w:val="24"/>
        </w:rPr>
        <w:t>收集</w:t>
      </w:r>
      <w:r>
        <w:rPr>
          <w:rFonts w:ascii="宋体" w:hAnsi="宋体"/>
          <w:color w:val="000000"/>
          <w:sz w:val="24"/>
        </w:rPr>
        <w:t>所需费用</w:t>
      </w:r>
      <w:r>
        <w:rPr>
          <w:rFonts w:hint="eastAsia" w:ascii="宋体" w:hAnsi="宋体"/>
          <w:color w:val="000000"/>
          <w:sz w:val="24"/>
        </w:rPr>
        <w:t>等</w:t>
      </w:r>
      <w:r>
        <w:rPr>
          <w:rFonts w:ascii="宋体" w:hAnsi="宋体"/>
          <w:color w:val="000000"/>
          <w:sz w:val="24"/>
        </w:rPr>
        <w:t>。</w:t>
      </w:r>
    </w:p>
    <w:p>
      <w:pPr>
        <w:spacing w:line="360" w:lineRule="auto"/>
        <w:ind w:firstLine="424" w:firstLineChars="177"/>
        <w:rPr>
          <w:rFonts w:hint="eastAsia" w:ascii="宋体" w:hAnsi="宋体"/>
          <w:color w:val="000000"/>
          <w:sz w:val="24"/>
        </w:rPr>
      </w:pPr>
      <w:r>
        <w:rPr>
          <w:rFonts w:hint="eastAsia" w:ascii="宋体" w:hAnsi="宋体"/>
          <w:color w:val="000000"/>
          <w:sz w:val="24"/>
        </w:rPr>
        <w:t>3.2 专家内审会（如有）、专家评审会全部费用（专家费、会议费、餐费、交通费、住宿费等），直至取得政府主管部门备案回执的全部所需费用</w:t>
      </w:r>
      <w:r>
        <w:rPr>
          <w:rFonts w:ascii="宋体" w:hAnsi="宋体"/>
          <w:color w:val="000000"/>
          <w:sz w:val="24"/>
        </w:rPr>
        <w:t>。</w:t>
      </w:r>
    </w:p>
    <w:p>
      <w:pPr>
        <w:spacing w:line="360" w:lineRule="auto"/>
        <w:ind w:left="442" w:leftChars="201"/>
        <w:rPr>
          <w:rFonts w:hint="eastAsia" w:ascii="宋体" w:hAnsi="宋体"/>
          <w:b/>
          <w:color w:val="000000"/>
          <w:sz w:val="24"/>
        </w:rPr>
      </w:pPr>
      <w:r>
        <w:rPr>
          <w:rFonts w:hint="eastAsia" w:ascii="宋体" w:hAnsi="宋体"/>
          <w:b/>
          <w:color w:val="000000"/>
          <w:sz w:val="24"/>
        </w:rPr>
        <w:t>4、</w:t>
      </w:r>
      <w:r>
        <w:rPr>
          <w:rFonts w:ascii="宋体" w:hAnsi="宋体"/>
          <w:b/>
          <w:color w:val="000000"/>
          <w:sz w:val="24"/>
        </w:rPr>
        <w:t>评标方式</w:t>
      </w:r>
    </w:p>
    <w:p>
      <w:pPr>
        <w:spacing w:line="360" w:lineRule="auto"/>
        <w:ind w:firstLine="424" w:firstLineChars="177"/>
        <w:rPr>
          <w:rFonts w:hint="eastAsia" w:ascii="宋体" w:hAnsi="宋体" w:cs="宋体"/>
          <w:kern w:val="0"/>
          <w:sz w:val="24"/>
        </w:rPr>
      </w:pPr>
      <w:r>
        <w:rPr>
          <w:rFonts w:hint="eastAsia" w:ascii="宋体" w:hAnsi="宋体" w:cs="宋体"/>
          <w:kern w:val="0"/>
          <w:sz w:val="24"/>
        </w:rPr>
        <w:t>本案以商务评标的形式进行评标。</w:t>
      </w:r>
    </w:p>
    <w:p>
      <w:pPr>
        <w:spacing w:line="360" w:lineRule="auto"/>
        <w:ind w:left="442" w:leftChars="201"/>
        <w:rPr>
          <w:rFonts w:hint="eastAsia" w:ascii="宋体" w:hAnsi="宋体"/>
          <w:b/>
          <w:color w:val="000000"/>
          <w:sz w:val="24"/>
        </w:rPr>
      </w:pPr>
      <w:r>
        <w:rPr>
          <w:rFonts w:hint="eastAsia" w:ascii="宋体" w:hAnsi="宋体"/>
          <w:b/>
          <w:color w:val="000000"/>
          <w:sz w:val="24"/>
        </w:rPr>
        <w:t>5、资料归档及保密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rFonts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PX、PTA危险化学品重大危险辨识评估及PX安全现状评价项目</w:t>
      </w:r>
      <w:r>
        <w:rPr>
          <w:rFonts w:ascii="方正小标宋简体" w:hAnsi="方正小标宋简体" w:eastAsia="方正小标宋简体" w:cs="方正小标宋简体"/>
          <w:b/>
          <w:color w:val="000000" w:themeColor="text1"/>
          <w:sz w:val="44"/>
          <w:szCs w:val="44"/>
          <w:lang w:eastAsia="zh-CN"/>
        </w:rPr>
        <w:t>采购</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2</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3</w:t>
      </w:r>
      <w:r>
        <w:rPr>
          <w:rFonts w:ascii="Times New Roman" w:hAnsi="Times New Roman"/>
          <w:b/>
          <w:bCs/>
          <w:color w:val="FF0000"/>
          <w:w w:val="95"/>
          <w:sz w:val="32"/>
          <w:lang w:eastAsia="zh-CN"/>
        </w:rPr>
        <w:t>月</w:t>
      </w:r>
    </w:p>
    <w:p>
      <w:pPr>
        <w:rPr>
          <w:lang w:eastAsia="zh-CN"/>
        </w:rPr>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.凡因参选文件不按规定填写，或填写不清晰、不完整、或密封不合要求而引起的一切后果，由参选人自行负责。</w:t>
      </w:r>
    </w:p>
    <w:p>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.参选文件正本必须逐页或骑缝加盖参选人公章或由法人代表逐页签字方视为有效，同时应注明提交日期，否则视为废标。</w:t>
      </w:r>
    </w:p>
    <w:p>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5</w:t>
      </w:r>
      <w:r>
        <w:rPr>
          <w:rFonts w:hint="eastAsia" w:cs="Times New Roman"/>
          <w:bCs w:val="0"/>
          <w:color w:val="C00000"/>
          <w:sz w:val="24"/>
          <w:szCs w:val="24"/>
          <w:lang w:eastAsia="zh-CN"/>
        </w:rPr>
        <w:t>.在外层包封上应写明参选人的名称与地址、邮政编码，以便参选出现逾期送达时能原封退回。具体样式如下：</w:t>
      </w:r>
    </w:p>
    <w:p>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618" w:firstLineChars="221"/>
        <w:rPr>
          <w:rFonts w:cs="Times New Roman"/>
          <w:bCs w:val="0"/>
          <w:color w:val="C00000"/>
          <w:lang w:eastAsia="zh-CN"/>
        </w:rPr>
      </w:pPr>
    </w:p>
    <w:p>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6</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7.</w:t>
      </w:r>
      <w:r>
        <w:rPr>
          <w:rFonts w:hint="eastAsia" w:cs="Times New Roman"/>
          <w:color w:val="C00000"/>
          <w:sz w:val="24"/>
          <w:szCs w:val="24"/>
          <w:lang w:eastAsia="zh-CN"/>
        </w:rPr>
        <w:t>以下文件中红色字体部分，打印时请删除。</w:t>
      </w:r>
    </w:p>
    <w:p>
      <w:pPr>
        <w:rPr>
          <w:szCs w:val="21"/>
          <w:lang w:eastAsia="zh-CN"/>
        </w:rPr>
      </w:pPr>
    </w:p>
    <w:p>
      <w:pPr>
        <w:pStyle w:val="2"/>
      </w:pP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r>
              <w:rPr>
                <w:rFonts w:hint="eastAsia"/>
                <w:sz w:val="24"/>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r>
              <w:rPr>
                <w:rFonts w:hint="eastAsia"/>
                <w:sz w:val="24"/>
                <w:lang w:eastAsia="zh-CN"/>
              </w:rPr>
              <w:t>法定代表人身份证复印件</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vAlign w:val="top"/>
          </w:tcPr>
          <w:p>
            <w:pPr>
              <w:spacing w:line="500" w:lineRule="exact"/>
              <w:rPr>
                <w:sz w:val="24"/>
                <w:lang w:eastAsia="zh-CN"/>
              </w:rPr>
            </w:pPr>
            <w:r>
              <w:rPr>
                <w:rFonts w:hint="eastAsia"/>
                <w:sz w:val="24"/>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vAlign w:val="top"/>
          </w:tcPr>
          <w:p>
            <w:pPr>
              <w:spacing w:line="500" w:lineRule="exact"/>
              <w:rPr>
                <w:sz w:val="24"/>
                <w:lang w:eastAsia="zh-CN"/>
              </w:rPr>
            </w:pPr>
            <w:r>
              <w:rPr>
                <w:rFonts w:hint="eastAsia"/>
                <w:sz w:val="24"/>
              </w:rPr>
              <w:t>参选报价单</w:t>
            </w:r>
          </w:p>
        </w:tc>
        <w:tc>
          <w:tcPr>
            <w:tcW w:w="1843" w:type="dxa"/>
          </w:tcPr>
          <w:p>
            <w:pPr>
              <w:spacing w:line="500" w:lineRule="exact"/>
              <w:jc w:val="center"/>
              <w:rPr>
                <w:sz w:val="24"/>
                <w:lang w:eastAsia="zh-CN"/>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rFonts w:hint="eastAsia"/>
          <w:sz w:val="24"/>
          <w:lang w:eastAsia="zh-CN"/>
        </w:rPr>
      </w:pPr>
      <w:r>
        <w:rPr>
          <w:rFonts w:hint="eastAsia"/>
          <w:sz w:val="24"/>
          <w:lang w:eastAsia="zh-CN"/>
        </w:rPr>
        <w:t>（2）参选报价单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pStyle w:val="2"/>
      </w:pPr>
    </w:p>
    <w:p>
      <w:pPr>
        <w:pStyle w:val="2"/>
      </w:pPr>
    </w:p>
    <w:p>
      <w:pPr>
        <w:pStyle w:val="2"/>
      </w:pPr>
    </w:p>
    <w:p>
      <w:pPr>
        <w:pStyle w:val="2"/>
      </w:pPr>
    </w:p>
    <w:p>
      <w:pPr>
        <w:pStyle w:val="2"/>
        <w:jc w:val="center"/>
      </w:pPr>
      <w:r>
        <w:rPr>
          <w:rFonts w:hint="eastAsia"/>
          <w:sz w:val="24"/>
          <w:szCs w:val="24"/>
        </w:rPr>
        <w:t xml:space="preserve">             </w:t>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pPr>
    </w:p>
    <w:p>
      <w:pPr>
        <w:pStyle w:val="2"/>
      </w:pPr>
    </w:p>
    <w:p>
      <w:pPr>
        <w:pStyle w:val="2"/>
        <w:jc w:val="center"/>
        <w:rPr>
          <w:rFonts w:ascii="Times New Roman" w:hAnsi="Times New Roman"/>
          <w:b/>
          <w:bCs/>
          <w:kern w:val="2"/>
          <w:sz w:val="36"/>
          <w:szCs w:val="36"/>
        </w:rPr>
      </w:pPr>
    </w:p>
    <w:p>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000000" w:themeColor="text1"/>
          <w:sz w:val="28"/>
          <w:szCs w:val="28"/>
          <w:u w:val="single"/>
          <w:lang w:eastAsia="zh-CN"/>
        </w:rPr>
        <w:t>PX、PTA危险化学品重大危险辨识评估及PX安全现状评价项目</w:t>
      </w:r>
      <w:r>
        <w:rPr>
          <w:rFonts w:ascii="Times New Roman" w:hAnsi="ˎ̥"/>
          <w:color w:val="000000" w:themeColor="text1"/>
          <w:sz w:val="28"/>
          <w:szCs w:val="28"/>
          <w:u w:val="single"/>
          <w:lang w:eastAsia="zh-CN"/>
        </w:rPr>
        <w:t>采购</w:t>
      </w:r>
      <w:r>
        <w:rPr>
          <w:rFonts w:hint="eastAsia" w:ascii="Times New Roman" w:hAnsi="ˎ̥"/>
          <w:color w:val="000000" w:themeColor="text1"/>
          <w:sz w:val="28"/>
          <w:szCs w:val="28"/>
          <w:lang w:eastAsia="zh-CN"/>
        </w:rPr>
        <w:t>比选文件</w:t>
      </w:r>
      <w:r>
        <w:rPr>
          <w:rFonts w:hint="eastAsia" w:ascii="Times New Roman" w:hAnsi="ˎ̥"/>
          <w:sz w:val="28"/>
          <w:szCs w:val="28"/>
          <w:lang w:eastAsia="zh-CN"/>
        </w:rPr>
        <w:t>的全部内容后，我方愿以以下报价，严格按照自主比选文件的要求，交付本项目并维修其中的任何缺陷。</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spacing w:line="360" w:lineRule="auto"/>
              <w:ind w:firstLine="980" w:firstLineChars="350"/>
              <w:rPr>
                <w:rFonts w:ascii="Times New Roman" w:hAnsi="Times New Roman"/>
                <w:sz w:val="28"/>
                <w:szCs w:val="28"/>
                <w:lang w:eastAsia="zh-CN"/>
              </w:rPr>
            </w:pPr>
          </w:p>
          <w:p>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6</w:t>
            </w:r>
            <w:r>
              <w:rPr>
                <w:rFonts w:hint="eastAsia" w:ascii="Times New Roman" w:hAnsi="Times New Roman"/>
                <w:sz w:val="28"/>
                <w:szCs w:val="28"/>
                <w:u w:val="single"/>
                <w:lang w:eastAsia="zh-CN"/>
              </w:rPr>
              <w:t xml:space="preserve">%） </w:t>
            </w:r>
          </w:p>
          <w:p>
            <w:pPr>
              <w:widowControl/>
              <w:autoSpaceDE/>
              <w:autoSpaceDN/>
              <w:jc w:val="center"/>
              <w:rPr>
                <w:rFonts w:hint="eastAsia"/>
                <w:b/>
                <w:bCs/>
                <w:sz w:val="24"/>
                <w:szCs w:val="24"/>
                <w:lang w:eastAsia="zh-CN"/>
              </w:rPr>
            </w:pPr>
            <w:r>
              <w:rPr>
                <w:rFonts w:hint="eastAsia"/>
                <w:b/>
                <w:bCs/>
                <w:sz w:val="24"/>
                <w:szCs w:val="24"/>
                <w:u w:val="single"/>
                <w:lang w:eastAsia="zh-CN"/>
              </w:rPr>
              <w:t>PX、PTA危险化学品重大危险辨识评估及PX安全现状评价项目</w:t>
            </w:r>
            <w:r>
              <w:rPr>
                <w:rFonts w:hint="eastAsia"/>
                <w:b/>
                <w:bCs/>
                <w:sz w:val="24"/>
                <w:szCs w:val="24"/>
                <w:lang w:eastAsia="zh-CN"/>
              </w:rPr>
              <w:t>采购价格清单</w:t>
            </w:r>
          </w:p>
          <w:p>
            <w:pPr>
              <w:pStyle w:val="2"/>
              <w:rPr>
                <w:lang w:eastAsia="zh-CN"/>
              </w:rPr>
            </w:pPr>
          </w:p>
          <w:tbl>
            <w:tblPr>
              <w:tblStyle w:val="48"/>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701"/>
              <w:gridCol w:w="2991"/>
              <w:gridCol w:w="679"/>
              <w:gridCol w:w="1029"/>
              <w:gridCol w:w="957"/>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pPr>
                    <w:widowControl/>
                    <w:autoSpaceDE/>
                    <w:autoSpaceDN/>
                    <w:jc w:val="center"/>
                    <w:rPr>
                      <w:lang w:eastAsia="zh-CN"/>
                    </w:rPr>
                  </w:pPr>
                  <w:r>
                    <w:rPr>
                      <w:lang w:eastAsia="zh-CN"/>
                    </w:rPr>
                    <w:t>序号</w:t>
                  </w:r>
                </w:p>
              </w:tc>
              <w:tc>
                <w:tcPr>
                  <w:tcW w:w="4692" w:type="dxa"/>
                  <w:gridSpan w:val="2"/>
                </w:tcPr>
                <w:p>
                  <w:pPr>
                    <w:widowControl/>
                    <w:autoSpaceDE/>
                    <w:autoSpaceDN/>
                    <w:jc w:val="center"/>
                    <w:rPr>
                      <w:lang w:eastAsia="zh-CN"/>
                    </w:rPr>
                  </w:pPr>
                  <w:r>
                    <w:rPr>
                      <w:lang w:eastAsia="zh-CN"/>
                    </w:rPr>
                    <w:t>物品名称</w:t>
                  </w:r>
                </w:p>
              </w:tc>
              <w:tc>
                <w:tcPr>
                  <w:tcW w:w="679" w:type="dxa"/>
                </w:tcPr>
                <w:p>
                  <w:pPr>
                    <w:widowControl/>
                    <w:autoSpaceDE/>
                    <w:autoSpaceDN/>
                    <w:jc w:val="center"/>
                    <w:rPr>
                      <w:lang w:eastAsia="zh-CN"/>
                    </w:rPr>
                  </w:pPr>
                  <w:r>
                    <w:rPr>
                      <w:lang w:eastAsia="zh-CN"/>
                    </w:rPr>
                    <w:t>数量</w:t>
                  </w:r>
                </w:p>
              </w:tc>
              <w:tc>
                <w:tcPr>
                  <w:tcW w:w="1029" w:type="dxa"/>
                </w:tcPr>
                <w:p>
                  <w:pPr>
                    <w:widowControl/>
                    <w:autoSpaceDE/>
                    <w:autoSpaceDN/>
                    <w:jc w:val="center"/>
                    <w:rPr>
                      <w:lang w:eastAsia="zh-CN"/>
                    </w:rPr>
                  </w:pPr>
                  <w:r>
                    <w:rPr>
                      <w:lang w:eastAsia="zh-CN"/>
                    </w:rPr>
                    <w:t>单价</w:t>
                  </w:r>
                </w:p>
              </w:tc>
              <w:tc>
                <w:tcPr>
                  <w:tcW w:w="957" w:type="dxa"/>
                </w:tcPr>
                <w:p>
                  <w:pPr>
                    <w:widowControl/>
                    <w:autoSpaceDE/>
                    <w:autoSpaceDN/>
                    <w:jc w:val="center"/>
                    <w:rPr>
                      <w:lang w:eastAsia="zh-CN"/>
                    </w:rPr>
                  </w:pPr>
                  <w:r>
                    <w:rPr>
                      <w:lang w:eastAsia="zh-CN"/>
                    </w:rPr>
                    <w:t>总价</w:t>
                  </w:r>
                </w:p>
              </w:tc>
              <w:tc>
                <w:tcPr>
                  <w:tcW w:w="1199" w:type="dxa"/>
                </w:tcPr>
                <w:p>
                  <w:pPr>
                    <w:widowControl/>
                    <w:autoSpaceDE/>
                    <w:autoSpaceDN/>
                    <w:jc w:val="center"/>
                    <w:rPr>
                      <w:lang w:eastAsia="zh-CN"/>
                    </w:rPr>
                  </w:pPr>
                  <w:r>
                    <w:rPr>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9" w:type="dxa"/>
                  <w:vAlign w:val="center"/>
                </w:tcPr>
                <w:p>
                  <w:pPr>
                    <w:widowControl/>
                    <w:autoSpaceDE/>
                    <w:autoSpaceDN/>
                    <w:jc w:val="center"/>
                    <w:rPr>
                      <w:lang w:eastAsia="zh-CN"/>
                    </w:rPr>
                  </w:pPr>
                  <w:r>
                    <w:rPr>
                      <w:rFonts w:hint="eastAsia"/>
                      <w:lang w:val="en-US" w:eastAsia="zh-CN"/>
                    </w:rPr>
                    <w:t>1</w:t>
                  </w:r>
                </w:p>
              </w:tc>
              <w:tc>
                <w:tcPr>
                  <w:tcW w:w="4692" w:type="dxa"/>
                  <w:gridSpan w:val="2"/>
                  <w:vAlign w:val="center"/>
                </w:tcPr>
                <w:p>
                  <w:pPr>
                    <w:widowControl/>
                    <w:autoSpaceDE/>
                    <w:autoSpaceDN/>
                    <w:jc w:val="center"/>
                    <w:rPr>
                      <w:lang w:eastAsia="zh-CN"/>
                    </w:rPr>
                  </w:pPr>
                  <w:r>
                    <w:rPr>
                      <w:rFonts w:hint="eastAsia"/>
                      <w:lang w:val="en-US" w:eastAsia="zh-CN"/>
                    </w:rPr>
                    <w:t>PX危险化学品重大危险辨识评估</w:t>
                  </w:r>
                </w:p>
              </w:tc>
              <w:tc>
                <w:tcPr>
                  <w:tcW w:w="679" w:type="dxa"/>
                  <w:vAlign w:val="center"/>
                </w:tcPr>
                <w:p>
                  <w:pPr>
                    <w:widowControl/>
                    <w:autoSpaceDE/>
                    <w:autoSpaceDN/>
                    <w:jc w:val="center"/>
                    <w:rPr>
                      <w:lang w:eastAsia="zh-CN"/>
                    </w:rPr>
                  </w:pPr>
                  <w:r>
                    <w:rPr>
                      <w:rFonts w:hint="eastAsia"/>
                      <w:lang w:val="en-US" w:eastAsia="zh-CN"/>
                    </w:rPr>
                    <w:t>1项</w:t>
                  </w:r>
                </w:p>
              </w:tc>
              <w:tc>
                <w:tcPr>
                  <w:tcW w:w="1029" w:type="dxa"/>
                  <w:vAlign w:val="top"/>
                </w:tcPr>
                <w:p>
                  <w:pPr>
                    <w:widowControl/>
                    <w:autoSpaceDE/>
                    <w:autoSpaceDN/>
                    <w:jc w:val="center"/>
                    <w:rPr>
                      <w:lang w:eastAsia="zh-CN"/>
                    </w:rPr>
                  </w:pPr>
                </w:p>
              </w:tc>
              <w:tc>
                <w:tcPr>
                  <w:tcW w:w="957" w:type="dxa"/>
                  <w:vAlign w:val="top"/>
                </w:tcPr>
                <w:p>
                  <w:pPr>
                    <w:widowControl/>
                    <w:autoSpaceDE/>
                    <w:autoSpaceDN/>
                    <w:jc w:val="center"/>
                    <w:rPr>
                      <w:lang w:eastAsia="zh-CN"/>
                    </w:rPr>
                  </w:pPr>
                </w:p>
              </w:tc>
              <w:tc>
                <w:tcPr>
                  <w:tcW w:w="1199" w:type="dxa"/>
                  <w:vAlign w:val="center"/>
                </w:tcPr>
                <w:p>
                  <w:pPr>
                    <w:widowControl/>
                    <w:autoSpaceDE/>
                    <w:autoSpaceDN/>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79" w:type="dxa"/>
                  <w:vAlign w:val="center"/>
                </w:tcPr>
                <w:p>
                  <w:pPr>
                    <w:widowControl/>
                    <w:autoSpaceDE/>
                    <w:autoSpaceDN/>
                    <w:jc w:val="center"/>
                    <w:rPr>
                      <w:rFonts w:hint="default"/>
                      <w:lang w:val="en-US" w:eastAsia="zh-CN"/>
                    </w:rPr>
                  </w:pPr>
                  <w:r>
                    <w:rPr>
                      <w:rFonts w:hint="eastAsia"/>
                      <w:lang w:val="en-US" w:eastAsia="zh-CN"/>
                    </w:rPr>
                    <w:t>2</w:t>
                  </w:r>
                </w:p>
              </w:tc>
              <w:tc>
                <w:tcPr>
                  <w:tcW w:w="4692" w:type="dxa"/>
                  <w:gridSpan w:val="2"/>
                  <w:vAlign w:val="center"/>
                </w:tcPr>
                <w:p>
                  <w:pPr>
                    <w:widowControl/>
                    <w:autoSpaceDE/>
                    <w:autoSpaceDN/>
                    <w:jc w:val="center"/>
                    <w:rPr>
                      <w:lang w:eastAsia="zh-CN"/>
                    </w:rPr>
                  </w:pPr>
                  <w:r>
                    <w:rPr>
                      <w:rFonts w:hint="eastAsia"/>
                      <w:lang w:val="en-US" w:eastAsia="zh-CN"/>
                    </w:rPr>
                    <w:t>PTA危险化学品重大危险辨识评估</w:t>
                  </w:r>
                </w:p>
              </w:tc>
              <w:tc>
                <w:tcPr>
                  <w:tcW w:w="679" w:type="dxa"/>
                  <w:vAlign w:val="center"/>
                </w:tcPr>
                <w:p>
                  <w:pPr>
                    <w:widowControl/>
                    <w:autoSpaceDE/>
                    <w:autoSpaceDN/>
                    <w:jc w:val="center"/>
                    <w:rPr>
                      <w:rFonts w:hint="eastAsia"/>
                      <w:lang w:val="en-US" w:eastAsia="zh-CN"/>
                    </w:rPr>
                  </w:pPr>
                  <w:r>
                    <w:rPr>
                      <w:rFonts w:hint="eastAsia"/>
                      <w:lang w:val="en-US" w:eastAsia="zh-CN"/>
                    </w:rPr>
                    <w:t>1项</w:t>
                  </w:r>
                </w:p>
              </w:tc>
              <w:tc>
                <w:tcPr>
                  <w:tcW w:w="1029" w:type="dxa"/>
                  <w:vAlign w:val="top"/>
                </w:tcPr>
                <w:p>
                  <w:pPr>
                    <w:widowControl/>
                    <w:autoSpaceDE/>
                    <w:autoSpaceDN/>
                    <w:jc w:val="center"/>
                    <w:rPr>
                      <w:lang w:eastAsia="zh-CN"/>
                    </w:rPr>
                  </w:pPr>
                </w:p>
              </w:tc>
              <w:tc>
                <w:tcPr>
                  <w:tcW w:w="957" w:type="dxa"/>
                  <w:vAlign w:val="top"/>
                </w:tcPr>
                <w:p>
                  <w:pPr>
                    <w:widowControl/>
                    <w:autoSpaceDE/>
                    <w:autoSpaceDN/>
                    <w:jc w:val="center"/>
                    <w:rPr>
                      <w:lang w:eastAsia="zh-CN"/>
                    </w:rPr>
                  </w:pPr>
                </w:p>
              </w:tc>
              <w:tc>
                <w:tcPr>
                  <w:tcW w:w="1199" w:type="dxa"/>
                  <w:vAlign w:val="center"/>
                </w:tcPr>
                <w:p>
                  <w:pPr>
                    <w:widowControl/>
                    <w:autoSpaceDE/>
                    <w:autoSpaceDN/>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79" w:type="dxa"/>
                  <w:vAlign w:val="center"/>
                </w:tcPr>
                <w:p>
                  <w:pPr>
                    <w:widowControl/>
                    <w:autoSpaceDE/>
                    <w:autoSpaceDN/>
                    <w:jc w:val="center"/>
                    <w:rPr>
                      <w:rFonts w:hint="default"/>
                      <w:lang w:val="en-US" w:eastAsia="zh-CN"/>
                    </w:rPr>
                  </w:pPr>
                  <w:r>
                    <w:rPr>
                      <w:rFonts w:hint="eastAsia"/>
                      <w:lang w:val="en-US" w:eastAsia="zh-CN"/>
                    </w:rPr>
                    <w:t>3</w:t>
                  </w:r>
                </w:p>
              </w:tc>
              <w:tc>
                <w:tcPr>
                  <w:tcW w:w="4692" w:type="dxa"/>
                  <w:gridSpan w:val="2"/>
                  <w:vAlign w:val="center"/>
                </w:tcPr>
                <w:p>
                  <w:pPr>
                    <w:widowControl/>
                    <w:autoSpaceDE/>
                    <w:autoSpaceDN/>
                    <w:jc w:val="center"/>
                    <w:rPr>
                      <w:lang w:eastAsia="zh-CN"/>
                    </w:rPr>
                  </w:pPr>
                  <w:r>
                    <w:rPr>
                      <w:rFonts w:hint="eastAsia"/>
                      <w:lang w:val="en-US" w:eastAsia="zh-CN"/>
                    </w:rPr>
                    <w:t>PX安全现状评价</w:t>
                  </w:r>
                </w:p>
              </w:tc>
              <w:tc>
                <w:tcPr>
                  <w:tcW w:w="679" w:type="dxa"/>
                  <w:vAlign w:val="center"/>
                </w:tcPr>
                <w:p>
                  <w:pPr>
                    <w:widowControl/>
                    <w:autoSpaceDE/>
                    <w:autoSpaceDN/>
                    <w:jc w:val="center"/>
                    <w:rPr>
                      <w:rFonts w:hint="eastAsia"/>
                      <w:lang w:val="en-US" w:eastAsia="zh-CN"/>
                    </w:rPr>
                  </w:pPr>
                  <w:r>
                    <w:rPr>
                      <w:rFonts w:hint="eastAsia"/>
                      <w:lang w:val="en-US" w:eastAsia="zh-CN"/>
                    </w:rPr>
                    <w:t>1项</w:t>
                  </w:r>
                </w:p>
              </w:tc>
              <w:tc>
                <w:tcPr>
                  <w:tcW w:w="1029" w:type="dxa"/>
                  <w:vAlign w:val="top"/>
                </w:tcPr>
                <w:p>
                  <w:pPr>
                    <w:widowControl/>
                    <w:autoSpaceDE/>
                    <w:autoSpaceDN/>
                    <w:jc w:val="center"/>
                    <w:rPr>
                      <w:lang w:eastAsia="zh-CN"/>
                    </w:rPr>
                  </w:pPr>
                </w:p>
              </w:tc>
              <w:tc>
                <w:tcPr>
                  <w:tcW w:w="957" w:type="dxa"/>
                  <w:vAlign w:val="top"/>
                </w:tcPr>
                <w:p>
                  <w:pPr>
                    <w:widowControl/>
                    <w:autoSpaceDE/>
                    <w:autoSpaceDN/>
                    <w:jc w:val="center"/>
                    <w:rPr>
                      <w:lang w:eastAsia="zh-CN"/>
                    </w:rPr>
                  </w:pPr>
                </w:p>
              </w:tc>
              <w:tc>
                <w:tcPr>
                  <w:tcW w:w="1199" w:type="dxa"/>
                  <w:vAlign w:val="center"/>
                </w:tcPr>
                <w:p>
                  <w:pPr>
                    <w:widowControl/>
                    <w:autoSpaceDE/>
                    <w:autoSpaceDN/>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855" w:type="dxa"/>
                <w:trHeight w:val="331" w:hRule="atLeast"/>
                <w:jc w:val="center"/>
              </w:trPr>
              <w:tc>
                <w:tcPr>
                  <w:tcW w:w="2380" w:type="dxa"/>
                  <w:gridSpan w:val="2"/>
                </w:tcPr>
                <w:p>
                  <w:pPr>
                    <w:widowControl/>
                    <w:autoSpaceDE/>
                    <w:autoSpaceDN/>
                    <w:jc w:val="center"/>
                    <w:rPr>
                      <w:lang w:eastAsia="zh-CN"/>
                    </w:rPr>
                  </w:pPr>
                  <w:r>
                    <w:rPr>
                      <w:lang w:eastAsia="zh-CN"/>
                    </w:rPr>
                    <w:t xml:space="preserve">     (含</w:t>
                  </w:r>
                  <w:r>
                    <w:rPr>
                      <w:rFonts w:hint="eastAsia"/>
                      <w:lang w:val="en-US" w:eastAsia="zh-CN"/>
                    </w:rPr>
                    <w:t>6</w:t>
                  </w:r>
                  <w:r>
                    <w:rPr>
                      <w:rFonts w:hint="eastAsia"/>
                      <w:lang w:eastAsia="zh-CN"/>
                    </w:rPr>
                    <w:t>%</w:t>
                  </w:r>
                  <w:r>
                    <w:rPr>
                      <w:lang w:eastAsia="zh-CN"/>
                    </w:rPr>
                    <w:t>增值税</w:t>
                  </w:r>
                  <w:r>
                    <w:rPr>
                      <w:rFonts w:hint="eastAsia"/>
                      <w:lang w:eastAsia="zh-CN"/>
                    </w:rPr>
                    <w:t>)</w:t>
                  </w:r>
                </w:p>
              </w:tc>
            </w:tr>
          </w:tbl>
          <w:p>
            <w:pPr>
              <w:pStyle w:val="2"/>
            </w:pPr>
          </w:p>
        </w:tc>
      </w:tr>
    </w:tbl>
    <w:p>
      <w:pPr>
        <w:snapToGrid w:val="0"/>
        <w:spacing w:line="360" w:lineRule="auto"/>
        <w:rPr>
          <w:rFonts w:asciiTheme="minorEastAsia" w:hAnsiTheme="minorEastAsia" w:eastAsiaTheme="minorEastAsia"/>
          <w:sz w:val="24"/>
          <w:szCs w:val="24"/>
          <w:lang w:eastAsia="zh-CN"/>
        </w:rPr>
      </w:pP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500" w:lineRule="exact"/>
        <w:rPr>
          <w:color w:val="4E6127"/>
          <w:sz w:val="28"/>
          <w:u w:val="single"/>
          <w:lang w:eastAsia="zh-CN"/>
        </w:rPr>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37</w:t>
            </w:r>
            <w:r>
              <w:rPr>
                <w:b/>
                <w:bCs/>
                <w:sz w:val="24"/>
                <w:szCs w:val="24"/>
              </w:rPr>
              <w:fldChar w:fldCharType="end"/>
            </w:r>
          </w:p>
        </w:sdtContent>
      </w:sdt>
    </w:sdtContent>
  </w:sdt>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37</w:t>
            </w:r>
            <w:r>
              <w:rPr>
                <w:b/>
                <w:bCs/>
                <w:sz w:val="24"/>
                <w:szCs w:val="24"/>
              </w:rPr>
              <w:fldChar w:fldCharType="end"/>
            </w:r>
          </w:p>
        </w:sdtContent>
      </w:sdt>
    </w:sdtContent>
  </w:sdt>
  <w:p>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371223"/>
      <w:docPartObj>
        <w:docPartGallery w:val="autotext"/>
      </w:docPartObj>
    </w:sdtPr>
    <w:sdtContent>
      <w:p>
        <w:pPr>
          <w:pStyle w:val="30"/>
          <w:jc w:val="center"/>
        </w:pPr>
        <w:r>
          <w:fldChar w:fldCharType="begin"/>
        </w:r>
        <w:r>
          <w:instrText xml:space="preserve">PAGE   \* MERGEFORMAT</w:instrText>
        </w:r>
        <w:r>
          <w:fldChar w:fldCharType="separate"/>
        </w:r>
        <w:r>
          <w:rPr>
            <w:lang w:val="zh-CN" w:eastAsia="zh-CN"/>
          </w:rPr>
          <w:t>19</w:t>
        </w:r>
        <w:r>
          <w:fldChar w:fldCharType="end"/>
        </w:r>
      </w:p>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47A04164"/>
    <w:multiLevelType w:val="singleLevel"/>
    <w:tmpl w:val="47A04164"/>
    <w:lvl w:ilvl="0" w:tentative="0">
      <w:start w:val="1"/>
      <w:numFmt w:val="decimal"/>
      <w:lvlText w:val="%1."/>
      <w:lvlJc w:val="left"/>
      <w:pPr>
        <w:tabs>
          <w:tab w:val="left" w:pos="312"/>
        </w:tabs>
      </w:pPr>
    </w:lvl>
  </w:abstractNum>
  <w:abstractNum w:abstractNumId="5">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6">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3AFA"/>
    <w:rsid w:val="00055F7B"/>
    <w:rsid w:val="00057E4C"/>
    <w:rsid w:val="000600D0"/>
    <w:rsid w:val="00060DB7"/>
    <w:rsid w:val="00065E22"/>
    <w:rsid w:val="000674E3"/>
    <w:rsid w:val="00074760"/>
    <w:rsid w:val="00074EAF"/>
    <w:rsid w:val="00085CA2"/>
    <w:rsid w:val="00092243"/>
    <w:rsid w:val="0009500D"/>
    <w:rsid w:val="000962C0"/>
    <w:rsid w:val="000A1C86"/>
    <w:rsid w:val="000A6182"/>
    <w:rsid w:val="000B0914"/>
    <w:rsid w:val="000B2F35"/>
    <w:rsid w:val="000C1FAD"/>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3DDE"/>
    <w:rsid w:val="001C5843"/>
    <w:rsid w:val="001D13DE"/>
    <w:rsid w:val="001E3C0E"/>
    <w:rsid w:val="001E5BEC"/>
    <w:rsid w:val="001F3956"/>
    <w:rsid w:val="001F3D0A"/>
    <w:rsid w:val="00200CED"/>
    <w:rsid w:val="0020141D"/>
    <w:rsid w:val="00210B50"/>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02EE"/>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A16AE"/>
    <w:rsid w:val="003B3C4F"/>
    <w:rsid w:val="003B3F6B"/>
    <w:rsid w:val="003B6804"/>
    <w:rsid w:val="003B7CBD"/>
    <w:rsid w:val="003C1AF2"/>
    <w:rsid w:val="003E37C1"/>
    <w:rsid w:val="003E422E"/>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4DAE"/>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7747B"/>
    <w:rsid w:val="0068543C"/>
    <w:rsid w:val="006940F9"/>
    <w:rsid w:val="00694FFE"/>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7F78F1"/>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239D"/>
    <w:rsid w:val="008F3559"/>
    <w:rsid w:val="009032FB"/>
    <w:rsid w:val="00915CA6"/>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CA3"/>
    <w:rsid w:val="00A45F18"/>
    <w:rsid w:val="00A614C8"/>
    <w:rsid w:val="00A62247"/>
    <w:rsid w:val="00A6610B"/>
    <w:rsid w:val="00A70480"/>
    <w:rsid w:val="00A7270C"/>
    <w:rsid w:val="00A82B0B"/>
    <w:rsid w:val="00A878E0"/>
    <w:rsid w:val="00A87B9C"/>
    <w:rsid w:val="00A9577B"/>
    <w:rsid w:val="00A9762D"/>
    <w:rsid w:val="00A97BAC"/>
    <w:rsid w:val="00AB4B33"/>
    <w:rsid w:val="00AB4D58"/>
    <w:rsid w:val="00AB520D"/>
    <w:rsid w:val="00AB5916"/>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36554"/>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5C83"/>
    <w:rsid w:val="00C864FC"/>
    <w:rsid w:val="00C8727A"/>
    <w:rsid w:val="00C913CE"/>
    <w:rsid w:val="00C92DBD"/>
    <w:rsid w:val="00C93BEF"/>
    <w:rsid w:val="00CA54A9"/>
    <w:rsid w:val="00CB2E01"/>
    <w:rsid w:val="00CB3440"/>
    <w:rsid w:val="00CB5372"/>
    <w:rsid w:val="00CC294A"/>
    <w:rsid w:val="00CC6798"/>
    <w:rsid w:val="00CD371C"/>
    <w:rsid w:val="00CD3723"/>
    <w:rsid w:val="00CD623F"/>
    <w:rsid w:val="00CD7E0C"/>
    <w:rsid w:val="00CE2DB4"/>
    <w:rsid w:val="00CE411C"/>
    <w:rsid w:val="00CE591F"/>
    <w:rsid w:val="00CF173B"/>
    <w:rsid w:val="00CF40A1"/>
    <w:rsid w:val="00D033EB"/>
    <w:rsid w:val="00D0533F"/>
    <w:rsid w:val="00D10EC7"/>
    <w:rsid w:val="00D14D07"/>
    <w:rsid w:val="00D20FBB"/>
    <w:rsid w:val="00D265B9"/>
    <w:rsid w:val="00D328B1"/>
    <w:rsid w:val="00D33933"/>
    <w:rsid w:val="00D33CA0"/>
    <w:rsid w:val="00D3426F"/>
    <w:rsid w:val="00D4446E"/>
    <w:rsid w:val="00D463C4"/>
    <w:rsid w:val="00D4666F"/>
    <w:rsid w:val="00D47881"/>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1B99"/>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3B7B"/>
    <w:rsid w:val="00E56799"/>
    <w:rsid w:val="00E6494A"/>
    <w:rsid w:val="00E70964"/>
    <w:rsid w:val="00E739AE"/>
    <w:rsid w:val="00E80BDD"/>
    <w:rsid w:val="00E85991"/>
    <w:rsid w:val="00E93446"/>
    <w:rsid w:val="00E94724"/>
    <w:rsid w:val="00E975FE"/>
    <w:rsid w:val="00E97CE7"/>
    <w:rsid w:val="00EA5A6E"/>
    <w:rsid w:val="00EC4D7E"/>
    <w:rsid w:val="00EC50D4"/>
    <w:rsid w:val="00EC5462"/>
    <w:rsid w:val="00ED19AE"/>
    <w:rsid w:val="00ED20C8"/>
    <w:rsid w:val="00ED2C9E"/>
    <w:rsid w:val="00ED4FC5"/>
    <w:rsid w:val="00EF1FCA"/>
    <w:rsid w:val="00EF5762"/>
    <w:rsid w:val="00EF6FC7"/>
    <w:rsid w:val="00EF7961"/>
    <w:rsid w:val="00F024A8"/>
    <w:rsid w:val="00F04BFC"/>
    <w:rsid w:val="00F04FCE"/>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78C0"/>
    <w:rsid w:val="00FB0C70"/>
    <w:rsid w:val="00FB7A38"/>
    <w:rsid w:val="00FC6A22"/>
    <w:rsid w:val="00FD0D54"/>
    <w:rsid w:val="00FD1B14"/>
    <w:rsid w:val="00FD1DC9"/>
    <w:rsid w:val="00FD29D5"/>
    <w:rsid w:val="00FE65F9"/>
    <w:rsid w:val="00FF49E8"/>
    <w:rsid w:val="00FF5F83"/>
    <w:rsid w:val="023252A2"/>
    <w:rsid w:val="0367315B"/>
    <w:rsid w:val="03913EC3"/>
    <w:rsid w:val="05D51A0D"/>
    <w:rsid w:val="061139E5"/>
    <w:rsid w:val="06F50B00"/>
    <w:rsid w:val="076E1278"/>
    <w:rsid w:val="084F74EF"/>
    <w:rsid w:val="08D1141D"/>
    <w:rsid w:val="095B4A6D"/>
    <w:rsid w:val="0A49286F"/>
    <w:rsid w:val="0B296DE2"/>
    <w:rsid w:val="10294AA3"/>
    <w:rsid w:val="10457A00"/>
    <w:rsid w:val="10E40CA0"/>
    <w:rsid w:val="136130D9"/>
    <w:rsid w:val="15800409"/>
    <w:rsid w:val="18DD4F7E"/>
    <w:rsid w:val="195B58A2"/>
    <w:rsid w:val="1E085A14"/>
    <w:rsid w:val="1E5C2A50"/>
    <w:rsid w:val="1FF43DDB"/>
    <w:rsid w:val="21933AA2"/>
    <w:rsid w:val="236830C4"/>
    <w:rsid w:val="25BF356F"/>
    <w:rsid w:val="25DB0C2D"/>
    <w:rsid w:val="269469E7"/>
    <w:rsid w:val="283D07AE"/>
    <w:rsid w:val="2998140D"/>
    <w:rsid w:val="29FC3B14"/>
    <w:rsid w:val="2B11792E"/>
    <w:rsid w:val="2E2B7C0C"/>
    <w:rsid w:val="31C54755"/>
    <w:rsid w:val="3216608C"/>
    <w:rsid w:val="34CE14C6"/>
    <w:rsid w:val="34D84CEC"/>
    <w:rsid w:val="37AF5AB7"/>
    <w:rsid w:val="38040B2A"/>
    <w:rsid w:val="3B1C3371"/>
    <w:rsid w:val="3CC23198"/>
    <w:rsid w:val="3DDF4815"/>
    <w:rsid w:val="3F3D1B0A"/>
    <w:rsid w:val="3FE669E5"/>
    <w:rsid w:val="462A54F2"/>
    <w:rsid w:val="4A2A7AF9"/>
    <w:rsid w:val="50F63E28"/>
    <w:rsid w:val="5221007F"/>
    <w:rsid w:val="52926B5A"/>
    <w:rsid w:val="545C5E51"/>
    <w:rsid w:val="546C4BF0"/>
    <w:rsid w:val="5486175B"/>
    <w:rsid w:val="57667D24"/>
    <w:rsid w:val="57CE5BC3"/>
    <w:rsid w:val="5AE1516A"/>
    <w:rsid w:val="5B1B5EAF"/>
    <w:rsid w:val="5B6A3A79"/>
    <w:rsid w:val="5C1A5F7B"/>
    <w:rsid w:val="604E333B"/>
    <w:rsid w:val="633C4323"/>
    <w:rsid w:val="645771F8"/>
    <w:rsid w:val="69C617BF"/>
    <w:rsid w:val="6A54112D"/>
    <w:rsid w:val="6AA035AE"/>
    <w:rsid w:val="6D5C1AC9"/>
    <w:rsid w:val="6E0F2E14"/>
    <w:rsid w:val="6F1E141D"/>
    <w:rsid w:val="6F5354F8"/>
    <w:rsid w:val="740A2BDE"/>
    <w:rsid w:val="751839E0"/>
    <w:rsid w:val="76274F93"/>
    <w:rsid w:val="79EB3F2F"/>
    <w:rsid w:val="7B11789E"/>
    <w:rsid w:val="7CFD438A"/>
    <w:rsid w:val="7DB62A53"/>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60"/>
    <w:qFormat/>
    <w:uiPriority w:val="0"/>
    <w:pPr>
      <w:ind w:left="538"/>
      <w:outlineLvl w:val="0"/>
    </w:pPr>
    <w:rPr>
      <w:b/>
      <w:bCs/>
      <w:sz w:val="28"/>
      <w:szCs w:val="28"/>
    </w:rPr>
  </w:style>
  <w:style w:type="paragraph" w:styleId="4">
    <w:name w:val="heading 2"/>
    <w:basedOn w:val="1"/>
    <w:next w:val="1"/>
    <w:link w:val="61"/>
    <w:qFormat/>
    <w:uiPriority w:val="0"/>
    <w:pPr>
      <w:ind w:left="629"/>
      <w:outlineLvl w:val="1"/>
    </w:pPr>
    <w:rPr>
      <w:b/>
      <w:bCs/>
      <w:sz w:val="24"/>
      <w:szCs w:val="24"/>
    </w:rPr>
  </w:style>
  <w:style w:type="paragraph" w:styleId="5">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Subtitle"/>
    <w:basedOn w:val="1"/>
    <w:next w:val="1"/>
    <w:link w:val="211"/>
    <w:qFormat/>
    <w:uiPriority w:val="0"/>
    <w:pPr>
      <w:autoSpaceDE/>
      <w:autoSpaceDN/>
      <w:spacing w:before="240" w:after="60" w:line="312" w:lineRule="auto"/>
      <w:outlineLvl w:val="1"/>
    </w:pPr>
    <w:rPr>
      <w:rFonts w:ascii="Cambria" w:hAnsi="Cambria" w:cs="Times New Roman"/>
      <w:b/>
      <w:bCs/>
      <w:kern w:val="28"/>
      <w:sz w:val="24"/>
      <w:szCs w:val="32"/>
      <w:lang w:eastAsia="zh-CN"/>
    </w:rPr>
  </w:style>
  <w:style w:type="paragraph" w:styleId="35">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3">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5">
    <w:name w:val="annotation subject"/>
    <w:basedOn w:val="17"/>
    <w:next w:val="17"/>
    <w:link w:val="103"/>
    <w:qFormat/>
    <w:uiPriority w:val="0"/>
    <w:pPr>
      <w:widowControl/>
    </w:pPr>
    <w:rPr>
      <w:b/>
      <w:bCs/>
      <w:sz w:val="24"/>
      <w:szCs w:val="24"/>
    </w:rPr>
  </w:style>
  <w:style w:type="paragraph" w:styleId="46">
    <w:name w:val="Body Text First Indent"/>
    <w:basedOn w:val="20"/>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none"/>
    </w:rPr>
  </w:style>
  <w:style w:type="character" w:styleId="53">
    <w:name w:val="Emphasis"/>
    <w:basedOn w:val="49"/>
    <w:qFormat/>
    <w:uiPriority w:val="0"/>
  </w:style>
  <w:style w:type="character" w:styleId="54">
    <w:name w:val="HTML Definition"/>
    <w:basedOn w:val="49"/>
    <w:semiHidden/>
    <w:unhideWhenUsed/>
    <w:qFormat/>
    <w:uiPriority w:val="0"/>
  </w:style>
  <w:style w:type="character" w:styleId="55">
    <w:name w:val="HTML Variable"/>
    <w:basedOn w:val="49"/>
    <w:semiHidden/>
    <w:unhideWhenUsed/>
    <w:qFormat/>
    <w:uiPriority w:val="0"/>
  </w:style>
  <w:style w:type="character" w:styleId="56">
    <w:name w:val="Hyperlink"/>
    <w:basedOn w:val="49"/>
    <w:qFormat/>
    <w:uiPriority w:val="0"/>
    <w:rPr>
      <w:color w:val="0000FF" w:themeColor="hyperlink"/>
      <w:u w:val="single"/>
    </w:rPr>
  </w:style>
  <w:style w:type="character" w:styleId="57">
    <w:name w:val="HTML Code"/>
    <w:basedOn w:val="49"/>
    <w:semiHidden/>
    <w:unhideWhenUsed/>
    <w:qFormat/>
    <w:uiPriority w:val="0"/>
    <w:rPr>
      <w:rFonts w:ascii="Courier New" w:hAnsi="Courier New"/>
      <w:sz w:val="20"/>
    </w:rPr>
  </w:style>
  <w:style w:type="character" w:styleId="58">
    <w:name w:val="annotation reference"/>
    <w:basedOn w:val="49"/>
    <w:qFormat/>
    <w:uiPriority w:val="0"/>
    <w:rPr>
      <w:sz w:val="21"/>
      <w:szCs w:val="21"/>
    </w:rPr>
  </w:style>
  <w:style w:type="character" w:styleId="59">
    <w:name w:val="HTML Cite"/>
    <w:basedOn w:val="49"/>
    <w:semiHidden/>
    <w:unhideWhenUsed/>
    <w:qFormat/>
    <w:uiPriority w:val="0"/>
  </w:style>
  <w:style w:type="character" w:customStyle="1" w:styleId="60">
    <w:name w:val="标题 1 Char"/>
    <w:basedOn w:val="49"/>
    <w:link w:val="3"/>
    <w:qFormat/>
    <w:uiPriority w:val="0"/>
    <w:rPr>
      <w:rFonts w:ascii="宋体" w:hAnsi="宋体" w:cs="宋体"/>
      <w:b/>
      <w:bCs/>
      <w:sz w:val="28"/>
      <w:szCs w:val="28"/>
      <w:lang w:eastAsia="en-US"/>
    </w:rPr>
  </w:style>
  <w:style w:type="character" w:customStyle="1" w:styleId="61">
    <w:name w:val="标题 2 Char"/>
    <w:basedOn w:val="49"/>
    <w:link w:val="4"/>
    <w:qFormat/>
    <w:uiPriority w:val="0"/>
    <w:rPr>
      <w:rFonts w:ascii="宋体" w:hAnsi="宋体" w:cs="宋体"/>
      <w:b/>
      <w:bCs/>
      <w:sz w:val="24"/>
      <w:szCs w:val="24"/>
      <w:lang w:eastAsia="en-US"/>
    </w:rPr>
  </w:style>
  <w:style w:type="character" w:customStyle="1" w:styleId="62">
    <w:name w:val="标题 3 Char"/>
    <w:basedOn w:val="49"/>
    <w:link w:val="5"/>
    <w:qFormat/>
    <w:uiPriority w:val="0"/>
    <w:rPr>
      <w:b/>
      <w:bCs/>
      <w:kern w:val="2"/>
      <w:sz w:val="32"/>
      <w:szCs w:val="32"/>
    </w:rPr>
  </w:style>
  <w:style w:type="character" w:customStyle="1" w:styleId="63">
    <w:name w:val="标题 4 Char"/>
    <w:basedOn w:val="49"/>
    <w:link w:val="6"/>
    <w:qFormat/>
    <w:uiPriority w:val="0"/>
    <w:rPr>
      <w:b/>
      <w:kern w:val="2"/>
      <w:sz w:val="24"/>
      <w:szCs w:val="24"/>
    </w:rPr>
  </w:style>
  <w:style w:type="character" w:customStyle="1" w:styleId="64">
    <w:name w:val="标题 5 Char"/>
    <w:basedOn w:val="49"/>
    <w:link w:val="7"/>
    <w:qFormat/>
    <w:uiPriority w:val="0"/>
    <w:rPr>
      <w:b/>
      <w:bCs/>
      <w:kern w:val="2"/>
      <w:sz w:val="28"/>
      <w:szCs w:val="28"/>
    </w:rPr>
  </w:style>
  <w:style w:type="character" w:customStyle="1" w:styleId="65">
    <w:name w:val="标题 6 Char"/>
    <w:basedOn w:val="49"/>
    <w:link w:val="8"/>
    <w:qFormat/>
    <w:uiPriority w:val="0"/>
    <w:rPr>
      <w:b/>
      <w:sz w:val="24"/>
    </w:rPr>
  </w:style>
  <w:style w:type="character" w:customStyle="1" w:styleId="66">
    <w:name w:val="正文缩进 Char"/>
    <w:basedOn w:val="49"/>
    <w:link w:val="10"/>
    <w:qFormat/>
    <w:uiPriority w:val="0"/>
    <w:rPr>
      <w:sz w:val="24"/>
    </w:rPr>
  </w:style>
  <w:style w:type="character" w:customStyle="1" w:styleId="67">
    <w:name w:val="标题 7 Char"/>
    <w:basedOn w:val="49"/>
    <w:link w:val="9"/>
    <w:qFormat/>
    <w:uiPriority w:val="0"/>
    <w:rPr>
      <w:b/>
      <w:kern w:val="2"/>
      <w:sz w:val="24"/>
    </w:rPr>
  </w:style>
  <w:style w:type="character" w:customStyle="1" w:styleId="68">
    <w:name w:val="标题 8 Char"/>
    <w:basedOn w:val="49"/>
    <w:link w:val="11"/>
    <w:qFormat/>
    <w:uiPriority w:val="0"/>
    <w:rPr>
      <w:rFonts w:ascii="Arial" w:hAnsi="Arial" w:eastAsia="黑体"/>
      <w:kern w:val="2"/>
      <w:sz w:val="24"/>
    </w:rPr>
  </w:style>
  <w:style w:type="character" w:customStyle="1" w:styleId="69">
    <w:name w:val="标题 9 Char"/>
    <w:basedOn w:val="49"/>
    <w:link w:val="12"/>
    <w:qFormat/>
    <w:uiPriority w:val="0"/>
    <w:rPr>
      <w:rFonts w:ascii="Arial" w:hAnsi="Arial" w:eastAsia="黑体"/>
      <w:kern w:val="2"/>
      <w:sz w:val="21"/>
    </w:rPr>
  </w:style>
  <w:style w:type="character" w:customStyle="1" w:styleId="70">
    <w:name w:val="正文文本 Char1"/>
    <w:basedOn w:val="49"/>
    <w:link w:val="20"/>
    <w:qFormat/>
    <w:uiPriority w:val="1"/>
    <w:rPr>
      <w:rFonts w:ascii="宋体" w:hAnsi="宋体" w:cs="宋体"/>
      <w:sz w:val="24"/>
      <w:szCs w:val="24"/>
      <w:lang w:eastAsia="en-US"/>
    </w:rPr>
  </w:style>
  <w:style w:type="character" w:customStyle="1" w:styleId="71">
    <w:name w:val="纯文本 Char"/>
    <w:basedOn w:val="49"/>
    <w:link w:val="25"/>
    <w:qFormat/>
    <w:uiPriority w:val="0"/>
    <w:rPr>
      <w:rFonts w:ascii="宋体" w:hAnsi="Courier New" w:cs="Courier New"/>
      <w:sz w:val="22"/>
      <w:szCs w:val="21"/>
      <w:lang w:eastAsia="en-US"/>
    </w:rPr>
  </w:style>
  <w:style w:type="character" w:customStyle="1" w:styleId="72">
    <w:name w:val="页脚 Char"/>
    <w:basedOn w:val="49"/>
    <w:link w:val="30"/>
    <w:qFormat/>
    <w:uiPriority w:val="99"/>
    <w:rPr>
      <w:rFonts w:ascii="宋体" w:hAnsi="宋体" w:cs="宋体"/>
      <w:sz w:val="18"/>
      <w:szCs w:val="18"/>
      <w:lang w:eastAsia="en-US"/>
    </w:rPr>
  </w:style>
  <w:style w:type="character" w:customStyle="1" w:styleId="73">
    <w:name w:val="页眉 Char"/>
    <w:basedOn w:val="49"/>
    <w:link w:val="31"/>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49"/>
    <w:link w:val="19"/>
    <w:qFormat/>
    <w:uiPriority w:val="0"/>
    <w:rPr>
      <w:b/>
      <w:kern w:val="2"/>
      <w:sz w:val="21"/>
    </w:rPr>
  </w:style>
  <w:style w:type="character" w:customStyle="1" w:styleId="81">
    <w:name w:val="普通(网站) Char"/>
    <w:basedOn w:val="49"/>
    <w:link w:val="42"/>
    <w:qFormat/>
    <w:locked/>
    <w:uiPriority w:val="0"/>
    <w:rPr>
      <w:rFonts w:ascii="宋体" w:hAnsi="宋体" w:cs="宋体"/>
      <w:sz w:val="24"/>
      <w:szCs w:val="24"/>
    </w:rPr>
  </w:style>
  <w:style w:type="character" w:customStyle="1" w:styleId="82">
    <w:name w:val="xdrichtextbox2"/>
    <w:basedOn w:val="49"/>
    <w:qFormat/>
    <w:uiPriority w:val="0"/>
    <w:rPr>
      <w:color w:val="0000FF"/>
      <w:sz w:val="18"/>
      <w:szCs w:val="18"/>
      <w:u w:val="none"/>
      <w:bdr w:val="single" w:color="DCDCDC" w:sz="8" w:space="0"/>
      <w:shd w:val="clear" w:color="auto" w:fill="FFFFFF"/>
    </w:rPr>
  </w:style>
  <w:style w:type="character" w:customStyle="1" w:styleId="83">
    <w:name w:val="apple-converted-space"/>
    <w:basedOn w:val="49"/>
    <w:qFormat/>
    <w:uiPriority w:val="0"/>
  </w:style>
  <w:style w:type="character" w:customStyle="1" w:styleId="84">
    <w:name w:val="无间隔 Char"/>
    <w:basedOn w:val="49"/>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49"/>
    <w:link w:val="17"/>
    <w:qFormat/>
    <w:uiPriority w:val="0"/>
    <w:rPr>
      <w:kern w:val="2"/>
      <w:sz w:val="21"/>
    </w:rPr>
  </w:style>
  <w:style w:type="character" w:customStyle="1" w:styleId="87">
    <w:name w:val="批注框文本 Char"/>
    <w:basedOn w:val="49"/>
    <w:link w:val="29"/>
    <w:qFormat/>
    <w:uiPriority w:val="0"/>
    <w:rPr>
      <w:kern w:val="2"/>
      <w:sz w:val="18"/>
      <w:szCs w:val="18"/>
    </w:rPr>
  </w:style>
  <w:style w:type="character" w:customStyle="1" w:styleId="88">
    <w:name w:val="正文文本缩进 3 Char"/>
    <w:basedOn w:val="49"/>
    <w:link w:val="36"/>
    <w:qFormat/>
    <w:uiPriority w:val="0"/>
    <w:rPr>
      <w:kern w:val="2"/>
      <w:sz w:val="28"/>
    </w:rPr>
  </w:style>
  <w:style w:type="character" w:customStyle="1" w:styleId="89">
    <w:name w:val="正文文本缩进 2 Char"/>
    <w:basedOn w:val="49"/>
    <w:link w:val="28"/>
    <w:qFormat/>
    <w:uiPriority w:val="0"/>
    <w:rPr>
      <w:rFonts w:ascii="宋体" w:hAnsi="宋体"/>
      <w:iCs/>
      <w:kern w:val="2"/>
      <w:sz w:val="24"/>
      <w:szCs w:val="24"/>
    </w:rPr>
  </w:style>
  <w:style w:type="character" w:customStyle="1" w:styleId="90">
    <w:name w:val="正文文本 Char"/>
    <w:basedOn w:val="49"/>
    <w:qFormat/>
    <w:uiPriority w:val="0"/>
    <w:rPr>
      <w:rFonts w:eastAsia="宋体"/>
      <w:sz w:val="24"/>
      <w:szCs w:val="24"/>
      <w:lang w:val="en-US" w:eastAsia="zh-CN" w:bidi="ar-SA"/>
    </w:rPr>
  </w:style>
  <w:style w:type="character" w:customStyle="1" w:styleId="91">
    <w:name w:val="en1"/>
    <w:basedOn w:val="49"/>
    <w:qFormat/>
    <w:uiPriority w:val="0"/>
    <w:rPr>
      <w:b/>
      <w:bCs/>
      <w:color w:val="154C7F"/>
      <w:sz w:val="24"/>
      <w:szCs w:val="24"/>
    </w:rPr>
  </w:style>
  <w:style w:type="character" w:customStyle="1" w:styleId="92">
    <w:name w:val="font01"/>
    <w:basedOn w:val="49"/>
    <w:qFormat/>
    <w:uiPriority w:val="0"/>
    <w:rPr>
      <w:rFonts w:hint="eastAsia" w:ascii="宋体" w:hAnsi="宋体" w:eastAsia="宋体" w:cs="宋体"/>
      <w:color w:val="000000"/>
      <w:sz w:val="20"/>
      <w:szCs w:val="20"/>
      <w:u w:val="none"/>
    </w:rPr>
  </w:style>
  <w:style w:type="character" w:customStyle="1" w:styleId="93">
    <w:name w:val="标题 Char"/>
    <w:basedOn w:val="49"/>
    <w:link w:val="44"/>
    <w:qFormat/>
    <w:uiPriority w:val="0"/>
    <w:rPr>
      <w:rFonts w:ascii="Arial" w:hAnsi="Arial" w:cs="Arial"/>
      <w:b/>
      <w:bCs/>
      <w:sz w:val="44"/>
      <w:szCs w:val="32"/>
    </w:rPr>
  </w:style>
  <w:style w:type="character" w:customStyle="1" w:styleId="94">
    <w:name w:val="正文文本缩进 Char"/>
    <w:basedOn w:val="49"/>
    <w:link w:val="21"/>
    <w:qFormat/>
    <w:uiPriority w:val="0"/>
    <w:rPr>
      <w:i/>
      <w:iCs/>
      <w:kern w:val="2"/>
      <w:sz w:val="21"/>
    </w:rPr>
  </w:style>
  <w:style w:type="character" w:customStyle="1" w:styleId="95">
    <w:name w:val="正文文本 3 Char"/>
    <w:basedOn w:val="49"/>
    <w:link w:val="18"/>
    <w:qFormat/>
    <w:uiPriority w:val="0"/>
    <w:rPr>
      <w:color w:val="0000FF"/>
      <w:kern w:val="2"/>
      <w:sz w:val="24"/>
      <w:szCs w:val="24"/>
    </w:rPr>
  </w:style>
  <w:style w:type="character" w:customStyle="1" w:styleId="96">
    <w:name w:val="font11"/>
    <w:basedOn w:val="49"/>
    <w:qFormat/>
    <w:uiPriority w:val="0"/>
    <w:rPr>
      <w:rFonts w:hint="default" w:ascii="Times New Roman" w:hAnsi="Times New Roman" w:cs="Times New Roman"/>
      <w:color w:val="000000"/>
      <w:sz w:val="20"/>
      <w:szCs w:val="20"/>
      <w:u w:val="none"/>
    </w:rPr>
  </w:style>
  <w:style w:type="character" w:customStyle="1" w:styleId="97">
    <w:name w:val="glossaryitem"/>
    <w:basedOn w:val="49"/>
    <w:qFormat/>
    <w:uiPriority w:val="0"/>
    <w:rPr>
      <w:u w:val="none"/>
    </w:rPr>
  </w:style>
  <w:style w:type="character" w:customStyle="1" w:styleId="98">
    <w:name w:val="HTML 预设格式 Char"/>
    <w:basedOn w:val="49"/>
    <w:link w:val="41"/>
    <w:qFormat/>
    <w:uiPriority w:val="0"/>
    <w:rPr>
      <w:rFonts w:ascii="Arial Unicode MS" w:hAnsi="Arial Unicode MS" w:eastAsia="Courier New" w:cs="Courier New"/>
    </w:rPr>
  </w:style>
  <w:style w:type="character" w:customStyle="1" w:styleId="99">
    <w:name w:val="文档结构图 Char"/>
    <w:basedOn w:val="49"/>
    <w:link w:val="16"/>
    <w:qFormat/>
    <w:uiPriority w:val="0"/>
    <w:rPr>
      <w:rFonts w:ascii="宋体"/>
      <w:sz w:val="28"/>
      <w:shd w:val="clear" w:color="auto" w:fill="000080"/>
    </w:rPr>
  </w:style>
  <w:style w:type="character" w:customStyle="1" w:styleId="100">
    <w:name w:val="日期 Char"/>
    <w:basedOn w:val="49"/>
    <w:link w:val="27"/>
    <w:qFormat/>
    <w:uiPriority w:val="0"/>
    <w:rPr>
      <w:kern w:val="2"/>
      <w:sz w:val="21"/>
      <w:szCs w:val="24"/>
    </w:rPr>
  </w:style>
  <w:style w:type="character" w:customStyle="1" w:styleId="101">
    <w:name w:val="正文文本 2 Char"/>
    <w:basedOn w:val="49"/>
    <w:link w:val="39"/>
    <w:qFormat/>
    <w:uiPriority w:val="0"/>
    <w:rPr>
      <w:kern w:val="2"/>
      <w:sz w:val="21"/>
      <w:szCs w:val="24"/>
    </w:rPr>
  </w:style>
  <w:style w:type="character" w:customStyle="1" w:styleId="102">
    <w:name w:val="正文首行缩进 Char"/>
    <w:basedOn w:val="90"/>
    <w:link w:val="46"/>
    <w:qFormat/>
    <w:uiPriority w:val="0"/>
    <w:rPr>
      <w:rFonts w:eastAsia="宋体"/>
      <w:sz w:val="21"/>
      <w:szCs w:val="21"/>
      <w:lang w:val="en-US" w:eastAsia="zh-CN" w:bidi="ar-SA"/>
    </w:rPr>
  </w:style>
  <w:style w:type="character" w:customStyle="1" w:styleId="103">
    <w:name w:val="批注主题 Char"/>
    <w:basedOn w:val="86"/>
    <w:link w:val="45"/>
    <w:qFormat/>
    <w:uiPriority w:val="0"/>
    <w:rPr>
      <w:b/>
      <w:bCs/>
      <w:kern w:val="2"/>
      <w:sz w:val="24"/>
      <w:szCs w:val="24"/>
    </w:rPr>
  </w:style>
  <w:style w:type="paragraph" w:customStyle="1" w:styleId="104">
    <w:name w:val="标题3(小3号)"/>
    <w:basedOn w:val="5"/>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49"/>
    <w:link w:val="40"/>
    <w:qFormat/>
    <w:uiPriority w:val="0"/>
    <w:rPr>
      <w:rFonts w:ascii="Arial" w:hAnsi="Arial" w:cs="Arial"/>
      <w:kern w:val="2"/>
      <w:sz w:val="24"/>
      <w:szCs w:val="24"/>
      <w:shd w:val="pct20" w:color="auto" w:fill="auto"/>
    </w:rPr>
  </w:style>
  <w:style w:type="character" w:customStyle="1" w:styleId="108">
    <w:name w:val="正文文本 3 Char1"/>
    <w:basedOn w:val="49"/>
    <w:qFormat/>
    <w:uiPriority w:val="0"/>
    <w:rPr>
      <w:rFonts w:ascii="宋体" w:hAnsi="宋体" w:cs="宋体"/>
      <w:sz w:val="16"/>
      <w:szCs w:val="16"/>
      <w:lang w:eastAsia="en-US"/>
    </w:rPr>
  </w:style>
  <w:style w:type="paragraph" w:customStyle="1" w:styleId="109">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49"/>
    <w:qFormat/>
    <w:uiPriority w:val="0"/>
    <w:rPr>
      <w:rFonts w:ascii="宋体" w:hAnsi="宋体" w:cs="宋体"/>
      <w:sz w:val="22"/>
      <w:szCs w:val="22"/>
      <w:lang w:eastAsia="en-US"/>
    </w:rPr>
  </w:style>
  <w:style w:type="character" w:customStyle="1" w:styleId="112">
    <w:name w:val="批注文字 Char1"/>
    <w:basedOn w:val="49"/>
    <w:qFormat/>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49"/>
    <w:qFormat/>
    <w:uiPriority w:val="0"/>
    <w:rPr>
      <w:rFonts w:ascii="宋体" w:hAnsi="宋体" w:cs="宋体"/>
      <w:sz w:val="18"/>
      <w:szCs w:val="18"/>
      <w:lang w:eastAsia="en-US"/>
    </w:rPr>
  </w:style>
  <w:style w:type="character" w:customStyle="1" w:styleId="117">
    <w:name w:val="日期 Char1"/>
    <w:basedOn w:val="49"/>
    <w:qFormat/>
    <w:uiPriority w:val="0"/>
    <w:rPr>
      <w:rFonts w:ascii="宋体" w:hAnsi="宋体" w:cs="宋体"/>
      <w:sz w:val="22"/>
      <w:szCs w:val="22"/>
      <w:lang w:eastAsia="en-US"/>
    </w:rPr>
  </w:style>
  <w:style w:type="paragraph" w:customStyle="1" w:styleId="118">
    <w:name w:val="标题3(3号)"/>
    <w:basedOn w:val="5"/>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49"/>
    <w:qFormat/>
    <w:uiPriority w:val="0"/>
    <w:rPr>
      <w:rFonts w:ascii="Courier New" w:hAnsi="Courier New" w:cs="Courier New"/>
      <w:lang w:eastAsia="en-US"/>
    </w:rPr>
  </w:style>
  <w:style w:type="character" w:customStyle="1" w:styleId="122">
    <w:name w:val="正文文本缩进 Char1"/>
    <w:basedOn w:val="49"/>
    <w:qFormat/>
    <w:uiPriority w:val="0"/>
    <w:rPr>
      <w:rFonts w:ascii="宋体" w:hAnsi="宋体" w:cs="宋体"/>
      <w:sz w:val="22"/>
      <w:szCs w:val="22"/>
      <w:lang w:eastAsia="en-US"/>
    </w:rPr>
  </w:style>
  <w:style w:type="paragraph" w:customStyle="1" w:styleId="123">
    <w:name w:val="标题2(小3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3"/>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49"/>
    <w:qFormat/>
    <w:uiPriority w:val="0"/>
    <w:rPr>
      <w:rFonts w:ascii="宋体" w:hAnsi="宋体" w:cs="宋体"/>
      <w:sz w:val="22"/>
      <w:szCs w:val="22"/>
      <w:lang w:eastAsia="en-US"/>
    </w:rPr>
  </w:style>
  <w:style w:type="character" w:customStyle="1" w:styleId="130">
    <w:name w:val="标题 Char1"/>
    <w:basedOn w:val="49"/>
    <w:qFormat/>
    <w:uiPriority w:val="0"/>
    <w:rPr>
      <w:rFonts w:asciiTheme="majorHAnsi" w:hAnsiTheme="majorHAnsi" w:cstheme="majorBidi"/>
      <w:b/>
      <w:bCs/>
      <w:sz w:val="32"/>
      <w:szCs w:val="32"/>
      <w:lang w:eastAsia="en-US"/>
    </w:rPr>
  </w:style>
  <w:style w:type="character" w:customStyle="1" w:styleId="131">
    <w:name w:val="正文文本缩进 3 Char1"/>
    <w:basedOn w:val="49"/>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49"/>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5"/>
    <w:next w:val="124"/>
    <w:qFormat/>
    <w:uiPriority w:val="0"/>
    <w:pPr>
      <w:widowControl/>
      <w:spacing w:before="0" w:after="0" w:line="420" w:lineRule="exact"/>
    </w:pPr>
    <w:rPr>
      <w:b w:val="0"/>
      <w:bCs w:val="0"/>
      <w:color w:val="000000"/>
      <w:kern w:val="0"/>
      <w:sz w:val="28"/>
      <w:szCs w:val="21"/>
    </w:rPr>
  </w:style>
  <w:style w:type="paragraph" w:customStyle="1" w:styleId="138">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0"/>
    <w:next w:val="40"/>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5"/>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5"/>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3"/>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4"/>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3"/>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3"/>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3"/>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4"/>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4"/>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49"/>
    <w:qFormat/>
    <w:uiPriority w:val="0"/>
  </w:style>
  <w:style w:type="character" w:customStyle="1" w:styleId="208">
    <w:name w:val="xdrichtextbox3"/>
    <w:basedOn w:val="49"/>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TOC Heading"/>
    <w:basedOn w:val="3"/>
    <w:next w:val="1"/>
    <w:semiHidden/>
    <w:unhideWhenUsed/>
    <w:qFormat/>
    <w:uiPriority w:val="39"/>
    <w:pPr>
      <w:keepNext/>
      <w:keepLines/>
      <w:spacing w:before="340" w:after="330" w:line="578" w:lineRule="auto"/>
      <w:ind w:left="0"/>
      <w:outlineLvl w:val="9"/>
    </w:pPr>
    <w:rPr>
      <w:kern w:val="44"/>
      <w:sz w:val="44"/>
      <w:szCs w:val="44"/>
    </w:rPr>
  </w:style>
  <w:style w:type="character" w:customStyle="1" w:styleId="211">
    <w:name w:val="副标题 Char"/>
    <w:link w:val="34"/>
    <w:qFormat/>
    <w:uiPriority w:val="0"/>
    <w:rPr>
      <w:rFonts w:ascii="Cambria" w:hAnsi="Cambria"/>
      <w:b/>
      <w:bCs/>
      <w:kern w:val="28"/>
      <w:sz w:val="24"/>
      <w:szCs w:val="32"/>
    </w:rPr>
  </w:style>
  <w:style w:type="character" w:customStyle="1" w:styleId="212">
    <w:name w:val="副标题 Char1"/>
    <w:basedOn w:val="49"/>
    <w:qFormat/>
    <w:uiPriority w:val="0"/>
    <w:rPr>
      <w:rFonts w:asciiTheme="majorHAnsi" w:hAnsiTheme="majorHAnsi" w:cstheme="majorBidi"/>
      <w:b/>
      <w:bCs/>
      <w:kern w:val="28"/>
      <w:sz w:val="32"/>
      <w:szCs w:val="32"/>
      <w:lang w:eastAsia="en-US"/>
    </w:rPr>
  </w:style>
  <w:style w:type="paragraph" w:customStyle="1" w:styleId="213">
    <w:name w:val="CM7"/>
    <w:basedOn w:val="78"/>
    <w:next w:val="78"/>
    <w:unhideWhenUsed/>
    <w:qFormat/>
    <w:uiPriority w:val="99"/>
    <w:pPr>
      <w:spacing w:after="320"/>
    </w:pPr>
  </w:style>
  <w:style w:type="paragraph" w:customStyle="1" w:styleId="214">
    <w:name w:val="WPS Plain"/>
    <w:qFormat/>
    <w:uiPriority w:val="0"/>
    <w:rPr>
      <w:rFonts w:ascii="Times New Roman" w:hAnsi="Times New Roman" w:eastAsia="宋体" w:cs="Times New Roman"/>
      <w:kern w:val="0"/>
      <w:sz w:val="20"/>
      <w:szCs w:val="20"/>
      <w:lang w:val="en-US" w:eastAsia="zh-CN" w:bidi="ar-SA"/>
    </w:rPr>
  </w:style>
  <w:style w:type="character" w:customStyle="1" w:styleId="215">
    <w:name w:val="design_class"/>
    <w:basedOn w:val="49"/>
    <w:qFormat/>
    <w:uiPriority w:val="0"/>
  </w:style>
  <w:style w:type="character" w:customStyle="1" w:styleId="216">
    <w:name w:val="w32"/>
    <w:basedOn w:val="49"/>
    <w:qFormat/>
    <w:uiPriority w:val="0"/>
  </w:style>
  <w:style w:type="character" w:customStyle="1" w:styleId="217">
    <w:name w:val="xdrichtextbox"/>
    <w:basedOn w:val="49"/>
    <w:qFormat/>
    <w:uiPriority w:val="0"/>
    <w:rPr>
      <w:color w:val="auto"/>
      <w:u w:val="none"/>
      <w:bdr w:val="single" w:color="DCDCDC" w:sz="8" w:space="0"/>
      <w:shd w:val="clear" w:fill="auto"/>
    </w:rPr>
  </w:style>
  <w:style w:type="character" w:customStyle="1" w:styleId="218">
    <w:name w:val="active"/>
    <w:basedOn w:val="49"/>
    <w:qFormat/>
    <w:uiPriority w:val="0"/>
    <w:rPr>
      <w:color w:val="00FF00"/>
      <w:shd w:val="clear" w:fill="111111"/>
    </w:rPr>
  </w:style>
  <w:style w:type="character" w:customStyle="1" w:styleId="219">
    <w:name w:val="active1"/>
    <w:basedOn w:val="49"/>
    <w:uiPriority w:val="0"/>
    <w:rPr>
      <w:shd w:val="clear" w:fill="EC3535"/>
    </w:rPr>
  </w:style>
  <w:style w:type="character" w:customStyle="1" w:styleId="220">
    <w:name w:val="layui-layer-tabnow"/>
    <w:basedOn w:val="49"/>
    <w:qFormat/>
    <w:uiPriority w:val="0"/>
    <w:rPr>
      <w:bdr w:val="single" w:color="CCCCCC" w:sz="6" w:space="0"/>
      <w:shd w:val="clear" w:fill="FFFFFF"/>
    </w:rPr>
  </w:style>
  <w:style w:type="character" w:customStyle="1" w:styleId="221">
    <w:name w:val="hilite5"/>
    <w:basedOn w:val="49"/>
    <w:qFormat/>
    <w:uiPriority w:val="0"/>
    <w:rPr>
      <w:color w:val="FFFFFF"/>
      <w:shd w:val="clear" w:fill="666666"/>
    </w:rPr>
  </w:style>
  <w:style w:type="character" w:customStyle="1" w:styleId="222">
    <w:name w:val="first-child"/>
    <w:basedOn w:val="49"/>
    <w:qFormat/>
    <w:uiPriority w:val="0"/>
  </w:style>
  <w:style w:type="character" w:customStyle="1" w:styleId="223">
    <w:name w:val="edit_class"/>
    <w:basedOn w:val="49"/>
    <w:qFormat/>
    <w:uiPriority w:val="0"/>
  </w:style>
  <w:style w:type="character" w:customStyle="1" w:styleId="224">
    <w:name w:val="cdropright"/>
    <w:basedOn w:val="49"/>
    <w:uiPriority w:val="0"/>
  </w:style>
  <w:style w:type="character" w:customStyle="1" w:styleId="225">
    <w:name w:val="biggerthanmax"/>
    <w:basedOn w:val="49"/>
    <w:uiPriority w:val="0"/>
    <w:rPr>
      <w:shd w:val="clear" w:fill="FFFF00"/>
    </w:rPr>
  </w:style>
  <w:style w:type="character" w:customStyle="1" w:styleId="226">
    <w:name w:val="button4"/>
    <w:basedOn w:val="49"/>
    <w:qFormat/>
    <w:uiPriority w:val="0"/>
  </w:style>
  <w:style w:type="character" w:customStyle="1" w:styleId="227">
    <w:name w:val="drapbtn"/>
    <w:basedOn w:val="49"/>
    <w:uiPriority w:val="0"/>
  </w:style>
  <w:style w:type="character" w:customStyle="1" w:styleId="228">
    <w:name w:val="cdropleft"/>
    <w:basedOn w:val="49"/>
    <w:qFormat/>
    <w:uiPriority w:val="0"/>
  </w:style>
  <w:style w:type="character" w:customStyle="1" w:styleId="229">
    <w:name w:val="choosename"/>
    <w:basedOn w:val="49"/>
    <w:qFormat/>
    <w:uiPriority w:val="0"/>
  </w:style>
  <w:style w:type="character" w:customStyle="1" w:styleId="230">
    <w:name w:val="xdrichtextbox4"/>
    <w:basedOn w:val="49"/>
    <w:qFormat/>
    <w:uiPriority w:val="0"/>
  </w:style>
  <w:style w:type="character" w:customStyle="1" w:styleId="231">
    <w:name w:val="cy"/>
    <w:basedOn w:val="49"/>
    <w:qFormat/>
    <w:uiPriority w:val="0"/>
  </w:style>
  <w:style w:type="character" w:customStyle="1" w:styleId="232">
    <w:name w:val="hilite6"/>
    <w:basedOn w:val="49"/>
    <w:qFormat/>
    <w:uiPriority w:val="0"/>
    <w:rPr>
      <w:color w:val="FFFFFF"/>
      <w:shd w:val="clear" w:fill="666666"/>
    </w:rPr>
  </w:style>
  <w:style w:type="character" w:customStyle="1" w:styleId="233">
    <w:name w:val="associateddata"/>
    <w:basedOn w:val="49"/>
    <w:qFormat/>
    <w:uiPriority w:val="0"/>
    <w:rPr>
      <w:shd w:val="clear" w:fill="50A6F9"/>
    </w:rPr>
  </w:style>
  <w:style w:type="character" w:customStyle="1" w:styleId="234">
    <w:name w:val="iconline2"/>
    <w:basedOn w:val="49"/>
    <w:qFormat/>
    <w:uiPriority w:val="0"/>
  </w:style>
  <w:style w:type="character" w:customStyle="1" w:styleId="235">
    <w:name w:val="iconline21"/>
    <w:basedOn w:val="49"/>
    <w:qFormat/>
    <w:uiPriority w:val="0"/>
  </w:style>
  <w:style w:type="character" w:customStyle="1" w:styleId="236">
    <w:name w:val="tmpztreemove_arrow"/>
    <w:basedOn w:val="49"/>
    <w:qFormat/>
    <w:uiPriority w:val="0"/>
  </w:style>
  <w:style w:type="character" w:customStyle="1" w:styleId="237">
    <w:name w:val="icontext1"/>
    <w:basedOn w:val="49"/>
    <w:qFormat/>
    <w:uiPriority w:val="0"/>
  </w:style>
  <w:style w:type="character" w:customStyle="1" w:styleId="238">
    <w:name w:val="icontext11"/>
    <w:basedOn w:val="49"/>
    <w:qFormat/>
    <w:uiPriority w:val="0"/>
  </w:style>
  <w:style w:type="character" w:customStyle="1" w:styleId="239">
    <w:name w:val="icontext12"/>
    <w:basedOn w:val="49"/>
    <w:qFormat/>
    <w:uiPriority w:val="0"/>
  </w:style>
  <w:style w:type="character" w:customStyle="1" w:styleId="240">
    <w:name w:val="after"/>
    <w:basedOn w:val="49"/>
    <w:qFormat/>
    <w:uiPriority w:val="0"/>
    <w:rPr>
      <w:sz w:val="0"/>
      <w:szCs w:val="0"/>
    </w:rPr>
  </w:style>
  <w:style w:type="character" w:customStyle="1" w:styleId="241">
    <w:name w:val="ico1654"/>
    <w:basedOn w:val="49"/>
    <w:qFormat/>
    <w:uiPriority w:val="0"/>
  </w:style>
  <w:style w:type="character" w:customStyle="1" w:styleId="242">
    <w:name w:val="ico1655"/>
    <w:basedOn w:val="49"/>
    <w:qFormat/>
    <w:uiPriority w:val="0"/>
  </w:style>
  <w:style w:type="character" w:customStyle="1" w:styleId="243">
    <w:name w:val="pagechatarealistclose_box"/>
    <w:basedOn w:val="49"/>
    <w:qFormat/>
    <w:uiPriority w:val="0"/>
  </w:style>
  <w:style w:type="character" w:customStyle="1" w:styleId="244">
    <w:name w:val="pagechatarealistclose_box1"/>
    <w:basedOn w:val="49"/>
    <w:qFormat/>
    <w:uiPriority w:val="0"/>
  </w:style>
  <w:style w:type="character" w:customStyle="1" w:styleId="245">
    <w:name w:val="icontext2"/>
    <w:basedOn w:val="49"/>
    <w:qFormat/>
    <w:uiPriority w:val="0"/>
  </w:style>
  <w:style w:type="character" w:customStyle="1" w:styleId="246">
    <w:name w:val="icontext3"/>
    <w:basedOn w:val="49"/>
    <w:qFormat/>
    <w:uiPriority w:val="0"/>
  </w:style>
  <w:style w:type="character" w:customStyle="1" w:styleId="247">
    <w:name w:val="hover40"/>
    <w:basedOn w:val="49"/>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3D1E5-08C1-4B5E-8750-6C7A4ED038DB}">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37</Pages>
  <Words>2428</Words>
  <Characters>13840</Characters>
  <Lines>115</Lines>
  <Paragraphs>32</Paragraphs>
  <TotalTime>3</TotalTime>
  <ScaleCrop>false</ScaleCrop>
  <LinksUpToDate>false</LinksUpToDate>
  <CharactersWithSpaces>16236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戴小玉</cp:lastModifiedBy>
  <dcterms:modified xsi:type="dcterms:W3CDTF">2022-03-15T11:38:29Z</dcterms:modified>
  <dc:title>公开招标文件（货物服务类）</dc:title>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