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jc w:val="center"/>
        <w:rPr>
          <w:b/>
          <w:sz w:val="36"/>
          <w:szCs w:val="36"/>
          <w:lang w:eastAsia="zh-CN"/>
        </w:rPr>
      </w:pPr>
    </w:p>
    <w:p>
      <w:pPr>
        <w:jc w:val="center"/>
        <w:rPr>
          <w:rFonts w:ascii="微软雅黑" w:eastAsia="微软雅黑"/>
          <w:b/>
          <w:sz w:val="52"/>
          <w:lang w:eastAsia="zh-CN"/>
        </w:rPr>
      </w:pPr>
      <w:r>
        <w:rPr>
          <w:rFonts w:hint="eastAsia"/>
          <w:b/>
          <w:sz w:val="36"/>
          <w:szCs w:val="36"/>
          <w:u w:val="single"/>
          <w:lang w:eastAsia="zh-CN"/>
        </w:rPr>
        <w:t>202</w:t>
      </w:r>
      <w:r>
        <w:rPr>
          <w:rFonts w:hint="eastAsia"/>
          <w:b/>
          <w:sz w:val="36"/>
          <w:szCs w:val="36"/>
          <w:u w:val="single"/>
          <w:lang w:val="en-US" w:eastAsia="zh-CN"/>
        </w:rPr>
        <w:t>2、2023</w:t>
      </w:r>
      <w:r>
        <w:rPr>
          <w:rFonts w:hint="eastAsia"/>
          <w:b/>
          <w:sz w:val="36"/>
          <w:szCs w:val="36"/>
          <w:u w:val="single"/>
          <w:lang w:eastAsia="zh-CN"/>
        </w:rPr>
        <w:t>年压力容器、压力管道定期检验</w:t>
      </w:r>
      <w:r>
        <w:rPr>
          <w:rFonts w:hint="eastAsia" w:ascii="微软雅黑" w:eastAsia="微软雅黑"/>
          <w:b/>
          <w:sz w:val="52"/>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adjustRightInd w:val="0"/>
        <w:jc w:val="center"/>
        <w:rPr>
          <w:sz w:val="28"/>
          <w:szCs w:val="28"/>
          <w:lang w:eastAsia="zh-CN"/>
        </w:rPr>
      </w:pPr>
      <w:r>
        <w:rPr>
          <w:rFonts w:hint="eastAsia"/>
          <w:sz w:val="28"/>
          <w:szCs w:val="28"/>
          <w:lang w:eastAsia="zh-CN"/>
        </w:rPr>
        <w:t>（文件编号：FHC-PTCG20220225002）</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三</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三</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rFonts w:hint="eastAsia"/>
          <w:spacing w:val="-3"/>
          <w:sz w:val="28"/>
          <w:lang w:eastAsia="zh-CN"/>
        </w:rPr>
        <w:t>四</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rFonts w:hint="eastAsia"/>
          <w:spacing w:val="-3"/>
          <w:sz w:val="28"/>
          <w:lang w:eastAsia="zh-CN"/>
        </w:rPr>
        <w:t>五</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rFonts w:hint="eastAsia"/>
          <w:spacing w:val="-3"/>
          <w:sz w:val="28"/>
          <w:lang w:eastAsia="zh-CN"/>
        </w:rPr>
        <w:t>六</w:t>
      </w:r>
      <w:r>
        <w:rPr>
          <w:sz w:val="28"/>
          <w:lang w:eastAsia="zh-CN"/>
        </w:rPr>
        <w:t>章</w:t>
      </w:r>
      <w:r>
        <w:rPr>
          <w:sz w:val="28"/>
          <w:lang w:eastAsia="zh-CN"/>
        </w:rPr>
        <w:tab/>
      </w:r>
      <w:r>
        <w:rPr>
          <w:spacing w:val="-1"/>
          <w:sz w:val="28"/>
          <w:lang w:eastAsia="zh-CN"/>
        </w:rPr>
        <w:t>其</w:t>
      </w:r>
      <w:r>
        <w:rPr>
          <w:sz w:val="28"/>
          <w:lang w:eastAsia="zh-CN"/>
        </w:rPr>
        <w:t>它</w:t>
      </w: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widowControl/>
        <w:autoSpaceDE/>
        <w:autoSpaceDN/>
        <w:rPr>
          <w:rFonts w:asciiTheme="minorEastAsia" w:hAnsiTheme="minorEastAsia" w:eastAsiaTheme="minorEastAsia"/>
          <w:b/>
          <w:sz w:val="24"/>
          <w:szCs w:val="24"/>
          <w:lang w:eastAsia="zh-CN"/>
        </w:rPr>
      </w:pPr>
    </w:p>
    <w:p>
      <w:pPr>
        <w:widowControl/>
        <w:autoSpaceDE/>
        <w:autoSpaceDN/>
        <w:jc w:val="center"/>
        <w:rPr>
          <w:rFonts w:asciiTheme="minorEastAsia" w:hAnsiTheme="minorEastAsia" w:eastAsiaTheme="minorEastAsia"/>
          <w:b/>
          <w:w w:val="95"/>
          <w:sz w:val="24"/>
          <w:szCs w:val="24"/>
          <w:lang w:eastAsia="zh-CN"/>
        </w:rPr>
      </w:pPr>
      <w:r>
        <w:rPr>
          <w:rFonts w:asciiTheme="minorEastAsia" w:hAnsiTheme="minorEastAsia" w:eastAsiaTheme="minorEastAsia"/>
          <w:b/>
          <w:sz w:val="24"/>
          <w:szCs w:val="24"/>
          <w:lang w:eastAsia="zh-CN"/>
        </w:rPr>
        <w:t>第</w:t>
      </w:r>
      <w:r>
        <w:rPr>
          <w:rFonts w:hint="eastAsia" w:asciiTheme="minorEastAsia" w:hAnsiTheme="minorEastAsia" w:eastAsiaTheme="minorEastAsia"/>
          <w:b/>
          <w:sz w:val="24"/>
          <w:szCs w:val="24"/>
          <w:lang w:eastAsia="zh-CN"/>
        </w:rPr>
        <w:t>一</w:t>
      </w:r>
      <w:r>
        <w:rPr>
          <w:rFonts w:asciiTheme="minorEastAsia" w:hAnsiTheme="minorEastAsia" w:eastAsiaTheme="minorEastAsia"/>
          <w:b/>
          <w:sz w:val="24"/>
          <w:szCs w:val="24"/>
          <w:lang w:eastAsia="zh-CN"/>
        </w:rPr>
        <w:t>章</w:t>
      </w:r>
      <w:r>
        <w:rPr>
          <w:rFonts w:asciiTheme="minorEastAsia" w:hAnsiTheme="minorEastAsia" w:eastAsiaTheme="minorEastAsia"/>
          <w:b/>
          <w:sz w:val="24"/>
          <w:szCs w:val="24"/>
          <w:lang w:eastAsia="zh-CN"/>
        </w:rPr>
        <w:tab/>
      </w:r>
      <w:r>
        <w:rPr>
          <w:rFonts w:asciiTheme="minorEastAsia" w:hAnsiTheme="minorEastAsia" w:eastAsiaTheme="minorEastAsia"/>
          <w:b/>
          <w:spacing w:val="-1"/>
          <w:w w:val="95"/>
          <w:sz w:val="24"/>
          <w:szCs w:val="24"/>
          <w:lang w:eastAsia="zh-CN"/>
        </w:rPr>
        <w:t>比选须</w:t>
      </w:r>
      <w:r>
        <w:rPr>
          <w:rFonts w:asciiTheme="minorEastAsia" w:hAnsiTheme="minorEastAsia" w:eastAsiaTheme="minorEastAsia"/>
          <w:b/>
          <w:w w:val="95"/>
          <w:sz w:val="24"/>
          <w:szCs w:val="24"/>
          <w:lang w:eastAsia="zh-CN"/>
        </w:rPr>
        <w:t>知</w:t>
      </w:r>
    </w:p>
    <w:p>
      <w:pPr>
        <w:pStyle w:val="2"/>
      </w:pP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一、比选内容</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(一)工程名称：</w:t>
      </w:r>
      <w:r>
        <w:rPr>
          <w:rFonts w:hint="eastAsia" w:asciiTheme="minorEastAsia" w:hAnsiTheme="minorEastAsia" w:eastAsiaTheme="minorEastAsia"/>
          <w:sz w:val="24"/>
          <w:szCs w:val="24"/>
          <w:lang w:eastAsia="zh-CN"/>
        </w:rPr>
        <w:t>2022、2023年压力容器、压力管道定期检验</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(二)工程地点：</w:t>
      </w:r>
      <w:r>
        <w:rPr>
          <w:rFonts w:hint="eastAsia" w:asciiTheme="minorEastAsia" w:hAnsiTheme="minorEastAsia" w:eastAsiaTheme="minorEastAsia"/>
          <w:lang w:eastAsia="zh-CN"/>
        </w:rPr>
        <w:t>福建福海创石油化工有限公司指定地点。</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三</w:t>
      </w:r>
      <w:r>
        <w:rPr>
          <w:rFonts w:asciiTheme="minorEastAsia" w:hAnsiTheme="minorEastAsia" w:eastAsiaTheme="minorEastAsia"/>
          <w:lang w:eastAsia="zh-CN"/>
        </w:rPr>
        <w:t>)比选范围：</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1.工程概况：2022、2023年压力容器、压力管道定期检验</w:t>
      </w:r>
      <w:r>
        <w:rPr>
          <w:rFonts w:hint="eastAsia" w:asciiTheme="minorEastAsia" w:hAnsiTheme="minorEastAsia" w:eastAsiaTheme="minorEastAsia"/>
          <w:snapToGrid w:val="0"/>
          <w:spacing w:val="8"/>
          <w:sz w:val="24"/>
          <w:szCs w:val="24"/>
          <w:lang w:eastAsia="zh-CN"/>
        </w:rPr>
        <w:t>。</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2.施工范围及内容：见技术要求。</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3.相关要求、标准、规范及规定：本工程采用的技术规范标准按现行及技术文件要求的规范、标准、规程等执行。</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(四)工期质量：符合设计和国家现行建设工程有关标准、规范的合格标准。</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五</w:t>
      </w:r>
      <w:r>
        <w:rPr>
          <w:rFonts w:asciiTheme="minorEastAsia" w:hAnsiTheme="minorEastAsia" w:eastAsiaTheme="minorEastAsia"/>
          <w:lang w:eastAsia="zh-CN"/>
        </w:rPr>
        <w:t>)外包期限：</w:t>
      </w:r>
      <w:r>
        <w:rPr>
          <w:rFonts w:hint="eastAsia" w:asciiTheme="minorEastAsia" w:hAnsiTheme="minorEastAsia" w:eastAsiaTheme="minorEastAsia"/>
          <w:lang w:eastAsia="zh-CN"/>
        </w:rPr>
        <w:t>中标后至该项目结束</w:t>
      </w:r>
      <w:r>
        <w:rPr>
          <w:rFonts w:asciiTheme="minorEastAsia" w:hAnsiTheme="minorEastAsia" w:eastAsiaTheme="minorEastAsia"/>
          <w:lang w:eastAsia="zh-CN"/>
        </w:rPr>
        <w:t>（具体期限以合同签订的日期为准）。</w:t>
      </w:r>
    </w:p>
    <w:p>
      <w:pPr>
        <w:pStyle w:val="3"/>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二、定义和解释</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1.“比选人”系</w:t>
      </w: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，即业主方。</w:t>
      </w:r>
    </w:p>
    <w:p>
      <w:pPr>
        <w:pStyle w:val="10"/>
        <w:spacing w:line="360" w:lineRule="auto"/>
        <w:ind w:firstLine="436" w:firstLineChars="200"/>
        <w:rPr>
          <w:rFonts w:asciiTheme="minorEastAsia" w:hAnsiTheme="minorEastAsia" w:eastAsiaTheme="minorEastAsia"/>
          <w:lang w:eastAsia="zh-CN"/>
        </w:rPr>
      </w:pPr>
      <w:r>
        <w:rPr>
          <w:rFonts w:asciiTheme="minorEastAsia" w:hAnsiTheme="minorEastAsia" w:eastAsiaTheme="minorEastAsia"/>
          <w:spacing w:val="-11"/>
          <w:lang w:eastAsia="zh-CN"/>
        </w:rPr>
        <w:t>2</w:t>
      </w:r>
      <w:r>
        <w:rPr>
          <w:rFonts w:asciiTheme="minorEastAsia" w:hAnsiTheme="minorEastAsia" w:eastAsiaTheme="minorEastAsia"/>
          <w:spacing w:val="-10"/>
          <w:lang w:eastAsia="zh-CN"/>
        </w:rPr>
        <w:t>.“参选人”系指向比选人报名并接受邀请，领取比选文件，且已经提交或准备提交本次参选文件的法人。</w:t>
      </w:r>
    </w:p>
    <w:p>
      <w:pPr>
        <w:pStyle w:val="10"/>
        <w:spacing w:line="360" w:lineRule="auto"/>
        <w:ind w:firstLine="424" w:firstLineChars="200"/>
        <w:rPr>
          <w:rFonts w:asciiTheme="minorEastAsia" w:hAnsiTheme="minorEastAsia" w:eastAsiaTheme="minorEastAsia"/>
          <w:lang w:eastAsia="zh-CN"/>
        </w:rPr>
      </w:pPr>
      <w:r>
        <w:rPr>
          <w:rFonts w:asciiTheme="minorEastAsia" w:hAnsiTheme="minorEastAsia" w:eastAsiaTheme="minorEastAsia"/>
          <w:spacing w:val="-14"/>
          <w:lang w:eastAsia="zh-CN"/>
        </w:rPr>
        <w:t>3</w:t>
      </w:r>
      <w:r>
        <w:rPr>
          <w:rFonts w:asciiTheme="minorEastAsia" w:hAnsiTheme="minorEastAsia" w:eastAsiaTheme="minorEastAsia"/>
          <w:spacing w:val="-10"/>
          <w:lang w:eastAsia="zh-CN"/>
        </w:rPr>
        <w:t>.“参选人代表”系指全权代表参选人参加本次比选活动并签署参选文件的人，参选人代表</w:t>
      </w:r>
      <w:r>
        <w:rPr>
          <w:rFonts w:hint="eastAsia" w:asciiTheme="minorEastAsia" w:hAnsiTheme="minorEastAsia" w:eastAsiaTheme="minorEastAsia"/>
          <w:spacing w:val="-10"/>
          <w:lang w:val="en-US" w:eastAsia="zh-CN"/>
        </w:rPr>
        <w:t>必须是</w:t>
      </w:r>
      <w:r>
        <w:rPr>
          <w:rFonts w:asciiTheme="minorEastAsia" w:hAnsiTheme="minorEastAsia" w:eastAsiaTheme="minorEastAsia"/>
          <w:spacing w:val="-10"/>
          <w:lang w:eastAsia="zh-CN"/>
        </w:rPr>
        <w:t>参选人的法定代表人。</w:t>
      </w:r>
    </w:p>
    <w:p>
      <w:pPr>
        <w:pStyle w:val="3"/>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三、比选文件组成</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1.比选文件包括下列内容：</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比选须知、项目内容、合同书格式、报价单、承诺函等。</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12"/>
          <w:lang w:eastAsia="zh-CN"/>
        </w:rPr>
        <w:t>参选人应认真阅读、并充分理解比选文件的全部内容</w:t>
      </w:r>
      <w:r>
        <w:rPr>
          <w:rFonts w:asciiTheme="minorEastAsia" w:hAnsiTheme="minorEastAsia" w:eastAsiaTheme="minorEastAsia"/>
          <w:lang w:eastAsia="zh-CN"/>
        </w:rPr>
        <w:t>（</w:t>
      </w:r>
      <w:r>
        <w:rPr>
          <w:rFonts w:asciiTheme="minorEastAsia" w:hAnsiTheme="minorEastAsia" w:eastAsiaTheme="minorEastAsia"/>
          <w:spacing w:val="-9"/>
          <w:lang w:eastAsia="zh-CN"/>
        </w:rPr>
        <w:t>包括所有的补充、修改内容、</w:t>
      </w:r>
    </w:p>
    <w:p>
      <w:pPr>
        <w:pStyle w:val="10"/>
        <w:spacing w:line="360" w:lineRule="auto"/>
        <w:rPr>
          <w:rFonts w:asciiTheme="minorEastAsia" w:hAnsiTheme="minorEastAsia" w:eastAsiaTheme="minorEastAsia"/>
          <w:lang w:eastAsia="zh-CN"/>
        </w:rPr>
      </w:pPr>
      <w:r>
        <w:rPr>
          <w:rFonts w:asciiTheme="minorEastAsia" w:hAnsiTheme="minorEastAsia" w:eastAsiaTheme="minorEastAsia"/>
          <w:lang w:eastAsia="zh-CN"/>
        </w:rPr>
        <w:t>重要事项、格式、条款和技术规范、参数及要求等）。参选人没有按照比选文件要求提交</w:t>
      </w:r>
      <w:r>
        <w:rPr>
          <w:rFonts w:asciiTheme="minorEastAsia" w:hAnsiTheme="minorEastAsia" w:eastAsiaTheme="min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四、比选文件的澄清</w:t>
      </w:r>
    </w:p>
    <w:p>
      <w:pPr>
        <w:pStyle w:val="10"/>
        <w:spacing w:line="360" w:lineRule="auto"/>
        <w:ind w:firstLine="444" w:firstLineChars="200"/>
        <w:rPr>
          <w:rFonts w:asciiTheme="minorEastAsia" w:hAnsiTheme="minorEastAsia" w:eastAsiaTheme="minorEastAsia"/>
          <w:lang w:eastAsia="zh-CN"/>
        </w:rPr>
      </w:pPr>
      <w:r>
        <w:rPr>
          <w:rFonts w:asciiTheme="minorEastAsia" w:hAnsiTheme="minorEastAsia" w:eastAsiaTheme="minorEastAsia"/>
          <w:spacing w:val="-9"/>
          <w:lang w:eastAsia="zh-CN"/>
        </w:rPr>
        <w:t>参选人获取比选文件后，应仔细检查比选文件的所有内容，如有残缺等问题应在获得</w:t>
      </w:r>
      <w:r>
        <w:rPr>
          <w:rFonts w:asciiTheme="minorEastAsia" w:hAnsiTheme="minorEastAsia" w:eastAsiaTheme="minorEastAsia"/>
          <w:spacing w:val="-20"/>
          <w:lang w:eastAsia="zh-CN"/>
        </w:rPr>
        <w:t xml:space="preserve">比选文件 </w:t>
      </w:r>
      <w:r>
        <w:rPr>
          <w:rFonts w:asciiTheme="minorEastAsia" w:hAnsiTheme="minorEastAsia" w:eastAsiaTheme="minorEastAsia"/>
          <w:lang w:eastAsia="zh-CN"/>
        </w:rPr>
        <w:t>3</w:t>
      </w:r>
      <w:r>
        <w:rPr>
          <w:rFonts w:asciiTheme="minorEastAsia" w:hAnsiTheme="minorEastAsia" w:eastAsiaTheme="minorEastAsia"/>
          <w:spacing w:val="-13"/>
          <w:lang w:eastAsia="zh-CN"/>
        </w:rPr>
        <w:t xml:space="preserve"> 日内向比选人提出。参选人若对比选文件有任何疑问，应在参选截止时间前 </w:t>
      </w:r>
      <w:r>
        <w:rPr>
          <w:rFonts w:asciiTheme="minorEastAsia" w:hAnsiTheme="minorEastAsia" w:eastAsiaTheme="minorEastAsia"/>
          <w:lang w:eastAsia="zh-CN"/>
        </w:rPr>
        <w:t xml:space="preserve">5 </w:t>
      </w:r>
      <w:r>
        <w:rPr>
          <w:rFonts w:asciiTheme="minorEastAsia" w:hAnsiTheme="minorEastAsia" w:eastAsiaTheme="minorEastAsia"/>
          <w:spacing w:val="-10"/>
          <w:lang w:eastAsia="zh-CN"/>
        </w:rPr>
        <w:t>日，按参选须知载明的地址以书面形式</w:t>
      </w:r>
      <w:r>
        <w:rPr>
          <w:rFonts w:asciiTheme="minorEastAsia" w:hAnsiTheme="minorEastAsia" w:eastAsiaTheme="minorEastAsia"/>
          <w:spacing w:val="-3"/>
          <w:lang w:eastAsia="zh-CN"/>
        </w:rPr>
        <w:t>（</w:t>
      </w:r>
      <w:r>
        <w:rPr>
          <w:rFonts w:asciiTheme="minorEastAsia" w:hAnsiTheme="minorEastAsia" w:eastAsiaTheme="minorEastAsia"/>
          <w:spacing w:val="-10"/>
          <w:lang w:eastAsia="zh-CN"/>
        </w:rPr>
        <w:t>包括书面、传真、电子邮件下同</w:t>
      </w:r>
      <w:r>
        <w:rPr>
          <w:rFonts w:asciiTheme="minorEastAsia" w:hAnsiTheme="minorEastAsia" w:eastAsiaTheme="minorEastAsia"/>
          <w:spacing w:val="-49"/>
          <w:lang w:eastAsia="zh-CN"/>
        </w:rPr>
        <w:t>）</w:t>
      </w:r>
      <w:r>
        <w:rPr>
          <w:rFonts w:asciiTheme="minorEastAsia" w:hAnsiTheme="minorEastAsia" w:eastAsiaTheme="minorEastAsia"/>
          <w:lang w:eastAsia="zh-CN"/>
        </w:rPr>
        <w:t>通知到比选人。</w:t>
      </w:r>
      <w:r>
        <w:rPr>
          <w:rFonts w:asciiTheme="minorEastAsia" w:hAnsiTheme="minorEastAsia" w:eastAsiaTheme="min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五、比选文件的修改、补充</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1.在参选截止日期前，比选人可主动地或依据参选人要求澄清的问题而修改比选文</w:t>
      </w:r>
      <w:r>
        <w:rPr>
          <w:rFonts w:asciiTheme="minorEastAsia" w:hAnsiTheme="minorEastAsia" w:eastAsiaTheme="minorEastAsia"/>
          <w:spacing w:val="-10"/>
          <w:lang w:eastAsia="zh-CN"/>
        </w:rPr>
        <w:t>件，并以书面形式通知所有报名参加比选项目的每一参选人，对方在收到该通知后应立即</w:t>
      </w:r>
      <w:r>
        <w:rPr>
          <w:rFonts w:asciiTheme="minorEastAsia" w:hAnsiTheme="minorEastAsia" w:eastAsiaTheme="minorEastAsia"/>
          <w:spacing w:val="-2"/>
          <w:lang w:eastAsia="zh-CN"/>
        </w:rPr>
        <w:t>以书面形式予以确认；参选人未按规定时间予以确认或未按规定时间地点领取书面文件的，视比选通知已收到。</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asciiTheme="minorEastAsia" w:hAnsiTheme="minorEastAsia" w:eastAsiaTheme="min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3.比选文件的修改书将构成比选文件的一部分，对参选人具有约束作用。</w:t>
      </w:r>
    </w:p>
    <w:p>
      <w:pPr>
        <w:pStyle w:val="3"/>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六、参选人资格</w:t>
      </w:r>
    </w:p>
    <w:p>
      <w:pPr>
        <w:pStyle w:val="28"/>
        <w:numPr>
          <w:ilvl w:val="0"/>
          <w:numId w:val="1"/>
        </w:numPr>
        <w:autoSpaceDE/>
        <w:autoSpaceDN/>
        <w:spacing w:before="0" w:line="360" w:lineRule="auto"/>
        <w:ind w:left="0" w:firstLine="480" w:firstLineChars="200"/>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参选人</w:t>
      </w:r>
      <w:r>
        <w:rPr>
          <w:rFonts w:hint="eastAsia" w:asciiTheme="minorEastAsia" w:hAnsiTheme="minorEastAsia" w:eastAsiaTheme="minorEastAsia"/>
          <w:bCs/>
          <w:sz w:val="24"/>
          <w:szCs w:val="24"/>
          <w:lang w:eastAsia="zh-CN"/>
        </w:rPr>
        <w:t>在中华人民共和国大陆境内合法注册的独立法人资格；</w:t>
      </w:r>
    </w:p>
    <w:p>
      <w:pPr>
        <w:pStyle w:val="28"/>
        <w:numPr>
          <w:ilvl w:val="0"/>
          <w:numId w:val="1"/>
        </w:numPr>
        <w:adjustRightInd w:val="0"/>
        <w:spacing w:before="0" w:line="360" w:lineRule="auto"/>
        <w:ind w:left="0" w:firstLine="480" w:firstLineChars="200"/>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参选人</w:t>
      </w:r>
      <w:r>
        <w:rPr>
          <w:rFonts w:hint="eastAsia" w:asciiTheme="minorEastAsia" w:hAnsiTheme="minorEastAsia" w:eastAsiaTheme="minorEastAsia"/>
          <w:bCs/>
          <w:sz w:val="24"/>
          <w:szCs w:val="24"/>
          <w:lang w:eastAsia="zh-CN"/>
        </w:rPr>
        <w:t>具有</w:t>
      </w:r>
      <w:r>
        <w:rPr>
          <w:rFonts w:asciiTheme="minorEastAsia" w:hAnsiTheme="minorEastAsia" w:eastAsiaTheme="minorEastAsia"/>
          <w:bCs/>
          <w:sz w:val="24"/>
          <w:szCs w:val="24"/>
          <w:lang w:eastAsia="zh-CN"/>
        </w:rPr>
        <w:t>市场质量监督部门颁发的</w:t>
      </w:r>
      <w:r>
        <w:rPr>
          <w:rFonts w:hint="eastAsia" w:asciiTheme="minorEastAsia" w:hAnsiTheme="minorEastAsia" w:eastAsiaTheme="minorEastAsia"/>
          <w:bCs/>
          <w:sz w:val="24"/>
          <w:szCs w:val="24"/>
          <w:lang w:eastAsia="zh-CN"/>
        </w:rPr>
        <w:t>特种设备检验检测核准机构证（综合检验机构</w:t>
      </w:r>
      <w:r>
        <w:rPr>
          <w:rFonts w:hint="eastAsia" w:asciiTheme="minorEastAsia" w:hAnsiTheme="minorEastAsia" w:eastAsiaTheme="minorEastAsia"/>
          <w:bCs/>
          <w:sz w:val="24"/>
          <w:szCs w:val="24"/>
          <w:lang w:val="en-US" w:eastAsia="zh-CN"/>
        </w:rPr>
        <w:t>甲</w:t>
      </w:r>
      <w:r>
        <w:rPr>
          <w:rFonts w:hint="eastAsia" w:asciiTheme="minorEastAsia" w:hAnsiTheme="minorEastAsia" w:eastAsiaTheme="minorEastAsia"/>
          <w:bCs/>
          <w:sz w:val="24"/>
          <w:szCs w:val="24"/>
          <w:lang w:eastAsia="zh-CN"/>
        </w:rPr>
        <w:t>级）以上(含</w:t>
      </w:r>
      <w:r>
        <w:rPr>
          <w:rFonts w:hint="eastAsia" w:asciiTheme="minorEastAsia" w:hAnsiTheme="minorEastAsia" w:eastAsiaTheme="minorEastAsia"/>
          <w:bCs/>
          <w:sz w:val="24"/>
          <w:szCs w:val="24"/>
          <w:lang w:val="en-US" w:eastAsia="zh-CN"/>
        </w:rPr>
        <w:t>甲</w:t>
      </w:r>
      <w:r>
        <w:rPr>
          <w:rFonts w:hint="eastAsia" w:asciiTheme="minorEastAsia" w:hAnsiTheme="minorEastAsia" w:eastAsiaTheme="minorEastAsia"/>
          <w:bCs/>
          <w:sz w:val="24"/>
          <w:szCs w:val="24"/>
          <w:lang w:eastAsia="zh-CN"/>
        </w:rPr>
        <w:t>级)资质；</w:t>
      </w:r>
    </w:p>
    <w:p>
      <w:pPr>
        <w:pStyle w:val="28"/>
        <w:numPr>
          <w:ilvl w:val="0"/>
          <w:numId w:val="1"/>
        </w:numPr>
        <w:autoSpaceDE/>
        <w:autoSpaceDN/>
        <w:spacing w:before="0" w:line="360" w:lineRule="auto"/>
        <w:ind w:left="0"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8"/>
        <w:numPr>
          <w:ilvl w:val="0"/>
          <w:numId w:val="1"/>
        </w:numPr>
        <w:autoSpaceDE/>
        <w:autoSpaceDN/>
        <w:spacing w:before="0" w:line="360" w:lineRule="auto"/>
        <w:ind w:left="0"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与比选人无诉讼纠纷。</w:t>
      </w:r>
    </w:p>
    <w:p>
      <w:pPr>
        <w:pStyle w:val="10"/>
        <w:numPr>
          <w:ilvl w:val="0"/>
          <w:numId w:val="1"/>
        </w:numPr>
        <w:spacing w:line="360" w:lineRule="auto"/>
        <w:ind w:left="0" w:leftChars="0" w:firstLine="440" w:firstLineChars="200"/>
        <w:rPr>
          <w:rFonts w:asciiTheme="minorEastAsia" w:hAnsiTheme="minorEastAsia" w:eastAsiaTheme="minorEastAsia"/>
          <w:spacing w:val="-10"/>
          <w:lang w:eastAsia="zh-CN"/>
        </w:rPr>
      </w:pPr>
      <w:r>
        <w:rPr>
          <w:rFonts w:asciiTheme="minorEastAsia" w:hAnsiTheme="minorEastAsia" w:eastAsiaTheme="minorEastAsia"/>
          <w:spacing w:val="-10"/>
          <w:lang w:eastAsia="zh-CN"/>
        </w:rPr>
        <w:t>参选人代表</w:t>
      </w:r>
      <w:r>
        <w:rPr>
          <w:rFonts w:hint="eastAsia" w:asciiTheme="minorEastAsia" w:hAnsiTheme="minorEastAsia" w:eastAsiaTheme="minorEastAsia"/>
          <w:spacing w:val="-10"/>
          <w:lang w:val="en-US" w:eastAsia="zh-CN"/>
        </w:rPr>
        <w:t>必须是</w:t>
      </w:r>
      <w:r>
        <w:rPr>
          <w:rFonts w:asciiTheme="minorEastAsia" w:hAnsiTheme="minorEastAsia" w:eastAsiaTheme="minorEastAsia"/>
          <w:spacing w:val="-10"/>
          <w:lang w:eastAsia="zh-CN"/>
        </w:rPr>
        <w:t>参选人的法定代表人。</w:t>
      </w:r>
    </w:p>
    <w:p>
      <w:pPr>
        <w:spacing w:line="360" w:lineRule="auto"/>
        <w:ind w:firstLine="482" w:firstLine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七、参选保证金</w:t>
      </w:r>
    </w:p>
    <w:p>
      <w:pPr>
        <w:pStyle w:val="3"/>
        <w:spacing w:line="360" w:lineRule="auto"/>
        <w:ind w:left="0" w:firstLine="482"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本项目无参选保证金。</w:t>
      </w:r>
    </w:p>
    <w:p>
      <w:pPr>
        <w:pStyle w:val="3"/>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八、参选文件的递交</w:t>
      </w:r>
    </w:p>
    <w:p>
      <w:pPr>
        <w:pStyle w:val="4"/>
        <w:tabs>
          <w:tab w:val="left" w:pos="6879"/>
        </w:tabs>
        <w:spacing w:line="360" w:lineRule="auto"/>
        <w:ind w:left="0" w:firstLine="482" w:firstLineChars="200"/>
        <w:rPr>
          <w:rFonts w:asciiTheme="minorEastAsia" w:hAnsiTheme="minorEastAsia" w:eastAsiaTheme="minorEastAsia"/>
          <w:lang w:eastAsia="zh-CN"/>
        </w:rPr>
      </w:pPr>
      <w:r>
        <w:rPr>
          <w:rFonts w:asciiTheme="minorEastAsia" w:hAnsiTheme="minorEastAsia" w:eastAsiaTheme="minorEastAsia"/>
          <w:lang w:eastAsia="zh-CN"/>
        </w:rPr>
        <w:t>1.参选文件递交的截止时间：</w:t>
      </w:r>
      <w:r>
        <w:rPr>
          <w:rFonts w:hint="eastAsia" w:asciiTheme="minorEastAsia" w:hAnsiTheme="minorEastAsia" w:eastAsiaTheme="minorEastAsia"/>
          <w:lang w:eastAsia="zh-CN"/>
        </w:rPr>
        <w:t>20</w:t>
      </w:r>
      <w:r>
        <w:rPr>
          <w:rFonts w:asciiTheme="minorEastAsia" w:hAnsiTheme="minorEastAsia" w:eastAsiaTheme="minorEastAsia"/>
          <w:lang w:eastAsia="zh-CN"/>
        </w:rPr>
        <w:t>2</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月</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日下午 14 时（收到参选文件时间）。</w:t>
      </w:r>
    </w:p>
    <w:p>
      <w:pPr>
        <w:pStyle w:val="4"/>
        <w:tabs>
          <w:tab w:val="left" w:pos="6879"/>
        </w:tabs>
        <w:spacing w:line="360" w:lineRule="auto"/>
        <w:ind w:left="0" w:firstLine="482" w:firstLineChars="200"/>
        <w:rPr>
          <w:rFonts w:asciiTheme="minorEastAsia" w:hAnsiTheme="minorEastAsia" w:eastAsiaTheme="minorEastAsia"/>
          <w:spacing w:val="-4"/>
          <w:lang w:eastAsia="zh-CN"/>
        </w:rPr>
      </w:pPr>
      <w:r>
        <w:rPr>
          <w:rFonts w:asciiTheme="minorEastAsia" w:hAnsiTheme="minorEastAsia" w:eastAsiaTheme="minorEastAsia"/>
          <w:lang w:eastAsia="zh-CN"/>
        </w:rPr>
        <w:t>2.</w:t>
      </w:r>
      <w:r>
        <w:rPr>
          <w:rFonts w:asciiTheme="minorEastAsia" w:hAnsiTheme="minorEastAsia" w:eastAsiaTheme="minorEastAsia"/>
          <w:spacing w:val="4"/>
          <w:lang w:eastAsia="zh-CN"/>
        </w:rPr>
        <w:t>递交</w:t>
      </w:r>
      <w:r>
        <w:rPr>
          <w:rFonts w:asciiTheme="minorEastAsia" w:hAnsiTheme="minorEastAsia" w:eastAsiaTheme="minorEastAsia"/>
          <w:lang w:eastAsia="zh-CN"/>
        </w:rPr>
        <w:t>参</w:t>
      </w:r>
      <w:r>
        <w:rPr>
          <w:rFonts w:asciiTheme="minorEastAsia" w:hAnsiTheme="minorEastAsia" w:eastAsiaTheme="minorEastAsia"/>
          <w:spacing w:val="4"/>
          <w:lang w:eastAsia="zh-CN"/>
        </w:rPr>
        <w:t>选文件的地</w:t>
      </w:r>
      <w:r>
        <w:rPr>
          <w:rFonts w:asciiTheme="minorEastAsia" w:hAnsiTheme="minorEastAsia" w:eastAsiaTheme="minorEastAsia"/>
          <w:lang w:eastAsia="zh-CN"/>
        </w:rPr>
        <w:t>点</w:t>
      </w:r>
      <w:r>
        <w:rPr>
          <w:rFonts w:asciiTheme="minorEastAsia" w:hAnsiTheme="minorEastAsia" w:eastAsiaTheme="minorEastAsia"/>
          <w:spacing w:val="4"/>
          <w:lang w:eastAsia="zh-CN"/>
        </w:rPr>
        <w:t>为：福建福海创石油化工有限公司</w:t>
      </w:r>
      <w:r>
        <w:rPr>
          <w:rFonts w:hint="eastAsia" w:asciiTheme="minorEastAsia" w:hAnsiTheme="minorEastAsia" w:eastAsiaTheme="minorEastAsia"/>
          <w:spacing w:val="4"/>
          <w:lang w:eastAsia="zh-CN"/>
        </w:rPr>
        <w:t>办公楼</w:t>
      </w:r>
      <w:r>
        <w:rPr>
          <w:rFonts w:asciiTheme="minorEastAsia" w:hAnsiTheme="minorEastAsia" w:eastAsiaTheme="minorEastAsia"/>
          <w:spacing w:val="4"/>
          <w:lang w:eastAsia="zh-CN"/>
        </w:rPr>
        <w:t>（</w:t>
      </w:r>
      <w:r>
        <w:rPr>
          <w:rFonts w:hint="eastAsia" w:asciiTheme="minorEastAsia" w:hAnsiTheme="minorEastAsia" w:eastAsiaTheme="minorEastAsia"/>
          <w:spacing w:val="4"/>
          <w:lang w:eastAsia="zh-CN"/>
        </w:rPr>
        <w:t>漳州市漳浦县杜浔镇杜昌路9号</w:t>
      </w:r>
      <w:r>
        <w:rPr>
          <w:rFonts w:asciiTheme="minorEastAsia" w:hAnsiTheme="minorEastAsia" w:eastAsiaTheme="minorEastAsia"/>
          <w:spacing w:val="4"/>
          <w:lang w:eastAsia="zh-CN"/>
        </w:rPr>
        <w:t>）</w:t>
      </w:r>
      <w:r>
        <w:rPr>
          <w:rFonts w:asciiTheme="minorEastAsia" w:hAnsiTheme="minorEastAsia" w:eastAsiaTheme="minorEastAsia"/>
          <w:spacing w:val="-57"/>
          <w:lang w:eastAsia="zh-CN"/>
        </w:rPr>
        <w:t>，</w:t>
      </w:r>
      <w:r>
        <w:rPr>
          <w:rFonts w:asciiTheme="minorEastAsia" w:hAnsiTheme="minorEastAsia" w:eastAsiaTheme="minorEastAsia"/>
          <w:lang w:eastAsia="zh-CN"/>
        </w:rPr>
        <w:t>联系人</w:t>
      </w:r>
      <w:r>
        <w:rPr>
          <w:rFonts w:asciiTheme="minorEastAsia" w:hAnsiTheme="minorEastAsia" w:eastAsiaTheme="minorEastAsia"/>
          <w:spacing w:val="-56"/>
          <w:lang w:eastAsia="zh-CN"/>
        </w:rPr>
        <w:t>：</w:t>
      </w:r>
      <w:r>
        <w:rPr>
          <w:rFonts w:hint="eastAsia" w:asciiTheme="minorEastAsia" w:hAnsiTheme="minorEastAsia" w:eastAsiaTheme="minorEastAsia"/>
          <w:spacing w:val="-56"/>
          <w:lang w:eastAsia="zh-CN"/>
        </w:rPr>
        <w:t>戴小玉</w:t>
      </w:r>
      <w:r>
        <w:rPr>
          <w:rFonts w:hint="eastAsia" w:asciiTheme="minorEastAsia" w:hAnsiTheme="minorEastAsia" w:eastAsiaTheme="minorEastAsia"/>
          <w:lang w:eastAsia="zh-CN"/>
        </w:rPr>
        <w:t xml:space="preserve">   </w:t>
      </w:r>
      <w:r>
        <w:rPr>
          <w:rFonts w:asciiTheme="minorEastAsia" w:hAnsiTheme="minorEastAsia" w:eastAsiaTheme="minorEastAsia"/>
          <w:spacing w:val="-6"/>
          <w:lang w:eastAsia="zh-CN"/>
        </w:rPr>
        <w:t xml:space="preserve"> </w:t>
      </w:r>
      <w:r>
        <w:rPr>
          <w:rFonts w:asciiTheme="minorEastAsia" w:hAnsiTheme="minorEastAsia" w:eastAsiaTheme="minorEastAsia"/>
          <w:lang w:eastAsia="zh-CN"/>
        </w:rPr>
        <w:t>联系电话</w:t>
      </w:r>
      <w:r>
        <w:rPr>
          <w:rFonts w:asciiTheme="minorEastAsia" w:hAnsiTheme="minorEastAsia" w:eastAsiaTheme="minorEastAsia"/>
          <w:spacing w:val="-4"/>
          <w:lang w:eastAsia="zh-CN"/>
        </w:rPr>
        <w:t>：</w:t>
      </w:r>
      <w:r>
        <w:rPr>
          <w:rFonts w:hint="eastAsia" w:asciiTheme="minorEastAsia" w:hAnsiTheme="minorEastAsia" w:eastAsiaTheme="minorEastAsia"/>
          <w:spacing w:val="-4"/>
          <w:lang w:eastAsia="zh-CN"/>
        </w:rPr>
        <w:t xml:space="preserve">15259629857     </w:t>
      </w:r>
    </w:p>
    <w:p>
      <w:pPr>
        <w:pStyle w:val="4"/>
        <w:tabs>
          <w:tab w:val="left" w:pos="6879"/>
        </w:tabs>
        <w:spacing w:line="360" w:lineRule="auto"/>
        <w:ind w:left="0" w:firstLine="480" w:firstLineChars="200"/>
        <w:rPr>
          <w:rFonts w:asciiTheme="minorEastAsia" w:hAnsiTheme="minorEastAsia" w:eastAsiaTheme="minorEastAsia"/>
          <w:b w:val="0"/>
          <w:lang w:eastAsia="zh-CN"/>
        </w:rPr>
      </w:pPr>
      <w:r>
        <w:rPr>
          <w:rFonts w:asciiTheme="minorEastAsia" w:hAnsiTheme="minorEastAsia" w:eastAsiaTheme="minorEastAsia"/>
          <w:b w:val="0"/>
          <w:lang w:eastAsia="zh-CN"/>
        </w:rPr>
        <w:t>注：请使用顺丰快递或中国邮政 EMS 快递，其他快递不能保证送达目的地。</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3.只允许参选人有一个参选方案，否则将被视为无效参选。</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4.</w:t>
      </w:r>
      <w:r>
        <w:rPr>
          <w:rFonts w:asciiTheme="minorEastAsia" w:hAnsiTheme="minorEastAsia" w:eastAsiaTheme="minorEastAsia"/>
          <w:spacing w:val="-4"/>
          <w:lang w:eastAsia="zh-CN"/>
        </w:rPr>
        <w:t>逾期送达的或未送达指定地点或参选文件密封不符合规定要求的参选文件，比选人不予受理。参选人所提交的比选文件在评选结束后，无论中选与否都不退还。</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5.</w:t>
      </w:r>
      <w:r>
        <w:rPr>
          <w:rFonts w:asciiTheme="minorEastAsia" w:hAnsiTheme="minorEastAsia" w:eastAsiaTheme="minorEastAsia"/>
          <w:spacing w:val="-9"/>
          <w:lang w:eastAsia="zh-CN"/>
        </w:rPr>
        <w:t>参选人收到比选文件后，如有疑问需要澄清，请以书面形式在规定时间内报比选人汇总。</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6.</w:t>
      </w:r>
      <w:r>
        <w:rPr>
          <w:rFonts w:asciiTheme="minorEastAsia" w:hAnsiTheme="minorEastAsia" w:eastAsiaTheme="minorEastAsia"/>
          <w:spacing w:val="-6"/>
          <w:lang w:eastAsia="zh-CN"/>
        </w:rPr>
        <w:t>参选人对比选人提供的比选文件所做出的推论、解释和结论，比选人概不负责。参</w:t>
      </w:r>
      <w:r>
        <w:rPr>
          <w:rFonts w:asciiTheme="minorEastAsia" w:hAnsiTheme="minorEastAsia" w:eastAsiaTheme="minorEastAsia"/>
          <w:spacing w:val="-9"/>
          <w:lang w:eastAsia="zh-CN"/>
        </w:rPr>
        <w:t>选人由于对比选文件的任何推论和误解以及比选对有关问题的口头解释所造成的后果，均由参选人负责。</w:t>
      </w:r>
    </w:p>
    <w:p>
      <w:pPr>
        <w:spacing w:line="360" w:lineRule="auto"/>
        <w:ind w:firstLine="480" w:firstLineChars="200"/>
        <w:rPr>
          <w:sz w:val="24"/>
          <w:szCs w:val="24"/>
          <w:lang w:eastAsia="zh-CN"/>
        </w:rPr>
        <w:sectPr>
          <w:pgSz w:w="11910" w:h="16840"/>
          <w:pgMar w:top="1420" w:right="1140" w:bottom="740" w:left="1300" w:header="0" w:footer="551" w:gutter="0"/>
          <w:cols w:space="720" w:num="1"/>
        </w:sectPr>
      </w:pPr>
    </w:p>
    <w:p>
      <w:pPr>
        <w:pStyle w:val="3"/>
        <w:tabs>
          <w:tab w:val="left" w:pos="4627"/>
        </w:tabs>
        <w:spacing w:line="360" w:lineRule="auto"/>
        <w:ind w:left="0" w:firstLine="482" w:firstLineChars="200"/>
        <w:jc w:val="center"/>
        <w:rPr>
          <w:rFonts w:asciiTheme="minorEastAsia" w:hAnsiTheme="minorEastAsia" w:eastAsiaTheme="minorEastAsia"/>
          <w:b w:val="0"/>
          <w:sz w:val="24"/>
          <w:szCs w:val="24"/>
          <w:lang w:eastAsia="zh-CN"/>
        </w:rPr>
      </w:pPr>
      <w:r>
        <w:rPr>
          <w:rFonts w:asciiTheme="minorEastAsia" w:hAnsiTheme="minorEastAsia" w:eastAsiaTheme="minorEastAsia"/>
          <w:sz w:val="24"/>
          <w:szCs w:val="24"/>
          <w:lang w:eastAsia="zh-CN"/>
        </w:rPr>
        <w:t>第</w:t>
      </w:r>
      <w:r>
        <w:rPr>
          <w:rFonts w:hint="eastAsia" w:asciiTheme="minorEastAsia" w:hAnsiTheme="minorEastAsia" w:eastAsiaTheme="minorEastAsia"/>
          <w:sz w:val="24"/>
          <w:szCs w:val="24"/>
          <w:lang w:eastAsia="zh-CN"/>
        </w:rPr>
        <w:t>二</w:t>
      </w:r>
      <w:r>
        <w:rPr>
          <w:rFonts w:asciiTheme="minorEastAsia" w:hAnsiTheme="minorEastAsia" w:eastAsiaTheme="minorEastAsia"/>
          <w:sz w:val="24"/>
          <w:szCs w:val="24"/>
          <w:lang w:eastAsia="zh-CN"/>
        </w:rPr>
        <w:t>章</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pacing w:val="-1"/>
          <w:w w:val="95"/>
          <w:sz w:val="24"/>
          <w:szCs w:val="24"/>
          <w:lang w:eastAsia="zh-CN"/>
        </w:rPr>
        <w:t>参选文</w:t>
      </w:r>
      <w:r>
        <w:rPr>
          <w:rFonts w:asciiTheme="minorEastAsia" w:hAnsiTheme="minorEastAsia" w:eastAsiaTheme="minorEastAsia"/>
          <w:w w:val="95"/>
          <w:sz w:val="24"/>
          <w:szCs w:val="24"/>
          <w:lang w:eastAsia="zh-CN"/>
        </w:rPr>
        <w:t>件的编制</w:t>
      </w:r>
    </w:p>
    <w:p>
      <w:pPr>
        <w:pStyle w:val="28"/>
        <w:numPr>
          <w:ilvl w:val="0"/>
          <w:numId w:val="2"/>
        </w:numPr>
        <w:spacing w:before="0" w:line="360" w:lineRule="auto"/>
        <w:ind w:left="0" w:firstLine="458" w:firstLineChars="200"/>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参选文件的组成</w:t>
      </w:r>
      <w:r>
        <w:rPr>
          <w:rFonts w:hint="eastAsia" w:asciiTheme="minorEastAsia" w:hAnsiTheme="minorEastAsia" w:eastAsiaTheme="minorEastAsia"/>
          <w:b/>
          <w:w w:val="95"/>
          <w:sz w:val="24"/>
          <w:szCs w:val="24"/>
          <w:lang w:eastAsia="zh-CN"/>
        </w:rPr>
        <w:t>、装订</w:t>
      </w:r>
      <w:r>
        <w:rPr>
          <w:rFonts w:asciiTheme="minorEastAsia" w:hAnsiTheme="minorEastAsia" w:eastAsiaTheme="minorEastAsia"/>
          <w:b/>
          <w:w w:val="95"/>
          <w:sz w:val="24"/>
          <w:szCs w:val="24"/>
          <w:lang w:eastAsia="zh-CN"/>
        </w:rPr>
        <w:t>：</w:t>
      </w:r>
    </w:p>
    <w:p>
      <w:pPr>
        <w:spacing w:line="360" w:lineRule="auto"/>
        <w:ind w:firstLine="480" w:firstLineChars="200"/>
        <w:rPr>
          <w:rFonts w:asciiTheme="minorEastAsia" w:hAnsiTheme="minorEastAsia" w:eastAsiaTheme="minorEastAsia"/>
          <w:sz w:val="24"/>
          <w:szCs w:val="24"/>
          <w:lang w:eastAsia="zh-CN"/>
        </w:rPr>
      </w:pPr>
      <w:r>
        <w:rPr>
          <w:rFonts w:hint="eastAsia"/>
          <w:sz w:val="24"/>
          <w:szCs w:val="24"/>
          <w:lang w:eastAsia="zh-CN"/>
        </w:rPr>
        <w:t>商务和</w:t>
      </w:r>
      <w:r>
        <w:rPr>
          <w:rFonts w:hint="eastAsia" w:asciiTheme="minorEastAsia" w:hAnsiTheme="minorEastAsia" w:eastAsiaTheme="minorEastAsia"/>
          <w:sz w:val="24"/>
          <w:szCs w:val="24"/>
          <w:lang w:eastAsia="zh-CN"/>
        </w:rPr>
        <w:t>技术</w:t>
      </w:r>
      <w:r>
        <w:rPr>
          <w:rFonts w:hint="eastAsia"/>
          <w:sz w:val="24"/>
          <w:szCs w:val="24"/>
          <w:lang w:eastAsia="zh-CN"/>
        </w:rPr>
        <w:t>文件</w:t>
      </w:r>
      <w:r>
        <w:rPr>
          <w:rFonts w:hint="eastAsia" w:asciiTheme="minorEastAsia" w:hAnsiTheme="minorEastAsia" w:eastAsiaTheme="minorEastAsia"/>
          <w:sz w:val="24"/>
          <w:szCs w:val="24"/>
          <w:lang w:eastAsia="zh-CN"/>
        </w:rPr>
        <w:t>需单独装订，单独密封，如用快递送达，需密封完后再装入快递袋中，未按规定密封，造成误拆投标文件不承担责任。</w:t>
      </w:r>
    </w:p>
    <w:p>
      <w:pPr>
        <w:pStyle w:val="2"/>
        <w:spacing w:line="360" w:lineRule="auto"/>
        <w:ind w:firstLine="480" w:firstLineChars="200"/>
        <w:rPr>
          <w:sz w:val="24"/>
          <w:szCs w:val="24"/>
        </w:rPr>
      </w:pPr>
      <w:r>
        <w:rPr>
          <w:rFonts w:hint="eastAsia" w:cs="宋体" w:asciiTheme="minorEastAsia" w:hAnsiTheme="minorEastAsia" w:eastAsiaTheme="minorEastAsia"/>
          <w:sz w:val="24"/>
          <w:szCs w:val="24"/>
        </w:rPr>
        <w:t>1.技术文件（需加盖公章），</w:t>
      </w:r>
      <w:r>
        <w:rPr>
          <w:rFonts w:hint="eastAsia" w:cs="宋体" w:asciiTheme="minorEastAsia" w:hAnsiTheme="minorEastAsia"/>
          <w:sz w:val="24"/>
          <w:szCs w:val="21"/>
        </w:rPr>
        <w:t>需提供纸质单</w:t>
      </w:r>
      <w:r>
        <w:rPr>
          <w:rFonts w:cs="宋体" w:asciiTheme="minorEastAsia" w:hAnsiTheme="minorEastAsia"/>
          <w:sz w:val="24"/>
          <w:szCs w:val="21"/>
        </w:rPr>
        <w:t>3</w:t>
      </w:r>
      <w:r>
        <w:rPr>
          <w:rFonts w:hint="eastAsia" w:cs="宋体" w:asciiTheme="minorEastAsia" w:hAnsiTheme="minorEastAsia"/>
          <w:sz w:val="24"/>
          <w:szCs w:val="21"/>
        </w:rPr>
        <w:t>份，电子单1份，拷盘密封至商务参选文件中；</w:t>
      </w:r>
    </w:p>
    <w:p>
      <w:pPr>
        <w:pStyle w:val="2"/>
        <w:spacing w:line="360" w:lineRule="auto"/>
        <w:ind w:firstLine="480" w:firstLineChars="200"/>
        <w:rPr>
          <w:rFonts w:cs="宋体" w:asciiTheme="minorEastAsia" w:hAnsiTheme="minorEastAsia"/>
          <w:sz w:val="24"/>
          <w:szCs w:val="21"/>
        </w:rPr>
      </w:pPr>
      <w:r>
        <w:rPr>
          <w:rFonts w:cs="宋体" w:asciiTheme="minorEastAsia" w:hAnsiTheme="minorEastAsia"/>
          <w:sz w:val="24"/>
          <w:szCs w:val="21"/>
        </w:rPr>
        <w:t>①</w:t>
      </w:r>
      <w:r>
        <w:rPr>
          <w:rFonts w:hint="eastAsia" w:cs="宋体" w:asciiTheme="minorEastAsia" w:hAnsiTheme="minorEastAsia"/>
          <w:sz w:val="24"/>
          <w:szCs w:val="21"/>
        </w:rPr>
        <w:t>法定代表人</w:t>
      </w:r>
      <w:r>
        <w:rPr>
          <w:rFonts w:hint="eastAsia" w:cs="宋体" w:asciiTheme="minorEastAsia" w:hAnsiTheme="minorEastAsia"/>
          <w:sz w:val="24"/>
          <w:szCs w:val="21"/>
          <w:lang w:val="en-US" w:eastAsia="zh-CN"/>
        </w:rPr>
        <w:t>身份证复印件（正反面）</w:t>
      </w:r>
      <w:r>
        <w:rPr>
          <w:rFonts w:hint="eastAsia" w:cs="宋体" w:asciiTheme="minorEastAsia" w:hAnsiTheme="minorEastAsia"/>
          <w:sz w:val="24"/>
          <w:szCs w:val="21"/>
        </w:rPr>
        <w:t>；</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②营业执照</w:t>
      </w:r>
      <w:r>
        <w:rPr>
          <w:rFonts w:hint="eastAsia" w:asciiTheme="minorEastAsia" w:hAnsiTheme="minorEastAsia" w:eastAsiaTheme="minorEastAsia"/>
          <w:lang w:eastAsia="zh-CN"/>
        </w:rPr>
        <w:t>；</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3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③</w:t>
      </w:r>
      <w:r>
        <w:rPr>
          <w:rFonts w:asciiTheme="minorEastAsia" w:hAnsiTheme="minorEastAsia" w:eastAsiaTheme="minorEastAsia"/>
          <w:lang w:eastAsia="zh-CN"/>
        </w:rPr>
        <w:fldChar w:fldCharType="end"/>
      </w:r>
      <w:r>
        <w:rPr>
          <w:rFonts w:asciiTheme="minorEastAsia" w:hAnsiTheme="minorEastAsia" w:eastAsiaTheme="minorEastAsia"/>
          <w:lang w:eastAsia="zh-CN"/>
        </w:rPr>
        <w:t>资质文件</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4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④</w:t>
      </w:r>
      <w:r>
        <w:rPr>
          <w:rFonts w:asciiTheme="minorEastAsia" w:hAnsiTheme="minorEastAsia" w:eastAsiaTheme="minorEastAsia"/>
          <w:lang w:eastAsia="zh-CN"/>
        </w:rPr>
        <w:fldChar w:fldCharType="end"/>
      </w:r>
      <w:r>
        <w:rPr>
          <w:rFonts w:hint="eastAsia" w:asciiTheme="minorEastAsia" w:hAnsiTheme="minorEastAsia" w:eastAsiaTheme="minorEastAsia"/>
          <w:lang w:eastAsia="zh-CN"/>
        </w:rPr>
        <w:t>技术方案；</w:t>
      </w:r>
    </w:p>
    <w:p>
      <w:pPr>
        <w:pStyle w:val="10"/>
        <w:spacing w:line="360" w:lineRule="auto"/>
        <w:ind w:firstLine="480" w:firstLineChars="200"/>
        <w:rPr>
          <w:rFonts w:asciiTheme="minorEastAsia" w:hAnsiTheme="minorEastAsia" w:eastAsiaTheme="minorEastAsia"/>
          <w:spacing w:val="-6"/>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4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④</w:t>
      </w:r>
      <w:r>
        <w:rPr>
          <w:rFonts w:asciiTheme="minorEastAsia" w:hAnsiTheme="minorEastAsia" w:eastAsiaTheme="minorEastAsia"/>
          <w:lang w:eastAsia="zh-CN"/>
        </w:rPr>
        <w:fldChar w:fldCharType="end"/>
      </w:r>
      <w:r>
        <w:rPr>
          <w:rFonts w:asciiTheme="minorEastAsia" w:hAnsiTheme="minorEastAsia" w:eastAsiaTheme="minorEastAsia"/>
          <w:lang w:eastAsia="zh-CN"/>
        </w:rPr>
        <w:t>以上①至</w:t>
      </w: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4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④</w:t>
      </w:r>
      <w:r>
        <w:rPr>
          <w:rFonts w:asciiTheme="minorEastAsia" w:hAnsiTheme="minorEastAsia" w:eastAsiaTheme="minorEastAsia"/>
          <w:lang w:eastAsia="zh-CN"/>
        </w:rPr>
        <w:fldChar w:fldCharType="end"/>
      </w:r>
      <w:r>
        <w:rPr>
          <w:rFonts w:asciiTheme="minorEastAsia" w:hAnsiTheme="minorEastAsia" w:eastAsiaTheme="minorEastAsia"/>
          <w:lang w:eastAsia="zh-CN"/>
        </w:rPr>
        <w:t>项内容</w:t>
      </w:r>
      <w:r>
        <w:rPr>
          <w:rFonts w:hint="eastAsia" w:asciiTheme="minorEastAsia" w:hAnsiTheme="minorEastAsia" w:eastAsiaTheme="minorEastAsia"/>
          <w:lang w:eastAsia="zh-CN"/>
        </w:rPr>
        <w:t>装订或</w:t>
      </w:r>
      <w:r>
        <w:rPr>
          <w:rFonts w:asciiTheme="minorEastAsia" w:hAnsiTheme="minorEastAsia" w:eastAsiaTheme="minorEastAsia"/>
          <w:lang w:eastAsia="zh-CN"/>
        </w:rPr>
        <w:t>密封并加盖公章</w:t>
      </w:r>
    </w:p>
    <w:p>
      <w:pPr>
        <w:pStyle w:val="2"/>
        <w:spacing w:line="360" w:lineRule="auto"/>
        <w:ind w:firstLine="480" w:firstLineChars="200"/>
        <w:rPr>
          <w:rFonts w:asciiTheme="minorEastAsia" w:hAnsiTheme="minorEastAsia" w:eastAsiaTheme="minorEastAsia"/>
        </w:rPr>
      </w:pPr>
      <w:r>
        <w:rPr>
          <w:rFonts w:hint="eastAsia" w:cs="宋体" w:asciiTheme="minorEastAsia" w:hAnsiTheme="minorEastAsia"/>
          <w:sz w:val="24"/>
          <w:szCs w:val="21"/>
        </w:rPr>
        <w:t>2</w:t>
      </w:r>
      <w:r>
        <w:rPr>
          <w:rFonts w:cs="宋体" w:asciiTheme="minorEastAsia" w:hAnsiTheme="minorEastAsia"/>
          <w:sz w:val="24"/>
          <w:szCs w:val="21"/>
        </w:rPr>
        <w:t>.商务文件</w:t>
      </w:r>
      <w:r>
        <w:rPr>
          <w:rFonts w:hint="eastAsia" w:cs="宋体" w:asciiTheme="minorEastAsia" w:hAnsiTheme="minorEastAsia"/>
          <w:sz w:val="24"/>
          <w:szCs w:val="21"/>
        </w:rPr>
        <w:t>（需每页加盖公章）</w:t>
      </w:r>
      <w:r>
        <w:rPr>
          <w:rFonts w:hint="eastAsia" w:asciiTheme="minorEastAsia" w:hAnsiTheme="minorEastAsia" w:eastAsiaTheme="minorEastAsia"/>
        </w:rPr>
        <w:t>，</w:t>
      </w:r>
      <w:r>
        <w:rPr>
          <w:rFonts w:hint="eastAsia" w:cs="宋体" w:asciiTheme="minorEastAsia" w:hAnsiTheme="minorEastAsia"/>
          <w:sz w:val="24"/>
          <w:szCs w:val="21"/>
        </w:rPr>
        <w:t>需提供纸质单1份，电子单1份，拷盘密封至商务参选文件中；</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①提供参选报价表(详见附件)</w:t>
      </w:r>
    </w:p>
    <w:p>
      <w:pPr>
        <w:pStyle w:val="10"/>
        <w:spacing w:line="360" w:lineRule="auto"/>
        <w:ind w:firstLine="452" w:firstLineChars="200"/>
        <w:rPr>
          <w:rFonts w:asciiTheme="minorEastAsia" w:hAnsiTheme="minorEastAsia" w:eastAsiaTheme="minorEastAsia"/>
          <w:spacing w:val="-6"/>
          <w:lang w:eastAsia="zh-CN"/>
        </w:rPr>
      </w:pPr>
      <w:r>
        <w:rPr>
          <w:rFonts w:asciiTheme="minorEastAsia" w:hAnsiTheme="minorEastAsia" w:eastAsiaTheme="minorEastAsia"/>
          <w:spacing w:val="-7"/>
          <w:lang w:eastAsia="zh-CN"/>
        </w:rPr>
        <w:t>②</w:t>
      </w:r>
      <w:r>
        <w:rPr>
          <w:rFonts w:hint="eastAsia" w:asciiTheme="minorEastAsia" w:hAnsiTheme="minorEastAsia" w:eastAsiaTheme="minorEastAsia"/>
          <w:lang w:eastAsia="zh-CN"/>
        </w:rPr>
        <w:t>承诺函</w:t>
      </w:r>
    </w:p>
    <w:p>
      <w:pPr>
        <w:pStyle w:val="2"/>
        <w:spacing w:line="360" w:lineRule="auto"/>
        <w:ind w:firstLine="458" w:firstLineChars="200"/>
        <w:jc w:val="left"/>
        <w:rPr>
          <w:rFonts w:cs="宋体" w:asciiTheme="minorEastAsia" w:hAnsiTheme="minorEastAsia" w:eastAsiaTheme="minorEastAsia"/>
          <w:b/>
          <w:w w:val="95"/>
          <w:sz w:val="24"/>
          <w:szCs w:val="24"/>
        </w:rPr>
      </w:pPr>
      <w:r>
        <w:rPr>
          <w:rFonts w:cs="宋体" w:asciiTheme="minorEastAsia" w:hAnsiTheme="minorEastAsia" w:eastAsiaTheme="minorEastAsia"/>
          <w:b/>
          <w:w w:val="95"/>
          <w:sz w:val="24"/>
          <w:szCs w:val="24"/>
        </w:rPr>
        <w:t>二、参选书格式内容</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参选人应按附件二格式内容要求进行参选书的编制。</w:t>
      </w:r>
    </w:p>
    <w:p>
      <w:pPr>
        <w:pStyle w:val="3"/>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三、参选报价</w:t>
      </w:r>
    </w:p>
    <w:p>
      <w:pPr>
        <w:pStyle w:val="10"/>
        <w:spacing w:line="360" w:lineRule="auto"/>
        <w:ind w:firstLine="464" w:firstLineChars="200"/>
        <w:rPr>
          <w:rFonts w:asciiTheme="minorEastAsia" w:hAnsiTheme="minorEastAsia" w:eastAsiaTheme="minorEastAsia"/>
          <w:lang w:eastAsia="zh-CN"/>
        </w:rPr>
      </w:pPr>
      <w:r>
        <w:rPr>
          <w:rFonts w:hint="eastAsia" w:asciiTheme="minorEastAsia" w:hAnsiTheme="minorEastAsia" w:eastAsiaTheme="minorEastAsia"/>
          <w:spacing w:val="-4"/>
          <w:lang w:eastAsia="zh-CN"/>
        </w:rPr>
        <w:t>参选人可参选不同标段，</w:t>
      </w:r>
      <w:r>
        <w:rPr>
          <w:rFonts w:hint="eastAsia" w:asciiTheme="minorEastAsia" w:hAnsiTheme="minorEastAsia" w:eastAsiaTheme="minorEastAsia"/>
          <w:spacing w:val="-4"/>
          <w:lang w:val="en-US" w:eastAsia="zh-CN"/>
        </w:rPr>
        <w:t>但</w:t>
      </w:r>
      <w:r>
        <w:rPr>
          <w:rFonts w:hint="eastAsia" w:asciiTheme="minorEastAsia" w:hAnsiTheme="minorEastAsia" w:eastAsiaTheme="minorEastAsia"/>
          <w:spacing w:val="-4"/>
          <w:lang w:eastAsia="zh-CN"/>
        </w:rPr>
        <w:t>最多中标一个标段</w:t>
      </w:r>
      <w:r>
        <w:rPr>
          <w:rFonts w:hint="eastAsia" w:cs="宋体" w:eastAsiaTheme="minorEastAsia"/>
          <w:color w:val="000000"/>
          <w:sz w:val="28"/>
          <w:szCs w:val="28"/>
          <w:lang w:eastAsia="zh-CN"/>
        </w:rPr>
        <w:t>，</w:t>
      </w:r>
      <w:r>
        <w:rPr>
          <w:rFonts w:hint="eastAsia" w:asciiTheme="minorEastAsia" w:hAnsiTheme="minorEastAsia" w:eastAsiaTheme="minorEastAsia"/>
          <w:spacing w:val="-4"/>
          <w:lang w:val="en-US" w:eastAsia="zh-CN"/>
        </w:rPr>
        <w:t>且</w:t>
      </w:r>
      <w:r>
        <w:rPr>
          <w:rFonts w:hint="eastAsia" w:asciiTheme="minorEastAsia" w:hAnsiTheme="minorEastAsia" w:eastAsiaTheme="minorEastAsia"/>
          <w:spacing w:val="-4"/>
          <w:lang w:eastAsia="zh-CN"/>
        </w:rPr>
        <w:t>必须对同一个标段中的全部物资与服务进行参选，不得仅对合同包中的部分物资或服务进行参选，否则其比选文件将被拒绝。</w:t>
      </w:r>
      <w:r>
        <w:rPr>
          <w:rFonts w:asciiTheme="minorEastAsia" w:hAnsiTheme="minorEastAsia" w:eastAsiaTheme="minorEastAsia"/>
          <w:spacing w:val="-3"/>
          <w:lang w:eastAsia="zh-CN"/>
        </w:rPr>
        <w:t>参选人须按要求进行报价</w:t>
      </w:r>
      <w:r>
        <w:rPr>
          <w:rFonts w:asciiTheme="minorEastAsia" w:hAnsiTheme="minorEastAsia" w:eastAsiaTheme="minorEastAsia"/>
          <w:spacing w:val="-29"/>
          <w:lang w:eastAsia="zh-CN"/>
        </w:rPr>
        <w:t>，</w:t>
      </w:r>
      <w:r>
        <w:rPr>
          <w:rFonts w:asciiTheme="minorEastAsia" w:hAnsiTheme="minorEastAsia" w:eastAsiaTheme="minorEastAsia"/>
          <w:spacing w:val="-4"/>
          <w:lang w:eastAsia="zh-CN"/>
        </w:rPr>
        <w:t>对参选报价负责。参选报价应加盖参选人印章，字迹清晰，否则视为无效。</w:t>
      </w:r>
    </w:p>
    <w:p>
      <w:pPr>
        <w:pStyle w:val="3"/>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四、特别说明</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参选人应承担所有与准备和参加比选有关的费用。不论比选的结果如何，比选机构和比选人均无义务和责任承担这些费用。</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asciiTheme="minorEastAsia" w:hAnsiTheme="minorEastAsia" w:eastAsiaTheme="minorEastAsia"/>
          <w:spacing w:val="-9"/>
          <w:lang w:eastAsia="zh-CN"/>
        </w:rPr>
        <w:t>参选收到比选文件后，如有疑问需要澄清，请以书面形式在规定时间内报比选人汇总。</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6"/>
          <w:lang w:eastAsia="zh-CN"/>
        </w:rPr>
        <w:t>参选人对比选人提供的比选文件所做出的推论、解释和结论，比选人概不负责。参</w:t>
      </w:r>
      <w:r>
        <w:rPr>
          <w:rFonts w:asciiTheme="minorEastAsia" w:hAnsiTheme="minorEastAsia" w:eastAsiaTheme="minorEastAsia"/>
          <w:spacing w:val="-9"/>
          <w:lang w:eastAsia="zh-CN"/>
        </w:rPr>
        <w:t>选人由于对比选文件的任何推论和误解以及比选对有关问题的口头解释所造成的后果，均由参选人负责。</w:t>
      </w:r>
    </w:p>
    <w:p>
      <w:pPr>
        <w:spacing w:line="360" w:lineRule="auto"/>
        <w:ind w:firstLine="480" w:firstLineChars="200"/>
        <w:rPr>
          <w:sz w:val="24"/>
          <w:szCs w:val="24"/>
          <w:lang w:eastAsia="zh-CN"/>
        </w:rPr>
        <w:sectPr>
          <w:pgSz w:w="11910" w:h="16840"/>
          <w:pgMar w:top="1500" w:right="1020" w:bottom="740" w:left="1300" w:header="0" w:footer="551" w:gutter="0"/>
          <w:cols w:space="720" w:num="1"/>
        </w:sectPr>
      </w:pPr>
    </w:p>
    <w:p>
      <w:pPr>
        <w:pStyle w:val="3"/>
        <w:tabs>
          <w:tab w:val="left" w:pos="1488"/>
        </w:tabs>
        <w:spacing w:line="360" w:lineRule="auto"/>
        <w:ind w:left="0" w:firstLine="482" w:firstLineChars="200"/>
        <w:jc w:val="center"/>
        <w:rPr>
          <w:rFonts w:asciiTheme="minorEastAsia" w:hAnsiTheme="minorEastAsia" w:eastAsiaTheme="minorEastAsia"/>
          <w:b w:val="0"/>
          <w:sz w:val="24"/>
          <w:szCs w:val="24"/>
          <w:lang w:eastAsia="zh-CN"/>
        </w:rPr>
      </w:pPr>
      <w:r>
        <w:rPr>
          <w:rFonts w:asciiTheme="minorEastAsia" w:hAnsiTheme="minorEastAsia" w:eastAsiaTheme="minorEastAsia"/>
          <w:sz w:val="24"/>
          <w:szCs w:val="24"/>
          <w:lang w:eastAsia="zh-CN"/>
        </w:rPr>
        <w:t>第四章</w:t>
      </w:r>
      <w:r>
        <w:rPr>
          <w:rFonts w:asciiTheme="minorEastAsia" w:hAnsiTheme="minorEastAsia" w:eastAsiaTheme="minorEastAsia"/>
          <w:sz w:val="24"/>
          <w:szCs w:val="24"/>
          <w:lang w:eastAsia="zh-CN"/>
        </w:rPr>
        <w:tab/>
      </w:r>
      <w:r>
        <w:rPr>
          <w:rFonts w:asciiTheme="minorEastAsia" w:hAnsiTheme="minorEastAsia" w:eastAsiaTheme="minorEastAsia"/>
          <w:spacing w:val="-1"/>
          <w:w w:val="95"/>
          <w:sz w:val="24"/>
          <w:szCs w:val="24"/>
          <w:lang w:eastAsia="zh-CN"/>
        </w:rPr>
        <w:t>评比规</w:t>
      </w:r>
      <w:r>
        <w:rPr>
          <w:rFonts w:asciiTheme="minorEastAsia" w:hAnsiTheme="minorEastAsia" w:eastAsiaTheme="minorEastAsia"/>
          <w:w w:val="95"/>
          <w:sz w:val="24"/>
          <w:szCs w:val="24"/>
          <w:lang w:eastAsia="zh-CN"/>
        </w:rPr>
        <w:t>则</w:t>
      </w: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一、规则：</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11"/>
          <w:lang w:eastAsia="zh-CN"/>
        </w:rPr>
        <w:t>比选人在评选时，中选单位的报价仅为比选要件之一。比选人将根据评审细则对参选人进行技术标评分，作为综合比选评选的依据之一。</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2.参选人串选、相互勾结故意压低标价以排挤竞争对手的公平竞争的，其参选无效。</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8"/>
          <w:lang w:eastAsia="zh-CN"/>
        </w:rPr>
        <w:t>替补候选人的设定与使用：在合同签订前，比选单位发现参选人的参选报价或供货</w:t>
      </w:r>
      <w:r>
        <w:rPr>
          <w:rFonts w:asciiTheme="minorEastAsia" w:hAnsiTheme="minorEastAsia" w:eastAsiaTheme="minorEastAsia"/>
          <w:spacing w:val="-12"/>
          <w:lang w:eastAsia="zh-CN"/>
        </w:rPr>
        <w:t>范围有缺漏、实际应标产品或服务存在重大偏差、或参选材料存在欺诈行为时、或参选人</w:t>
      </w:r>
      <w:r>
        <w:rPr>
          <w:rFonts w:asciiTheme="minorEastAsia" w:hAnsiTheme="minorEastAsia" w:eastAsiaTheme="minorEastAsia"/>
          <w:spacing w:val="-22"/>
          <w:lang w:eastAsia="zh-CN"/>
        </w:rPr>
        <w:t>因不可抗力或自身原因不能履行合同的，将有理由取消中选人资格，保留依法追究的权利； 并将依法确定排名第二名的中选候选人为本项目的中选人。</w:t>
      </w:r>
    </w:p>
    <w:p>
      <w:pPr>
        <w:pStyle w:val="3"/>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二、资格审查：</w:t>
      </w:r>
    </w:p>
    <w:p>
      <w:pPr>
        <w:pStyle w:val="10"/>
        <w:spacing w:line="360" w:lineRule="auto"/>
        <w:ind w:firstLine="460" w:firstLineChars="200"/>
        <w:rPr>
          <w:rFonts w:asciiTheme="minorEastAsia" w:hAnsiTheme="minorEastAsia" w:eastAsiaTheme="minorEastAsia"/>
          <w:lang w:eastAsia="zh-CN"/>
        </w:rPr>
      </w:pPr>
      <w:r>
        <w:rPr>
          <w:rFonts w:asciiTheme="minorEastAsia" w:hAnsiTheme="minorEastAsia" w:eastAsiaTheme="minorEastAsia"/>
          <w:spacing w:val="-5"/>
          <w:lang w:eastAsia="zh-CN"/>
        </w:rPr>
        <w:t>由比选人依法组建的评选委员会将按照第二章比选须知第六点“参选人资格”的要求</w:t>
      </w:r>
      <w:r>
        <w:rPr>
          <w:rFonts w:asciiTheme="minorEastAsia" w:hAnsiTheme="minorEastAsia" w:eastAsiaTheme="minorEastAsia"/>
          <w:spacing w:val="-11"/>
          <w:lang w:eastAsia="zh-CN"/>
        </w:rPr>
        <w:t>对参选人进行资格审查，以确定是否为符合比选文件规定要求的合格参选人，同时，评选</w:t>
      </w:r>
      <w:r>
        <w:rPr>
          <w:rFonts w:asciiTheme="minorEastAsia" w:hAnsiTheme="minorEastAsia" w:eastAsiaTheme="minorEastAsia"/>
          <w:spacing w:val="-14"/>
          <w:lang w:eastAsia="zh-CN"/>
        </w:rPr>
        <w:t>委员会将依据参选人提供的资格证明文件审查参选人的法人资格、营业范围、财务，以确</w:t>
      </w:r>
      <w:r>
        <w:rPr>
          <w:rFonts w:asciiTheme="minorEastAsia" w:hAnsiTheme="minorEastAsia" w:eastAsiaTheme="minorEastAsia"/>
          <w:spacing w:val="-18"/>
          <w:lang w:eastAsia="zh-CN"/>
        </w:rPr>
        <w:t>定参选人是否有资格履行合同。经上述资格审查合格的参选人进入下一程序的评审，经上述资格审查不合格的参选文件，其参选资格将被评选委员会予以否决。</w:t>
      </w:r>
    </w:p>
    <w:p>
      <w:pPr>
        <w:spacing w:line="360" w:lineRule="auto"/>
        <w:ind w:firstLine="456" w:firstLineChars="200"/>
        <w:rPr>
          <w:rFonts w:asciiTheme="minorEastAsia" w:hAnsiTheme="minorEastAsia" w:eastAsiaTheme="minorEastAsia"/>
          <w:b/>
          <w:sz w:val="24"/>
          <w:szCs w:val="24"/>
          <w:lang w:eastAsia="zh-CN"/>
        </w:rPr>
      </w:pPr>
      <w:r>
        <w:rPr>
          <w:rFonts w:asciiTheme="minorEastAsia" w:hAnsiTheme="minorEastAsia" w:eastAsiaTheme="minorEastAsia"/>
          <w:w w:val="95"/>
          <w:sz w:val="24"/>
          <w:szCs w:val="24"/>
          <w:lang w:eastAsia="zh-CN"/>
        </w:rPr>
        <w:t>三、</w:t>
      </w:r>
      <w:r>
        <w:rPr>
          <w:rFonts w:asciiTheme="minorEastAsia" w:hAnsiTheme="minorEastAsia" w:eastAsiaTheme="minorEastAsia"/>
          <w:b/>
          <w:w w:val="95"/>
          <w:sz w:val="24"/>
          <w:szCs w:val="24"/>
          <w:lang w:eastAsia="zh-CN"/>
        </w:rPr>
        <w:t>评选办法：</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评选委员会将对通过资格及实质响应性审查的各合格参选人，根据以下标准和方法进行评分。</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评标委员会将对通过资格及符合性检查和响应性确定的各合格参选人进行综合分析、比较，在全部满足比选文件实质性要求前提下，依据以下原则选择中选单位：</w:t>
      </w:r>
    </w:p>
    <w:p>
      <w:pPr>
        <w:pStyle w:val="28"/>
        <w:numPr>
          <w:ilvl w:val="0"/>
          <w:numId w:val="3"/>
        </w:numPr>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本案分为</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个标段，分别对每个标段进行比选，依据经评审的有效参选人按评标综合评分从高到低进行排序，排序第一的参选人作为中标候选人，若一家单位，有多个标段综合得分第一，由该单位选择其中的一个标段，一家单位最多中标一个标段。 </w:t>
      </w:r>
    </w:p>
    <w:p>
      <w:pPr>
        <w:pStyle w:val="28"/>
        <w:numPr>
          <w:ilvl w:val="0"/>
          <w:numId w:val="3"/>
        </w:numPr>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两个</w:t>
      </w:r>
      <w:r>
        <w:rPr>
          <w:rFonts w:asciiTheme="minorEastAsia" w:hAnsiTheme="minorEastAsia" w:eastAsiaTheme="minorEastAsia"/>
          <w:sz w:val="24"/>
          <w:szCs w:val="24"/>
          <w:lang w:eastAsia="zh-CN"/>
        </w:rPr>
        <w:t>标段选择不同的中选人</w:t>
      </w:r>
      <w:r>
        <w:rPr>
          <w:rFonts w:hint="eastAsia" w:asciiTheme="minorEastAsia" w:hAnsiTheme="minorEastAsia" w:eastAsiaTheme="minorEastAsia"/>
          <w:sz w:val="24"/>
          <w:szCs w:val="24"/>
          <w:lang w:eastAsia="zh-CN"/>
        </w:rPr>
        <w:t>；</w:t>
      </w:r>
    </w:p>
    <w:p>
      <w:pPr>
        <w:pStyle w:val="10"/>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若有相同的评标分数，则由评标委员会全体成员记名投票表决，得票</w:t>
      </w:r>
      <w:r>
        <w:rPr>
          <w:rFonts w:hint="eastAsia" w:asciiTheme="minorEastAsia" w:hAnsiTheme="minorEastAsia" w:eastAsiaTheme="minorEastAsia"/>
          <w:color w:val="000000"/>
          <w:lang w:eastAsia="zh-CN"/>
        </w:rPr>
        <w:t>超过半数的</w:t>
      </w:r>
      <w:r>
        <w:rPr>
          <w:rFonts w:hint="eastAsia" w:asciiTheme="minorEastAsia" w:hAnsiTheme="minorEastAsia" w:eastAsiaTheme="minorEastAsia"/>
          <w:lang w:eastAsia="zh-CN"/>
        </w:rPr>
        <w:t>将被排序在前。具体评分细则如下：</w:t>
      </w:r>
    </w:p>
    <w:tbl>
      <w:tblPr>
        <w:tblStyle w:val="21"/>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8"/>
        <w:gridCol w:w="4394"/>
        <w:gridCol w:w="1134"/>
        <w:gridCol w:w="113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spacing w:line="360" w:lineRule="auto"/>
              <w:rPr>
                <w:rFonts w:asciiTheme="minorEastAsia" w:hAnsiTheme="minorEastAsia" w:eastAsiaTheme="minorEastAsia"/>
                <w:b/>
                <w:color w:val="000000"/>
                <w:kern w:val="2"/>
                <w:sz w:val="20"/>
                <w:szCs w:val="20"/>
              </w:rPr>
            </w:pPr>
            <w:r>
              <w:rPr>
                <w:rFonts w:hint="eastAsia" w:asciiTheme="minorEastAsia" w:hAnsiTheme="minorEastAsia" w:eastAsiaTheme="minorEastAsia"/>
                <w:b/>
                <w:color w:val="000000"/>
                <w:kern w:val="2"/>
                <w:sz w:val="20"/>
                <w:szCs w:val="20"/>
              </w:rPr>
              <w:t>序号</w:t>
            </w:r>
          </w:p>
        </w:tc>
        <w:tc>
          <w:tcPr>
            <w:tcW w:w="1418" w:type="dxa"/>
            <w:tcBorders>
              <w:right w:val="single" w:color="auto" w:sz="4" w:space="0"/>
            </w:tcBorders>
          </w:tcPr>
          <w:p>
            <w:pPr>
              <w:spacing w:line="360" w:lineRule="auto"/>
              <w:rPr>
                <w:rFonts w:asciiTheme="minorEastAsia" w:hAnsiTheme="minorEastAsia" w:eastAsiaTheme="minorEastAsia"/>
                <w:b/>
                <w:color w:val="000000"/>
                <w:kern w:val="2"/>
                <w:sz w:val="20"/>
                <w:szCs w:val="20"/>
              </w:rPr>
            </w:pPr>
            <w:r>
              <w:rPr>
                <w:rFonts w:hint="eastAsia" w:asciiTheme="minorEastAsia" w:hAnsiTheme="minorEastAsia" w:eastAsiaTheme="minorEastAsia"/>
                <w:b/>
                <w:color w:val="000000"/>
                <w:kern w:val="2"/>
                <w:sz w:val="20"/>
                <w:szCs w:val="20"/>
              </w:rPr>
              <w:t>类别</w:t>
            </w:r>
          </w:p>
        </w:tc>
        <w:tc>
          <w:tcPr>
            <w:tcW w:w="4394" w:type="dxa"/>
            <w:tcBorders>
              <w:left w:val="single" w:color="auto" w:sz="4" w:space="0"/>
            </w:tcBorders>
          </w:tcPr>
          <w:p>
            <w:pPr>
              <w:spacing w:line="360" w:lineRule="auto"/>
              <w:rPr>
                <w:rFonts w:asciiTheme="minorEastAsia" w:hAnsiTheme="minorEastAsia" w:eastAsiaTheme="minorEastAsia"/>
                <w:b/>
                <w:color w:val="000000"/>
                <w:kern w:val="2"/>
                <w:sz w:val="20"/>
                <w:szCs w:val="20"/>
              </w:rPr>
            </w:pPr>
            <w:r>
              <w:rPr>
                <w:rFonts w:hint="eastAsia" w:asciiTheme="minorEastAsia" w:hAnsiTheme="minorEastAsia" w:eastAsiaTheme="minorEastAsia"/>
                <w:b/>
                <w:color w:val="000000"/>
                <w:kern w:val="2"/>
                <w:sz w:val="20"/>
                <w:szCs w:val="20"/>
              </w:rPr>
              <w:t>评分标准</w:t>
            </w:r>
          </w:p>
        </w:tc>
        <w:tc>
          <w:tcPr>
            <w:tcW w:w="1134" w:type="dxa"/>
          </w:tcPr>
          <w:p>
            <w:pPr>
              <w:spacing w:line="360" w:lineRule="auto"/>
              <w:ind w:firstLine="98" w:firstLineChars="49"/>
              <w:rPr>
                <w:rFonts w:asciiTheme="minorEastAsia" w:hAnsiTheme="minorEastAsia" w:eastAsiaTheme="minorEastAsia"/>
                <w:b/>
                <w:color w:val="000000"/>
                <w:kern w:val="2"/>
                <w:sz w:val="20"/>
                <w:szCs w:val="20"/>
              </w:rPr>
            </w:pPr>
            <w:r>
              <w:rPr>
                <w:rFonts w:hint="eastAsia" w:asciiTheme="minorEastAsia" w:hAnsiTheme="minorEastAsia" w:eastAsiaTheme="minorEastAsia"/>
                <w:b/>
                <w:color w:val="000000"/>
                <w:kern w:val="2"/>
                <w:sz w:val="20"/>
                <w:szCs w:val="20"/>
              </w:rPr>
              <w:t>权重</w:t>
            </w:r>
          </w:p>
        </w:tc>
        <w:tc>
          <w:tcPr>
            <w:tcW w:w="1134" w:type="dxa"/>
          </w:tcPr>
          <w:p>
            <w:pPr>
              <w:spacing w:line="360" w:lineRule="auto"/>
              <w:ind w:firstLine="98" w:firstLineChars="49"/>
              <w:rPr>
                <w:rFonts w:asciiTheme="minorEastAsia" w:hAnsiTheme="minorEastAsia" w:eastAsiaTheme="minorEastAsia"/>
                <w:b/>
                <w:color w:val="000000"/>
                <w:kern w:val="2"/>
                <w:sz w:val="20"/>
                <w:szCs w:val="20"/>
              </w:rPr>
            </w:pPr>
            <w:r>
              <w:rPr>
                <w:rFonts w:hint="eastAsia" w:asciiTheme="minorEastAsia" w:hAnsiTheme="minorEastAsia" w:eastAsiaTheme="minorEastAsia"/>
                <w:b/>
                <w:color w:val="000000"/>
                <w:kern w:val="2"/>
                <w:sz w:val="20"/>
                <w:szCs w:val="20"/>
              </w:rPr>
              <w:t>得分</w:t>
            </w:r>
          </w:p>
        </w:tc>
        <w:tc>
          <w:tcPr>
            <w:tcW w:w="1135" w:type="dxa"/>
          </w:tcPr>
          <w:p>
            <w:pPr>
              <w:spacing w:line="360" w:lineRule="auto"/>
              <w:rPr>
                <w:rFonts w:asciiTheme="minorEastAsia" w:hAnsiTheme="minorEastAsia" w:eastAsiaTheme="minorEastAsia"/>
                <w:b/>
                <w:color w:val="000000"/>
                <w:kern w:val="2"/>
                <w:sz w:val="20"/>
                <w:szCs w:val="20"/>
              </w:rPr>
            </w:pPr>
            <w:r>
              <w:rPr>
                <w:rFonts w:hint="eastAsia" w:asciiTheme="minorEastAsia" w:hAnsiTheme="minorEastAsia" w:eastAsiaTheme="minorEastAsia"/>
                <w:b/>
                <w:color w:val="000000"/>
                <w:kern w:val="2"/>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spacing w:line="360" w:lineRule="auto"/>
              <w:rPr>
                <w:rFonts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1</w:t>
            </w:r>
          </w:p>
        </w:tc>
        <w:tc>
          <w:tcPr>
            <w:tcW w:w="1418" w:type="dxa"/>
            <w:vMerge w:val="restart"/>
            <w:tcBorders>
              <w:right w:val="single" w:color="auto" w:sz="4" w:space="0"/>
            </w:tcBorders>
          </w:tcPr>
          <w:p>
            <w:pPr>
              <w:spacing w:line="360" w:lineRule="auto"/>
              <w:jc w:val="center"/>
              <w:rPr>
                <w:rFonts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资质</w:t>
            </w:r>
          </w:p>
        </w:tc>
        <w:tc>
          <w:tcPr>
            <w:tcW w:w="4394" w:type="dxa"/>
            <w:tcBorders>
              <w:left w:val="single" w:color="auto" w:sz="4" w:space="0"/>
            </w:tcBorders>
            <w:vAlign w:val="top"/>
          </w:tcPr>
          <w:p>
            <w:pPr>
              <w:spacing w:line="360" w:lineRule="auto"/>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rPr>
              <w:t>注册资金1000万（含）以上得分5分，500万（含）至1000万得4分，200万（含）至500万得2分。200万以下得0分（得分0-5），事业单位得5分。</w:t>
            </w:r>
          </w:p>
        </w:tc>
        <w:tc>
          <w:tcPr>
            <w:tcW w:w="1134" w:type="dxa"/>
            <w:vAlign w:val="center"/>
          </w:tcPr>
          <w:p>
            <w:pPr>
              <w:spacing w:line="360" w:lineRule="auto"/>
              <w:jc w:val="center"/>
              <w:rPr>
                <w:rFonts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5</w:t>
            </w:r>
          </w:p>
        </w:tc>
        <w:tc>
          <w:tcPr>
            <w:tcW w:w="1134" w:type="dxa"/>
          </w:tcPr>
          <w:p>
            <w:pPr>
              <w:spacing w:line="360" w:lineRule="auto"/>
              <w:rPr>
                <w:rFonts w:asciiTheme="minorEastAsia" w:hAnsiTheme="minorEastAsia" w:eastAsiaTheme="minorEastAsia"/>
                <w:color w:val="000000"/>
                <w:kern w:val="2"/>
                <w:sz w:val="20"/>
                <w:szCs w:val="20"/>
              </w:rPr>
            </w:pPr>
          </w:p>
        </w:tc>
        <w:tc>
          <w:tcPr>
            <w:tcW w:w="1135" w:type="dxa"/>
            <w:vMerge w:val="restart"/>
          </w:tcPr>
          <w:p>
            <w:pPr>
              <w:spacing w:line="360" w:lineRule="auto"/>
              <w:rPr>
                <w:rFonts w:asciiTheme="minorEastAsia" w:hAnsiTheme="minorEastAsia" w:eastAsiaTheme="minorEastAsia"/>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spacing w:line="360" w:lineRule="auto"/>
              <w:rPr>
                <w:rFonts w:hint="eastAsia"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val="en-US" w:eastAsia="zh-CN"/>
              </w:rPr>
              <w:t>2</w:t>
            </w:r>
          </w:p>
        </w:tc>
        <w:tc>
          <w:tcPr>
            <w:tcW w:w="1418" w:type="dxa"/>
            <w:vMerge w:val="continue"/>
            <w:tcBorders>
              <w:right w:val="single" w:color="auto" w:sz="4" w:space="0"/>
            </w:tcBorders>
          </w:tcPr>
          <w:p>
            <w:pPr>
              <w:spacing w:line="360" w:lineRule="auto"/>
              <w:jc w:val="center"/>
              <w:rPr>
                <w:rFonts w:asciiTheme="minorEastAsia" w:hAnsiTheme="minorEastAsia" w:eastAsiaTheme="minorEastAsia"/>
                <w:color w:val="000000"/>
                <w:kern w:val="2"/>
                <w:sz w:val="20"/>
                <w:szCs w:val="20"/>
              </w:rPr>
            </w:pPr>
          </w:p>
        </w:tc>
        <w:tc>
          <w:tcPr>
            <w:tcW w:w="4394" w:type="dxa"/>
            <w:tcBorders>
              <w:left w:val="single" w:color="auto" w:sz="4" w:space="0"/>
            </w:tcBorders>
            <w:vAlign w:val="top"/>
          </w:tcPr>
          <w:p>
            <w:pPr>
              <w:spacing w:line="360" w:lineRule="auto"/>
              <w:jc w:val="left"/>
              <w:rPr>
                <w:rFonts w:hint="eastAsia"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rPr>
              <w:t>在国家企业信用信息公示系统查询未有行政处罚信息的得3分，有行政处罚信息得0分。</w:t>
            </w:r>
          </w:p>
        </w:tc>
        <w:tc>
          <w:tcPr>
            <w:tcW w:w="1134" w:type="dxa"/>
            <w:vAlign w:val="center"/>
          </w:tcPr>
          <w:p>
            <w:pPr>
              <w:spacing w:line="360" w:lineRule="auto"/>
              <w:jc w:val="center"/>
              <w:rPr>
                <w:rFonts w:hint="eastAsia"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3</w:t>
            </w:r>
          </w:p>
        </w:tc>
        <w:tc>
          <w:tcPr>
            <w:tcW w:w="1134" w:type="dxa"/>
          </w:tcPr>
          <w:p>
            <w:pPr>
              <w:spacing w:line="360" w:lineRule="auto"/>
              <w:rPr>
                <w:rFonts w:asciiTheme="minorEastAsia" w:hAnsiTheme="minorEastAsia" w:eastAsiaTheme="minorEastAsia"/>
                <w:color w:val="000000"/>
                <w:kern w:val="2"/>
                <w:sz w:val="20"/>
                <w:szCs w:val="20"/>
              </w:rPr>
            </w:pPr>
          </w:p>
        </w:tc>
        <w:tc>
          <w:tcPr>
            <w:tcW w:w="1135" w:type="dxa"/>
            <w:vMerge w:val="continue"/>
          </w:tcPr>
          <w:p>
            <w:pPr>
              <w:spacing w:line="360" w:lineRule="auto"/>
              <w:rPr>
                <w:rFonts w:asciiTheme="minorEastAsia" w:hAnsiTheme="minorEastAsia" w:eastAsiaTheme="minorEastAsia"/>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spacing w:line="360" w:lineRule="auto"/>
              <w:rPr>
                <w:rFonts w:hint="eastAsia"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val="en-US" w:eastAsia="zh-CN"/>
              </w:rPr>
              <w:t>3</w:t>
            </w:r>
          </w:p>
        </w:tc>
        <w:tc>
          <w:tcPr>
            <w:tcW w:w="1418" w:type="dxa"/>
            <w:vMerge w:val="continue"/>
            <w:tcBorders>
              <w:right w:val="single" w:color="auto" w:sz="4" w:space="0"/>
            </w:tcBorders>
          </w:tcPr>
          <w:p>
            <w:pPr>
              <w:spacing w:line="360" w:lineRule="auto"/>
              <w:jc w:val="center"/>
              <w:rPr>
                <w:rFonts w:asciiTheme="minorEastAsia" w:hAnsiTheme="minorEastAsia" w:eastAsiaTheme="minorEastAsia"/>
                <w:color w:val="000000"/>
                <w:kern w:val="2"/>
                <w:sz w:val="20"/>
                <w:szCs w:val="20"/>
              </w:rPr>
            </w:pPr>
          </w:p>
        </w:tc>
        <w:tc>
          <w:tcPr>
            <w:tcW w:w="4394" w:type="dxa"/>
            <w:tcBorders>
              <w:left w:val="single" w:color="auto" w:sz="4" w:space="0"/>
            </w:tcBorders>
            <w:vAlign w:val="top"/>
          </w:tcPr>
          <w:p>
            <w:pPr>
              <w:spacing w:line="360" w:lineRule="auto"/>
              <w:jc w:val="left"/>
              <w:rPr>
                <w:rFonts w:hint="eastAsia"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rPr>
              <w:t>有第三方出具的：质量体系认证职业健康安全管理体系认证，环境管理体系认证得2分，不全得0分。</w:t>
            </w:r>
          </w:p>
        </w:tc>
        <w:tc>
          <w:tcPr>
            <w:tcW w:w="1134" w:type="dxa"/>
            <w:vAlign w:val="center"/>
          </w:tcPr>
          <w:p>
            <w:pPr>
              <w:spacing w:line="360" w:lineRule="auto"/>
              <w:jc w:val="center"/>
              <w:rPr>
                <w:rFonts w:hint="eastAsia"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2</w:t>
            </w:r>
          </w:p>
        </w:tc>
        <w:tc>
          <w:tcPr>
            <w:tcW w:w="1134" w:type="dxa"/>
          </w:tcPr>
          <w:p>
            <w:pPr>
              <w:spacing w:line="360" w:lineRule="auto"/>
              <w:rPr>
                <w:rFonts w:asciiTheme="minorEastAsia" w:hAnsiTheme="minorEastAsia" w:eastAsiaTheme="minorEastAsia"/>
                <w:color w:val="000000"/>
                <w:kern w:val="2"/>
                <w:sz w:val="20"/>
                <w:szCs w:val="20"/>
              </w:rPr>
            </w:pPr>
          </w:p>
        </w:tc>
        <w:tc>
          <w:tcPr>
            <w:tcW w:w="1135" w:type="dxa"/>
            <w:vMerge w:val="continue"/>
          </w:tcPr>
          <w:p>
            <w:pPr>
              <w:spacing w:line="360" w:lineRule="auto"/>
              <w:rPr>
                <w:rFonts w:asciiTheme="minorEastAsia" w:hAnsiTheme="minorEastAsia" w:eastAsiaTheme="minorEastAsia"/>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51" w:type="dxa"/>
          </w:tcPr>
          <w:p>
            <w:pPr>
              <w:spacing w:line="360" w:lineRule="auto"/>
              <w:rPr>
                <w:rFonts w:hint="eastAsia"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val="en-US" w:eastAsia="zh-CN"/>
              </w:rPr>
              <w:t>4</w:t>
            </w:r>
          </w:p>
        </w:tc>
        <w:tc>
          <w:tcPr>
            <w:tcW w:w="1418" w:type="dxa"/>
            <w:tcBorders>
              <w:right w:val="single" w:color="auto" w:sz="4" w:space="0"/>
            </w:tcBorders>
          </w:tcPr>
          <w:p>
            <w:pPr>
              <w:spacing w:line="360" w:lineRule="auto"/>
              <w:jc w:val="center"/>
              <w:rPr>
                <w:rFonts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工作业绩</w:t>
            </w:r>
          </w:p>
        </w:tc>
        <w:tc>
          <w:tcPr>
            <w:tcW w:w="4394" w:type="dxa"/>
            <w:tcBorders>
              <w:left w:val="single" w:color="auto" w:sz="4" w:space="0"/>
            </w:tcBorders>
            <w:vAlign w:val="top"/>
          </w:tcPr>
          <w:p>
            <w:pPr>
              <w:spacing w:line="360" w:lineRule="auto"/>
              <w:jc w:val="left"/>
              <w:rPr>
                <w:rFonts w:hint="eastAsia"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rPr>
              <w:t>近两年大型石化、油田定检定检业绩（0-15）。同一个法人公司近2年内定检业绩（以合同或者发票金额为准）最高的得15分，低于业绩最高的，每低于100万，减1.5分。最低得5分。其中业绩低于500万的，得0分。</w:t>
            </w:r>
          </w:p>
        </w:tc>
        <w:tc>
          <w:tcPr>
            <w:tcW w:w="1134" w:type="dxa"/>
            <w:vAlign w:val="center"/>
          </w:tcPr>
          <w:p>
            <w:pPr>
              <w:spacing w:line="360" w:lineRule="auto"/>
              <w:jc w:val="center"/>
              <w:rPr>
                <w:rFonts w:hint="eastAsia"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15</w:t>
            </w:r>
          </w:p>
        </w:tc>
        <w:tc>
          <w:tcPr>
            <w:tcW w:w="1134" w:type="dxa"/>
          </w:tcPr>
          <w:p>
            <w:pPr>
              <w:spacing w:line="360" w:lineRule="auto"/>
              <w:rPr>
                <w:rFonts w:asciiTheme="minorEastAsia" w:hAnsiTheme="minorEastAsia" w:eastAsiaTheme="minorEastAsia"/>
                <w:color w:val="000000"/>
                <w:kern w:val="2"/>
                <w:sz w:val="20"/>
                <w:szCs w:val="20"/>
              </w:rPr>
            </w:pPr>
          </w:p>
        </w:tc>
        <w:tc>
          <w:tcPr>
            <w:tcW w:w="1135" w:type="dxa"/>
          </w:tcPr>
          <w:p>
            <w:pPr>
              <w:spacing w:line="360" w:lineRule="auto"/>
              <w:rPr>
                <w:rFonts w:asciiTheme="minorEastAsia" w:hAnsiTheme="minorEastAsia" w:eastAsiaTheme="minorEastAsia"/>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spacing w:line="360" w:lineRule="auto"/>
              <w:rPr>
                <w:rFonts w:hint="eastAsia"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val="en-US" w:eastAsia="zh-CN"/>
              </w:rPr>
              <w:t>5</w:t>
            </w:r>
          </w:p>
        </w:tc>
        <w:tc>
          <w:tcPr>
            <w:tcW w:w="1418" w:type="dxa"/>
            <w:tcBorders>
              <w:right w:val="single" w:color="auto" w:sz="4" w:space="0"/>
            </w:tcBorders>
          </w:tcPr>
          <w:p>
            <w:pPr>
              <w:spacing w:line="360" w:lineRule="auto"/>
              <w:jc w:val="center"/>
              <w:rPr>
                <w:rFonts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检验方案</w:t>
            </w:r>
          </w:p>
        </w:tc>
        <w:tc>
          <w:tcPr>
            <w:tcW w:w="4394" w:type="dxa"/>
            <w:tcBorders>
              <w:left w:val="single" w:color="auto" w:sz="4" w:space="0"/>
            </w:tcBorders>
            <w:vAlign w:val="top"/>
          </w:tcPr>
          <w:p>
            <w:pPr>
              <w:spacing w:line="360" w:lineRule="auto"/>
              <w:jc w:val="left"/>
              <w:rPr>
                <w:rFonts w:hint="eastAsia"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1、现场负责人近三年的工作履历(0-5分)</w:t>
            </w:r>
          </w:p>
          <w:p>
            <w:pPr>
              <w:spacing w:line="360" w:lineRule="auto"/>
              <w:jc w:val="left"/>
              <w:rPr>
                <w:rFonts w:hint="eastAsia"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2、检验人员参与的定检项目（0-5分）</w:t>
            </w:r>
          </w:p>
          <w:p>
            <w:pPr>
              <w:spacing w:line="360" w:lineRule="auto"/>
              <w:jc w:val="left"/>
              <w:rPr>
                <w:rFonts w:hint="eastAsia"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rPr>
              <w:t>3、方案的针对性、可行性（0-15分）</w:t>
            </w:r>
          </w:p>
        </w:tc>
        <w:tc>
          <w:tcPr>
            <w:tcW w:w="1134" w:type="dxa"/>
            <w:vAlign w:val="center"/>
          </w:tcPr>
          <w:p>
            <w:pPr>
              <w:spacing w:line="360" w:lineRule="auto"/>
              <w:jc w:val="center"/>
              <w:rPr>
                <w:rFonts w:hint="eastAsia"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25</w:t>
            </w:r>
          </w:p>
        </w:tc>
        <w:tc>
          <w:tcPr>
            <w:tcW w:w="1134" w:type="dxa"/>
          </w:tcPr>
          <w:p>
            <w:pPr>
              <w:spacing w:line="360" w:lineRule="auto"/>
              <w:rPr>
                <w:rFonts w:asciiTheme="minorEastAsia" w:hAnsiTheme="minorEastAsia" w:eastAsiaTheme="minorEastAsia"/>
                <w:color w:val="000000"/>
                <w:kern w:val="2"/>
                <w:sz w:val="20"/>
                <w:szCs w:val="20"/>
              </w:rPr>
            </w:pPr>
          </w:p>
        </w:tc>
        <w:tc>
          <w:tcPr>
            <w:tcW w:w="1135" w:type="dxa"/>
          </w:tcPr>
          <w:p>
            <w:pPr>
              <w:spacing w:line="360" w:lineRule="auto"/>
              <w:rPr>
                <w:rFonts w:asciiTheme="minorEastAsia" w:hAnsiTheme="minorEastAsia" w:eastAsiaTheme="minorEastAsia"/>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51" w:type="dxa"/>
          </w:tcPr>
          <w:p>
            <w:pPr>
              <w:spacing w:line="360" w:lineRule="auto"/>
              <w:rPr>
                <w:rFonts w:hint="eastAsia"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val="en-US" w:eastAsia="zh-CN"/>
              </w:rPr>
              <w:t>6</w:t>
            </w:r>
            <w:bookmarkStart w:id="1" w:name="_GoBack"/>
            <w:bookmarkEnd w:id="1"/>
          </w:p>
        </w:tc>
        <w:tc>
          <w:tcPr>
            <w:tcW w:w="1418" w:type="dxa"/>
            <w:tcBorders>
              <w:right w:val="single" w:color="auto" w:sz="4" w:space="0"/>
            </w:tcBorders>
          </w:tcPr>
          <w:p>
            <w:pPr>
              <w:spacing w:line="360" w:lineRule="auto"/>
              <w:jc w:val="center"/>
              <w:rPr>
                <w:rFonts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合同报价</w:t>
            </w:r>
          </w:p>
        </w:tc>
        <w:tc>
          <w:tcPr>
            <w:tcW w:w="4394" w:type="dxa"/>
            <w:tcBorders>
              <w:left w:val="single" w:color="auto" w:sz="4" w:space="0"/>
            </w:tcBorders>
            <w:vAlign w:val="top"/>
          </w:tcPr>
          <w:p>
            <w:pPr>
              <w:spacing w:line="360" w:lineRule="auto"/>
              <w:jc w:val="left"/>
              <w:rPr>
                <w:rFonts w:hint="eastAsia"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在福建收费标准下整体下浮，下浮数最多的得50分。其他价格高于该最低价，按每高1%下浮数减2分。</w:t>
            </w:r>
          </w:p>
        </w:tc>
        <w:tc>
          <w:tcPr>
            <w:tcW w:w="1134" w:type="dxa"/>
            <w:vAlign w:val="center"/>
          </w:tcPr>
          <w:p>
            <w:pPr>
              <w:spacing w:line="360" w:lineRule="auto"/>
              <w:jc w:val="center"/>
              <w:rPr>
                <w:rFonts w:hint="eastAsia" w:asciiTheme="minorEastAsia" w:hAnsiTheme="minorEastAsia" w:eastAsiaTheme="minorEastAsia"/>
                <w:color w:val="000000"/>
                <w:kern w:val="2"/>
                <w:sz w:val="20"/>
                <w:szCs w:val="20"/>
              </w:rPr>
            </w:pPr>
            <w:r>
              <w:rPr>
                <w:rFonts w:hint="eastAsia" w:asciiTheme="minorEastAsia" w:hAnsiTheme="minorEastAsia" w:eastAsiaTheme="minorEastAsia"/>
                <w:color w:val="000000"/>
                <w:kern w:val="2"/>
                <w:sz w:val="20"/>
                <w:szCs w:val="20"/>
              </w:rPr>
              <w:t>50</w:t>
            </w:r>
          </w:p>
        </w:tc>
        <w:tc>
          <w:tcPr>
            <w:tcW w:w="1134" w:type="dxa"/>
          </w:tcPr>
          <w:p>
            <w:pPr>
              <w:spacing w:line="360" w:lineRule="auto"/>
              <w:rPr>
                <w:rFonts w:asciiTheme="minorEastAsia" w:hAnsiTheme="minorEastAsia" w:eastAsiaTheme="minorEastAsia"/>
                <w:color w:val="000000"/>
                <w:kern w:val="2"/>
                <w:sz w:val="20"/>
                <w:szCs w:val="20"/>
              </w:rPr>
            </w:pPr>
          </w:p>
        </w:tc>
        <w:tc>
          <w:tcPr>
            <w:tcW w:w="1135" w:type="dxa"/>
          </w:tcPr>
          <w:p>
            <w:pPr>
              <w:spacing w:line="360" w:lineRule="auto"/>
              <w:rPr>
                <w:rFonts w:asciiTheme="minorEastAsia" w:hAnsiTheme="minorEastAsia" w:eastAsiaTheme="minorEastAsia"/>
                <w:color w:val="000000"/>
                <w:kern w:val="2"/>
                <w:sz w:val="20"/>
                <w:szCs w:val="20"/>
              </w:rPr>
            </w:pPr>
          </w:p>
        </w:tc>
      </w:tr>
    </w:tbl>
    <w:p>
      <w:pPr>
        <w:pStyle w:val="10"/>
        <w:spacing w:line="360" w:lineRule="auto"/>
        <w:rPr>
          <w:rFonts w:asciiTheme="minorEastAsia" w:hAnsiTheme="minorEastAsia" w:eastAsiaTheme="minorEastAsia"/>
          <w:b/>
          <w:sz w:val="21"/>
          <w:szCs w:val="21"/>
          <w:lang w:eastAsia="zh-CN"/>
        </w:rPr>
      </w:pP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四、以下情况作废选处理：</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1.对比选文件提出的实质性要求和条件，参选文件未能在实质上响应的。</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2.参选文件存在重大偏差的。</w:t>
      </w:r>
    </w:p>
    <w:p>
      <w:pPr>
        <w:pStyle w:val="10"/>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.违反规定影响开选评选工作或采取其他方式对比选人施加影响的。</w:t>
      </w:r>
    </w:p>
    <w:p>
      <w:pPr>
        <w:pStyle w:val="10"/>
        <w:spacing w:line="360" w:lineRule="auto"/>
        <w:ind w:firstLine="480" w:firstLineChars="200"/>
        <w:rPr>
          <w:rFonts w:asciiTheme="minorEastAsia" w:hAnsiTheme="minorEastAsia" w:eastAsiaTheme="minorEastAsia"/>
          <w:sz w:val="24"/>
          <w:szCs w:val="24"/>
          <w:lang w:eastAsia="zh-CN"/>
        </w:rPr>
        <w:sectPr>
          <w:pgSz w:w="11910" w:h="16840"/>
          <w:pgMar w:top="1440" w:right="900" w:bottom="740" w:left="1200" w:header="0" w:footer="551" w:gutter="0"/>
          <w:cols w:space="720" w:num="1"/>
        </w:sectPr>
      </w:pPr>
      <w:r>
        <w:rPr>
          <w:rFonts w:hint="eastAsia" w:asciiTheme="minorEastAsia" w:hAnsiTheme="minorEastAsia" w:eastAsiaTheme="minorEastAsia"/>
          <w:lang w:eastAsia="zh-CN"/>
        </w:rPr>
        <w:t>4</w:t>
      </w:r>
      <w:r>
        <w:rPr>
          <w:rFonts w:asciiTheme="minorEastAsia" w:hAnsiTheme="minorEastAsia" w:eastAsiaTheme="minorEastAsia"/>
          <w:lang w:eastAsia="zh-CN"/>
        </w:rPr>
        <w:t>.参选人串标、相互勾结故意压低标价以排挤竞争对手的公平竞争的，其参选无效。</w:t>
      </w:r>
    </w:p>
    <w:p>
      <w:pPr>
        <w:pStyle w:val="3"/>
        <w:spacing w:line="360" w:lineRule="auto"/>
        <w:ind w:left="0" w:leftChars="0" w:firstLine="0" w:firstLineChars="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五、评选</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比选人将在参选文件截止日期后另行择日组织比选会，参选人选定工作在比选人有关部门监督下，由比选人依法组建的评选委员会负责。</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2.在开选时没有启封和读出的参选文件，在评选时将不予考虑。</w:t>
      </w:r>
    </w:p>
    <w:p>
      <w:pPr>
        <w:pStyle w:val="10"/>
        <w:spacing w:line="360" w:lineRule="auto"/>
        <w:ind w:firstLine="480" w:firstLineChars="200"/>
        <w:rPr>
          <w:lang w:eastAsia="zh-CN"/>
        </w:rPr>
      </w:pPr>
      <w:r>
        <w:rPr>
          <w:rFonts w:asciiTheme="minorEastAsia" w:hAnsiTheme="minorEastAsia" w:eastAsiaTheme="minorEastAsia"/>
          <w:lang w:eastAsia="zh-CN"/>
        </w:rPr>
        <w:t>3.比选人将做开选记录。</w:t>
      </w:r>
    </w:p>
    <w:p>
      <w:pPr>
        <w:pStyle w:val="10"/>
        <w:spacing w:line="360" w:lineRule="auto"/>
        <w:ind w:firstLine="458" w:firstLineChars="200"/>
        <w:rPr>
          <w:b/>
          <w:bCs/>
          <w:color w:val="000000" w:themeColor="text1"/>
          <w:w w:val="95"/>
          <w:lang w:eastAsia="zh-CN"/>
        </w:rPr>
      </w:pPr>
    </w:p>
    <w:p>
      <w:pPr>
        <w:spacing w:line="360" w:lineRule="auto"/>
        <w:ind w:firstLine="480" w:firstLineChars="200"/>
        <w:rPr>
          <w:sz w:val="24"/>
          <w:szCs w:val="24"/>
          <w:lang w:eastAsia="zh-CN"/>
        </w:rPr>
      </w:pPr>
    </w:p>
    <w:p>
      <w:pPr>
        <w:pStyle w:val="10"/>
        <w:spacing w:line="360" w:lineRule="auto"/>
        <w:ind w:firstLine="480" w:firstLineChars="200"/>
        <w:rPr>
          <w:lang w:eastAsia="zh-CN"/>
        </w:rPr>
        <w:sectPr>
          <w:pgSz w:w="11910" w:h="16840"/>
          <w:pgMar w:top="1500" w:right="1140" w:bottom="740" w:left="1300" w:header="0" w:footer="551" w:gutter="0"/>
          <w:cols w:space="720" w:num="1"/>
        </w:sectPr>
      </w:pPr>
    </w:p>
    <w:p>
      <w:pPr>
        <w:pStyle w:val="3"/>
        <w:tabs>
          <w:tab w:val="left" w:pos="1632"/>
        </w:tabs>
        <w:spacing w:line="360" w:lineRule="auto"/>
        <w:ind w:left="0" w:firstLine="482" w:firstLineChars="200"/>
        <w:jc w:val="center"/>
        <w:rPr>
          <w:b w:val="0"/>
          <w:sz w:val="24"/>
          <w:szCs w:val="24"/>
          <w:lang w:eastAsia="zh-CN"/>
        </w:rPr>
      </w:pPr>
      <w:r>
        <w:rPr>
          <w:sz w:val="24"/>
          <w:szCs w:val="24"/>
          <w:lang w:eastAsia="zh-CN"/>
        </w:rPr>
        <w:t>第五章</w:t>
      </w:r>
      <w:r>
        <w:rPr>
          <w:sz w:val="24"/>
          <w:szCs w:val="24"/>
          <w:lang w:eastAsia="zh-CN"/>
        </w:rPr>
        <w:tab/>
      </w:r>
      <w:r>
        <w:rPr>
          <w:spacing w:val="-1"/>
          <w:w w:val="95"/>
          <w:sz w:val="24"/>
          <w:szCs w:val="24"/>
          <w:lang w:eastAsia="zh-CN"/>
        </w:rPr>
        <w:t>合同授</w:t>
      </w:r>
      <w:r>
        <w:rPr>
          <w:w w:val="95"/>
          <w:sz w:val="24"/>
          <w:szCs w:val="24"/>
          <w:lang w:eastAsia="zh-CN"/>
        </w:rPr>
        <w:t>予</w:t>
      </w:r>
    </w:p>
    <w:p>
      <w:pPr>
        <w:pStyle w:val="10"/>
        <w:spacing w:line="360" w:lineRule="auto"/>
        <w:ind w:firstLine="480" w:firstLineChars="200"/>
        <w:rPr>
          <w:lang w:eastAsia="zh-CN"/>
        </w:rPr>
      </w:pPr>
      <w:r>
        <w:rPr>
          <w:lang w:eastAsia="zh-CN"/>
        </w:rPr>
        <w:t>1.比选人将把合同授予中选人；在授予前，仍需进行资格审查。</w:t>
      </w:r>
    </w:p>
    <w:p>
      <w:pPr>
        <w:pStyle w:val="10"/>
        <w:spacing w:line="360" w:lineRule="auto"/>
        <w:ind w:firstLine="480" w:firstLineChars="200"/>
        <w:rPr>
          <w:lang w:eastAsia="zh-CN"/>
        </w:rPr>
      </w:pPr>
      <w:r>
        <w:rPr>
          <w:rFonts w:hint="eastAsia"/>
          <w:lang w:eastAsia="zh-CN"/>
        </w:rPr>
        <w:t>2</w:t>
      </w:r>
      <w:r>
        <w:rPr>
          <w:lang w:eastAsia="zh-CN"/>
        </w:rPr>
        <w:t>.</w:t>
      </w:r>
      <w:r>
        <w:rPr>
          <w:spacing w:val="-2"/>
          <w:lang w:eastAsia="zh-CN"/>
        </w:rPr>
        <w:t>中选通知对比选人和参选人具有法律效力。</w:t>
      </w:r>
      <w:r>
        <w:rPr>
          <w:rFonts w:hint="eastAsia"/>
          <w:spacing w:val="-4"/>
          <w:lang w:eastAsia="zh-CN"/>
        </w:rPr>
        <w:t>福建福海创石油化工有限公司的权属子公司“</w:t>
      </w:r>
      <w:r>
        <w:rPr>
          <w:spacing w:val="-4"/>
          <w:lang w:eastAsia="zh-CN"/>
        </w:rPr>
        <w:t>翔鹭石化</w:t>
      </w:r>
      <w:r>
        <w:rPr>
          <w:rFonts w:hint="eastAsia"/>
          <w:spacing w:val="-4"/>
          <w:lang w:eastAsia="zh-CN"/>
        </w:rPr>
        <w:t>（漳州）有限公司，腾龙芳烃（漳州）有限公司”作为合同执行主体，</w:t>
      </w:r>
      <w:r>
        <w:rPr>
          <w:spacing w:val="-4"/>
          <w:lang w:eastAsia="zh-CN"/>
        </w:rPr>
        <w:t>中选单位需在比选人通知中选后</w:t>
      </w:r>
      <w:r>
        <w:rPr>
          <w:rFonts w:hint="eastAsia"/>
          <w:spacing w:val="-4"/>
          <w:lang w:eastAsia="zh-CN"/>
        </w:rPr>
        <w:t>30日内</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line="360" w:lineRule="auto"/>
        <w:ind w:firstLine="480" w:firstLineChars="200"/>
        <w:rPr>
          <w:lang w:eastAsia="zh-CN"/>
        </w:rPr>
      </w:pPr>
      <w:r>
        <w:rPr>
          <w:rFonts w:hint="eastAsia"/>
          <w:lang w:eastAsia="zh-CN"/>
        </w:rPr>
        <w:t>3</w:t>
      </w:r>
      <w:r>
        <w:rPr>
          <w:lang w:eastAsia="zh-CN"/>
        </w:rPr>
        <w:t>.</w:t>
      </w:r>
      <w:r>
        <w:rPr>
          <w:spacing w:val="-8"/>
          <w:lang w:eastAsia="zh-CN"/>
        </w:rPr>
        <w:t>中选人签署合同后必须履行合同要求。若因中选单位原因未在规定的时间内完成</w:t>
      </w:r>
      <w:r>
        <w:rPr>
          <w:rFonts w:hint="eastAsia"/>
          <w:spacing w:val="-8"/>
          <w:lang w:eastAsia="zh-CN"/>
        </w:rPr>
        <w:t>此次比选内容的</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10"/>
        <w:spacing w:line="360" w:lineRule="auto"/>
        <w:ind w:firstLine="480" w:firstLineChars="200"/>
        <w:rPr>
          <w:lang w:eastAsia="zh-CN"/>
        </w:rPr>
      </w:pPr>
      <w:r>
        <w:rPr>
          <w:rFonts w:hint="eastAsia"/>
          <w:lang w:eastAsia="zh-CN"/>
        </w:rPr>
        <w:t>4</w:t>
      </w:r>
      <w:r>
        <w:rPr>
          <w:lang w:eastAsia="zh-CN"/>
        </w:rPr>
        <w:t>.比选文件与合同附件作为签订合同的条款，比选文件合同条款中没有规定的内容， 比选人、参选人认为有必要进行补充，可另行商定解决。</w:t>
      </w:r>
    </w:p>
    <w:p>
      <w:pPr>
        <w:pStyle w:val="10"/>
        <w:spacing w:line="360" w:lineRule="auto"/>
        <w:ind w:firstLine="480" w:firstLineChars="200"/>
        <w:rPr>
          <w:lang w:eastAsia="zh-CN"/>
        </w:rPr>
      </w:pPr>
      <w:r>
        <w:rPr>
          <w:rFonts w:hint="eastAsia"/>
          <w:lang w:eastAsia="zh-CN"/>
        </w:rPr>
        <w:t>5</w:t>
      </w:r>
      <w:r>
        <w:rPr>
          <w:lang w:eastAsia="zh-CN"/>
        </w:rPr>
        <w:t>.</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60" w:lineRule="auto"/>
        <w:ind w:firstLine="480" w:firstLineChars="200"/>
        <w:rPr>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b w:val="0"/>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0"/>
        <w:spacing w:before="12"/>
        <w:rPr>
          <w:b/>
          <w:sz w:val="33"/>
          <w:lang w:eastAsia="zh-CN"/>
        </w:rPr>
      </w:pPr>
    </w:p>
    <w:p>
      <w:pPr>
        <w:pStyle w:val="10"/>
        <w:spacing w:line="360" w:lineRule="auto"/>
        <w:ind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2.中选单位必须严格执行合同（详见附件一）、《承诺函》（详见附件二）的规定。</w:t>
      </w:r>
    </w:p>
    <w:p>
      <w:pPr>
        <w:pStyle w:val="10"/>
        <w:spacing w:line="360" w:lineRule="auto"/>
        <w:ind w:firstLine="480" w:firstLineChars="200"/>
        <w:jc w:val="both"/>
        <w:rPr>
          <w:lang w:eastAsia="zh-CN"/>
        </w:rPr>
      </w:pPr>
      <w:r>
        <w:rPr>
          <w:lang w:eastAsia="zh-CN"/>
        </w:rPr>
        <w:t>3.中选单位需遵守比选人的各项管理规章制度。如违反相关条例者则按</w:t>
      </w:r>
      <w:r>
        <w:rPr>
          <w:rFonts w:hint="eastAsia"/>
          <w:lang w:eastAsia="zh-CN"/>
        </w:rPr>
        <w:t>福建福海创石油化工有限公司</w:t>
      </w:r>
      <w:r>
        <w:rPr>
          <w:lang w:eastAsia="zh-CN"/>
        </w:rPr>
        <w:t>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1.参选人的参选文件无论其是否中选，均不退回。</w:t>
      </w:r>
    </w:p>
    <w:p>
      <w:pPr>
        <w:pStyle w:val="10"/>
        <w:spacing w:line="360" w:lineRule="auto"/>
        <w:ind w:firstLine="480" w:firstLineChars="200"/>
        <w:rPr>
          <w:lang w:eastAsia="zh-CN"/>
        </w:rPr>
      </w:pPr>
      <w:r>
        <w:rPr>
          <w:lang w:eastAsia="zh-CN"/>
        </w:rPr>
        <w:t>2.比选人郑重承诺：参选人所提交的参选文件及相关资料不向第三方泄露。</w:t>
      </w:r>
    </w:p>
    <w:p>
      <w:pPr>
        <w:pStyle w:val="10"/>
        <w:spacing w:line="360" w:lineRule="auto"/>
        <w:ind w:firstLine="480" w:firstLineChars="200"/>
        <w:rPr>
          <w:lang w:eastAsia="zh-CN"/>
        </w:rPr>
      </w:pPr>
      <w:r>
        <w:rPr>
          <w:lang w:eastAsia="zh-CN"/>
        </w:rPr>
        <w:t>3.本比选文件的解释权归福建福海创石油化工有限公司。</w:t>
      </w:r>
    </w:p>
    <w:p>
      <w:pPr>
        <w:pStyle w:val="10"/>
        <w:spacing w:line="360" w:lineRule="auto"/>
        <w:ind w:firstLine="480" w:firstLineChars="200"/>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360" w:lineRule="auto"/>
        <w:ind w:right="580" w:firstLine="5655" w:firstLineChars="1950"/>
        <w:rPr>
          <w:rFonts w:eastAsia="黑体"/>
          <w:sz w:val="48"/>
          <w:highlight w:val="yellow"/>
          <w:lang w:eastAsia="zh-CN"/>
        </w:rPr>
      </w:pPr>
      <w:r>
        <w:rPr>
          <w:rFonts w:hint="eastAsia" w:ascii="Arial" w:hAnsi="Arial" w:eastAsia="长城宋体"/>
          <w:spacing w:val="5"/>
          <w:sz w:val="28"/>
          <w:lang w:eastAsia="zh-CN"/>
        </w:rPr>
        <w:t>合同编号:</w:t>
      </w:r>
      <w:r>
        <w:rPr>
          <w:rFonts w:ascii="Arial" w:hAnsi="Arial" w:eastAsia="长城宋体"/>
          <w:spacing w:val="5"/>
          <w:sz w:val="28"/>
          <w:lang w:eastAsia="zh-CN"/>
        </w:rPr>
        <w:t xml:space="preserve"> </w:t>
      </w:r>
    </w:p>
    <w:p>
      <w:pPr>
        <w:spacing w:line="360" w:lineRule="auto"/>
        <w:rPr>
          <w:rFonts w:eastAsia="黑体"/>
          <w:sz w:val="48"/>
          <w:lang w:eastAsia="zh-CN"/>
        </w:rPr>
      </w:pPr>
    </w:p>
    <w:p>
      <w:pPr>
        <w:spacing w:line="360" w:lineRule="auto"/>
        <w:rPr>
          <w:rFonts w:ascii="Arial" w:hAnsi="Arial"/>
          <w:spacing w:val="5"/>
          <w:sz w:val="28"/>
          <w:lang w:eastAsia="zh-CN"/>
        </w:rPr>
      </w:pPr>
    </w:p>
    <w:p>
      <w:pPr>
        <w:spacing w:line="360" w:lineRule="auto"/>
        <w:rPr>
          <w:rFonts w:ascii="Arial" w:hAnsi="Arial"/>
          <w:spacing w:val="5"/>
          <w:sz w:val="28"/>
          <w:lang w:eastAsia="zh-CN"/>
        </w:rPr>
      </w:pPr>
    </w:p>
    <w:p>
      <w:pPr>
        <w:jc w:val="center"/>
        <w:rPr>
          <w:rFonts w:cs="Arial"/>
          <w:b/>
          <w:sz w:val="48"/>
          <w:szCs w:val="48"/>
          <w:lang w:eastAsia="zh-CN"/>
        </w:rPr>
      </w:pPr>
      <w:r>
        <w:rPr>
          <w:rFonts w:hint="eastAsia" w:cs="Arial"/>
          <w:b/>
          <w:sz w:val="48"/>
          <w:szCs w:val="48"/>
          <w:lang w:eastAsia="zh-CN"/>
        </w:rPr>
        <w:t>福建福海创石油化工有限公司</w:t>
      </w:r>
    </w:p>
    <w:p>
      <w:pPr>
        <w:jc w:val="center"/>
        <w:rPr>
          <w:rFonts w:cs="Arial"/>
          <w:b/>
          <w:sz w:val="48"/>
          <w:szCs w:val="48"/>
          <w:lang w:eastAsia="zh-CN"/>
        </w:rPr>
      </w:pPr>
    </w:p>
    <w:p>
      <w:pPr>
        <w:jc w:val="center"/>
        <w:rPr>
          <w:b/>
          <w:sz w:val="36"/>
          <w:szCs w:val="36"/>
          <w:lang w:eastAsia="zh-CN"/>
        </w:rPr>
      </w:pPr>
      <w:r>
        <w:rPr>
          <w:rFonts w:hint="eastAsia"/>
          <w:b/>
          <w:sz w:val="36"/>
          <w:szCs w:val="36"/>
          <w:lang w:eastAsia="zh-CN"/>
        </w:rPr>
        <w:t>2022、2023年压力容器、压力管道定期检验</w:t>
      </w:r>
    </w:p>
    <w:p>
      <w:pPr>
        <w:jc w:val="center"/>
        <w:rPr>
          <w:rFonts w:cs="Arial"/>
          <w:b/>
          <w:sz w:val="44"/>
          <w:szCs w:val="44"/>
          <w:lang w:eastAsia="zh-CN"/>
        </w:rPr>
      </w:pPr>
      <w:r>
        <w:rPr>
          <w:rFonts w:hint="eastAsia" w:cs="Arial"/>
          <w:b/>
          <w:sz w:val="48"/>
          <w:szCs w:val="48"/>
          <w:lang w:eastAsia="zh-CN"/>
        </w:rPr>
        <w:t>技术服务合</w:t>
      </w:r>
      <w:r>
        <w:rPr>
          <w:rFonts w:hint="eastAsia" w:cs="Arial"/>
          <w:b/>
          <w:sz w:val="44"/>
          <w:szCs w:val="44"/>
          <w:lang w:eastAsia="zh-CN"/>
        </w:rPr>
        <w:t>同</w:t>
      </w:r>
    </w:p>
    <w:p>
      <w:pPr>
        <w:spacing w:line="360" w:lineRule="auto"/>
        <w:rPr>
          <w:b/>
          <w:color w:val="FF0000"/>
          <w:sz w:val="30"/>
          <w:lang w:eastAsia="zh-CN"/>
        </w:rPr>
      </w:pPr>
      <w:r>
        <w:rPr>
          <w:rFonts w:hint="eastAsia"/>
          <w:b/>
          <w:color w:val="FF0000"/>
          <w:sz w:val="30"/>
          <w:lang w:eastAsia="zh-CN"/>
        </w:rPr>
        <w:t xml:space="preserve">                                    </w:t>
      </w:r>
    </w:p>
    <w:p>
      <w:pPr>
        <w:spacing w:line="360" w:lineRule="auto"/>
        <w:rPr>
          <w:b/>
          <w:color w:val="FF0000"/>
          <w:sz w:val="30"/>
          <w:lang w:eastAsia="zh-CN"/>
        </w:rPr>
      </w:pPr>
    </w:p>
    <w:p>
      <w:pPr>
        <w:spacing w:line="360" w:lineRule="auto"/>
        <w:rPr>
          <w:b/>
          <w:sz w:val="30"/>
          <w:lang w:eastAsia="zh-CN"/>
        </w:rPr>
      </w:pPr>
    </w:p>
    <w:p>
      <w:pPr>
        <w:spacing w:line="360" w:lineRule="auto"/>
        <w:rPr>
          <w:b/>
          <w:sz w:val="30"/>
          <w:lang w:eastAsia="zh-CN"/>
        </w:rPr>
      </w:pPr>
    </w:p>
    <w:p>
      <w:pPr>
        <w:spacing w:line="360" w:lineRule="auto"/>
        <w:rPr>
          <w:b/>
          <w:sz w:val="30"/>
          <w:lang w:eastAsia="zh-CN"/>
        </w:rPr>
      </w:pPr>
    </w:p>
    <w:p>
      <w:pPr>
        <w:spacing w:line="360" w:lineRule="auto"/>
        <w:rPr>
          <w:b/>
          <w:sz w:val="30"/>
          <w:lang w:eastAsia="zh-CN"/>
        </w:rPr>
      </w:pPr>
    </w:p>
    <w:p>
      <w:pPr>
        <w:spacing w:line="360" w:lineRule="auto"/>
        <w:rPr>
          <w:b/>
          <w:sz w:val="30"/>
          <w:lang w:eastAsia="zh-CN"/>
        </w:rPr>
      </w:pPr>
    </w:p>
    <w:p>
      <w:pPr>
        <w:spacing w:line="360" w:lineRule="auto"/>
        <w:rPr>
          <w:b/>
          <w:sz w:val="30"/>
          <w:lang w:eastAsia="zh-CN"/>
        </w:rPr>
      </w:pPr>
    </w:p>
    <w:p>
      <w:pPr>
        <w:spacing w:line="360" w:lineRule="auto"/>
        <w:ind w:left="-147" w:leftChars="-67"/>
        <w:rPr>
          <w:b/>
          <w:color w:val="FF0000"/>
          <w:sz w:val="30"/>
          <w:lang w:eastAsia="zh-CN"/>
        </w:rPr>
      </w:pPr>
      <w:r>
        <w:rPr>
          <w:rFonts w:hint="eastAsia"/>
          <w:b/>
          <w:sz w:val="30"/>
          <w:lang w:eastAsia="zh-CN"/>
        </w:rPr>
        <w:t>使用单位（甲方）：</w:t>
      </w:r>
      <w:r>
        <w:rPr>
          <w:rFonts w:hint="eastAsia" w:cs="Arial"/>
          <w:b/>
          <w:sz w:val="30"/>
          <w:szCs w:val="30"/>
          <w:lang w:eastAsia="zh-CN"/>
        </w:rPr>
        <w:t>福建福海创石油化工有限公司</w:t>
      </w:r>
    </w:p>
    <w:p>
      <w:pPr>
        <w:spacing w:line="360" w:lineRule="auto"/>
        <w:ind w:left="-147" w:leftChars="-67" w:firstLine="1"/>
        <w:rPr>
          <w:b/>
          <w:sz w:val="30"/>
          <w:lang w:eastAsia="zh-CN"/>
        </w:rPr>
      </w:pPr>
      <w:r>
        <w:rPr>
          <w:rFonts w:hint="eastAsia"/>
          <w:b/>
          <w:sz w:val="30"/>
          <w:lang w:eastAsia="zh-CN"/>
        </w:rPr>
        <w:t>检验单位（乙方）：</w:t>
      </w:r>
      <w:r>
        <w:rPr>
          <w:b/>
          <w:sz w:val="30"/>
          <w:lang w:eastAsia="zh-CN"/>
        </w:rPr>
        <w:t xml:space="preserve"> </w:t>
      </w:r>
    </w:p>
    <w:p>
      <w:pPr>
        <w:spacing w:line="360" w:lineRule="auto"/>
        <w:jc w:val="center"/>
        <w:rPr>
          <w:b/>
          <w:sz w:val="30"/>
          <w:lang w:eastAsia="zh-CN"/>
        </w:rPr>
      </w:pPr>
    </w:p>
    <w:p>
      <w:pPr>
        <w:spacing w:line="360" w:lineRule="auto"/>
        <w:jc w:val="center"/>
        <w:rPr>
          <w:lang w:val="zh-CN" w:eastAsia="zh-CN"/>
        </w:rPr>
        <w:sectPr>
          <w:footerReference r:id="rId5" w:type="default"/>
          <w:footerReference r:id="rId6" w:type="even"/>
          <w:pgSz w:w="11906" w:h="16838"/>
          <w:pgMar w:top="1440" w:right="1644" w:bottom="1440" w:left="1701" w:header="851" w:footer="992" w:gutter="0"/>
          <w:cols w:space="720" w:num="1"/>
          <w:docGrid w:type="lines" w:linePitch="312" w:charSpace="-3161"/>
        </w:sectPr>
      </w:pPr>
      <w:r>
        <w:rPr>
          <w:b/>
          <w:sz w:val="30"/>
          <w:lang w:eastAsia="zh-CN"/>
        </w:rPr>
        <w:t>2020年</w:t>
      </w:r>
      <w:r>
        <w:rPr>
          <w:rFonts w:hint="eastAsia"/>
          <w:b/>
          <w:sz w:val="30"/>
          <w:lang w:eastAsia="zh-CN"/>
        </w:rPr>
        <w:t>11</w:t>
      </w:r>
      <w:r>
        <w:rPr>
          <w:b/>
          <w:sz w:val="30"/>
          <w:lang w:eastAsia="zh-CN"/>
        </w:rPr>
        <w:t>月</w:t>
      </w:r>
      <w:r>
        <w:rPr>
          <w:rFonts w:hint="eastAsia"/>
          <w:b/>
          <w:sz w:val="30"/>
          <w:lang w:eastAsia="zh-CN"/>
        </w:rPr>
        <w:t xml:space="preserve">  </w:t>
      </w:r>
      <w:r>
        <w:rPr>
          <w:b/>
          <w:sz w:val="30"/>
          <w:lang w:eastAsia="zh-CN"/>
        </w:rPr>
        <w:t>日</w:t>
      </w:r>
      <w:r>
        <w:rPr>
          <w:rFonts w:ascii="Arial" w:hAnsi="Arial" w:eastAsia="楷体_GB2312"/>
          <w:b/>
          <w:spacing w:val="5"/>
          <w:sz w:val="28"/>
          <w:lang w:eastAsia="zh-CN"/>
        </w:rPr>
        <w:t xml:space="preserve"> </w:t>
      </w:r>
      <w:r>
        <w:rPr>
          <w:rFonts w:hint="eastAsia" w:ascii="Arial" w:hAnsi="Arial" w:eastAsia="楷体_GB2312"/>
          <w:b/>
          <w:spacing w:val="5"/>
          <w:sz w:val="28"/>
          <w:lang w:eastAsia="zh-CN"/>
        </w:rPr>
        <w:t xml:space="preserve"> </w:t>
      </w:r>
      <w:r>
        <w:rPr>
          <w:rFonts w:hint="eastAsia" w:ascii="Arial" w:hAnsi="Arial"/>
          <w:b/>
          <w:spacing w:val="5"/>
          <w:sz w:val="28"/>
          <w:lang w:eastAsia="zh-CN"/>
        </w:rPr>
        <w:t xml:space="preserve">   </w:t>
      </w:r>
    </w:p>
    <w:p>
      <w:pPr>
        <w:jc w:val="center"/>
        <w:rPr>
          <w:rFonts w:cs="Arial"/>
          <w:b/>
          <w:sz w:val="24"/>
          <w:szCs w:val="24"/>
          <w:lang w:eastAsia="zh-CN"/>
        </w:rPr>
      </w:pPr>
      <w:r>
        <w:rPr>
          <w:rFonts w:hint="eastAsia" w:cs="Arial"/>
          <w:b/>
          <w:sz w:val="24"/>
          <w:szCs w:val="24"/>
          <w:lang w:eastAsia="zh-CN"/>
        </w:rPr>
        <w:t>2022、2023年压力容器、压力管道定期检验服务合同</w:t>
      </w:r>
    </w:p>
    <w:p>
      <w:pPr>
        <w:pStyle w:val="2"/>
      </w:pPr>
    </w:p>
    <w:p>
      <w:pPr>
        <w:spacing w:line="360" w:lineRule="auto"/>
        <w:rPr>
          <w:szCs w:val="21"/>
          <w:lang w:eastAsia="zh-CN"/>
        </w:rPr>
      </w:pPr>
      <w:r>
        <w:rPr>
          <w:rFonts w:hint="eastAsia"/>
          <w:b/>
          <w:szCs w:val="21"/>
          <w:lang w:eastAsia="zh-CN"/>
        </w:rPr>
        <w:t>使用单位（甲方）：</w:t>
      </w:r>
      <w:r>
        <w:rPr>
          <w:rFonts w:hint="eastAsia"/>
          <w:szCs w:val="21"/>
          <w:lang w:eastAsia="zh-CN"/>
        </w:rPr>
        <w:t>福建福海创石油化工有限公司</w:t>
      </w:r>
    </w:p>
    <w:p>
      <w:pPr>
        <w:spacing w:line="360" w:lineRule="auto"/>
        <w:rPr>
          <w:szCs w:val="21"/>
          <w:lang w:eastAsia="zh-CN"/>
        </w:rPr>
      </w:pPr>
      <w:r>
        <w:rPr>
          <w:rFonts w:hint="eastAsia"/>
          <w:b/>
          <w:szCs w:val="21"/>
          <w:lang w:eastAsia="zh-CN"/>
        </w:rPr>
        <w:t>检验单位（乙方）：</w:t>
      </w:r>
      <w:r>
        <w:rPr>
          <w:szCs w:val="21"/>
          <w:lang w:eastAsia="zh-CN"/>
        </w:rPr>
        <w:t xml:space="preserve"> </w:t>
      </w:r>
    </w:p>
    <w:p>
      <w:pPr>
        <w:spacing w:line="360" w:lineRule="auto"/>
        <w:ind w:firstLine="440" w:firstLineChars="200"/>
        <w:rPr>
          <w:szCs w:val="21"/>
          <w:lang w:eastAsia="zh-CN"/>
        </w:rPr>
      </w:pPr>
      <w:r>
        <w:rPr>
          <w:rFonts w:hint="eastAsia"/>
          <w:szCs w:val="21"/>
          <w:lang w:eastAsia="zh-CN"/>
        </w:rPr>
        <w:t>根据《合同法》和《中华人民共和国特种设备安全法》，为明确双方在检验工作过程中的权利和义务，保质保量完成检验任务，经甲乙双方充分协商，特签订本合同，以便双方共同遵守。</w:t>
      </w:r>
    </w:p>
    <w:p>
      <w:pPr>
        <w:spacing w:line="360" w:lineRule="auto"/>
        <w:ind w:firstLine="442" w:firstLineChars="200"/>
        <w:rPr>
          <w:b/>
          <w:szCs w:val="21"/>
          <w:lang w:eastAsia="zh-CN"/>
        </w:rPr>
      </w:pPr>
      <w:r>
        <w:rPr>
          <w:rFonts w:hint="eastAsia"/>
          <w:b/>
          <w:szCs w:val="21"/>
          <w:lang w:eastAsia="zh-CN"/>
        </w:rPr>
        <w:t>一、项目名称</w:t>
      </w:r>
    </w:p>
    <w:p>
      <w:pPr>
        <w:spacing w:line="360" w:lineRule="auto"/>
        <w:ind w:firstLine="420" w:firstLineChars="200"/>
        <w:rPr>
          <w:szCs w:val="21"/>
          <w:lang w:eastAsia="zh-CN"/>
        </w:rPr>
      </w:pPr>
      <w:r>
        <w:rPr>
          <w:rFonts w:hint="eastAsia" w:ascii="Times New Roman" w:hAnsi="Times New Roman" w:cs="Times New Roman"/>
          <w:kern w:val="2"/>
          <w:sz w:val="21"/>
          <w:szCs w:val="21"/>
          <w:lang w:eastAsia="zh-CN"/>
        </w:rPr>
        <w:t>2022、2023年压力容器、压力管道定期检验服务合同</w:t>
      </w:r>
    </w:p>
    <w:p>
      <w:pPr>
        <w:spacing w:line="360" w:lineRule="auto"/>
        <w:ind w:firstLine="442" w:firstLineChars="200"/>
        <w:rPr>
          <w:b/>
          <w:szCs w:val="21"/>
          <w:lang w:eastAsia="zh-CN"/>
        </w:rPr>
      </w:pPr>
      <w:r>
        <w:rPr>
          <w:rFonts w:hint="eastAsia"/>
          <w:b/>
          <w:szCs w:val="21"/>
          <w:lang w:eastAsia="zh-CN"/>
        </w:rPr>
        <w:t>二、检验内容</w:t>
      </w:r>
    </w:p>
    <w:p>
      <w:pPr>
        <w:spacing w:line="360" w:lineRule="auto"/>
        <w:ind w:firstLine="440" w:firstLineChars="200"/>
        <w:rPr>
          <w:szCs w:val="21"/>
          <w:lang w:eastAsia="zh-CN"/>
        </w:rPr>
      </w:pPr>
      <w:r>
        <w:rPr>
          <w:rFonts w:hint="eastAsia"/>
          <w:szCs w:val="21"/>
          <w:lang w:eastAsia="zh-CN"/>
        </w:rPr>
        <w:t>见附件发包文件</w:t>
      </w:r>
    </w:p>
    <w:p>
      <w:pPr>
        <w:spacing w:line="360" w:lineRule="auto"/>
        <w:ind w:firstLine="442" w:firstLineChars="200"/>
        <w:rPr>
          <w:b/>
          <w:szCs w:val="21"/>
          <w:lang w:eastAsia="zh-CN"/>
        </w:rPr>
      </w:pPr>
      <w:r>
        <w:rPr>
          <w:rFonts w:hint="eastAsia"/>
          <w:b/>
          <w:szCs w:val="21"/>
          <w:lang w:eastAsia="zh-CN"/>
        </w:rPr>
        <w:t>三、检验依据</w:t>
      </w:r>
    </w:p>
    <w:p>
      <w:pPr>
        <w:tabs>
          <w:tab w:val="left" w:pos="993"/>
        </w:tabs>
        <w:spacing w:line="360" w:lineRule="auto"/>
        <w:ind w:left="567"/>
        <w:rPr>
          <w:color w:val="000000"/>
          <w:szCs w:val="21"/>
          <w:lang w:eastAsia="zh-CN"/>
        </w:rPr>
      </w:pPr>
      <w:r>
        <w:rPr>
          <w:rFonts w:hint="eastAsia"/>
          <w:szCs w:val="21"/>
          <w:lang w:eastAsia="zh-CN"/>
        </w:rPr>
        <w:t>《中华人民共和国特种设备安全法》</w:t>
      </w:r>
    </w:p>
    <w:p>
      <w:pPr>
        <w:tabs>
          <w:tab w:val="left" w:pos="993"/>
        </w:tabs>
        <w:spacing w:line="360" w:lineRule="auto"/>
        <w:ind w:left="567"/>
        <w:rPr>
          <w:szCs w:val="21"/>
          <w:lang w:eastAsia="zh-CN"/>
        </w:rPr>
      </w:pPr>
      <w:r>
        <w:rPr>
          <w:rFonts w:hint="eastAsia"/>
          <w:szCs w:val="21"/>
          <w:lang w:eastAsia="zh-CN"/>
        </w:rPr>
        <w:t>《压力管道安全技术监察规程—工业管道》（TSG D0001-2009）</w:t>
      </w:r>
    </w:p>
    <w:p>
      <w:pPr>
        <w:tabs>
          <w:tab w:val="left" w:pos="993"/>
        </w:tabs>
        <w:spacing w:line="360" w:lineRule="auto"/>
        <w:ind w:left="567"/>
        <w:rPr>
          <w:szCs w:val="21"/>
          <w:lang w:eastAsia="zh-CN"/>
        </w:rPr>
      </w:pPr>
      <w:r>
        <w:rPr>
          <w:rFonts w:hint="eastAsia"/>
          <w:szCs w:val="21"/>
          <w:lang w:eastAsia="zh-CN"/>
        </w:rPr>
        <w:t>《压力管道定期检验规则—工业管道》TSG D7005-2018</w:t>
      </w:r>
    </w:p>
    <w:p>
      <w:pPr>
        <w:tabs>
          <w:tab w:val="left" w:pos="993"/>
        </w:tabs>
        <w:spacing w:line="360" w:lineRule="auto"/>
        <w:ind w:left="567"/>
        <w:rPr>
          <w:szCs w:val="21"/>
          <w:lang w:eastAsia="zh-CN"/>
        </w:rPr>
      </w:pPr>
      <w:r>
        <w:rPr>
          <w:rFonts w:hint="eastAsia"/>
          <w:szCs w:val="21"/>
          <w:lang w:eastAsia="zh-CN"/>
        </w:rPr>
        <w:t>其它相关现行技术标准。</w:t>
      </w:r>
    </w:p>
    <w:p>
      <w:pPr>
        <w:spacing w:line="360" w:lineRule="auto"/>
        <w:ind w:firstLine="442" w:firstLineChars="200"/>
        <w:rPr>
          <w:szCs w:val="21"/>
          <w:lang w:eastAsia="zh-CN"/>
        </w:rPr>
      </w:pPr>
      <w:r>
        <w:rPr>
          <w:rFonts w:hint="eastAsia"/>
          <w:b/>
          <w:szCs w:val="21"/>
          <w:lang w:eastAsia="zh-CN"/>
        </w:rPr>
        <w:t>四、检验地点：福建福海创石油化工有限公司厂内。</w:t>
      </w:r>
    </w:p>
    <w:p>
      <w:pPr>
        <w:spacing w:line="360" w:lineRule="auto"/>
        <w:ind w:firstLine="442" w:firstLineChars="200"/>
        <w:rPr>
          <w:szCs w:val="21"/>
          <w:lang w:eastAsia="zh-CN"/>
        </w:rPr>
      </w:pPr>
      <w:r>
        <w:rPr>
          <w:rFonts w:hint="eastAsia"/>
          <w:b/>
          <w:szCs w:val="21"/>
          <w:lang w:eastAsia="zh-CN"/>
        </w:rPr>
        <w:t>五、检验时间：</w:t>
      </w:r>
      <w:r>
        <w:rPr>
          <w:color w:val="auto"/>
          <w:szCs w:val="21"/>
          <w:lang w:eastAsia="zh-CN"/>
        </w:rPr>
        <w:t>合同签订之日至</w:t>
      </w:r>
      <w:r>
        <w:rPr>
          <w:rFonts w:hint="eastAsia"/>
          <w:color w:val="auto"/>
          <w:szCs w:val="21"/>
          <w:lang w:val="en-US" w:eastAsia="zh-CN"/>
        </w:rPr>
        <w:t xml:space="preserve"> </w:t>
      </w:r>
      <w:r>
        <w:rPr>
          <w:rFonts w:hint="eastAsia"/>
          <w:color w:val="auto"/>
          <w:szCs w:val="21"/>
          <w:u w:val="single"/>
          <w:lang w:eastAsia="zh-CN"/>
        </w:rPr>
        <w:t>2023</w:t>
      </w:r>
      <w:r>
        <w:rPr>
          <w:rFonts w:hint="eastAsia"/>
          <w:color w:val="auto"/>
          <w:szCs w:val="21"/>
          <w:u w:val="single"/>
          <w:lang w:val="en-US" w:eastAsia="zh-CN"/>
        </w:rPr>
        <w:t xml:space="preserve"> </w:t>
      </w:r>
      <w:r>
        <w:rPr>
          <w:color w:val="auto"/>
          <w:szCs w:val="21"/>
          <w:u w:val="single"/>
          <w:lang w:eastAsia="zh-CN"/>
        </w:rPr>
        <w:t>年</w:t>
      </w:r>
      <w:r>
        <w:rPr>
          <w:rFonts w:hint="eastAsia"/>
          <w:color w:val="auto"/>
          <w:szCs w:val="21"/>
          <w:u w:val="single"/>
          <w:lang w:val="en-US" w:eastAsia="zh-CN"/>
        </w:rPr>
        <w:t xml:space="preserve"> </w:t>
      </w:r>
      <w:r>
        <w:rPr>
          <w:rFonts w:hint="eastAsia"/>
          <w:color w:val="auto"/>
          <w:szCs w:val="21"/>
          <w:u w:val="single"/>
          <w:lang w:eastAsia="zh-CN"/>
        </w:rPr>
        <w:t>12</w:t>
      </w:r>
      <w:r>
        <w:rPr>
          <w:rFonts w:hint="eastAsia"/>
          <w:color w:val="auto"/>
          <w:szCs w:val="21"/>
          <w:u w:val="single"/>
          <w:lang w:val="en-US" w:eastAsia="zh-CN"/>
        </w:rPr>
        <w:t xml:space="preserve"> </w:t>
      </w:r>
      <w:r>
        <w:rPr>
          <w:color w:val="auto"/>
          <w:szCs w:val="21"/>
          <w:u w:val="single"/>
          <w:lang w:eastAsia="zh-CN"/>
        </w:rPr>
        <w:t>月</w:t>
      </w:r>
      <w:r>
        <w:rPr>
          <w:rFonts w:hint="eastAsia"/>
          <w:color w:val="auto"/>
          <w:szCs w:val="21"/>
          <w:u w:val="single"/>
          <w:lang w:val="en-US" w:eastAsia="zh-CN"/>
        </w:rPr>
        <w:t xml:space="preserve"> </w:t>
      </w:r>
      <w:r>
        <w:rPr>
          <w:rFonts w:hint="eastAsia"/>
          <w:color w:val="auto"/>
          <w:szCs w:val="21"/>
          <w:u w:val="single"/>
          <w:lang w:eastAsia="zh-CN"/>
        </w:rPr>
        <w:t>31</w:t>
      </w:r>
      <w:r>
        <w:rPr>
          <w:rFonts w:hint="eastAsia"/>
          <w:color w:val="auto"/>
          <w:szCs w:val="21"/>
          <w:u w:val="single"/>
          <w:lang w:val="en-US" w:eastAsia="zh-CN"/>
        </w:rPr>
        <w:t xml:space="preserve"> </w:t>
      </w:r>
      <w:r>
        <w:rPr>
          <w:color w:val="auto"/>
          <w:szCs w:val="21"/>
          <w:u w:val="single"/>
          <w:lang w:eastAsia="zh-CN"/>
        </w:rPr>
        <w:t>日</w:t>
      </w:r>
      <w:r>
        <w:rPr>
          <w:rFonts w:hint="eastAsia"/>
          <w:color w:val="auto"/>
          <w:szCs w:val="21"/>
          <w:lang w:eastAsia="zh-CN"/>
        </w:rPr>
        <w:t>，接甲方通知后3天内到厂，并按甲方要求的合理时间内完成检验。</w:t>
      </w:r>
    </w:p>
    <w:p>
      <w:pPr>
        <w:spacing w:line="360" w:lineRule="auto"/>
        <w:ind w:firstLine="442" w:firstLineChars="200"/>
        <w:rPr>
          <w:b/>
          <w:szCs w:val="21"/>
          <w:lang w:eastAsia="zh-CN"/>
        </w:rPr>
      </w:pPr>
      <w:r>
        <w:rPr>
          <w:rFonts w:hint="eastAsia"/>
          <w:b/>
          <w:szCs w:val="21"/>
          <w:lang w:eastAsia="zh-CN"/>
        </w:rPr>
        <w:t>六、检验要求</w:t>
      </w:r>
    </w:p>
    <w:p>
      <w:pPr>
        <w:tabs>
          <w:tab w:val="left" w:pos="1134"/>
        </w:tabs>
        <w:spacing w:line="360" w:lineRule="auto"/>
        <w:ind w:firstLine="440" w:firstLineChars="200"/>
        <w:rPr>
          <w:color w:val="auto"/>
          <w:szCs w:val="21"/>
          <w:lang w:eastAsia="zh-CN"/>
        </w:rPr>
      </w:pPr>
      <w:r>
        <w:rPr>
          <w:rFonts w:hint="eastAsia"/>
          <w:szCs w:val="21"/>
          <w:lang w:eastAsia="zh-CN"/>
        </w:rPr>
        <w:t>1、</w:t>
      </w:r>
      <w:r>
        <w:rPr>
          <w:rFonts w:hint="eastAsia"/>
          <w:color w:val="auto"/>
          <w:szCs w:val="21"/>
          <w:lang w:eastAsia="zh-CN"/>
        </w:rPr>
        <w:t>乙方应按照承压类特种设备相关技术规范、标准的规定对甲方委托的第</w:t>
      </w:r>
      <w:r>
        <w:rPr>
          <w:color w:val="auto"/>
          <w:szCs w:val="21"/>
          <w:u w:val="single"/>
          <w:lang w:eastAsia="zh-CN"/>
        </w:rPr>
        <w:t xml:space="preserve">   </w:t>
      </w:r>
      <w:r>
        <w:rPr>
          <w:rFonts w:hint="eastAsia"/>
          <w:color w:val="auto"/>
          <w:szCs w:val="21"/>
          <w:lang w:eastAsia="zh-CN"/>
        </w:rPr>
        <w:t>标段进行检验。具体按发包文件要求执行。</w:t>
      </w:r>
    </w:p>
    <w:p>
      <w:pPr>
        <w:tabs>
          <w:tab w:val="left" w:pos="1134"/>
        </w:tabs>
        <w:spacing w:line="360" w:lineRule="auto"/>
        <w:ind w:firstLine="440" w:firstLineChars="200"/>
        <w:rPr>
          <w:color w:val="auto"/>
          <w:szCs w:val="21"/>
          <w:lang w:eastAsia="zh-CN"/>
        </w:rPr>
      </w:pPr>
      <w:r>
        <w:rPr>
          <w:rFonts w:hint="eastAsia"/>
          <w:color w:val="auto"/>
          <w:szCs w:val="21"/>
          <w:lang w:eastAsia="zh-CN"/>
        </w:rPr>
        <w:t>2、压力管道现场检验工作结束后，乙方应当根据检验情况，结合甲方的整改情况，应在</w:t>
      </w:r>
      <w:r>
        <w:rPr>
          <w:rFonts w:hint="eastAsia"/>
          <w:color w:val="auto"/>
          <w:szCs w:val="21"/>
          <w:lang w:val="en-US" w:eastAsia="zh-CN"/>
        </w:rPr>
        <w:t>2</w:t>
      </w:r>
      <w:r>
        <w:rPr>
          <w:rFonts w:hint="eastAsia"/>
          <w:color w:val="auto"/>
          <w:szCs w:val="21"/>
          <w:lang w:eastAsia="zh-CN"/>
        </w:rPr>
        <w:t>个</w:t>
      </w:r>
      <w:r>
        <w:rPr>
          <w:rFonts w:hint="eastAsia"/>
          <w:color w:val="auto"/>
          <w:szCs w:val="21"/>
          <w:lang w:val="en-US" w:eastAsia="zh-CN"/>
        </w:rPr>
        <w:t>月</w:t>
      </w:r>
      <w:r>
        <w:rPr>
          <w:rFonts w:hint="eastAsia"/>
          <w:color w:val="auto"/>
          <w:szCs w:val="21"/>
          <w:lang w:eastAsia="zh-CN"/>
        </w:rPr>
        <w:t>内出具相应检验报告，且一式两份,检验报告电子扫描版一份。</w:t>
      </w:r>
    </w:p>
    <w:p>
      <w:pPr>
        <w:spacing w:line="360" w:lineRule="auto"/>
        <w:ind w:firstLine="442" w:firstLineChars="200"/>
        <w:rPr>
          <w:b/>
          <w:szCs w:val="21"/>
          <w:lang w:eastAsia="zh-CN"/>
        </w:rPr>
      </w:pPr>
      <w:r>
        <w:rPr>
          <w:rFonts w:hint="eastAsia"/>
          <w:b/>
          <w:szCs w:val="21"/>
          <w:lang w:eastAsia="zh-CN"/>
        </w:rPr>
        <w:t>七、检验收费以及结算（或付款）方式</w:t>
      </w:r>
    </w:p>
    <w:p>
      <w:pPr>
        <w:tabs>
          <w:tab w:val="left" w:pos="1134"/>
        </w:tabs>
        <w:spacing w:line="360" w:lineRule="auto"/>
        <w:ind w:firstLine="440" w:firstLineChars="200"/>
        <w:rPr>
          <w:rFonts w:hint="eastAsia"/>
          <w:szCs w:val="21"/>
          <w:lang w:eastAsia="zh-CN"/>
        </w:rPr>
      </w:pPr>
      <w:r>
        <w:rPr>
          <w:rFonts w:hint="eastAsia"/>
          <w:szCs w:val="21"/>
          <w:lang w:eastAsia="zh-CN"/>
        </w:rPr>
        <w:t>1、本工程施工内容如下表，采用单价（含税）承包方式，具体单价（含税）以如下：</w:t>
      </w:r>
    </w:p>
    <w:p>
      <w:pPr>
        <w:tabs>
          <w:tab w:val="left" w:pos="1134"/>
        </w:tabs>
        <w:spacing w:line="360" w:lineRule="auto"/>
        <w:ind w:firstLine="440" w:firstLineChars="200"/>
        <w:rPr>
          <w:rFonts w:hint="eastAsia"/>
          <w:szCs w:val="21"/>
          <w:lang w:eastAsia="zh-CN"/>
        </w:rPr>
      </w:pPr>
      <w:r>
        <w:rPr>
          <w:rFonts w:hint="eastAsia"/>
          <w:szCs w:val="21"/>
          <w:lang w:eastAsia="zh-CN"/>
        </w:rPr>
        <w:t>在《福建省特种设备检验收费项目和收费标准（2020版）》（下文简称“福建标准”）、每件失效分析9万元、每台容器或者每条压力管道合于评价5万元基础下整体下浮</w:t>
      </w:r>
      <w:r>
        <w:rPr>
          <w:rFonts w:hint="eastAsia"/>
          <w:szCs w:val="21"/>
          <w:u w:val="single"/>
          <w:lang w:eastAsia="zh-CN"/>
        </w:rPr>
        <w:t xml:space="preserve">      </w:t>
      </w:r>
      <w:r>
        <w:rPr>
          <w:rFonts w:hint="eastAsia"/>
          <w:szCs w:val="21"/>
          <w:lang w:eastAsia="zh-CN"/>
        </w:rPr>
        <w:t>%。其中福建标准中不执行《福建省特种设备检验收费管理暂行办法》闽价费（2009）9号文中的第九条和第十条。开立 6%增值税专用发票；发票必须符合国家税收法律法规的规定；价格已包含所有人工费、机械费、仪器仪表使用费、管理费、利润、税金、保险和出具检验报告等所有费用；价格包含所有工程风险，除工程变更外不作调整，凡涉及合同价格变更的书面文件，必须有甲方盖章确认，否则甲方不承担责任。</w:t>
      </w:r>
    </w:p>
    <w:p>
      <w:pPr>
        <w:widowControl/>
        <w:rPr>
          <w:szCs w:val="21"/>
          <w:lang w:eastAsia="zh-CN"/>
        </w:rPr>
      </w:pPr>
      <w:r>
        <w:rPr>
          <w:szCs w:val="21"/>
          <w:lang w:eastAsia="zh-CN"/>
        </w:rPr>
        <w:br w:type="page"/>
      </w:r>
    </w:p>
    <w:p>
      <w:pPr>
        <w:spacing w:line="360" w:lineRule="auto"/>
        <w:ind w:firstLine="440" w:firstLineChars="200"/>
        <w:rPr>
          <w:szCs w:val="21"/>
          <w:lang w:eastAsia="zh-CN"/>
        </w:rPr>
      </w:pPr>
      <w:r>
        <w:rPr>
          <w:rFonts w:hint="eastAsia"/>
          <w:szCs w:val="21"/>
          <w:lang w:eastAsia="zh-CN"/>
        </w:rPr>
        <w:t>2.付款方式：提供全部定检报告及报告电子扫描件后，按甲方要求的程序报支，同时应提供全额6%增值税专用发票（事业单位按政府相关要求提供票据），报支手续齐全后，3个月内支付结算款，即：应支付结算款=已确认结算款-违约金。</w:t>
      </w:r>
    </w:p>
    <w:p>
      <w:pPr>
        <w:pStyle w:val="28"/>
        <w:autoSpaceDE/>
        <w:autoSpaceDN/>
        <w:spacing w:before="0" w:line="360" w:lineRule="auto"/>
        <w:ind w:left="293" w:firstLine="0"/>
        <w:jc w:val="both"/>
        <w:rPr>
          <w:b/>
          <w:szCs w:val="21"/>
          <w:lang w:eastAsia="zh-CN"/>
        </w:rPr>
      </w:pPr>
      <w:r>
        <w:rPr>
          <w:rFonts w:hint="eastAsia"/>
          <w:b/>
          <w:szCs w:val="21"/>
          <w:lang w:eastAsia="zh-CN"/>
        </w:rPr>
        <w:t>八、双方的权利和义务</w:t>
      </w:r>
    </w:p>
    <w:p>
      <w:pPr>
        <w:spacing w:line="360" w:lineRule="auto"/>
        <w:ind w:firstLine="330" w:firstLineChars="150"/>
        <w:rPr>
          <w:szCs w:val="21"/>
          <w:lang w:eastAsia="zh-CN"/>
        </w:rPr>
      </w:pPr>
      <w:r>
        <w:rPr>
          <w:rFonts w:hint="eastAsia"/>
          <w:szCs w:val="21"/>
          <w:lang w:eastAsia="zh-CN"/>
        </w:rPr>
        <w:t>1.甲方：</w:t>
      </w:r>
    </w:p>
    <w:p>
      <w:pPr>
        <w:spacing w:line="360" w:lineRule="auto"/>
        <w:ind w:firstLine="220" w:firstLineChars="100"/>
        <w:rPr>
          <w:szCs w:val="21"/>
          <w:lang w:eastAsia="zh-CN"/>
        </w:rPr>
      </w:pPr>
      <w:r>
        <w:rPr>
          <w:rFonts w:hint="eastAsia"/>
          <w:szCs w:val="21"/>
          <w:lang w:eastAsia="zh-CN"/>
        </w:rPr>
        <w:t>（</w:t>
      </w:r>
      <w:r>
        <w:rPr>
          <w:rFonts w:hint="eastAsia"/>
          <w:color w:val="auto"/>
          <w:szCs w:val="21"/>
          <w:lang w:eastAsia="zh-CN"/>
        </w:rPr>
        <w:t>1）见附件发包文件。</w:t>
      </w:r>
    </w:p>
    <w:p>
      <w:pPr>
        <w:spacing w:line="360" w:lineRule="auto"/>
        <w:ind w:firstLine="330" w:firstLineChars="150"/>
        <w:rPr>
          <w:szCs w:val="21"/>
          <w:lang w:eastAsia="zh-CN"/>
        </w:rPr>
      </w:pPr>
      <w:r>
        <w:rPr>
          <w:rFonts w:hint="eastAsia"/>
          <w:szCs w:val="21"/>
          <w:lang w:eastAsia="zh-CN"/>
        </w:rPr>
        <w:t>2.乙方：</w:t>
      </w:r>
    </w:p>
    <w:p>
      <w:pPr>
        <w:spacing w:line="360" w:lineRule="auto"/>
        <w:rPr>
          <w:szCs w:val="21"/>
          <w:lang w:eastAsia="zh-CN"/>
        </w:rPr>
      </w:pPr>
      <w:r>
        <w:rPr>
          <w:rFonts w:hint="eastAsia"/>
          <w:szCs w:val="21"/>
          <w:lang w:eastAsia="zh-CN"/>
        </w:rPr>
        <w:t xml:space="preserve">   （1）乙方所提供</w:t>
      </w:r>
      <w:r>
        <w:rPr>
          <w:szCs w:val="21"/>
          <w:lang w:eastAsia="zh-CN"/>
        </w:rPr>
        <w:t>X射线机及</w:t>
      </w:r>
      <w:r>
        <w:rPr>
          <w:szCs w:val="21"/>
        </w:rPr>
        <w:t>γ</w:t>
      </w:r>
      <w:r>
        <w:rPr>
          <w:szCs w:val="21"/>
          <w:lang w:eastAsia="zh-CN"/>
        </w:rPr>
        <w:t>源</w:t>
      </w:r>
      <w:r>
        <w:rPr>
          <w:rFonts w:hint="eastAsia"/>
          <w:szCs w:val="21"/>
          <w:lang w:eastAsia="zh-CN"/>
        </w:rPr>
        <w:t>应应当符合规范，遵循国家及所在地的规定。</w:t>
      </w:r>
    </w:p>
    <w:p>
      <w:pPr>
        <w:spacing w:line="360" w:lineRule="auto"/>
        <w:ind w:firstLine="330" w:firstLineChars="150"/>
        <w:rPr>
          <w:lang w:eastAsia="zh-CN"/>
        </w:rPr>
      </w:pPr>
      <w:r>
        <w:rPr>
          <w:rFonts w:hint="eastAsia"/>
          <w:lang w:eastAsia="zh-CN"/>
        </w:rPr>
        <w:t>（2）甲方支付的款项，乙方应优先用于工人工资的支付，如工人或劳务工人直接向甲方主张工资、报酬（含材料款），甲方凭乙方确认的工资、报酬款（含材料款）先行支付，并在工程款中扣除。如乙方不予确认，甲方有权先行支付，并且乙方还须向甲方交付</w:t>
      </w:r>
      <w:r>
        <w:rPr>
          <w:lang w:eastAsia="zh-CN"/>
        </w:rPr>
        <w:t>5</w:t>
      </w:r>
      <w:r>
        <w:rPr>
          <w:rFonts w:hint="eastAsia"/>
          <w:lang w:eastAsia="zh-CN"/>
        </w:rPr>
        <w:t>万元</w:t>
      </w:r>
      <w:r>
        <w:rPr>
          <w:lang w:eastAsia="zh-CN"/>
        </w:rPr>
        <w:t>/</w:t>
      </w:r>
      <w:r>
        <w:rPr>
          <w:rFonts w:hint="eastAsia"/>
          <w:lang w:eastAsia="zh-CN"/>
        </w:rPr>
        <w:t>次的违约金。</w:t>
      </w:r>
    </w:p>
    <w:p>
      <w:pPr>
        <w:spacing w:line="360" w:lineRule="auto"/>
        <w:ind w:firstLine="330" w:firstLineChars="150"/>
        <w:rPr>
          <w:lang w:eastAsia="zh-CN"/>
        </w:rPr>
      </w:pPr>
      <w:r>
        <w:rPr>
          <w:rFonts w:hint="eastAsia"/>
          <w:lang w:eastAsia="zh-CN"/>
        </w:rPr>
        <w:t>（3）乙方不得故意或纵容其员工、项目雇佣农民工或其他人员干扰或影响发包人及关联企业正常运营之行为（包括但不限于厂区内外交通围堵、干扰生产经营、组织人员闹事等），则甲方有权拒绝支付后续未付费用作为违约赔偿。</w:t>
      </w:r>
    </w:p>
    <w:p>
      <w:pPr>
        <w:spacing w:line="360" w:lineRule="auto"/>
        <w:ind w:firstLine="330" w:firstLineChars="150"/>
        <w:rPr>
          <w:lang w:eastAsia="zh-CN"/>
        </w:rPr>
      </w:pPr>
      <w:r>
        <w:rPr>
          <w:rFonts w:hint="eastAsia"/>
          <w:lang w:eastAsia="zh-CN"/>
        </w:rPr>
        <w:t>（4）乙方承诺，若项目所在地建设主管部门存在工人工资保证金及类似制度或要求的，乙方应遵照办理执行，否则由此造成的后果均由乙方承担。</w:t>
      </w:r>
    </w:p>
    <w:p>
      <w:pPr>
        <w:pStyle w:val="2"/>
        <w:spacing w:line="360" w:lineRule="auto"/>
        <w:ind w:firstLine="220" w:firstLineChars="100"/>
        <w:rPr>
          <w:color w:val="FF0000"/>
        </w:rPr>
      </w:pPr>
      <w:r>
        <w:rPr>
          <w:rFonts w:hint="eastAsia" w:hAnsi="宋体" w:cs="宋体"/>
          <w:sz w:val="22"/>
        </w:rPr>
        <w:t>（5</w:t>
      </w:r>
      <w:r>
        <w:rPr>
          <w:rFonts w:hAnsi="宋体" w:cs="宋体"/>
          <w:sz w:val="22"/>
        </w:rPr>
        <w:t>）</w:t>
      </w:r>
      <w:r>
        <w:rPr>
          <w:rFonts w:hint="eastAsia" w:hAnsi="宋体" w:cs="宋体"/>
          <w:sz w:val="22"/>
        </w:rPr>
        <w:t>、</w:t>
      </w:r>
      <w:r>
        <w:rPr>
          <w:rFonts w:hint="eastAsia" w:ascii="宋体" w:hAnsi="宋体" w:eastAsia="宋体" w:cs="宋体"/>
          <w:sz w:val="22"/>
          <w:szCs w:val="22"/>
          <w:lang w:val="en-US" w:eastAsia="zh-CN" w:bidi="ar-SA"/>
        </w:rPr>
        <w:t>其余权利和义务见附件发包文件</w:t>
      </w:r>
      <w:r>
        <w:rPr>
          <w:rFonts w:hint="eastAsia" w:hAnsi="宋体" w:cs="宋体"/>
          <w:sz w:val="22"/>
          <w:szCs w:val="22"/>
          <w:lang w:val="en-US" w:eastAsia="zh-CN" w:bidi="ar-SA"/>
        </w:rPr>
        <w:t>。</w:t>
      </w:r>
    </w:p>
    <w:p>
      <w:pPr>
        <w:spacing w:line="360" w:lineRule="auto"/>
        <w:ind w:firstLine="442" w:firstLineChars="200"/>
        <w:rPr>
          <w:b/>
          <w:szCs w:val="21"/>
          <w:lang w:eastAsia="zh-CN"/>
        </w:rPr>
      </w:pPr>
      <w:r>
        <w:rPr>
          <w:rFonts w:hint="eastAsia"/>
          <w:b/>
          <w:szCs w:val="21"/>
          <w:lang w:eastAsia="zh-CN"/>
        </w:rPr>
        <w:t>九、安全、文明施工</w:t>
      </w:r>
    </w:p>
    <w:p>
      <w:pPr>
        <w:spacing w:line="360" w:lineRule="auto"/>
        <w:ind w:firstLine="440" w:firstLineChars="200"/>
        <w:rPr>
          <w:szCs w:val="21"/>
          <w:lang w:eastAsia="zh-CN"/>
        </w:rPr>
      </w:pPr>
      <w:r>
        <w:rPr>
          <w:rFonts w:hint="eastAsia"/>
          <w:szCs w:val="21"/>
          <w:lang w:eastAsia="zh-CN"/>
        </w:rPr>
        <w:t>乙方人员应严格遵守甲方规章制度，在设备检验过程中做好自身安全防护措施，检验过程中如发生人身、财产损失、由乙方自行承担责任。</w:t>
      </w:r>
    </w:p>
    <w:p>
      <w:pPr>
        <w:spacing w:line="360" w:lineRule="auto"/>
        <w:ind w:firstLine="442" w:firstLineChars="200"/>
        <w:rPr>
          <w:b/>
          <w:szCs w:val="21"/>
          <w:lang w:eastAsia="zh-CN"/>
        </w:rPr>
      </w:pPr>
      <w:r>
        <w:rPr>
          <w:rFonts w:hint="eastAsia"/>
          <w:b/>
          <w:szCs w:val="21"/>
          <w:lang w:eastAsia="zh-CN"/>
        </w:rPr>
        <w:t>十、违约责任</w:t>
      </w:r>
    </w:p>
    <w:p>
      <w:pPr>
        <w:spacing w:line="360" w:lineRule="auto"/>
        <w:ind w:firstLine="330" w:firstLineChars="150"/>
        <w:rPr>
          <w:lang w:eastAsia="zh-CN"/>
        </w:rPr>
      </w:pPr>
      <w:r>
        <w:rPr>
          <w:rFonts w:hint="eastAsia"/>
          <w:lang w:eastAsia="zh-CN"/>
        </w:rPr>
        <w:t>1、乙方逾期进行检验工作的，每逾期一日，应向乙方支付10000元违约金，逾期超过10日的，甲方有权解除合同并要求乙方支付150,000元的违约金，乙方还需赔偿甲方损失，乙方逾期提供检验报告的，前一个月，每逾期一日，应向乙方支付1000元违约金，之后每逾期一日，应向乙方支付3000元违约金。</w:t>
      </w:r>
    </w:p>
    <w:p>
      <w:pPr>
        <w:spacing w:line="360" w:lineRule="auto"/>
        <w:ind w:firstLine="330" w:firstLineChars="150"/>
        <w:rPr>
          <w:rStyle w:val="41"/>
          <w:lang w:eastAsia="zh-CN"/>
        </w:rPr>
      </w:pPr>
      <w:r>
        <w:rPr>
          <w:rFonts w:hint="eastAsia"/>
          <w:lang w:eastAsia="zh-CN"/>
        </w:rPr>
        <w:t>2、</w:t>
      </w:r>
      <w:r>
        <w:rPr>
          <w:rStyle w:val="41"/>
          <w:rFonts w:hint="eastAsia"/>
          <w:lang w:eastAsia="zh-CN"/>
        </w:rPr>
        <w:t>乙方提交的检验报告不符合合同约定的，应及时修改完善直至符合合同约定为止，由此造成逾期提交的，每逾期一日，</w:t>
      </w:r>
      <w:r>
        <w:rPr>
          <w:rFonts w:hint="eastAsia"/>
          <w:lang w:eastAsia="zh-CN"/>
        </w:rPr>
        <w:t>应向乙方支付3000元违约金</w:t>
      </w:r>
      <w:r>
        <w:rPr>
          <w:rStyle w:val="41"/>
          <w:rFonts w:hint="eastAsia"/>
          <w:lang w:eastAsia="zh-CN"/>
        </w:rPr>
        <w:t>。</w:t>
      </w:r>
    </w:p>
    <w:p>
      <w:pPr>
        <w:spacing w:line="360" w:lineRule="auto"/>
        <w:ind w:firstLine="440" w:firstLineChars="200"/>
        <w:rPr>
          <w:szCs w:val="21"/>
          <w:lang w:eastAsia="zh-CN"/>
        </w:rPr>
      </w:pPr>
      <w:r>
        <w:rPr>
          <w:rFonts w:hint="eastAsia"/>
          <w:szCs w:val="21"/>
          <w:lang w:eastAsia="zh-CN"/>
        </w:rPr>
        <w:t>3、乙方无正当理由单方解除合同的，应向甲方支付50000元违约金，并赔偿甲方损失。</w:t>
      </w:r>
    </w:p>
    <w:p>
      <w:pPr>
        <w:spacing w:line="360" w:lineRule="auto"/>
        <w:ind w:firstLine="440" w:firstLineChars="200"/>
        <w:rPr>
          <w:lang w:eastAsia="zh-CN"/>
        </w:rPr>
      </w:pPr>
      <w:r>
        <w:rPr>
          <w:rFonts w:hint="eastAsia"/>
          <w:szCs w:val="21"/>
          <w:lang w:eastAsia="zh-CN"/>
        </w:rPr>
        <w:t>4、</w:t>
      </w:r>
      <w:r>
        <w:rPr>
          <w:rFonts w:hint="eastAsia" w:asciiTheme="minorEastAsia" w:hAnsiTheme="minorEastAsia" w:eastAsiaTheme="minorEastAsia"/>
          <w:sz w:val="21"/>
          <w:szCs w:val="21"/>
          <w:lang w:eastAsia="zh-CN"/>
        </w:rPr>
        <w:t>附件《发包方案》中规定的乙方的违约责任与本条不一致的以对乙方要求较为严格的规定为准，其他未规定的按《发包方案》的规定执行。</w:t>
      </w:r>
    </w:p>
    <w:p>
      <w:pPr>
        <w:spacing w:line="360" w:lineRule="auto"/>
        <w:ind w:firstLine="442" w:firstLineChars="200"/>
        <w:rPr>
          <w:b/>
          <w:szCs w:val="21"/>
          <w:lang w:eastAsia="zh-CN"/>
        </w:rPr>
      </w:pPr>
      <w:r>
        <w:rPr>
          <w:rFonts w:hint="eastAsia"/>
          <w:b/>
          <w:szCs w:val="21"/>
          <w:lang w:eastAsia="zh-CN"/>
        </w:rPr>
        <w:t>十一、争议处理</w:t>
      </w:r>
    </w:p>
    <w:p>
      <w:pPr>
        <w:spacing w:line="360" w:lineRule="auto"/>
        <w:ind w:firstLine="440" w:firstLineChars="200"/>
        <w:rPr>
          <w:szCs w:val="21"/>
          <w:lang w:eastAsia="zh-CN"/>
        </w:rPr>
      </w:pPr>
      <w:r>
        <w:rPr>
          <w:rFonts w:hint="eastAsia"/>
          <w:szCs w:val="21"/>
          <w:lang w:eastAsia="zh-CN"/>
        </w:rPr>
        <w:t>在检验过程中，双方发生争议时，可提请工程所在地的地市级以上特种设备安全监察机构处理。必要时，可向上级特种设备监察机构申诉。双方同意任何一方可向甲方所在地人民法院提起诉讼。</w:t>
      </w:r>
    </w:p>
    <w:p>
      <w:pPr>
        <w:spacing w:line="360" w:lineRule="auto"/>
        <w:ind w:firstLine="442" w:firstLineChars="200"/>
        <w:rPr>
          <w:szCs w:val="21"/>
          <w:lang w:eastAsia="zh-CN"/>
        </w:rPr>
      </w:pPr>
      <w:r>
        <w:rPr>
          <w:rFonts w:hint="eastAsia"/>
          <w:b/>
          <w:szCs w:val="21"/>
          <w:lang w:eastAsia="zh-CN"/>
        </w:rPr>
        <w:t>十二、</w:t>
      </w:r>
      <w:r>
        <w:rPr>
          <w:rFonts w:hint="eastAsia"/>
          <w:szCs w:val="21"/>
          <w:lang w:eastAsia="zh-CN"/>
        </w:rPr>
        <w:t>本协议未尽事宜由双方协商解决。</w:t>
      </w:r>
    </w:p>
    <w:p>
      <w:pPr>
        <w:spacing w:line="360" w:lineRule="auto"/>
        <w:ind w:firstLine="442" w:firstLineChars="200"/>
        <w:rPr>
          <w:szCs w:val="21"/>
          <w:lang w:eastAsia="zh-CN"/>
        </w:rPr>
      </w:pPr>
      <w:r>
        <w:rPr>
          <w:rFonts w:hint="eastAsia"/>
          <w:b/>
          <w:szCs w:val="21"/>
          <w:lang w:eastAsia="zh-CN"/>
        </w:rPr>
        <w:t>十三、</w:t>
      </w:r>
      <w:r>
        <w:rPr>
          <w:rFonts w:hint="eastAsia"/>
          <w:szCs w:val="21"/>
          <w:lang w:eastAsia="zh-CN"/>
        </w:rPr>
        <w:t>本协议自双方盖章之日起生效。本合同一式陆份，甲方执</w:t>
      </w:r>
      <w:r>
        <w:rPr>
          <w:szCs w:val="21"/>
        </w:rPr>
        <w:fldChar w:fldCharType="begin"/>
      </w:r>
      <w:r>
        <w:rPr>
          <w:szCs w:val="21"/>
          <w:lang w:eastAsia="zh-CN"/>
        </w:rPr>
        <w:instrText xml:space="preserve"> </w:instrText>
      </w:r>
      <w:r>
        <w:rPr>
          <w:rFonts w:hint="eastAsia"/>
          <w:szCs w:val="21"/>
          <w:lang w:eastAsia="zh-CN"/>
        </w:rPr>
        <w:instrText xml:space="preserve">= 4 \* CHINESENUM2</w:instrText>
      </w:r>
      <w:r>
        <w:rPr>
          <w:szCs w:val="21"/>
          <w:lang w:eastAsia="zh-CN"/>
        </w:rPr>
        <w:instrText xml:space="preserve"> </w:instrText>
      </w:r>
      <w:r>
        <w:rPr>
          <w:szCs w:val="21"/>
        </w:rPr>
        <w:fldChar w:fldCharType="separate"/>
      </w:r>
      <w:r>
        <w:rPr>
          <w:rFonts w:hint="eastAsia"/>
          <w:szCs w:val="21"/>
          <w:lang w:eastAsia="zh-CN"/>
        </w:rPr>
        <w:t>肆</w:t>
      </w:r>
      <w:r>
        <w:rPr>
          <w:szCs w:val="21"/>
        </w:rPr>
        <w:fldChar w:fldCharType="end"/>
      </w:r>
      <w:r>
        <w:rPr>
          <w:rFonts w:hint="eastAsia"/>
          <w:szCs w:val="21"/>
          <w:lang w:eastAsia="zh-CN"/>
        </w:rPr>
        <w:t>份，乙方执贰份，均具有同等效力。</w:t>
      </w:r>
    </w:p>
    <w:p>
      <w:pPr>
        <w:spacing w:line="360" w:lineRule="auto"/>
        <w:ind w:firstLine="442" w:firstLineChars="200"/>
        <w:rPr>
          <w:color w:val="000000"/>
          <w:szCs w:val="21"/>
          <w:lang w:eastAsia="zh-CN"/>
        </w:rPr>
      </w:pPr>
      <w:r>
        <w:rPr>
          <w:rFonts w:hint="eastAsia"/>
          <w:b/>
          <w:szCs w:val="21"/>
          <w:lang w:eastAsia="zh-CN"/>
        </w:rPr>
        <w:t>十四、</w:t>
      </w:r>
      <w:r>
        <w:rPr>
          <w:rFonts w:hint="eastAsia"/>
          <w:szCs w:val="21"/>
          <w:lang w:eastAsia="zh-CN"/>
        </w:rPr>
        <w:t>双方互为对方的商业及技术资料保密。</w:t>
      </w:r>
    </w:p>
    <w:p>
      <w:pPr>
        <w:spacing w:line="360" w:lineRule="auto"/>
        <w:ind w:firstLine="442" w:firstLineChars="200"/>
        <w:rPr>
          <w:szCs w:val="21"/>
          <w:lang w:eastAsia="zh-CN"/>
        </w:rPr>
      </w:pPr>
      <w:r>
        <w:rPr>
          <w:rFonts w:hint="eastAsia"/>
          <w:b/>
          <w:szCs w:val="21"/>
          <w:lang w:eastAsia="zh-CN"/>
        </w:rPr>
        <w:t>十五、</w:t>
      </w:r>
      <w:r>
        <w:rPr>
          <w:rFonts w:hint="eastAsia"/>
          <w:szCs w:val="21"/>
          <w:lang w:eastAsia="zh-CN"/>
        </w:rPr>
        <w:t>如需修改合同内容，双方应签署书面修改或补充协议，该修改或补充协议作为本合同的一个组成部分，与本合同具有同等效力。</w:t>
      </w:r>
      <w:r>
        <w:rPr>
          <w:szCs w:val="21"/>
          <w:lang w:eastAsia="zh-CN"/>
        </w:rPr>
        <w:br w:type="page"/>
      </w:r>
    </w:p>
    <w:p>
      <w:pPr>
        <w:widowControl/>
        <w:rPr>
          <w:szCs w:val="21"/>
          <w:lang w:eastAsia="zh-CN"/>
        </w:rPr>
      </w:pPr>
    </w:p>
    <w:p>
      <w:pPr>
        <w:ind w:firstLine="440" w:firstLineChars="200"/>
        <w:rPr>
          <w:szCs w:val="21"/>
          <w:lang w:eastAsia="zh-CN"/>
        </w:rPr>
      </w:pPr>
    </w:p>
    <w:tbl>
      <w:tblPr>
        <w:tblStyle w:val="20"/>
        <w:tblW w:w="9151" w:type="dxa"/>
        <w:jc w:val="center"/>
        <w:tblLayout w:type="fixed"/>
        <w:tblCellMar>
          <w:top w:w="0" w:type="dxa"/>
          <w:left w:w="108" w:type="dxa"/>
          <w:bottom w:w="0" w:type="dxa"/>
          <w:right w:w="108" w:type="dxa"/>
        </w:tblCellMar>
      </w:tblPr>
      <w:tblGrid>
        <w:gridCol w:w="4461"/>
        <w:gridCol w:w="4690"/>
      </w:tblGrid>
      <w:tr>
        <w:tblPrEx>
          <w:tblCellMar>
            <w:top w:w="0" w:type="dxa"/>
            <w:left w:w="108" w:type="dxa"/>
            <w:bottom w:w="0" w:type="dxa"/>
            <w:right w:w="108" w:type="dxa"/>
          </w:tblCellMar>
        </w:tblPrEx>
        <w:trPr>
          <w:trHeight w:val="465" w:hRule="atLeast"/>
          <w:jc w:val="center"/>
        </w:trPr>
        <w:tc>
          <w:tcPr>
            <w:tcW w:w="4461" w:type="dxa"/>
            <w:vAlign w:val="center"/>
          </w:tcPr>
          <w:p>
            <w:pPr>
              <w:spacing w:line="480" w:lineRule="auto"/>
              <w:ind w:firstLine="440" w:firstLineChars="200"/>
              <w:rPr>
                <w:szCs w:val="21"/>
                <w:lang w:eastAsia="zh-CN"/>
              </w:rPr>
            </w:pPr>
            <w:r>
              <w:rPr>
                <w:rFonts w:hint="eastAsia"/>
                <w:szCs w:val="21"/>
                <w:lang w:eastAsia="zh-CN"/>
              </w:rPr>
              <w:t>甲方：福建福海创石油化工有限公司</w:t>
            </w:r>
          </w:p>
        </w:tc>
        <w:tc>
          <w:tcPr>
            <w:tcW w:w="4690" w:type="dxa"/>
            <w:vAlign w:val="center"/>
          </w:tcPr>
          <w:p>
            <w:pPr>
              <w:spacing w:line="480" w:lineRule="auto"/>
              <w:ind w:firstLine="440" w:firstLineChars="200"/>
              <w:rPr>
                <w:szCs w:val="21"/>
                <w:lang w:eastAsia="zh-CN"/>
              </w:rPr>
            </w:pPr>
            <w:r>
              <w:rPr>
                <w:rFonts w:hint="eastAsia"/>
                <w:szCs w:val="21"/>
                <w:lang w:eastAsia="zh-CN"/>
              </w:rPr>
              <w:t>乙方：</w:t>
            </w:r>
            <w:r>
              <w:rPr>
                <w:szCs w:val="21"/>
                <w:lang w:eastAsia="zh-CN"/>
              </w:rPr>
              <w:t xml:space="preserve"> </w:t>
            </w:r>
          </w:p>
        </w:tc>
      </w:tr>
      <w:tr>
        <w:tblPrEx>
          <w:tblCellMar>
            <w:top w:w="0" w:type="dxa"/>
            <w:left w:w="108" w:type="dxa"/>
            <w:bottom w:w="0" w:type="dxa"/>
            <w:right w:w="108" w:type="dxa"/>
          </w:tblCellMar>
        </w:tblPrEx>
        <w:trPr>
          <w:trHeight w:val="465" w:hRule="atLeast"/>
          <w:jc w:val="center"/>
        </w:trPr>
        <w:tc>
          <w:tcPr>
            <w:tcW w:w="4461" w:type="dxa"/>
            <w:vAlign w:val="center"/>
          </w:tcPr>
          <w:p>
            <w:pPr>
              <w:spacing w:line="480" w:lineRule="auto"/>
              <w:ind w:left="1052" w:leftChars="228" w:hanging="550" w:hangingChars="250"/>
              <w:rPr>
                <w:szCs w:val="21"/>
                <w:lang w:eastAsia="zh-CN"/>
              </w:rPr>
            </w:pPr>
            <w:r>
              <w:rPr>
                <w:rFonts w:hint="eastAsia"/>
                <w:szCs w:val="21"/>
                <w:lang w:eastAsia="zh-CN"/>
              </w:rPr>
              <w:t>地址：福建省漳州市漳浦县古雷经济开发区腾龙路84号</w:t>
            </w:r>
          </w:p>
        </w:tc>
        <w:tc>
          <w:tcPr>
            <w:tcW w:w="4690" w:type="dxa"/>
            <w:vAlign w:val="center"/>
          </w:tcPr>
          <w:p>
            <w:pPr>
              <w:spacing w:line="480" w:lineRule="auto"/>
              <w:ind w:firstLine="330" w:firstLineChars="150"/>
              <w:rPr>
                <w:szCs w:val="21"/>
                <w:lang w:eastAsia="zh-CN"/>
              </w:rPr>
            </w:pPr>
            <w:r>
              <w:rPr>
                <w:rFonts w:hint="eastAsia"/>
                <w:szCs w:val="21"/>
                <w:lang w:eastAsia="zh-CN"/>
              </w:rPr>
              <w:t>地址：</w:t>
            </w:r>
          </w:p>
        </w:tc>
      </w:tr>
      <w:tr>
        <w:tblPrEx>
          <w:tblCellMar>
            <w:top w:w="0" w:type="dxa"/>
            <w:left w:w="108" w:type="dxa"/>
            <w:bottom w:w="0" w:type="dxa"/>
            <w:right w:w="108" w:type="dxa"/>
          </w:tblCellMar>
        </w:tblPrEx>
        <w:trPr>
          <w:trHeight w:val="465" w:hRule="atLeast"/>
          <w:jc w:val="center"/>
        </w:trPr>
        <w:tc>
          <w:tcPr>
            <w:tcW w:w="4461" w:type="dxa"/>
            <w:vAlign w:val="center"/>
          </w:tcPr>
          <w:p>
            <w:pPr>
              <w:spacing w:line="480" w:lineRule="auto"/>
              <w:ind w:firstLine="440" w:firstLineChars="200"/>
              <w:rPr>
                <w:szCs w:val="21"/>
                <w:lang w:eastAsia="zh-CN"/>
              </w:rPr>
            </w:pPr>
            <w:r>
              <w:rPr>
                <w:rFonts w:hint="eastAsia"/>
                <w:szCs w:val="21"/>
                <w:lang w:eastAsia="zh-CN"/>
              </w:rPr>
              <w:t>联系电话：</w:t>
            </w:r>
          </w:p>
          <w:p>
            <w:pPr>
              <w:spacing w:line="480" w:lineRule="auto"/>
              <w:ind w:firstLine="440" w:firstLineChars="200"/>
              <w:rPr>
                <w:szCs w:val="21"/>
                <w:lang w:eastAsia="zh-CN"/>
              </w:rPr>
            </w:pPr>
            <w:r>
              <w:rPr>
                <w:rFonts w:hint="eastAsia"/>
                <w:szCs w:val="21"/>
                <w:lang w:eastAsia="zh-CN"/>
              </w:rPr>
              <w:t>开户行：</w:t>
            </w:r>
            <w:r>
              <w:rPr>
                <w:szCs w:val="21"/>
                <w:lang w:eastAsia="zh-CN"/>
              </w:rPr>
              <w:t xml:space="preserve"> </w:t>
            </w:r>
          </w:p>
          <w:p>
            <w:pPr>
              <w:spacing w:line="480" w:lineRule="auto"/>
              <w:ind w:firstLine="440" w:firstLineChars="200"/>
              <w:rPr>
                <w:szCs w:val="21"/>
                <w:lang w:eastAsia="zh-CN"/>
              </w:rPr>
            </w:pPr>
            <w:r>
              <w:rPr>
                <w:rFonts w:hint="eastAsia"/>
                <w:szCs w:val="21"/>
                <w:lang w:eastAsia="zh-CN"/>
              </w:rPr>
              <w:t>账号：</w:t>
            </w:r>
          </w:p>
        </w:tc>
        <w:tc>
          <w:tcPr>
            <w:tcW w:w="4690" w:type="dxa"/>
            <w:vAlign w:val="center"/>
          </w:tcPr>
          <w:p>
            <w:pPr>
              <w:spacing w:line="312" w:lineRule="auto"/>
              <w:ind w:firstLine="330" w:firstLineChars="150"/>
              <w:rPr>
                <w:lang w:eastAsia="zh-CN"/>
              </w:rPr>
            </w:pPr>
            <w:r>
              <w:rPr>
                <w:rFonts w:hint="eastAsia"/>
                <w:szCs w:val="21"/>
                <w:lang w:eastAsia="zh-CN"/>
              </w:rPr>
              <w:t xml:space="preserve">联系电话： </w:t>
            </w:r>
          </w:p>
          <w:p>
            <w:pPr>
              <w:spacing w:line="480" w:lineRule="auto"/>
              <w:ind w:firstLine="220" w:firstLineChars="100"/>
              <w:rPr>
                <w:lang w:eastAsia="zh-CN"/>
              </w:rPr>
            </w:pPr>
          </w:p>
          <w:p>
            <w:pPr>
              <w:spacing w:line="480" w:lineRule="auto"/>
              <w:ind w:firstLine="220" w:firstLineChars="100"/>
              <w:rPr>
                <w:szCs w:val="21"/>
              </w:rPr>
            </w:pPr>
            <w:r>
              <w:rPr>
                <w:rFonts w:hint="eastAsia"/>
                <w:szCs w:val="21"/>
              </w:rPr>
              <w:t xml:space="preserve">帐号： </w:t>
            </w:r>
          </w:p>
        </w:tc>
      </w:tr>
      <w:tr>
        <w:tblPrEx>
          <w:tblCellMar>
            <w:top w:w="0" w:type="dxa"/>
            <w:left w:w="108" w:type="dxa"/>
            <w:bottom w:w="0" w:type="dxa"/>
            <w:right w:w="108" w:type="dxa"/>
          </w:tblCellMar>
        </w:tblPrEx>
        <w:trPr>
          <w:trHeight w:val="465" w:hRule="atLeast"/>
          <w:jc w:val="center"/>
        </w:trPr>
        <w:tc>
          <w:tcPr>
            <w:tcW w:w="4461" w:type="dxa"/>
            <w:vAlign w:val="center"/>
          </w:tcPr>
          <w:p>
            <w:pPr>
              <w:spacing w:line="480" w:lineRule="auto"/>
              <w:ind w:firstLine="440" w:firstLineChars="200"/>
              <w:rPr>
                <w:szCs w:val="21"/>
              </w:rPr>
            </w:pPr>
            <w:r>
              <w:rPr>
                <w:rFonts w:hint="eastAsia"/>
                <w:szCs w:val="21"/>
              </w:rPr>
              <w:t>纳税人识别号：</w:t>
            </w:r>
          </w:p>
        </w:tc>
        <w:tc>
          <w:tcPr>
            <w:tcW w:w="4690" w:type="dxa"/>
            <w:vAlign w:val="center"/>
          </w:tcPr>
          <w:p>
            <w:pPr>
              <w:spacing w:line="480" w:lineRule="auto"/>
              <w:ind w:firstLine="220" w:firstLineChars="100"/>
              <w:rPr>
                <w:rFonts w:hint="eastAsia" w:eastAsia="宋体"/>
                <w:szCs w:val="21"/>
                <w:lang w:val="en-US" w:eastAsia="zh-CN"/>
              </w:rPr>
            </w:pPr>
            <w:r>
              <w:rPr>
                <w:rFonts w:hint="eastAsia"/>
              </w:rPr>
              <w:t>纳税人识别号：</w:t>
            </w:r>
            <w:r>
              <w:rPr>
                <w:rFonts w:hint="eastAsia"/>
                <w:lang w:val="en-US" w:eastAsia="zh-CN"/>
              </w:rPr>
              <w:t xml:space="preserve"> </w:t>
            </w:r>
          </w:p>
        </w:tc>
      </w:tr>
      <w:tr>
        <w:tblPrEx>
          <w:tblCellMar>
            <w:top w:w="0" w:type="dxa"/>
            <w:left w:w="108" w:type="dxa"/>
            <w:bottom w:w="0" w:type="dxa"/>
            <w:right w:w="108" w:type="dxa"/>
          </w:tblCellMar>
        </w:tblPrEx>
        <w:trPr>
          <w:trHeight w:val="772" w:hRule="atLeast"/>
          <w:jc w:val="center"/>
        </w:trPr>
        <w:tc>
          <w:tcPr>
            <w:tcW w:w="4461" w:type="dxa"/>
            <w:vAlign w:val="center"/>
          </w:tcPr>
          <w:p>
            <w:pPr>
              <w:spacing w:line="480" w:lineRule="auto"/>
              <w:ind w:firstLine="440" w:firstLineChars="200"/>
              <w:rPr>
                <w:szCs w:val="21"/>
                <w:lang w:eastAsia="zh-CN"/>
              </w:rPr>
            </w:pPr>
            <w:r>
              <w:rPr>
                <w:rFonts w:hint="eastAsia"/>
                <w:szCs w:val="21"/>
                <w:lang w:eastAsia="zh-CN"/>
              </w:rPr>
              <w:t>授权代表签字（盖章）：</w:t>
            </w:r>
          </w:p>
          <w:p>
            <w:pPr>
              <w:spacing w:line="480" w:lineRule="auto"/>
              <w:ind w:firstLine="440" w:firstLineChars="200"/>
              <w:jc w:val="center"/>
              <w:rPr>
                <w:szCs w:val="21"/>
                <w:lang w:eastAsia="zh-CN"/>
              </w:rPr>
            </w:pPr>
          </w:p>
        </w:tc>
        <w:tc>
          <w:tcPr>
            <w:tcW w:w="4690" w:type="dxa"/>
            <w:vAlign w:val="center"/>
          </w:tcPr>
          <w:p>
            <w:pPr>
              <w:spacing w:line="480" w:lineRule="auto"/>
              <w:ind w:firstLine="220" w:firstLineChars="100"/>
              <w:rPr>
                <w:szCs w:val="21"/>
                <w:lang w:eastAsia="zh-CN"/>
              </w:rPr>
            </w:pPr>
            <w:r>
              <w:rPr>
                <w:rFonts w:hint="eastAsia"/>
                <w:szCs w:val="21"/>
                <w:lang w:eastAsia="zh-CN"/>
              </w:rPr>
              <w:t>授权代表签字（盖章）：</w:t>
            </w:r>
          </w:p>
          <w:p>
            <w:pPr>
              <w:spacing w:line="480" w:lineRule="auto"/>
              <w:ind w:firstLine="440" w:firstLineChars="200"/>
              <w:rPr>
                <w:szCs w:val="21"/>
                <w:lang w:eastAsia="zh-CN"/>
              </w:rPr>
            </w:pPr>
          </w:p>
        </w:tc>
      </w:tr>
      <w:tr>
        <w:tblPrEx>
          <w:tblCellMar>
            <w:top w:w="0" w:type="dxa"/>
            <w:left w:w="108" w:type="dxa"/>
            <w:bottom w:w="0" w:type="dxa"/>
            <w:right w:w="108" w:type="dxa"/>
          </w:tblCellMar>
        </w:tblPrEx>
        <w:trPr>
          <w:trHeight w:val="481" w:hRule="atLeast"/>
          <w:jc w:val="center"/>
        </w:trPr>
        <w:tc>
          <w:tcPr>
            <w:tcW w:w="9151" w:type="dxa"/>
            <w:gridSpan w:val="2"/>
            <w:vAlign w:val="center"/>
          </w:tcPr>
          <w:p>
            <w:pPr>
              <w:spacing w:line="480" w:lineRule="auto"/>
              <w:ind w:firstLine="440" w:firstLineChars="200"/>
              <w:rPr>
                <w:szCs w:val="21"/>
                <w:lang w:eastAsia="zh-CN"/>
              </w:rPr>
            </w:pPr>
          </w:p>
        </w:tc>
      </w:tr>
    </w:tbl>
    <w:p>
      <w:pPr>
        <w:rPr>
          <w:sz w:val="20"/>
          <w:lang w:eastAsia="zh-CN"/>
        </w:rPr>
      </w:pPr>
    </w:p>
    <w:p>
      <w:pPr>
        <w:tabs>
          <w:tab w:val="left" w:pos="567"/>
        </w:tabs>
        <w:spacing w:after="120" w:afterLines="50"/>
        <w:ind w:right="-53" w:rightChars="-24"/>
        <w:rPr>
          <w:rFonts w:ascii="Arial" w:hAnsi="Arial" w:eastAsia="楷体_GB2312" w:cs="Arial"/>
          <w:lang w:eastAsia="zh-CN"/>
        </w:rPr>
      </w:pPr>
    </w:p>
    <w:p>
      <w:pPr>
        <w:widowControl/>
        <w:autoSpaceDE/>
        <w:autoSpaceDN/>
        <w:rPr>
          <w:rFonts w:hAnsi="Courier New" w:cs="Courier New"/>
          <w:szCs w:val="21"/>
          <w:lang w:eastAsia="zh-CN"/>
        </w:rPr>
      </w:pPr>
      <w:r>
        <w:rPr>
          <w:rFonts w:hAnsi="Courier New" w:cs="Courier New"/>
          <w:szCs w:val="21"/>
          <w:lang w:eastAsia="zh-CN"/>
        </w:rPr>
        <w:br w:type="page"/>
      </w:r>
    </w:p>
    <w:p>
      <w:pPr>
        <w:jc w:val="center"/>
        <w:rPr>
          <w:sz w:val="32"/>
          <w:szCs w:val="32"/>
          <w:lang w:eastAsia="zh-CN"/>
        </w:rPr>
      </w:pPr>
    </w:p>
    <w:p>
      <w:pPr>
        <w:jc w:val="center"/>
        <w:rPr>
          <w:sz w:val="32"/>
          <w:szCs w:val="32"/>
          <w:lang w:eastAsia="zh-CN"/>
        </w:rPr>
      </w:pPr>
    </w:p>
    <w:p>
      <w:pPr>
        <w:jc w:val="center"/>
        <w:rPr>
          <w:sz w:val="32"/>
          <w:szCs w:val="32"/>
          <w:lang w:eastAsia="zh-CN"/>
        </w:rPr>
      </w:pPr>
    </w:p>
    <w:p>
      <w:pPr>
        <w:jc w:val="center"/>
        <w:rPr>
          <w:sz w:val="32"/>
          <w:szCs w:val="32"/>
          <w:lang w:eastAsia="zh-CN"/>
        </w:rPr>
      </w:pPr>
    </w:p>
    <w:p>
      <w:pPr>
        <w:jc w:val="center"/>
        <w:rPr>
          <w:sz w:val="32"/>
          <w:szCs w:val="32"/>
          <w:lang w:eastAsia="zh-CN"/>
        </w:rPr>
      </w:pPr>
    </w:p>
    <w:p>
      <w:pPr>
        <w:jc w:val="center"/>
        <w:rPr>
          <w:sz w:val="32"/>
          <w:szCs w:val="32"/>
          <w:lang w:eastAsia="zh-CN"/>
        </w:rPr>
      </w:pPr>
    </w:p>
    <w:p>
      <w:pPr>
        <w:jc w:val="center"/>
        <w:rPr>
          <w:sz w:val="32"/>
          <w:szCs w:val="32"/>
          <w:lang w:eastAsia="zh-CN"/>
        </w:rPr>
      </w:pPr>
    </w:p>
    <w:p>
      <w:pPr>
        <w:jc w:val="center"/>
        <w:rPr>
          <w:b/>
          <w:sz w:val="36"/>
          <w:szCs w:val="36"/>
        </w:rPr>
      </w:pPr>
      <w:r>
        <w:rPr>
          <w:rFonts w:hint="eastAsia"/>
          <w:b/>
          <w:sz w:val="36"/>
          <w:szCs w:val="36"/>
        </w:rPr>
        <w:t>福建福海创石油化工有限公司</w:t>
      </w:r>
    </w:p>
    <w:p>
      <w:pPr>
        <w:jc w:val="center"/>
        <w:rPr>
          <w:b/>
          <w:sz w:val="36"/>
          <w:szCs w:val="36"/>
        </w:rPr>
      </w:pPr>
      <w:r>
        <w:rPr>
          <w:rFonts w:hint="eastAsia"/>
          <w:b/>
          <w:sz w:val="36"/>
          <w:szCs w:val="36"/>
        </w:rPr>
        <w:t>2022、2023年压力容器、压力管道定期检验</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72"/>
          <w:szCs w:val="72"/>
        </w:rPr>
      </w:pPr>
      <w:r>
        <w:rPr>
          <w:rFonts w:hint="eastAsia"/>
          <w:sz w:val="72"/>
          <w:szCs w:val="72"/>
        </w:rPr>
        <w:t>发包文件</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jc w:val="left"/>
        <w:rPr>
          <w:b/>
          <w:sz w:val="30"/>
          <w:szCs w:val="30"/>
        </w:rPr>
      </w:pPr>
      <w:r>
        <w:rPr>
          <w:rFonts w:hint="eastAsia"/>
          <w:b/>
          <w:sz w:val="30"/>
          <w:szCs w:val="30"/>
        </w:rPr>
        <w:t>编制：</w:t>
      </w:r>
      <w:r>
        <w:rPr>
          <w:b/>
          <w:sz w:val="30"/>
          <w:szCs w:val="30"/>
        </w:rPr>
        <w:t xml:space="preserve">                          </w:t>
      </w:r>
      <w:r>
        <w:rPr>
          <w:rFonts w:hint="eastAsia"/>
          <w:b/>
          <w:sz w:val="30"/>
          <w:szCs w:val="30"/>
        </w:rPr>
        <w:t>时间：</w:t>
      </w:r>
    </w:p>
    <w:p>
      <w:pPr>
        <w:jc w:val="left"/>
        <w:rPr>
          <w:b/>
          <w:sz w:val="30"/>
          <w:szCs w:val="30"/>
        </w:rPr>
      </w:pPr>
      <w:r>
        <w:rPr>
          <w:rFonts w:hint="eastAsia"/>
          <w:b/>
          <w:sz w:val="30"/>
          <w:szCs w:val="30"/>
        </w:rPr>
        <w:t>审核：</w:t>
      </w:r>
      <w:r>
        <w:rPr>
          <w:b/>
          <w:sz w:val="30"/>
          <w:szCs w:val="30"/>
        </w:rPr>
        <w:t xml:space="preserve">                          </w:t>
      </w:r>
      <w:r>
        <w:rPr>
          <w:rFonts w:hint="eastAsia"/>
          <w:b/>
          <w:sz w:val="30"/>
          <w:szCs w:val="30"/>
        </w:rPr>
        <w:t>时间：</w:t>
      </w:r>
    </w:p>
    <w:p>
      <w:pPr>
        <w:jc w:val="left"/>
        <w:rPr>
          <w:sz w:val="30"/>
          <w:szCs w:val="30"/>
        </w:rPr>
      </w:pPr>
    </w:p>
    <w:p>
      <w:pPr>
        <w:jc w:val="left"/>
        <w:rPr>
          <w:sz w:val="30"/>
          <w:szCs w:val="30"/>
        </w:rPr>
      </w:pPr>
    </w:p>
    <w:p>
      <w:pPr>
        <w:jc w:val="left"/>
        <w:rPr>
          <w:sz w:val="30"/>
          <w:szCs w:val="30"/>
        </w:rPr>
      </w:pPr>
    </w:p>
    <w:p>
      <w:pPr>
        <w:pStyle w:val="2"/>
        <w:rPr>
          <w:sz w:val="30"/>
          <w:szCs w:val="30"/>
        </w:rPr>
      </w:pPr>
    </w:p>
    <w:p>
      <w:pPr>
        <w:pStyle w:val="2"/>
        <w:rPr>
          <w:sz w:val="30"/>
          <w:szCs w:val="30"/>
        </w:rPr>
      </w:pPr>
    </w:p>
    <w:p>
      <w:pPr>
        <w:pStyle w:val="2"/>
        <w:rPr>
          <w:sz w:val="30"/>
          <w:szCs w:val="30"/>
        </w:rPr>
      </w:pPr>
    </w:p>
    <w:p>
      <w:pPr>
        <w:pStyle w:val="2"/>
        <w:rPr>
          <w:sz w:val="30"/>
          <w:szCs w:val="30"/>
        </w:rPr>
      </w:pPr>
    </w:p>
    <w:p>
      <w:pPr>
        <w:jc w:val="left"/>
        <w:rPr>
          <w:sz w:val="30"/>
          <w:szCs w:val="30"/>
        </w:rPr>
      </w:pPr>
    </w:p>
    <w:p>
      <w:pPr>
        <w:spacing w:line="520" w:lineRule="atLeast"/>
        <w:jc w:val="left"/>
        <w:outlineLvl w:val="0"/>
        <w:rPr>
          <w:b/>
          <w:bCs/>
          <w:sz w:val="28"/>
          <w:szCs w:val="28"/>
        </w:rPr>
      </w:pPr>
      <w:r>
        <w:rPr>
          <w:rFonts w:hint="eastAsia"/>
          <w:b/>
          <w:bCs/>
          <w:sz w:val="28"/>
          <w:szCs w:val="28"/>
        </w:rPr>
        <w:t>一、项目背景说明</w:t>
      </w:r>
    </w:p>
    <w:p>
      <w:pPr>
        <w:spacing w:line="520" w:lineRule="atLeast"/>
        <w:ind w:firstLine="551" w:firstLineChars="197"/>
        <w:jc w:val="left"/>
        <w:outlineLvl w:val="0"/>
        <w:rPr>
          <w:bCs/>
          <w:sz w:val="28"/>
          <w:szCs w:val="28"/>
        </w:rPr>
      </w:pPr>
      <w:r>
        <w:rPr>
          <w:rFonts w:hint="eastAsia"/>
          <w:bCs/>
          <w:sz w:val="28"/>
          <w:szCs w:val="28"/>
        </w:rPr>
        <w:t>根据特种设备安全法及相关法规标准，特种设备到期应进行定期检验。我司共有1028条压力管道、175台压力容器将在2023年12月30日之前到期(其中2022年共有767条压力管道、70台压力容器)。为了保证特种设备按时检验，需对批特种设备定期检验进行发包。</w:t>
      </w:r>
    </w:p>
    <w:p>
      <w:pPr>
        <w:spacing w:line="520" w:lineRule="atLeast"/>
        <w:jc w:val="left"/>
        <w:outlineLvl w:val="0"/>
        <w:rPr>
          <w:b/>
          <w:bCs/>
          <w:sz w:val="28"/>
          <w:szCs w:val="28"/>
        </w:rPr>
      </w:pPr>
      <w:r>
        <w:rPr>
          <w:rFonts w:hint="eastAsia"/>
          <w:b/>
          <w:bCs/>
          <w:sz w:val="28"/>
          <w:szCs w:val="28"/>
        </w:rPr>
        <w:t>二、工程概况</w:t>
      </w:r>
    </w:p>
    <w:p>
      <w:pPr>
        <w:pStyle w:val="28"/>
        <w:numPr>
          <w:ilvl w:val="1"/>
          <w:numId w:val="4"/>
        </w:numPr>
        <w:spacing w:line="360" w:lineRule="auto"/>
        <w:ind w:left="4" w:leftChars="-30" w:hanging="70" w:hangingChars="25"/>
        <w:jc w:val="left"/>
        <w:rPr>
          <w:rFonts w:ascii="宋体" w:cs="宋体"/>
          <w:color w:val="000000"/>
          <w:sz w:val="28"/>
          <w:szCs w:val="28"/>
        </w:rPr>
      </w:pPr>
      <w:r>
        <w:rPr>
          <w:rFonts w:hint="eastAsia" w:ascii="宋体" w:cs="宋体"/>
          <w:color w:val="000000"/>
          <w:sz w:val="28"/>
          <w:szCs w:val="28"/>
        </w:rPr>
        <w:t>项目名称：福建福海创石油化工有限公司2022、2023年压力容器、压力管道定期检验</w:t>
      </w:r>
    </w:p>
    <w:p>
      <w:pPr>
        <w:pStyle w:val="28"/>
        <w:numPr>
          <w:ilvl w:val="1"/>
          <w:numId w:val="4"/>
        </w:numPr>
        <w:spacing w:line="360" w:lineRule="auto"/>
        <w:ind w:left="4" w:leftChars="-30" w:hanging="70" w:hangingChars="25"/>
        <w:jc w:val="left"/>
        <w:rPr>
          <w:rFonts w:ascii="宋体" w:cs="宋体"/>
          <w:color w:val="000000"/>
          <w:sz w:val="28"/>
          <w:szCs w:val="28"/>
        </w:rPr>
      </w:pPr>
      <w:r>
        <w:rPr>
          <w:rFonts w:hint="eastAsia" w:ascii="宋体" w:cs="宋体"/>
          <w:color w:val="000000"/>
          <w:sz w:val="28"/>
          <w:szCs w:val="28"/>
        </w:rPr>
        <w:t>工程名称：2022、2023年压力容器、压力管道定期检验</w:t>
      </w:r>
    </w:p>
    <w:p>
      <w:pPr>
        <w:pStyle w:val="28"/>
        <w:numPr>
          <w:ilvl w:val="1"/>
          <w:numId w:val="4"/>
        </w:numPr>
        <w:spacing w:line="360" w:lineRule="auto"/>
        <w:ind w:left="4" w:leftChars="-30" w:hanging="70" w:hangingChars="25"/>
        <w:jc w:val="left"/>
        <w:rPr>
          <w:rFonts w:ascii="宋体" w:cs="宋体"/>
          <w:color w:val="000000"/>
          <w:sz w:val="28"/>
          <w:szCs w:val="28"/>
        </w:rPr>
      </w:pPr>
      <w:r>
        <w:rPr>
          <w:rFonts w:hint="eastAsia" w:ascii="宋体" w:cs="宋体"/>
          <w:color w:val="000000"/>
          <w:sz w:val="28"/>
          <w:szCs w:val="28"/>
        </w:rPr>
        <w:t>工程地点：福建省漳州市漳浦县古雷半岛</w:t>
      </w:r>
    </w:p>
    <w:p>
      <w:pPr>
        <w:pStyle w:val="28"/>
        <w:numPr>
          <w:ilvl w:val="1"/>
          <w:numId w:val="4"/>
        </w:numPr>
        <w:spacing w:line="360" w:lineRule="auto"/>
        <w:ind w:left="4" w:leftChars="-30" w:hanging="70" w:hangingChars="25"/>
        <w:jc w:val="left"/>
        <w:rPr>
          <w:rFonts w:hint="eastAsia" w:ascii="宋体" w:cs="宋体"/>
          <w:color w:val="000000"/>
          <w:sz w:val="28"/>
          <w:szCs w:val="28"/>
        </w:rPr>
      </w:pPr>
      <w:r>
        <w:rPr>
          <w:rFonts w:hint="eastAsia" w:ascii="宋体" w:cs="宋体"/>
          <w:color w:val="000000"/>
          <w:sz w:val="28"/>
          <w:szCs w:val="28"/>
        </w:rPr>
        <w:t>工期：中标后至该项目结束。</w:t>
      </w:r>
    </w:p>
    <w:p>
      <w:pPr>
        <w:pStyle w:val="28"/>
        <w:numPr>
          <w:ilvl w:val="1"/>
          <w:numId w:val="4"/>
        </w:numPr>
        <w:spacing w:line="360" w:lineRule="auto"/>
        <w:ind w:left="4" w:leftChars="-30" w:hanging="70" w:hangingChars="25"/>
        <w:jc w:val="left"/>
        <w:rPr>
          <w:rFonts w:ascii="宋体" w:cs="宋体"/>
          <w:color w:val="000000"/>
          <w:sz w:val="28"/>
          <w:szCs w:val="28"/>
        </w:rPr>
      </w:pPr>
      <w:r>
        <w:rPr>
          <w:rFonts w:hint="eastAsia" w:ascii="宋体" w:cs="宋体"/>
          <w:color w:val="000000"/>
          <w:sz w:val="28"/>
          <w:szCs w:val="28"/>
        </w:rPr>
        <w:t>承包商资质要求：综合检验机构甲级</w:t>
      </w:r>
    </w:p>
    <w:p>
      <w:pPr>
        <w:pStyle w:val="28"/>
        <w:numPr>
          <w:ilvl w:val="1"/>
          <w:numId w:val="4"/>
        </w:numPr>
        <w:spacing w:line="360" w:lineRule="auto"/>
        <w:ind w:left="4" w:leftChars="-30" w:hanging="70" w:hangingChars="25"/>
        <w:jc w:val="left"/>
        <w:rPr>
          <w:rFonts w:ascii="宋体" w:cs="宋体"/>
          <w:color w:val="000000"/>
          <w:sz w:val="28"/>
          <w:szCs w:val="28"/>
        </w:rPr>
      </w:pPr>
      <w:r>
        <w:rPr>
          <w:rFonts w:hint="eastAsia" w:ascii="宋体" w:cs="宋体"/>
          <w:color w:val="000000"/>
          <w:sz w:val="28"/>
          <w:szCs w:val="28"/>
        </w:rPr>
        <w:t>发包人（即业主）：福建福海创石油化工有限公司（发包方有权将其责任和义务转让给其子公司腾龙芳烃（漳州）有限公司、翔鹭石化（漳州）有限公司</w:t>
      </w:r>
    </w:p>
    <w:p>
      <w:pPr>
        <w:pStyle w:val="28"/>
        <w:spacing w:line="360" w:lineRule="auto"/>
        <w:ind w:left="9" w:firstLine="0" w:firstLineChars="0"/>
        <w:rPr>
          <w:rFonts w:ascii="宋体" w:cs="宋体"/>
          <w:b/>
          <w:color w:val="000000"/>
          <w:sz w:val="28"/>
          <w:szCs w:val="28"/>
        </w:rPr>
      </w:pPr>
      <w:r>
        <w:rPr>
          <w:rFonts w:hint="eastAsia" w:ascii="宋体" w:cs="宋体"/>
          <w:b/>
          <w:color w:val="000000"/>
          <w:sz w:val="28"/>
          <w:szCs w:val="28"/>
        </w:rPr>
        <w:t>四、工程执行文件及标准</w:t>
      </w:r>
    </w:p>
    <w:p>
      <w:pPr>
        <w:numPr>
          <w:ilvl w:val="0"/>
          <w:numId w:val="5"/>
        </w:numPr>
        <w:adjustRightInd w:val="0"/>
        <w:snapToGrid w:val="0"/>
        <w:spacing w:beforeLines="50" w:line="460" w:lineRule="exact"/>
        <w:ind w:left="851" w:hanging="425"/>
        <w:rPr>
          <w:sz w:val="28"/>
          <w:szCs w:val="28"/>
        </w:rPr>
      </w:pPr>
      <w:r>
        <w:rPr>
          <w:rFonts w:hint="eastAsia"/>
          <w:sz w:val="28"/>
          <w:szCs w:val="28"/>
        </w:rPr>
        <w:t>TSG D0001-2009《压力管道安全技术监察规程——工业管道》</w:t>
      </w:r>
    </w:p>
    <w:p>
      <w:pPr>
        <w:numPr>
          <w:ilvl w:val="0"/>
          <w:numId w:val="5"/>
        </w:numPr>
        <w:adjustRightInd w:val="0"/>
        <w:snapToGrid w:val="0"/>
        <w:spacing w:beforeLines="50" w:line="460" w:lineRule="exact"/>
        <w:ind w:left="851" w:hanging="425"/>
        <w:rPr>
          <w:sz w:val="28"/>
          <w:szCs w:val="28"/>
        </w:rPr>
      </w:pPr>
      <w:r>
        <w:rPr>
          <w:rFonts w:hint="eastAsia"/>
          <w:sz w:val="28"/>
          <w:szCs w:val="28"/>
        </w:rPr>
        <w:t>TSG D7005-2018 《压力管道定期检验规则——工业管道》</w:t>
      </w:r>
    </w:p>
    <w:p>
      <w:pPr>
        <w:numPr>
          <w:ilvl w:val="0"/>
          <w:numId w:val="5"/>
        </w:numPr>
        <w:adjustRightInd w:val="0"/>
        <w:snapToGrid w:val="0"/>
        <w:spacing w:beforeLines="50" w:line="460" w:lineRule="exact"/>
        <w:ind w:left="851" w:hanging="425"/>
        <w:rPr>
          <w:sz w:val="28"/>
          <w:szCs w:val="28"/>
        </w:rPr>
      </w:pPr>
      <w:r>
        <w:rPr>
          <w:rFonts w:hint="eastAsia"/>
          <w:sz w:val="28"/>
          <w:szCs w:val="28"/>
        </w:rPr>
        <w:t>TSG 21-2016 《固定式压力容器安全技术监察规程》</w:t>
      </w:r>
    </w:p>
    <w:p>
      <w:pPr>
        <w:numPr>
          <w:ilvl w:val="0"/>
          <w:numId w:val="5"/>
        </w:numPr>
        <w:adjustRightInd w:val="0"/>
        <w:snapToGrid w:val="0"/>
        <w:spacing w:beforeLines="50" w:line="460" w:lineRule="exact"/>
        <w:ind w:left="851" w:hanging="425"/>
        <w:rPr>
          <w:sz w:val="28"/>
          <w:szCs w:val="28"/>
        </w:rPr>
      </w:pPr>
      <w:r>
        <w:rPr>
          <w:rFonts w:hint="eastAsia"/>
          <w:sz w:val="28"/>
          <w:szCs w:val="28"/>
        </w:rPr>
        <w:t>TSG G0001-2012 《锅炉安全技术监察规程》</w:t>
      </w:r>
    </w:p>
    <w:p>
      <w:pPr>
        <w:numPr>
          <w:ilvl w:val="0"/>
          <w:numId w:val="5"/>
        </w:numPr>
        <w:adjustRightInd w:val="0"/>
        <w:snapToGrid w:val="0"/>
        <w:spacing w:beforeLines="50" w:line="460" w:lineRule="exact"/>
        <w:ind w:left="851" w:hanging="425"/>
        <w:rPr>
          <w:sz w:val="28"/>
          <w:szCs w:val="28"/>
        </w:rPr>
      </w:pPr>
      <w:r>
        <w:rPr>
          <w:rFonts w:hint="eastAsia"/>
          <w:sz w:val="28"/>
          <w:szCs w:val="28"/>
        </w:rPr>
        <w:t>国家相关法律法、规标准规范。</w:t>
      </w:r>
    </w:p>
    <w:p>
      <w:pPr>
        <w:numPr>
          <w:ilvl w:val="0"/>
          <w:numId w:val="5"/>
        </w:numPr>
        <w:adjustRightInd w:val="0"/>
        <w:snapToGrid w:val="0"/>
        <w:spacing w:beforeLines="50" w:line="460" w:lineRule="exact"/>
        <w:ind w:left="851" w:hanging="425"/>
        <w:rPr>
          <w:sz w:val="28"/>
          <w:szCs w:val="28"/>
        </w:rPr>
      </w:pPr>
      <w:r>
        <w:rPr>
          <w:rFonts w:hint="eastAsia"/>
          <w:sz w:val="28"/>
          <w:szCs w:val="28"/>
        </w:rPr>
        <w:t>业主已发布的各项规章制定。</w:t>
      </w:r>
    </w:p>
    <w:p>
      <w:pPr>
        <w:numPr>
          <w:ilvl w:val="0"/>
          <w:numId w:val="5"/>
        </w:numPr>
        <w:adjustRightInd w:val="0"/>
        <w:snapToGrid w:val="0"/>
        <w:spacing w:beforeLines="50" w:line="460" w:lineRule="exact"/>
        <w:ind w:left="851" w:hanging="425"/>
        <w:rPr>
          <w:sz w:val="28"/>
          <w:szCs w:val="28"/>
        </w:rPr>
      </w:pPr>
      <w:r>
        <w:rPr>
          <w:rFonts w:hint="eastAsia"/>
          <w:sz w:val="28"/>
          <w:szCs w:val="28"/>
        </w:rPr>
        <w:t>发包文件</w:t>
      </w:r>
    </w:p>
    <w:p>
      <w:pPr>
        <w:adjustRightInd w:val="0"/>
        <w:snapToGrid w:val="0"/>
        <w:spacing w:beforeLines="50" w:line="460" w:lineRule="exact"/>
        <w:ind w:left="426"/>
        <w:rPr>
          <w:sz w:val="28"/>
          <w:szCs w:val="28"/>
        </w:rPr>
      </w:pPr>
      <w:r>
        <w:rPr>
          <w:rFonts w:hint="eastAsia"/>
          <w:sz w:val="28"/>
          <w:szCs w:val="28"/>
        </w:rPr>
        <w:t>注：标准有冲突或者异议，由业主选择。</w:t>
      </w:r>
    </w:p>
    <w:p>
      <w:pPr>
        <w:rPr>
          <w:b/>
          <w:sz w:val="28"/>
          <w:szCs w:val="28"/>
        </w:rPr>
      </w:pPr>
      <w:r>
        <w:rPr>
          <w:rFonts w:hint="eastAsia"/>
          <w:b/>
          <w:sz w:val="28"/>
          <w:szCs w:val="28"/>
        </w:rPr>
        <w:t>五、承包方工作范围及工作内容</w:t>
      </w:r>
    </w:p>
    <w:p>
      <w:pPr>
        <w:pStyle w:val="28"/>
        <w:spacing w:line="360" w:lineRule="auto"/>
        <w:ind w:left="0" w:leftChars="0" w:firstLine="0" w:firstLineChars="0"/>
        <w:jc w:val="left"/>
        <w:rPr>
          <w:sz w:val="28"/>
          <w:szCs w:val="28"/>
        </w:rPr>
      </w:pPr>
      <w:r>
        <w:rPr>
          <w:sz w:val="28"/>
          <w:szCs w:val="28"/>
        </w:rPr>
        <w:t>1</w:t>
      </w:r>
      <w:r>
        <w:rPr>
          <w:rFonts w:hint="eastAsia"/>
          <w:sz w:val="28"/>
          <w:szCs w:val="28"/>
        </w:rPr>
        <w:t>、工作范围</w:t>
      </w:r>
    </w:p>
    <w:p>
      <w:pPr>
        <w:pStyle w:val="28"/>
        <w:spacing w:line="360" w:lineRule="auto"/>
        <w:ind w:left="0" w:leftChars="0" w:firstLine="560" w:firstLineChars="200"/>
        <w:jc w:val="left"/>
        <w:rPr>
          <w:sz w:val="28"/>
          <w:szCs w:val="28"/>
        </w:rPr>
      </w:pPr>
      <w:r>
        <w:rPr>
          <w:rFonts w:hint="eastAsia"/>
          <w:sz w:val="28"/>
          <w:szCs w:val="28"/>
        </w:rPr>
        <w:t>设为两标段，具体清单见附件（清单外的，需业主委托）。</w:t>
      </w:r>
    </w:p>
    <w:p>
      <w:pPr>
        <w:pStyle w:val="28"/>
        <w:spacing w:line="360" w:lineRule="auto"/>
        <w:jc w:val="left"/>
        <w:rPr>
          <w:rFonts w:ascii="宋体"/>
          <w:sz w:val="28"/>
          <w:szCs w:val="28"/>
        </w:rPr>
      </w:pPr>
      <w:r>
        <w:rPr>
          <w:rFonts w:hint="eastAsia"/>
          <w:sz w:val="28"/>
          <w:szCs w:val="28"/>
        </w:rPr>
        <w:t>失效分析项目需由业主（团队提需求，设备管理部审批）委托。</w:t>
      </w:r>
    </w:p>
    <w:p>
      <w:pPr>
        <w:pStyle w:val="28"/>
        <w:spacing w:line="360" w:lineRule="auto"/>
        <w:jc w:val="left"/>
        <w:rPr>
          <w:rFonts w:ascii="宋体" w:cs="宋体"/>
          <w:color w:val="000000"/>
          <w:sz w:val="28"/>
          <w:szCs w:val="28"/>
        </w:rPr>
      </w:pPr>
      <w:r>
        <w:rPr>
          <w:rFonts w:hint="eastAsia" w:ascii="宋体" w:cs="宋体"/>
          <w:color w:val="000000"/>
          <w:sz w:val="28"/>
          <w:szCs w:val="28"/>
        </w:rPr>
        <w:t>为了保证定检按期完成，本次标段分两家中标。最多中标一个标段。</w:t>
      </w:r>
    </w:p>
    <w:p>
      <w:pPr>
        <w:pStyle w:val="28"/>
        <w:spacing w:line="360" w:lineRule="auto"/>
        <w:ind w:left="284" w:firstLine="0" w:firstLineChars="0"/>
        <w:jc w:val="left"/>
        <w:rPr>
          <w:sz w:val="28"/>
          <w:szCs w:val="28"/>
        </w:rPr>
      </w:pPr>
      <w:r>
        <w:rPr>
          <w:sz w:val="28"/>
          <w:szCs w:val="28"/>
        </w:rPr>
        <w:t>2</w:t>
      </w:r>
      <w:r>
        <w:rPr>
          <w:rFonts w:hint="eastAsia"/>
          <w:sz w:val="28"/>
          <w:szCs w:val="28"/>
        </w:rPr>
        <w:t>、工作内容及义务：</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提供定期检查方案，并经业主审查同意，方可执行。</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严格根据相关标准进行定期检验。</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如需测厚打磨由定检单位自行处理。</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服从业主合理工作指令安排（以邮件为准）。</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项目经理、检验人员应有相应资质。</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正式接到业主进厂进行定期检验的工作指令后，承包方应在2天</w:t>
      </w:r>
      <w:r>
        <w:rPr>
          <w:rFonts w:hint="eastAsia" w:ascii="宋体" w:cs="宋体"/>
          <w:sz w:val="28"/>
          <w:szCs w:val="28"/>
        </w:rPr>
        <w:t>内进厂</w:t>
      </w:r>
      <w:r>
        <w:rPr>
          <w:rFonts w:hint="eastAsia" w:ascii="宋体" w:cs="宋体"/>
          <w:color w:val="000000"/>
          <w:sz w:val="28"/>
          <w:szCs w:val="28"/>
        </w:rPr>
        <w:t>服务。</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对业主交予的技术资料、样品妥善保管；工作完成后一个月内应归还上述技术资料、样品，不得擅自存留复制品。</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在工作过程发现各项的科研成果、专利等，归属权归业主。</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定期检验发现问题，维修复检其费用已包含报价中。</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承包方必须确保HSE资金投入，以保证劳动防护用品、安全检测设备、安全标准的配备满足现场施工要求。按相关规定安排食宿、倒班轮休，支付相应合理的劳动报酬。同时，按照国家、地方的管理规定做好放射源的使用保管工作，以及作业中的隔离工作，造成双方或第三人人员伤亡、财产损失的，全部由承包方方承担责任并赔偿损失，造成业主被索赔的，业主有权向承包方追偿</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提供相关资质证明、负责办理工程所在地环保部门、质量技术监督部门及其它相关政府部门的检测工程的许可手续并承担相关费用。</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承包方应当依法为业主提供安全、可靠、便捷、诚信的检验、检测服务。及时准确的反馈检测结果，如因乙方过失过错，造成甲方或第三人财产损失或人员伤亡的，乙方应承担相应责任。</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承包方不得利用定期检验工作故意刁难业主。法律法规标准规范没有规定或者不是强制执行的或者没有禁止的，承包方不可单方解释标准规范等，选择权归业主。</w:t>
      </w:r>
      <w:r>
        <w:rPr>
          <w:rFonts w:ascii="宋体" w:cs="宋体"/>
          <w:color w:val="000000"/>
          <w:sz w:val="28"/>
          <w:szCs w:val="28"/>
        </w:rPr>
        <w:t xml:space="preserve"> </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承包方的项目经理具备工程师职称，管道检验师或者容器检验师资质。</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承包方同意对不服从业主工作安排的项目经理、检验人员进行更换（团队提出、设备部审批）。</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承包方在业主现场进行作业时，同意服从业主相关规章制度，接受业主合理处罚。</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对于检规规定进行抽查的部分，承包方应考虑业主成本，业主有异议时，承包方应进行书面解释，解释应有合理性。</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承包方应在接到业主开展定期检验工作指令后，按工作指令要求的工期内完成定期检验。现场检验工作结束后，在2个月内移交定期检验报告（纸质版及电子版）及定检合格证（过塑）。若定期检验报告中的定级结论为不合格要求或者不能出具检查报告，从而造成我司无法使用该设备，承包方应负责举证因业主原因造成的。所举证材料必须是检规明确规定且是强制要求的。</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承包方同意业主有权不经承包方同意将其工作范围进行调整。</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承包方同意随时接受业主新给的业务范围，按签订的合同单价进行结算。</w:t>
      </w:r>
    </w:p>
    <w:p>
      <w:pPr>
        <w:pStyle w:val="28"/>
        <w:numPr>
          <w:ilvl w:val="0"/>
          <w:numId w:val="6"/>
        </w:numPr>
        <w:spacing w:line="360" w:lineRule="auto"/>
        <w:ind w:left="6" w:leftChars="-29" w:hanging="70" w:hangingChars="25"/>
        <w:rPr>
          <w:rFonts w:ascii="宋体" w:cs="宋体"/>
          <w:color w:val="000000"/>
          <w:sz w:val="28"/>
          <w:szCs w:val="28"/>
        </w:rPr>
      </w:pPr>
      <w:r>
        <w:rPr>
          <w:rFonts w:hint="eastAsia" w:ascii="宋体" w:cs="宋体"/>
          <w:color w:val="000000"/>
          <w:sz w:val="28"/>
          <w:szCs w:val="28"/>
        </w:rPr>
        <w:t>承包方应及时在福建市场监管局特种设备监察网上上传检验信息。</w:t>
      </w:r>
    </w:p>
    <w:p>
      <w:pPr>
        <w:jc w:val="left"/>
        <w:rPr>
          <w:b/>
          <w:sz w:val="28"/>
          <w:szCs w:val="28"/>
        </w:rPr>
      </w:pPr>
      <w:r>
        <w:rPr>
          <w:rFonts w:hint="eastAsia"/>
          <w:b/>
          <w:sz w:val="28"/>
          <w:szCs w:val="28"/>
        </w:rPr>
        <w:t>六、业主工作范围及义务</w:t>
      </w:r>
    </w:p>
    <w:p>
      <w:pPr>
        <w:jc w:val="left"/>
        <w:rPr>
          <w:sz w:val="28"/>
          <w:szCs w:val="28"/>
        </w:rPr>
      </w:pPr>
      <w:r>
        <w:rPr>
          <w:rFonts w:hint="eastAsia"/>
          <w:sz w:val="28"/>
          <w:szCs w:val="28"/>
        </w:rPr>
        <w:t>1、提供注册特种设备台账。</w:t>
      </w:r>
    </w:p>
    <w:p>
      <w:pPr>
        <w:jc w:val="left"/>
        <w:rPr>
          <w:sz w:val="28"/>
          <w:szCs w:val="28"/>
        </w:rPr>
      </w:pPr>
      <w:r>
        <w:rPr>
          <w:rFonts w:hint="eastAsia"/>
          <w:sz w:val="28"/>
          <w:szCs w:val="28"/>
        </w:rPr>
        <w:t>2、按时支付进度款。</w:t>
      </w:r>
    </w:p>
    <w:p>
      <w:pPr>
        <w:jc w:val="left"/>
        <w:rPr>
          <w:sz w:val="28"/>
          <w:szCs w:val="28"/>
        </w:rPr>
      </w:pPr>
      <w:r>
        <w:rPr>
          <w:rFonts w:hint="eastAsia"/>
          <w:sz w:val="28"/>
          <w:szCs w:val="28"/>
        </w:rPr>
        <w:t>3、提供相应的技术资料、数据、材料等。</w:t>
      </w:r>
    </w:p>
    <w:p>
      <w:pPr>
        <w:jc w:val="left"/>
        <w:rPr>
          <w:sz w:val="28"/>
          <w:szCs w:val="28"/>
        </w:rPr>
      </w:pPr>
      <w:r>
        <w:rPr>
          <w:rFonts w:hint="eastAsia"/>
          <w:sz w:val="28"/>
          <w:szCs w:val="28"/>
        </w:rPr>
        <w:t>4、根据合同要求对承包方进行考核。</w:t>
      </w:r>
    </w:p>
    <w:p>
      <w:pPr>
        <w:jc w:val="left"/>
        <w:rPr>
          <w:sz w:val="28"/>
          <w:szCs w:val="28"/>
        </w:rPr>
      </w:pPr>
      <w:r>
        <w:rPr>
          <w:rFonts w:hint="eastAsia"/>
          <w:sz w:val="28"/>
          <w:szCs w:val="28"/>
        </w:rPr>
        <w:t>5、无偿提供检验检测现场所需的水、电、气和必要的辅助工作配合。</w:t>
      </w:r>
    </w:p>
    <w:p>
      <w:pPr>
        <w:jc w:val="left"/>
        <w:rPr>
          <w:sz w:val="28"/>
          <w:szCs w:val="28"/>
        </w:rPr>
      </w:pPr>
      <w:r>
        <w:rPr>
          <w:rFonts w:hint="eastAsia"/>
          <w:sz w:val="28"/>
          <w:szCs w:val="28"/>
        </w:rPr>
        <w:t>6、负责平台护栏搭设等工作。</w:t>
      </w:r>
    </w:p>
    <w:p>
      <w:pPr>
        <w:tabs>
          <w:tab w:val="left" w:pos="720"/>
        </w:tabs>
        <w:adjustRightInd w:val="0"/>
        <w:snapToGrid w:val="0"/>
        <w:spacing w:beforeLines="50" w:line="360" w:lineRule="auto"/>
        <w:ind w:firstLine="180" w:firstLineChars="64"/>
        <w:jc w:val="left"/>
        <w:outlineLvl w:val="0"/>
        <w:rPr>
          <w:b/>
          <w:bCs/>
          <w:sz w:val="28"/>
          <w:szCs w:val="28"/>
        </w:rPr>
      </w:pPr>
      <w:r>
        <w:rPr>
          <w:rFonts w:hint="eastAsia"/>
          <w:b/>
          <w:bCs/>
          <w:sz w:val="28"/>
          <w:szCs w:val="28"/>
        </w:rPr>
        <w:t>七．施工工期</w:t>
      </w:r>
    </w:p>
    <w:p>
      <w:pPr>
        <w:autoSpaceDE w:val="0"/>
        <w:autoSpaceDN w:val="0"/>
        <w:adjustRightInd w:val="0"/>
        <w:snapToGrid w:val="0"/>
        <w:spacing w:beforeLines="50" w:line="360" w:lineRule="auto"/>
        <w:ind w:left="360"/>
        <w:jc w:val="left"/>
        <w:rPr>
          <w:rFonts w:ascii="宋体" w:cs="仿宋_GB2312"/>
          <w:kern w:val="0"/>
          <w:sz w:val="28"/>
          <w:szCs w:val="28"/>
        </w:rPr>
      </w:pPr>
      <w:r>
        <w:rPr>
          <w:rFonts w:hint="eastAsia" w:ascii="宋体" w:hAnsi="宋体" w:cs="仿宋_GB2312"/>
          <w:kern w:val="0"/>
          <w:sz w:val="28"/>
          <w:szCs w:val="28"/>
        </w:rPr>
        <w:t>开工日期：由设备管理部通知为准。</w:t>
      </w:r>
      <w:r>
        <w:rPr>
          <w:rFonts w:ascii="宋体" w:cs="仿宋_GB2312"/>
          <w:kern w:val="0"/>
          <w:sz w:val="28"/>
          <w:szCs w:val="28"/>
        </w:rPr>
        <w:t xml:space="preserve"> </w:t>
      </w:r>
    </w:p>
    <w:p>
      <w:pPr>
        <w:spacing w:line="520" w:lineRule="atLeast"/>
        <w:ind w:firstLine="275" w:firstLineChars="98"/>
        <w:jc w:val="left"/>
        <w:outlineLvl w:val="0"/>
        <w:rPr>
          <w:b/>
          <w:bCs/>
          <w:sz w:val="28"/>
          <w:szCs w:val="28"/>
        </w:rPr>
      </w:pPr>
      <w:r>
        <w:rPr>
          <w:rFonts w:hint="eastAsia"/>
          <w:b/>
          <w:bCs/>
          <w:sz w:val="28"/>
          <w:szCs w:val="28"/>
        </w:rPr>
        <w:t>八、交付文件：</w:t>
      </w:r>
    </w:p>
    <w:p>
      <w:pPr>
        <w:tabs>
          <w:tab w:val="left" w:pos="1080"/>
        </w:tabs>
        <w:ind w:firstLine="411" w:firstLineChars="147"/>
        <w:jc w:val="left"/>
        <w:rPr>
          <w:rFonts w:ascii="宋体" w:cs="宋体"/>
          <w:color w:val="000000"/>
          <w:sz w:val="28"/>
          <w:szCs w:val="28"/>
        </w:rPr>
      </w:pPr>
      <w:r>
        <w:rPr>
          <w:rFonts w:hint="eastAsia" w:ascii="宋体" w:cs="宋体"/>
          <w:color w:val="000000"/>
          <w:sz w:val="28"/>
          <w:szCs w:val="28"/>
        </w:rPr>
        <w:t>定期检验报告（纸质版及电子版）、台账更新</w:t>
      </w:r>
    </w:p>
    <w:p>
      <w:pPr>
        <w:tabs>
          <w:tab w:val="left" w:pos="1080"/>
        </w:tabs>
        <w:ind w:firstLine="413" w:firstLineChars="147"/>
        <w:jc w:val="left"/>
        <w:rPr>
          <w:b/>
          <w:sz w:val="28"/>
          <w:szCs w:val="28"/>
        </w:rPr>
      </w:pPr>
      <w:r>
        <w:rPr>
          <w:rFonts w:hint="eastAsia"/>
          <w:b/>
          <w:sz w:val="28"/>
          <w:szCs w:val="28"/>
        </w:rPr>
        <w:t>九、违约责任</w:t>
      </w:r>
    </w:p>
    <w:p>
      <w:pPr>
        <w:tabs>
          <w:tab w:val="left" w:pos="3283"/>
        </w:tabs>
        <w:autoSpaceDE w:val="0"/>
        <w:autoSpaceDN w:val="0"/>
        <w:adjustRightInd w:val="0"/>
        <w:spacing w:line="360" w:lineRule="auto"/>
        <w:ind w:firstLine="420" w:firstLineChars="150"/>
        <w:jc w:val="left"/>
        <w:rPr>
          <w:color w:val="000000"/>
          <w:sz w:val="28"/>
          <w:szCs w:val="28"/>
        </w:rPr>
      </w:pPr>
      <w:r>
        <w:rPr>
          <w:rFonts w:hint="eastAsia"/>
          <w:color w:val="000000"/>
          <w:sz w:val="28"/>
          <w:szCs w:val="28"/>
        </w:rPr>
        <w:t>1、承包方违反其工作内容及义务的违约责任如下：</w:t>
      </w:r>
    </w:p>
    <w:p>
      <w:pPr>
        <w:tabs>
          <w:tab w:val="left" w:pos="3283"/>
        </w:tabs>
        <w:autoSpaceDE w:val="0"/>
        <w:autoSpaceDN w:val="0"/>
        <w:adjustRightInd w:val="0"/>
        <w:spacing w:line="360" w:lineRule="auto"/>
        <w:ind w:firstLine="420" w:firstLineChars="150"/>
        <w:jc w:val="left"/>
        <w:rPr>
          <w:color w:val="000000"/>
          <w:sz w:val="28"/>
          <w:szCs w:val="28"/>
        </w:rPr>
      </w:pPr>
      <w:r>
        <w:rPr>
          <w:rFonts w:hint="eastAsia"/>
          <w:color w:val="000000"/>
          <w:sz w:val="28"/>
          <w:szCs w:val="28"/>
        </w:rPr>
        <w:t>（a）</w:t>
      </w:r>
      <w:r>
        <w:rPr>
          <w:color w:val="000000"/>
          <w:sz w:val="28"/>
          <w:szCs w:val="28"/>
        </w:rPr>
        <w:t xml:space="preserve"> </w:t>
      </w:r>
      <w:r>
        <w:rPr>
          <w:rFonts w:hint="eastAsia"/>
          <w:color w:val="000000"/>
          <w:sz w:val="28"/>
          <w:szCs w:val="28"/>
        </w:rPr>
        <w:t>违反“工作内容及义务”中的（4）、（5）、（6）、（9）、（13）（14）、（15）、（16）条，每次违约金为2000元。</w:t>
      </w:r>
    </w:p>
    <w:p>
      <w:pPr>
        <w:tabs>
          <w:tab w:val="left" w:pos="3283"/>
        </w:tabs>
        <w:autoSpaceDE w:val="0"/>
        <w:autoSpaceDN w:val="0"/>
        <w:adjustRightInd w:val="0"/>
        <w:spacing w:line="360" w:lineRule="auto"/>
        <w:ind w:firstLine="420" w:firstLineChars="150"/>
        <w:jc w:val="left"/>
        <w:rPr>
          <w:color w:val="000000"/>
          <w:sz w:val="28"/>
          <w:szCs w:val="28"/>
        </w:rPr>
      </w:pPr>
      <w:r>
        <w:rPr>
          <w:rFonts w:hint="eastAsia"/>
          <w:color w:val="000000"/>
          <w:sz w:val="28"/>
          <w:szCs w:val="28"/>
        </w:rPr>
        <w:t>（b）因承包方原因违反“工作内容及义务”中的（18）条，每天违约金为3000元。</w:t>
      </w:r>
    </w:p>
    <w:p>
      <w:pPr>
        <w:ind w:firstLine="402" w:firstLineChars="143"/>
        <w:jc w:val="left"/>
        <w:rPr>
          <w:b/>
          <w:sz w:val="28"/>
          <w:szCs w:val="28"/>
        </w:rPr>
      </w:pPr>
      <w:r>
        <w:rPr>
          <w:rFonts w:hint="eastAsia"/>
          <w:b/>
          <w:sz w:val="28"/>
          <w:szCs w:val="28"/>
        </w:rPr>
        <w:t>十、报价方式</w:t>
      </w:r>
    </w:p>
    <w:p>
      <w:pPr>
        <w:autoSpaceDE w:val="0"/>
        <w:autoSpaceDN w:val="0"/>
        <w:adjustRightInd w:val="0"/>
        <w:spacing w:line="360" w:lineRule="auto"/>
        <w:ind w:left="440" w:leftChars="200" w:firstLine="140" w:firstLineChars="50"/>
        <w:jc w:val="left"/>
        <w:rPr>
          <w:color w:val="000000"/>
          <w:sz w:val="28"/>
          <w:szCs w:val="28"/>
        </w:rPr>
      </w:pPr>
      <w:r>
        <w:rPr>
          <w:rFonts w:hint="eastAsia"/>
          <w:color w:val="000000"/>
          <w:sz w:val="28"/>
          <w:szCs w:val="28"/>
        </w:rPr>
        <w:t>1、报价不得高于《福建省特种设备检验收费管理暂行办法（2017版）》高于该报价标准视为放弃参与该项目。</w:t>
      </w:r>
    </w:p>
    <w:p>
      <w:pPr>
        <w:autoSpaceDE w:val="0"/>
        <w:autoSpaceDN w:val="0"/>
        <w:adjustRightInd w:val="0"/>
        <w:spacing w:line="360" w:lineRule="auto"/>
        <w:ind w:left="440" w:leftChars="200" w:firstLine="140" w:firstLineChars="50"/>
        <w:jc w:val="left"/>
        <w:rPr>
          <w:color w:val="000000"/>
          <w:sz w:val="28"/>
          <w:szCs w:val="28"/>
        </w:rPr>
      </w:pPr>
      <w:r>
        <w:rPr>
          <w:rFonts w:hint="eastAsia"/>
          <w:color w:val="000000"/>
          <w:sz w:val="28"/>
          <w:szCs w:val="28"/>
        </w:rPr>
        <w:t>2、发票应为6%的增值发票。（事业单位可按事业单位进行开具相关凭证）</w:t>
      </w:r>
    </w:p>
    <w:p>
      <w:pPr>
        <w:autoSpaceDE w:val="0"/>
        <w:autoSpaceDN w:val="0"/>
        <w:adjustRightInd w:val="0"/>
        <w:spacing w:line="360" w:lineRule="auto"/>
        <w:ind w:left="440" w:leftChars="200" w:firstLine="140" w:firstLineChars="50"/>
        <w:jc w:val="left"/>
        <w:rPr>
          <w:color w:val="000000"/>
          <w:sz w:val="28"/>
          <w:szCs w:val="28"/>
        </w:rPr>
      </w:pPr>
      <w:r>
        <w:rPr>
          <w:rFonts w:hint="eastAsia"/>
          <w:color w:val="000000"/>
          <w:sz w:val="28"/>
          <w:szCs w:val="28"/>
        </w:rPr>
        <w:t>3、报价以人民币计价。</w:t>
      </w:r>
    </w:p>
    <w:p>
      <w:pPr>
        <w:pStyle w:val="28"/>
        <w:ind w:firstLine="413" w:firstLineChars="147"/>
        <w:jc w:val="left"/>
        <w:rPr>
          <w:b/>
          <w:sz w:val="28"/>
          <w:szCs w:val="28"/>
        </w:rPr>
      </w:pPr>
      <w:r>
        <w:rPr>
          <w:rFonts w:hint="eastAsia"/>
          <w:b/>
          <w:sz w:val="28"/>
          <w:szCs w:val="28"/>
        </w:rPr>
        <w:t>十一．结算方式</w:t>
      </w:r>
    </w:p>
    <w:p>
      <w:pPr>
        <w:pStyle w:val="28"/>
        <w:spacing w:line="360" w:lineRule="auto"/>
        <w:ind w:left="363" w:firstLine="0" w:firstLineChars="0"/>
        <w:jc w:val="left"/>
        <w:rPr>
          <w:color w:val="000000"/>
          <w:sz w:val="28"/>
          <w:szCs w:val="28"/>
        </w:rPr>
      </w:pPr>
      <w:r>
        <w:rPr>
          <w:rFonts w:hint="eastAsia"/>
          <w:color w:val="000000"/>
          <w:sz w:val="28"/>
          <w:szCs w:val="28"/>
        </w:rPr>
        <w:t>1、提供全部定期检验报告后，报支手续齐全后，3个月内支付结算款，即：结算款=已确认总价 -违约金。</w:t>
      </w:r>
    </w:p>
    <w:p>
      <w:pPr>
        <w:pStyle w:val="28"/>
        <w:spacing w:line="360" w:lineRule="auto"/>
        <w:ind w:left="363" w:firstLine="0" w:firstLineChars="0"/>
        <w:jc w:val="left"/>
        <w:rPr>
          <w:b/>
          <w:sz w:val="28"/>
          <w:szCs w:val="28"/>
        </w:rPr>
      </w:pPr>
      <w:r>
        <w:rPr>
          <w:rFonts w:hint="eastAsia"/>
          <w:color w:val="000000"/>
          <w:sz w:val="28"/>
          <w:szCs w:val="28"/>
        </w:rPr>
        <w:t>十二、</w:t>
      </w:r>
      <w:r>
        <w:rPr>
          <w:rFonts w:hint="eastAsia"/>
          <w:b/>
          <w:sz w:val="28"/>
          <w:szCs w:val="28"/>
        </w:rPr>
        <w:t>合同解除方式</w:t>
      </w:r>
    </w:p>
    <w:p>
      <w:pPr>
        <w:pStyle w:val="28"/>
        <w:spacing w:line="360" w:lineRule="auto"/>
        <w:ind w:left="363" w:firstLine="0" w:firstLineChars="0"/>
        <w:jc w:val="left"/>
        <w:rPr>
          <w:color w:val="000000"/>
          <w:sz w:val="28"/>
          <w:szCs w:val="28"/>
        </w:rPr>
      </w:pPr>
      <w:r>
        <w:rPr>
          <w:rFonts w:hint="eastAsia"/>
          <w:color w:val="000000"/>
          <w:sz w:val="28"/>
          <w:szCs w:val="28"/>
        </w:rPr>
        <w:t>1、双方协商解除。</w:t>
      </w: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pStyle w:val="28"/>
        <w:spacing w:line="360" w:lineRule="auto"/>
        <w:ind w:left="363" w:firstLine="0" w:firstLineChars="0"/>
        <w:jc w:val="left"/>
        <w:rPr>
          <w:color w:val="000000"/>
          <w:sz w:val="28"/>
          <w:szCs w:val="28"/>
        </w:rPr>
      </w:pPr>
    </w:p>
    <w:p>
      <w:pPr>
        <w:spacing w:line="360" w:lineRule="auto"/>
        <w:jc w:val="left"/>
        <w:rPr>
          <w:color w:val="000000"/>
          <w:sz w:val="28"/>
          <w:szCs w:val="28"/>
        </w:rPr>
      </w:pPr>
    </w:p>
    <w:p>
      <w:pPr>
        <w:pStyle w:val="28"/>
        <w:spacing w:line="360" w:lineRule="auto"/>
        <w:ind w:left="363" w:firstLine="0" w:firstLineChars="0"/>
        <w:jc w:val="left"/>
        <w:rPr>
          <w:b/>
          <w:color w:val="000000"/>
          <w:sz w:val="28"/>
          <w:szCs w:val="28"/>
        </w:rPr>
      </w:pPr>
      <w:r>
        <w:rPr>
          <w:rFonts w:hint="eastAsia"/>
          <w:b/>
          <w:color w:val="000000"/>
          <w:sz w:val="28"/>
          <w:szCs w:val="28"/>
        </w:rPr>
        <w:t>附件一、《福建省特种设备检验收费项目和收费标准（2020版）》</w:t>
      </w:r>
    </w:p>
    <w:p>
      <w:pPr>
        <w:pStyle w:val="28"/>
        <w:spacing w:line="360" w:lineRule="auto"/>
        <w:ind w:left="363" w:firstLine="0" w:firstLineChars="0"/>
        <w:jc w:val="left"/>
        <w:rPr>
          <w:b/>
          <w:color w:val="000000"/>
          <w:sz w:val="28"/>
          <w:szCs w:val="28"/>
        </w:rPr>
      </w:pPr>
      <w:r>
        <w:rPr>
          <w:rFonts w:hint="eastAsia"/>
          <w:b/>
          <w:color w:val="000000"/>
          <w:sz w:val="28"/>
          <w:szCs w:val="28"/>
        </w:rPr>
        <w:t>附件二：</w:t>
      </w:r>
    </w:p>
    <w:p>
      <w:pPr>
        <w:pStyle w:val="28"/>
        <w:spacing w:line="360" w:lineRule="auto"/>
        <w:ind w:left="363" w:firstLine="0" w:firstLineChars="0"/>
        <w:jc w:val="left"/>
        <w:rPr>
          <w:b/>
          <w:color w:val="000000"/>
          <w:sz w:val="28"/>
          <w:szCs w:val="28"/>
        </w:rPr>
      </w:pPr>
      <w:r>
        <w:rPr>
          <w:rFonts w:hint="eastAsia"/>
          <w:b/>
          <w:color w:val="000000"/>
          <w:sz w:val="28"/>
          <w:szCs w:val="28"/>
        </w:rPr>
        <w:t xml:space="preserve">                    第（**）标段项目报价</w:t>
      </w:r>
    </w:p>
    <w:p>
      <w:pPr>
        <w:pStyle w:val="28"/>
        <w:spacing w:line="360" w:lineRule="auto"/>
        <w:ind w:left="381" w:leftChars="173" w:firstLine="551" w:firstLineChars="196"/>
        <w:jc w:val="left"/>
        <w:rPr>
          <w:b/>
          <w:color w:val="000000"/>
          <w:sz w:val="28"/>
          <w:szCs w:val="28"/>
        </w:rPr>
      </w:pPr>
      <w:r>
        <w:rPr>
          <w:rFonts w:hint="eastAsia"/>
          <w:b/>
          <w:color w:val="000000"/>
          <w:sz w:val="28"/>
          <w:szCs w:val="28"/>
        </w:rPr>
        <w:t>我司同意发包文件所有条款，同意以《福建省特种设备检验收费项目和收费标准（2020版）》（下文简称“福建收费标准”）、每件失效分析9万元、每台容器或者每条压力管道合于评价5万元下浮</w:t>
      </w:r>
      <w:r>
        <w:rPr>
          <w:rFonts w:hint="eastAsia"/>
          <w:b/>
          <w:color w:val="000000"/>
          <w:sz w:val="28"/>
          <w:szCs w:val="28"/>
          <w:u w:val="single"/>
        </w:rPr>
        <w:t xml:space="preserve">    **   %</w:t>
      </w:r>
      <w:r>
        <w:rPr>
          <w:rFonts w:hint="eastAsia"/>
          <w:b/>
          <w:color w:val="000000"/>
          <w:sz w:val="28"/>
          <w:szCs w:val="28"/>
        </w:rPr>
        <w:t>承接该项目。</w:t>
      </w:r>
    </w:p>
    <w:p>
      <w:pPr>
        <w:pStyle w:val="28"/>
        <w:spacing w:line="360" w:lineRule="auto"/>
        <w:ind w:left="381" w:leftChars="173" w:firstLine="551" w:firstLineChars="196"/>
        <w:jc w:val="left"/>
        <w:rPr>
          <w:b/>
          <w:color w:val="000000"/>
          <w:sz w:val="28"/>
          <w:szCs w:val="28"/>
        </w:rPr>
      </w:pPr>
    </w:p>
    <w:p>
      <w:pPr>
        <w:pStyle w:val="28"/>
        <w:spacing w:line="360" w:lineRule="auto"/>
        <w:ind w:left="381" w:leftChars="173" w:firstLine="551" w:firstLineChars="196"/>
        <w:jc w:val="left"/>
        <w:rPr>
          <w:b/>
          <w:color w:val="000000"/>
          <w:sz w:val="28"/>
          <w:szCs w:val="28"/>
        </w:rPr>
      </w:pPr>
    </w:p>
    <w:p>
      <w:pPr>
        <w:pStyle w:val="28"/>
        <w:spacing w:line="360" w:lineRule="auto"/>
        <w:ind w:left="381" w:leftChars="173" w:firstLine="551" w:firstLineChars="196"/>
        <w:jc w:val="left"/>
        <w:rPr>
          <w:b/>
          <w:color w:val="000000"/>
          <w:sz w:val="28"/>
          <w:szCs w:val="28"/>
        </w:rPr>
      </w:pPr>
      <w:r>
        <w:rPr>
          <w:rFonts w:hint="eastAsia"/>
          <w:b/>
          <w:color w:val="000000"/>
          <w:sz w:val="28"/>
          <w:szCs w:val="28"/>
        </w:rPr>
        <w:t xml:space="preserve">                        </w:t>
      </w:r>
    </w:p>
    <w:p>
      <w:pPr>
        <w:pStyle w:val="28"/>
        <w:spacing w:line="360" w:lineRule="auto"/>
        <w:ind w:left="381" w:leftChars="173" w:firstLine="3767" w:firstLineChars="1340"/>
        <w:jc w:val="left"/>
        <w:rPr>
          <w:b/>
          <w:color w:val="000000"/>
          <w:sz w:val="28"/>
          <w:szCs w:val="28"/>
        </w:rPr>
      </w:pPr>
      <w:r>
        <w:rPr>
          <w:rFonts w:hint="eastAsia"/>
          <w:b/>
          <w:color w:val="000000"/>
          <w:sz w:val="28"/>
          <w:szCs w:val="28"/>
        </w:rPr>
        <w:t xml:space="preserve">    *****（单位）</w:t>
      </w:r>
    </w:p>
    <w:p>
      <w:pPr>
        <w:pStyle w:val="28"/>
        <w:spacing w:line="360" w:lineRule="auto"/>
        <w:ind w:left="381" w:leftChars="173" w:firstLine="4188" w:firstLineChars="1490"/>
        <w:jc w:val="left"/>
        <w:rPr>
          <w:b/>
          <w:color w:val="000000"/>
          <w:sz w:val="28"/>
          <w:szCs w:val="28"/>
        </w:rPr>
      </w:pPr>
      <w:r>
        <w:rPr>
          <w:rFonts w:hint="eastAsia"/>
          <w:b/>
          <w:color w:val="000000"/>
          <w:sz w:val="28"/>
          <w:szCs w:val="28"/>
        </w:rPr>
        <w:t>***年**月**日</w:t>
      </w:r>
    </w:p>
    <w:p>
      <w:pPr>
        <w:spacing w:line="360" w:lineRule="auto"/>
        <w:jc w:val="left"/>
        <w:rPr>
          <w:b/>
          <w:color w:val="000000"/>
          <w:sz w:val="28"/>
          <w:szCs w:val="28"/>
        </w:rPr>
      </w:pPr>
    </w:p>
    <w:p>
      <w:pPr>
        <w:pStyle w:val="28"/>
        <w:spacing w:line="360" w:lineRule="auto"/>
        <w:ind w:left="381" w:leftChars="173" w:firstLine="4188" w:firstLineChars="1490"/>
        <w:jc w:val="left"/>
        <w:rPr>
          <w:b/>
          <w:color w:val="000000"/>
          <w:sz w:val="28"/>
          <w:szCs w:val="28"/>
        </w:rPr>
      </w:pPr>
    </w:p>
    <w:p>
      <w:pPr>
        <w:spacing w:line="360" w:lineRule="auto"/>
        <w:ind w:firstLine="419" w:firstLineChars="149"/>
        <w:jc w:val="left"/>
        <w:rPr>
          <w:b/>
          <w:color w:val="000000"/>
          <w:sz w:val="28"/>
          <w:szCs w:val="28"/>
        </w:rPr>
      </w:pPr>
      <w:r>
        <w:rPr>
          <w:rFonts w:hint="eastAsia"/>
          <w:b/>
          <w:color w:val="000000"/>
          <w:sz w:val="28"/>
          <w:szCs w:val="28"/>
        </w:rPr>
        <w:t>注：1、承包方只能对**部分按照实际情况进行修改，其他部分不可删减。</w:t>
      </w:r>
    </w:p>
    <w:p>
      <w:pPr>
        <w:spacing w:line="360" w:lineRule="auto"/>
        <w:ind w:firstLine="419" w:firstLineChars="149"/>
        <w:jc w:val="left"/>
        <w:rPr>
          <w:b/>
          <w:color w:val="000000"/>
          <w:sz w:val="28"/>
          <w:szCs w:val="28"/>
        </w:rPr>
      </w:pPr>
      <w:r>
        <w:rPr>
          <w:rFonts w:hint="eastAsia"/>
          <w:b/>
          <w:color w:val="000000"/>
          <w:sz w:val="28"/>
          <w:szCs w:val="28"/>
        </w:rPr>
        <w:t xml:space="preserve">    2、同意不执行《福建省特种设备检验收费管理暂行办法》闽价费（2009）9号文中的第九条和第十条。</w:t>
      </w:r>
    </w:p>
    <w:p>
      <w:pPr>
        <w:pStyle w:val="28"/>
        <w:spacing w:line="360" w:lineRule="auto"/>
        <w:ind w:left="381" w:leftChars="173" w:firstLine="551" w:firstLineChars="196"/>
        <w:jc w:val="left"/>
        <w:rPr>
          <w:b/>
          <w:color w:val="000000"/>
          <w:sz w:val="28"/>
          <w:szCs w:val="28"/>
        </w:rPr>
      </w:pPr>
    </w:p>
    <w:p>
      <w:pPr>
        <w:spacing w:line="360" w:lineRule="auto"/>
        <w:jc w:val="left"/>
        <w:rPr>
          <w:b/>
          <w:color w:val="000000"/>
          <w:sz w:val="28"/>
          <w:szCs w:val="28"/>
        </w:rPr>
      </w:pPr>
    </w:p>
    <w:p>
      <w:pPr>
        <w:pStyle w:val="28"/>
        <w:spacing w:line="360" w:lineRule="auto"/>
        <w:ind w:left="381" w:leftChars="173" w:firstLine="551" w:firstLineChars="196"/>
        <w:jc w:val="left"/>
        <w:rPr>
          <w:rFonts w:hint="eastAsia"/>
          <w:b/>
          <w:color w:val="000000"/>
          <w:sz w:val="28"/>
          <w:szCs w:val="28"/>
        </w:rPr>
      </w:pPr>
      <w:r>
        <w:rPr>
          <w:rFonts w:hint="eastAsia"/>
          <w:b/>
          <w:color w:val="000000"/>
          <w:sz w:val="28"/>
          <w:szCs w:val="28"/>
        </w:rPr>
        <w:t xml:space="preserve">           </w:t>
      </w:r>
    </w:p>
    <w:p>
      <w:pPr>
        <w:pStyle w:val="28"/>
        <w:spacing w:line="360" w:lineRule="auto"/>
        <w:ind w:left="381" w:leftChars="173" w:firstLine="551" w:firstLineChars="196"/>
        <w:jc w:val="left"/>
        <w:rPr>
          <w:rFonts w:hint="eastAsia"/>
          <w:b/>
          <w:color w:val="000000"/>
          <w:sz w:val="28"/>
          <w:szCs w:val="28"/>
        </w:rPr>
      </w:pPr>
    </w:p>
    <w:p>
      <w:pPr>
        <w:pStyle w:val="28"/>
        <w:spacing w:line="360" w:lineRule="auto"/>
        <w:ind w:left="381" w:leftChars="173" w:firstLine="551" w:firstLineChars="196"/>
        <w:jc w:val="left"/>
        <w:rPr>
          <w:rFonts w:hint="eastAsia"/>
          <w:b/>
          <w:color w:val="000000"/>
          <w:sz w:val="28"/>
          <w:szCs w:val="28"/>
        </w:rPr>
      </w:pPr>
    </w:p>
    <w:p>
      <w:pPr>
        <w:pStyle w:val="28"/>
        <w:spacing w:line="360" w:lineRule="auto"/>
        <w:ind w:left="381" w:leftChars="173" w:firstLine="551" w:firstLineChars="196"/>
        <w:jc w:val="left"/>
        <w:rPr>
          <w:rFonts w:hint="eastAsia"/>
          <w:b/>
          <w:color w:val="000000"/>
          <w:sz w:val="28"/>
          <w:szCs w:val="28"/>
        </w:rPr>
      </w:pPr>
    </w:p>
    <w:p>
      <w:pPr>
        <w:pStyle w:val="28"/>
        <w:spacing w:line="360" w:lineRule="auto"/>
        <w:ind w:left="381" w:leftChars="173" w:firstLine="551" w:firstLineChars="196"/>
        <w:jc w:val="left"/>
        <w:rPr>
          <w:rFonts w:hint="eastAsia"/>
          <w:b/>
          <w:color w:val="000000"/>
          <w:sz w:val="28"/>
          <w:szCs w:val="28"/>
        </w:rPr>
      </w:pPr>
    </w:p>
    <w:p>
      <w:pPr>
        <w:pStyle w:val="28"/>
        <w:spacing w:line="360" w:lineRule="auto"/>
        <w:ind w:left="381" w:leftChars="173" w:firstLine="551" w:firstLineChars="196"/>
        <w:jc w:val="left"/>
        <w:rPr>
          <w:b/>
          <w:color w:val="000000"/>
          <w:sz w:val="28"/>
          <w:szCs w:val="28"/>
        </w:rPr>
      </w:pPr>
      <w:r>
        <w:rPr>
          <w:rFonts w:hint="eastAsia"/>
          <w:b/>
          <w:color w:val="000000"/>
          <w:sz w:val="28"/>
          <w:szCs w:val="28"/>
        </w:rPr>
        <w:t xml:space="preserve">            </w:t>
      </w:r>
    </w:p>
    <w:p>
      <w:pPr>
        <w:spacing w:line="360" w:lineRule="auto"/>
        <w:rPr>
          <w:b/>
          <w:color w:val="000000"/>
          <w:sz w:val="28"/>
          <w:szCs w:val="28"/>
        </w:rPr>
      </w:pPr>
      <w:r>
        <w:rPr>
          <w:rFonts w:hint="eastAsia"/>
          <w:b/>
          <w:color w:val="000000"/>
          <w:sz w:val="28"/>
          <w:szCs w:val="28"/>
        </w:rPr>
        <w:t>附件三   评标标准及方法：</w:t>
      </w:r>
    </w:p>
    <w:p>
      <w:pPr>
        <w:spacing w:line="360" w:lineRule="auto"/>
        <w:rPr>
          <w:color w:val="000000"/>
          <w:sz w:val="28"/>
          <w:szCs w:val="28"/>
        </w:rPr>
      </w:pPr>
      <w:r>
        <w:rPr>
          <w:rFonts w:hint="eastAsia"/>
          <w:color w:val="000000"/>
          <w:sz w:val="28"/>
          <w:szCs w:val="28"/>
        </w:rPr>
        <w:t>本次评标采用综合评分法评标（评分标准见下表）。</w:t>
      </w:r>
    </w:p>
    <w:p>
      <w:pPr>
        <w:spacing w:line="360" w:lineRule="auto"/>
        <w:rPr>
          <w:color w:val="000000"/>
          <w:sz w:val="28"/>
          <w:szCs w:val="28"/>
        </w:rPr>
      </w:pPr>
      <w:r>
        <w:rPr>
          <w:rFonts w:hint="eastAsia"/>
          <w:color w:val="000000"/>
          <w:sz w:val="28"/>
          <w:szCs w:val="28"/>
        </w:rPr>
        <w:t>公司名称：</w:t>
      </w:r>
    </w:p>
    <w:tbl>
      <w:tblPr>
        <w:tblStyle w:val="21"/>
        <w:tblW w:w="10066"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418"/>
        <w:gridCol w:w="4394"/>
        <w:gridCol w:w="1134"/>
        <w:gridCol w:w="1134"/>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360" w:lineRule="auto"/>
              <w:rPr>
                <w:b/>
                <w:color w:val="000000"/>
                <w:kern w:val="0"/>
                <w:sz w:val="28"/>
                <w:szCs w:val="28"/>
              </w:rPr>
            </w:pPr>
            <w:r>
              <w:rPr>
                <w:rFonts w:hint="eastAsia"/>
                <w:b/>
                <w:color w:val="000000"/>
                <w:kern w:val="0"/>
                <w:sz w:val="28"/>
                <w:szCs w:val="28"/>
              </w:rPr>
              <w:t>序号</w:t>
            </w:r>
          </w:p>
        </w:tc>
        <w:tc>
          <w:tcPr>
            <w:tcW w:w="1418" w:type="dxa"/>
            <w:tcBorders>
              <w:right w:val="single" w:color="auto" w:sz="4" w:space="0"/>
            </w:tcBorders>
          </w:tcPr>
          <w:p>
            <w:pPr>
              <w:spacing w:line="360" w:lineRule="auto"/>
              <w:rPr>
                <w:b/>
                <w:color w:val="000000"/>
                <w:kern w:val="0"/>
                <w:sz w:val="28"/>
                <w:szCs w:val="28"/>
              </w:rPr>
            </w:pPr>
            <w:r>
              <w:rPr>
                <w:rFonts w:hint="eastAsia"/>
                <w:b/>
                <w:color w:val="000000"/>
                <w:kern w:val="0"/>
                <w:sz w:val="28"/>
                <w:szCs w:val="28"/>
              </w:rPr>
              <w:t>类别</w:t>
            </w:r>
          </w:p>
        </w:tc>
        <w:tc>
          <w:tcPr>
            <w:tcW w:w="4394" w:type="dxa"/>
            <w:tcBorders>
              <w:left w:val="single" w:color="auto" w:sz="4" w:space="0"/>
            </w:tcBorders>
          </w:tcPr>
          <w:p>
            <w:pPr>
              <w:spacing w:line="360" w:lineRule="auto"/>
              <w:rPr>
                <w:b/>
                <w:color w:val="000000"/>
                <w:kern w:val="0"/>
                <w:sz w:val="28"/>
                <w:szCs w:val="28"/>
              </w:rPr>
            </w:pPr>
            <w:r>
              <w:rPr>
                <w:rFonts w:hint="eastAsia"/>
                <w:b/>
                <w:color w:val="000000"/>
                <w:kern w:val="0"/>
                <w:sz w:val="28"/>
                <w:szCs w:val="28"/>
              </w:rPr>
              <w:t>评分标准</w:t>
            </w:r>
          </w:p>
        </w:tc>
        <w:tc>
          <w:tcPr>
            <w:tcW w:w="1134" w:type="dxa"/>
          </w:tcPr>
          <w:p>
            <w:pPr>
              <w:spacing w:line="360" w:lineRule="auto"/>
              <w:ind w:firstLine="138" w:firstLineChars="49"/>
              <w:rPr>
                <w:b/>
                <w:color w:val="000000"/>
                <w:kern w:val="0"/>
                <w:sz w:val="28"/>
                <w:szCs w:val="28"/>
              </w:rPr>
            </w:pPr>
            <w:r>
              <w:rPr>
                <w:rFonts w:hint="eastAsia"/>
                <w:b/>
                <w:color w:val="000000"/>
                <w:kern w:val="0"/>
                <w:sz w:val="28"/>
                <w:szCs w:val="28"/>
              </w:rPr>
              <w:t>权重</w:t>
            </w:r>
          </w:p>
        </w:tc>
        <w:tc>
          <w:tcPr>
            <w:tcW w:w="1134" w:type="dxa"/>
          </w:tcPr>
          <w:p>
            <w:pPr>
              <w:spacing w:line="360" w:lineRule="auto"/>
              <w:ind w:firstLine="138" w:firstLineChars="49"/>
              <w:rPr>
                <w:b/>
                <w:color w:val="000000"/>
                <w:kern w:val="0"/>
                <w:sz w:val="28"/>
                <w:szCs w:val="28"/>
              </w:rPr>
            </w:pPr>
            <w:r>
              <w:rPr>
                <w:rFonts w:hint="eastAsia"/>
                <w:b/>
                <w:color w:val="000000"/>
                <w:kern w:val="0"/>
                <w:sz w:val="28"/>
                <w:szCs w:val="28"/>
              </w:rPr>
              <w:t>得分</w:t>
            </w:r>
          </w:p>
        </w:tc>
        <w:tc>
          <w:tcPr>
            <w:tcW w:w="1135" w:type="dxa"/>
          </w:tcPr>
          <w:p>
            <w:pPr>
              <w:spacing w:line="360" w:lineRule="auto"/>
              <w:rPr>
                <w:b/>
                <w:color w:val="000000"/>
                <w:kern w:val="0"/>
                <w:sz w:val="28"/>
                <w:szCs w:val="28"/>
              </w:rPr>
            </w:pPr>
            <w:r>
              <w:rPr>
                <w:rFonts w:hint="eastAsia"/>
                <w:b/>
                <w:color w:val="000000"/>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360" w:lineRule="auto"/>
              <w:rPr>
                <w:color w:val="000000"/>
                <w:kern w:val="0"/>
                <w:sz w:val="21"/>
                <w:szCs w:val="21"/>
              </w:rPr>
            </w:pPr>
            <w:r>
              <w:rPr>
                <w:rFonts w:hint="eastAsia"/>
                <w:color w:val="000000"/>
                <w:kern w:val="0"/>
                <w:sz w:val="21"/>
                <w:szCs w:val="21"/>
              </w:rPr>
              <w:t>1</w:t>
            </w:r>
          </w:p>
        </w:tc>
        <w:tc>
          <w:tcPr>
            <w:tcW w:w="1418" w:type="dxa"/>
            <w:vMerge w:val="restart"/>
            <w:tcBorders>
              <w:right w:val="single" w:color="auto" w:sz="4" w:space="0"/>
            </w:tcBorders>
          </w:tcPr>
          <w:p>
            <w:pPr>
              <w:spacing w:line="360" w:lineRule="auto"/>
              <w:jc w:val="center"/>
              <w:rPr>
                <w:color w:val="000000"/>
                <w:kern w:val="0"/>
                <w:sz w:val="21"/>
                <w:szCs w:val="21"/>
              </w:rPr>
            </w:pPr>
            <w:r>
              <w:rPr>
                <w:rFonts w:hint="eastAsia"/>
                <w:color w:val="000000"/>
                <w:kern w:val="0"/>
                <w:sz w:val="21"/>
                <w:szCs w:val="21"/>
              </w:rPr>
              <w:t>资质</w:t>
            </w:r>
          </w:p>
        </w:tc>
        <w:tc>
          <w:tcPr>
            <w:tcW w:w="4394" w:type="dxa"/>
            <w:tcBorders>
              <w:left w:val="single" w:color="auto" w:sz="4" w:space="0"/>
            </w:tcBorders>
          </w:tcPr>
          <w:p>
            <w:pPr>
              <w:spacing w:line="360" w:lineRule="auto"/>
              <w:rPr>
                <w:color w:val="000000"/>
                <w:kern w:val="0"/>
                <w:sz w:val="21"/>
                <w:szCs w:val="21"/>
              </w:rPr>
            </w:pPr>
            <w:r>
              <w:rPr>
                <w:rFonts w:hint="eastAsia"/>
                <w:color w:val="000000"/>
                <w:kern w:val="0"/>
                <w:sz w:val="21"/>
                <w:szCs w:val="21"/>
              </w:rPr>
              <w:t>注册资金1000万（含）以上得分5分，500万（含）至1000万得4分，200万（含）至500万得2分。200万以下得0分（得分0-5），事业单位得5分。</w:t>
            </w:r>
          </w:p>
        </w:tc>
        <w:tc>
          <w:tcPr>
            <w:tcW w:w="1134" w:type="dxa"/>
            <w:vAlign w:val="center"/>
          </w:tcPr>
          <w:p>
            <w:pPr>
              <w:spacing w:line="360" w:lineRule="auto"/>
              <w:jc w:val="center"/>
              <w:rPr>
                <w:color w:val="000000"/>
                <w:kern w:val="0"/>
                <w:sz w:val="21"/>
                <w:szCs w:val="21"/>
              </w:rPr>
            </w:pPr>
            <w:r>
              <w:rPr>
                <w:rFonts w:hint="eastAsia"/>
                <w:color w:val="000000"/>
                <w:kern w:val="0"/>
                <w:sz w:val="21"/>
                <w:szCs w:val="21"/>
              </w:rPr>
              <w:t>5</w:t>
            </w:r>
          </w:p>
        </w:tc>
        <w:tc>
          <w:tcPr>
            <w:tcW w:w="1134" w:type="dxa"/>
          </w:tcPr>
          <w:p>
            <w:pPr>
              <w:spacing w:line="360" w:lineRule="auto"/>
              <w:rPr>
                <w:color w:val="000000"/>
                <w:kern w:val="0"/>
                <w:sz w:val="20"/>
                <w:szCs w:val="21"/>
              </w:rPr>
            </w:pPr>
          </w:p>
        </w:tc>
        <w:tc>
          <w:tcPr>
            <w:tcW w:w="1135" w:type="dxa"/>
            <w:vMerge w:val="restart"/>
          </w:tcPr>
          <w:p>
            <w:pPr>
              <w:spacing w:line="360" w:lineRule="auto"/>
              <w:rPr>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360" w:lineRule="auto"/>
              <w:rPr>
                <w:color w:val="000000"/>
                <w:kern w:val="0"/>
                <w:sz w:val="21"/>
                <w:szCs w:val="21"/>
              </w:rPr>
            </w:pPr>
            <w:r>
              <w:rPr>
                <w:rFonts w:hint="eastAsia"/>
                <w:color w:val="000000"/>
                <w:kern w:val="0"/>
                <w:sz w:val="21"/>
                <w:szCs w:val="21"/>
              </w:rPr>
              <w:t>3</w:t>
            </w:r>
          </w:p>
        </w:tc>
        <w:tc>
          <w:tcPr>
            <w:tcW w:w="1418" w:type="dxa"/>
            <w:vMerge w:val="continue"/>
            <w:tcBorders>
              <w:right w:val="single" w:color="auto" w:sz="4" w:space="0"/>
            </w:tcBorders>
          </w:tcPr>
          <w:p>
            <w:pPr>
              <w:spacing w:line="360" w:lineRule="auto"/>
              <w:jc w:val="center"/>
              <w:rPr>
                <w:color w:val="000000"/>
                <w:kern w:val="0"/>
                <w:sz w:val="21"/>
                <w:szCs w:val="21"/>
              </w:rPr>
            </w:pPr>
          </w:p>
        </w:tc>
        <w:tc>
          <w:tcPr>
            <w:tcW w:w="4394" w:type="dxa"/>
            <w:tcBorders>
              <w:left w:val="single" w:color="auto" w:sz="4" w:space="0"/>
            </w:tcBorders>
          </w:tcPr>
          <w:p>
            <w:pPr>
              <w:spacing w:line="360" w:lineRule="auto"/>
              <w:rPr>
                <w:color w:val="000000"/>
                <w:kern w:val="0"/>
                <w:sz w:val="21"/>
                <w:szCs w:val="21"/>
              </w:rPr>
            </w:pPr>
            <w:r>
              <w:rPr>
                <w:rFonts w:hint="eastAsia"/>
                <w:color w:val="000000"/>
                <w:kern w:val="0"/>
                <w:sz w:val="21"/>
                <w:szCs w:val="21"/>
              </w:rPr>
              <w:t>在国家企业信用信息公示系统查询未有行政处罚信息的得3分，有行政处罚信息得0分。</w:t>
            </w:r>
          </w:p>
        </w:tc>
        <w:tc>
          <w:tcPr>
            <w:tcW w:w="1134" w:type="dxa"/>
            <w:vAlign w:val="center"/>
          </w:tcPr>
          <w:p>
            <w:pPr>
              <w:spacing w:line="360" w:lineRule="auto"/>
              <w:jc w:val="center"/>
              <w:rPr>
                <w:color w:val="000000"/>
                <w:kern w:val="0"/>
                <w:sz w:val="21"/>
                <w:szCs w:val="21"/>
              </w:rPr>
            </w:pPr>
            <w:r>
              <w:rPr>
                <w:rFonts w:hint="eastAsia"/>
                <w:color w:val="000000"/>
                <w:kern w:val="0"/>
                <w:sz w:val="21"/>
                <w:szCs w:val="21"/>
              </w:rPr>
              <w:t>3</w:t>
            </w:r>
          </w:p>
        </w:tc>
        <w:tc>
          <w:tcPr>
            <w:tcW w:w="1134" w:type="dxa"/>
          </w:tcPr>
          <w:p>
            <w:pPr>
              <w:spacing w:line="360" w:lineRule="auto"/>
              <w:rPr>
                <w:color w:val="000000"/>
                <w:kern w:val="0"/>
                <w:sz w:val="20"/>
                <w:szCs w:val="21"/>
              </w:rPr>
            </w:pPr>
          </w:p>
        </w:tc>
        <w:tc>
          <w:tcPr>
            <w:tcW w:w="1135" w:type="dxa"/>
            <w:vMerge w:val="continue"/>
          </w:tcPr>
          <w:p>
            <w:pPr>
              <w:spacing w:line="360" w:lineRule="auto"/>
              <w:rPr>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360" w:lineRule="auto"/>
              <w:rPr>
                <w:color w:val="000000"/>
                <w:kern w:val="0"/>
                <w:sz w:val="21"/>
                <w:szCs w:val="21"/>
              </w:rPr>
            </w:pPr>
            <w:r>
              <w:rPr>
                <w:rFonts w:hint="eastAsia"/>
                <w:color w:val="000000"/>
                <w:kern w:val="0"/>
                <w:sz w:val="21"/>
                <w:szCs w:val="21"/>
              </w:rPr>
              <w:t>4</w:t>
            </w:r>
          </w:p>
        </w:tc>
        <w:tc>
          <w:tcPr>
            <w:tcW w:w="1418" w:type="dxa"/>
            <w:vMerge w:val="continue"/>
            <w:tcBorders>
              <w:right w:val="single" w:color="auto" w:sz="4" w:space="0"/>
            </w:tcBorders>
          </w:tcPr>
          <w:p>
            <w:pPr>
              <w:spacing w:line="360" w:lineRule="auto"/>
              <w:jc w:val="center"/>
              <w:rPr>
                <w:color w:val="000000"/>
                <w:kern w:val="0"/>
                <w:sz w:val="21"/>
                <w:szCs w:val="21"/>
              </w:rPr>
            </w:pPr>
          </w:p>
        </w:tc>
        <w:tc>
          <w:tcPr>
            <w:tcW w:w="4394" w:type="dxa"/>
            <w:tcBorders>
              <w:left w:val="single" w:color="auto" w:sz="4" w:space="0"/>
            </w:tcBorders>
          </w:tcPr>
          <w:p>
            <w:pPr>
              <w:spacing w:line="360" w:lineRule="auto"/>
              <w:rPr>
                <w:color w:val="000000"/>
                <w:kern w:val="0"/>
                <w:sz w:val="21"/>
                <w:szCs w:val="21"/>
              </w:rPr>
            </w:pPr>
            <w:r>
              <w:rPr>
                <w:rFonts w:hint="eastAsia"/>
                <w:color w:val="000000"/>
                <w:kern w:val="0"/>
                <w:sz w:val="21"/>
                <w:szCs w:val="21"/>
              </w:rPr>
              <w:t>有第三方出具的：质量体系认证职业健康安全管理体系认证，环境管理体系认证得2分，不全得0分。</w:t>
            </w:r>
          </w:p>
        </w:tc>
        <w:tc>
          <w:tcPr>
            <w:tcW w:w="1134" w:type="dxa"/>
            <w:vAlign w:val="center"/>
          </w:tcPr>
          <w:p>
            <w:pPr>
              <w:spacing w:line="360" w:lineRule="auto"/>
              <w:jc w:val="center"/>
              <w:rPr>
                <w:color w:val="000000"/>
                <w:kern w:val="0"/>
                <w:sz w:val="21"/>
                <w:szCs w:val="21"/>
              </w:rPr>
            </w:pPr>
            <w:r>
              <w:rPr>
                <w:rFonts w:hint="eastAsia"/>
                <w:color w:val="000000"/>
                <w:kern w:val="0"/>
                <w:sz w:val="21"/>
                <w:szCs w:val="21"/>
              </w:rPr>
              <w:t>2</w:t>
            </w:r>
          </w:p>
        </w:tc>
        <w:tc>
          <w:tcPr>
            <w:tcW w:w="1134" w:type="dxa"/>
          </w:tcPr>
          <w:p>
            <w:pPr>
              <w:spacing w:line="360" w:lineRule="auto"/>
              <w:rPr>
                <w:color w:val="000000"/>
                <w:kern w:val="0"/>
                <w:sz w:val="20"/>
                <w:szCs w:val="21"/>
              </w:rPr>
            </w:pPr>
          </w:p>
        </w:tc>
        <w:tc>
          <w:tcPr>
            <w:tcW w:w="1135" w:type="dxa"/>
            <w:vMerge w:val="continue"/>
          </w:tcPr>
          <w:p>
            <w:pPr>
              <w:spacing w:line="360" w:lineRule="auto"/>
              <w:rPr>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851" w:type="dxa"/>
          </w:tcPr>
          <w:p>
            <w:pPr>
              <w:spacing w:line="360" w:lineRule="auto"/>
              <w:rPr>
                <w:color w:val="000000"/>
                <w:kern w:val="0"/>
                <w:sz w:val="21"/>
                <w:szCs w:val="21"/>
              </w:rPr>
            </w:pPr>
            <w:r>
              <w:rPr>
                <w:rFonts w:hint="eastAsia"/>
                <w:color w:val="000000"/>
                <w:kern w:val="0"/>
                <w:sz w:val="21"/>
                <w:szCs w:val="21"/>
              </w:rPr>
              <w:t>5</w:t>
            </w:r>
          </w:p>
          <w:p>
            <w:pPr>
              <w:spacing w:line="360" w:lineRule="auto"/>
              <w:rPr>
                <w:color w:val="000000"/>
                <w:kern w:val="0"/>
                <w:sz w:val="21"/>
                <w:szCs w:val="21"/>
              </w:rPr>
            </w:pPr>
          </w:p>
        </w:tc>
        <w:tc>
          <w:tcPr>
            <w:tcW w:w="1418" w:type="dxa"/>
            <w:tcBorders>
              <w:right w:val="single" w:color="auto" w:sz="4" w:space="0"/>
            </w:tcBorders>
          </w:tcPr>
          <w:p>
            <w:pPr>
              <w:spacing w:line="360" w:lineRule="auto"/>
              <w:jc w:val="center"/>
              <w:rPr>
                <w:color w:val="000000"/>
                <w:kern w:val="0"/>
                <w:sz w:val="21"/>
                <w:szCs w:val="21"/>
              </w:rPr>
            </w:pPr>
            <w:r>
              <w:rPr>
                <w:rFonts w:hint="eastAsia"/>
                <w:color w:val="000000"/>
                <w:kern w:val="0"/>
                <w:sz w:val="21"/>
                <w:szCs w:val="21"/>
              </w:rPr>
              <w:t>工作业绩</w:t>
            </w:r>
          </w:p>
        </w:tc>
        <w:tc>
          <w:tcPr>
            <w:tcW w:w="4394" w:type="dxa"/>
            <w:tcBorders>
              <w:left w:val="single" w:color="auto" w:sz="4" w:space="0"/>
            </w:tcBorders>
          </w:tcPr>
          <w:p>
            <w:pPr>
              <w:spacing w:line="360" w:lineRule="auto"/>
              <w:rPr>
                <w:color w:val="000000"/>
                <w:kern w:val="0"/>
                <w:sz w:val="21"/>
                <w:szCs w:val="21"/>
              </w:rPr>
            </w:pPr>
            <w:r>
              <w:rPr>
                <w:rFonts w:hint="eastAsia"/>
                <w:color w:val="000000"/>
                <w:kern w:val="0"/>
                <w:sz w:val="21"/>
                <w:szCs w:val="21"/>
              </w:rPr>
              <w:t>近两年大型石化、油田定检定检业绩（0-15）。同一个法人公司近2年内定检业绩（以合同或者发票金额为准）最高的得15分，低于业绩最高的，每低于100万，减1.5分。最低得5分。其中业绩低于500万的，得0分。</w:t>
            </w:r>
          </w:p>
        </w:tc>
        <w:tc>
          <w:tcPr>
            <w:tcW w:w="1134" w:type="dxa"/>
            <w:vAlign w:val="center"/>
          </w:tcPr>
          <w:p>
            <w:pPr>
              <w:spacing w:line="360" w:lineRule="auto"/>
              <w:jc w:val="center"/>
              <w:rPr>
                <w:color w:val="000000"/>
                <w:kern w:val="0"/>
                <w:sz w:val="21"/>
                <w:szCs w:val="21"/>
              </w:rPr>
            </w:pPr>
            <w:r>
              <w:rPr>
                <w:rFonts w:hint="eastAsia"/>
                <w:color w:val="000000"/>
                <w:kern w:val="0"/>
                <w:sz w:val="21"/>
                <w:szCs w:val="21"/>
              </w:rPr>
              <w:t>15</w:t>
            </w:r>
          </w:p>
        </w:tc>
        <w:tc>
          <w:tcPr>
            <w:tcW w:w="1134" w:type="dxa"/>
          </w:tcPr>
          <w:p>
            <w:pPr>
              <w:spacing w:line="360" w:lineRule="auto"/>
              <w:rPr>
                <w:color w:val="000000"/>
                <w:kern w:val="0"/>
                <w:sz w:val="20"/>
                <w:szCs w:val="21"/>
              </w:rPr>
            </w:pPr>
          </w:p>
        </w:tc>
        <w:tc>
          <w:tcPr>
            <w:tcW w:w="1135" w:type="dxa"/>
          </w:tcPr>
          <w:p>
            <w:pPr>
              <w:spacing w:line="360" w:lineRule="auto"/>
              <w:rPr>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360" w:lineRule="auto"/>
              <w:rPr>
                <w:color w:val="000000"/>
                <w:kern w:val="0"/>
                <w:sz w:val="21"/>
                <w:szCs w:val="21"/>
              </w:rPr>
            </w:pPr>
            <w:r>
              <w:rPr>
                <w:rFonts w:hint="eastAsia"/>
                <w:color w:val="000000"/>
                <w:kern w:val="0"/>
                <w:sz w:val="21"/>
                <w:szCs w:val="21"/>
              </w:rPr>
              <w:t>6</w:t>
            </w:r>
          </w:p>
        </w:tc>
        <w:tc>
          <w:tcPr>
            <w:tcW w:w="1418" w:type="dxa"/>
            <w:tcBorders>
              <w:right w:val="single" w:color="auto" w:sz="4" w:space="0"/>
            </w:tcBorders>
          </w:tcPr>
          <w:p>
            <w:pPr>
              <w:spacing w:line="360" w:lineRule="auto"/>
              <w:jc w:val="center"/>
              <w:rPr>
                <w:color w:val="000000"/>
                <w:kern w:val="0"/>
                <w:sz w:val="21"/>
                <w:szCs w:val="21"/>
              </w:rPr>
            </w:pPr>
            <w:r>
              <w:rPr>
                <w:rFonts w:hint="eastAsia"/>
                <w:color w:val="000000"/>
                <w:kern w:val="0"/>
                <w:sz w:val="21"/>
                <w:szCs w:val="21"/>
              </w:rPr>
              <w:t>检验方案</w:t>
            </w:r>
          </w:p>
        </w:tc>
        <w:tc>
          <w:tcPr>
            <w:tcW w:w="4394" w:type="dxa"/>
            <w:tcBorders>
              <w:left w:val="single" w:color="auto" w:sz="4" w:space="0"/>
            </w:tcBorders>
          </w:tcPr>
          <w:p>
            <w:pPr>
              <w:spacing w:line="360" w:lineRule="auto"/>
              <w:rPr>
                <w:color w:val="000000"/>
                <w:kern w:val="0"/>
                <w:sz w:val="21"/>
                <w:szCs w:val="21"/>
              </w:rPr>
            </w:pPr>
            <w:r>
              <w:rPr>
                <w:rFonts w:hint="eastAsia"/>
                <w:color w:val="000000"/>
                <w:kern w:val="0"/>
                <w:sz w:val="21"/>
                <w:szCs w:val="21"/>
              </w:rPr>
              <w:t>1、现场负责人近三年的工作履历(0-5分)</w:t>
            </w:r>
          </w:p>
          <w:p>
            <w:pPr>
              <w:spacing w:line="360" w:lineRule="auto"/>
              <w:rPr>
                <w:color w:val="000000"/>
                <w:kern w:val="0"/>
                <w:sz w:val="21"/>
                <w:szCs w:val="21"/>
              </w:rPr>
            </w:pPr>
            <w:r>
              <w:rPr>
                <w:rFonts w:hint="eastAsia"/>
                <w:color w:val="000000"/>
                <w:kern w:val="0"/>
                <w:sz w:val="21"/>
                <w:szCs w:val="21"/>
              </w:rPr>
              <w:t>2、检验人员参与的定检项目（0-5分）</w:t>
            </w:r>
          </w:p>
          <w:p>
            <w:pPr>
              <w:spacing w:line="360" w:lineRule="auto"/>
              <w:rPr>
                <w:color w:val="000000"/>
                <w:kern w:val="0"/>
                <w:sz w:val="21"/>
                <w:szCs w:val="21"/>
              </w:rPr>
            </w:pPr>
            <w:r>
              <w:rPr>
                <w:rFonts w:hint="eastAsia"/>
                <w:color w:val="000000"/>
                <w:kern w:val="0"/>
                <w:sz w:val="21"/>
                <w:szCs w:val="21"/>
              </w:rPr>
              <w:t>3、方案的针对性、可行性（0-15分）</w:t>
            </w:r>
          </w:p>
        </w:tc>
        <w:tc>
          <w:tcPr>
            <w:tcW w:w="1134" w:type="dxa"/>
            <w:vAlign w:val="center"/>
          </w:tcPr>
          <w:p>
            <w:pPr>
              <w:spacing w:line="360" w:lineRule="auto"/>
              <w:jc w:val="center"/>
              <w:rPr>
                <w:color w:val="000000"/>
                <w:kern w:val="0"/>
                <w:sz w:val="21"/>
                <w:szCs w:val="21"/>
              </w:rPr>
            </w:pPr>
            <w:r>
              <w:rPr>
                <w:rFonts w:hint="eastAsia"/>
                <w:color w:val="000000"/>
                <w:kern w:val="0"/>
                <w:sz w:val="21"/>
                <w:szCs w:val="21"/>
              </w:rPr>
              <w:t>25</w:t>
            </w:r>
          </w:p>
        </w:tc>
        <w:tc>
          <w:tcPr>
            <w:tcW w:w="1134" w:type="dxa"/>
          </w:tcPr>
          <w:p>
            <w:pPr>
              <w:spacing w:line="360" w:lineRule="auto"/>
              <w:rPr>
                <w:color w:val="000000"/>
                <w:kern w:val="0"/>
                <w:sz w:val="20"/>
                <w:szCs w:val="21"/>
              </w:rPr>
            </w:pPr>
          </w:p>
        </w:tc>
        <w:tc>
          <w:tcPr>
            <w:tcW w:w="1135" w:type="dxa"/>
          </w:tcPr>
          <w:p>
            <w:pPr>
              <w:spacing w:line="360" w:lineRule="auto"/>
              <w:rPr>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1" w:hRule="atLeast"/>
        </w:trPr>
        <w:tc>
          <w:tcPr>
            <w:tcW w:w="851" w:type="dxa"/>
          </w:tcPr>
          <w:p>
            <w:pPr>
              <w:spacing w:line="360" w:lineRule="auto"/>
              <w:rPr>
                <w:color w:val="000000"/>
                <w:kern w:val="0"/>
                <w:sz w:val="21"/>
                <w:szCs w:val="21"/>
              </w:rPr>
            </w:pPr>
            <w:r>
              <w:rPr>
                <w:rFonts w:hint="eastAsia"/>
                <w:color w:val="000000"/>
                <w:kern w:val="0"/>
                <w:sz w:val="21"/>
                <w:szCs w:val="21"/>
              </w:rPr>
              <w:t>8</w:t>
            </w:r>
          </w:p>
        </w:tc>
        <w:tc>
          <w:tcPr>
            <w:tcW w:w="1418" w:type="dxa"/>
            <w:tcBorders>
              <w:right w:val="single" w:color="auto" w:sz="4" w:space="0"/>
            </w:tcBorders>
          </w:tcPr>
          <w:p>
            <w:pPr>
              <w:spacing w:line="360" w:lineRule="auto"/>
              <w:jc w:val="center"/>
              <w:rPr>
                <w:color w:val="000000"/>
                <w:kern w:val="0"/>
                <w:sz w:val="21"/>
                <w:szCs w:val="21"/>
              </w:rPr>
            </w:pPr>
            <w:r>
              <w:rPr>
                <w:rFonts w:hint="eastAsia"/>
                <w:color w:val="000000"/>
                <w:kern w:val="0"/>
                <w:sz w:val="21"/>
                <w:szCs w:val="21"/>
              </w:rPr>
              <w:t>合同报价</w:t>
            </w:r>
          </w:p>
        </w:tc>
        <w:tc>
          <w:tcPr>
            <w:tcW w:w="4394" w:type="dxa"/>
            <w:tcBorders>
              <w:left w:val="single" w:color="auto" w:sz="4" w:space="0"/>
            </w:tcBorders>
          </w:tcPr>
          <w:p>
            <w:pPr>
              <w:spacing w:line="360" w:lineRule="auto"/>
              <w:rPr>
                <w:color w:val="000000"/>
                <w:kern w:val="0"/>
                <w:sz w:val="21"/>
                <w:szCs w:val="21"/>
              </w:rPr>
            </w:pPr>
            <w:r>
              <w:rPr>
                <w:rFonts w:hint="eastAsia"/>
                <w:color w:val="000000"/>
                <w:kern w:val="0"/>
                <w:sz w:val="21"/>
                <w:szCs w:val="21"/>
              </w:rPr>
              <w:t>在福建收费标准下整体下浮，下浮数最多的得50分。其他价格高于该最低价，按每高1%下浮数减2分。</w:t>
            </w:r>
          </w:p>
        </w:tc>
        <w:tc>
          <w:tcPr>
            <w:tcW w:w="1134" w:type="dxa"/>
            <w:vAlign w:val="center"/>
          </w:tcPr>
          <w:p>
            <w:pPr>
              <w:spacing w:line="360" w:lineRule="auto"/>
              <w:jc w:val="center"/>
              <w:rPr>
                <w:color w:val="000000"/>
                <w:kern w:val="0"/>
                <w:sz w:val="21"/>
                <w:szCs w:val="21"/>
              </w:rPr>
            </w:pPr>
            <w:r>
              <w:rPr>
                <w:rFonts w:hint="eastAsia"/>
                <w:color w:val="000000"/>
                <w:kern w:val="0"/>
                <w:sz w:val="21"/>
                <w:szCs w:val="21"/>
              </w:rPr>
              <w:t>50</w:t>
            </w:r>
          </w:p>
        </w:tc>
        <w:tc>
          <w:tcPr>
            <w:tcW w:w="1134" w:type="dxa"/>
          </w:tcPr>
          <w:p>
            <w:pPr>
              <w:spacing w:line="360" w:lineRule="auto"/>
              <w:rPr>
                <w:color w:val="000000"/>
                <w:kern w:val="0"/>
                <w:sz w:val="20"/>
                <w:szCs w:val="21"/>
              </w:rPr>
            </w:pPr>
          </w:p>
        </w:tc>
        <w:tc>
          <w:tcPr>
            <w:tcW w:w="1135" w:type="dxa"/>
          </w:tcPr>
          <w:p>
            <w:pPr>
              <w:spacing w:line="360" w:lineRule="auto"/>
              <w:rPr>
                <w:color w:val="000000"/>
                <w:kern w:val="0"/>
                <w:sz w:val="18"/>
                <w:szCs w:val="18"/>
              </w:rPr>
            </w:pPr>
          </w:p>
        </w:tc>
      </w:tr>
    </w:tbl>
    <w:p>
      <w:pPr>
        <w:widowControl/>
        <w:autoSpaceDE/>
        <w:autoSpaceDN/>
        <w:rPr>
          <w:rFonts w:ascii="黑体" w:eastAsia="黑体" w:cs="Courier New"/>
          <w:b/>
          <w:sz w:val="48"/>
          <w:szCs w:val="48"/>
          <w:lang w:eastAsia="zh-CN"/>
        </w:rPr>
      </w:pPr>
    </w:p>
    <w:p>
      <w:pPr>
        <w:pStyle w:val="2"/>
        <w:rPr>
          <w:rFonts w:ascii="黑体" w:eastAsia="黑体" w:cs="Courier New"/>
          <w:b/>
          <w:sz w:val="48"/>
          <w:szCs w:val="48"/>
          <w:lang w:eastAsia="zh-CN"/>
        </w:rPr>
      </w:pPr>
    </w:p>
    <w:p>
      <w:pPr>
        <w:pStyle w:val="2"/>
        <w:rPr>
          <w:rFonts w:ascii="黑体" w:eastAsia="黑体" w:cs="Courier New"/>
          <w:b/>
          <w:sz w:val="48"/>
          <w:szCs w:val="48"/>
          <w:lang w:eastAsia="zh-CN"/>
        </w:rPr>
      </w:pPr>
    </w:p>
    <w:p>
      <w:pPr>
        <w:pStyle w:val="2"/>
        <w:rPr>
          <w:rFonts w:ascii="黑体" w:eastAsia="黑体" w:cs="Courier New"/>
          <w:b/>
          <w:sz w:val="48"/>
          <w:szCs w:val="48"/>
          <w:lang w:eastAsia="zh-CN"/>
        </w:rPr>
      </w:pPr>
    </w:p>
    <w:p>
      <w:pPr>
        <w:pStyle w:val="2"/>
        <w:rPr>
          <w:rFonts w:ascii="黑体" w:eastAsia="黑体" w:cs="Courier New"/>
          <w:b/>
          <w:sz w:val="48"/>
          <w:szCs w:val="48"/>
          <w:lang w:eastAsia="zh-CN"/>
        </w:rPr>
      </w:pPr>
    </w:p>
    <w:p>
      <w:pPr>
        <w:pStyle w:val="2"/>
        <w:rPr>
          <w:rFonts w:ascii="黑体" w:eastAsia="黑体" w:cs="Courier New"/>
          <w:b/>
          <w:sz w:val="48"/>
          <w:szCs w:val="48"/>
          <w:lang w:eastAsia="zh-CN"/>
        </w:rPr>
      </w:pPr>
    </w:p>
    <w:p>
      <w:pPr>
        <w:pStyle w:val="2"/>
        <w:rPr>
          <w:rFonts w:ascii="黑体" w:eastAsia="黑体" w:cs="Courier New"/>
          <w:b/>
          <w:sz w:val="48"/>
          <w:szCs w:val="48"/>
          <w:lang w:eastAsia="zh-CN"/>
        </w:rPr>
      </w:pPr>
    </w:p>
    <w:p>
      <w:pPr>
        <w:pStyle w:val="2"/>
        <w:rPr>
          <w:rFonts w:ascii="黑体" w:eastAsia="黑体" w:cs="Courier New"/>
          <w:b/>
          <w:sz w:val="48"/>
          <w:szCs w:val="48"/>
          <w:lang w:eastAsia="zh-CN"/>
        </w:rPr>
      </w:pPr>
    </w:p>
    <w:p>
      <w:pPr>
        <w:pStyle w:val="2"/>
        <w:rPr>
          <w:rFonts w:ascii="黑体" w:eastAsia="黑体" w:cs="Courier New"/>
          <w:b/>
          <w:sz w:val="48"/>
          <w:szCs w:val="48"/>
          <w:lang w:eastAsia="zh-CN"/>
        </w:rPr>
      </w:pPr>
    </w:p>
    <w:p>
      <w:pPr>
        <w:pStyle w:val="2"/>
        <w:rPr>
          <w:rFonts w:ascii="黑体" w:eastAsia="黑体" w:cs="Courier New"/>
          <w:b/>
          <w:sz w:val="48"/>
          <w:szCs w:val="48"/>
          <w:lang w:eastAsia="zh-CN"/>
        </w:rPr>
      </w:pPr>
    </w:p>
    <w:p>
      <w:pPr>
        <w:pStyle w:val="12"/>
        <w:spacing w:after="360"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28"/>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28"/>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28"/>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28"/>
        <w:numPr>
          <w:ilvl w:val="0"/>
          <w:numId w:val="7"/>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spacing w:line="276" w:lineRule="auto"/>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签定日期：    年    月    日                   年    月    日</w:t>
      </w:r>
    </w:p>
    <w:p>
      <w:pPr>
        <w:widowControl/>
        <w:rPr>
          <w:lang w:eastAsia="zh-CN"/>
        </w:rPr>
      </w:pPr>
    </w:p>
    <w:p>
      <w:pPr>
        <w:jc w:val="center"/>
        <w:rPr>
          <w:lang w:eastAsia="zh-CN"/>
        </w:rPr>
      </w:pPr>
    </w:p>
    <w:p>
      <w:pPr>
        <w:pStyle w:val="10"/>
        <w:rPr>
          <w:rFonts w:ascii="Times New Roman"/>
          <w:b/>
          <w:bCs/>
          <w:lang w:eastAsia="zh-CN"/>
        </w:rPr>
      </w:pPr>
    </w:p>
    <w:p>
      <w:pPr>
        <w:pStyle w:val="10"/>
        <w:tabs>
          <w:tab w:val="left" w:pos="4318"/>
        </w:tabs>
        <w:spacing w:before="201"/>
        <w:ind w:firstLine="240" w:firstLineChars="100"/>
        <w:jc w:val="both"/>
        <w:rPr>
          <w:lang w:eastAsia="zh-CN"/>
        </w:rPr>
      </w:pPr>
    </w:p>
    <w:p>
      <w:pPr>
        <w:jc w:val="both"/>
        <w:rPr>
          <w:lang w:eastAsia="zh-CN"/>
        </w:rPr>
        <w:sectPr>
          <w:footerReference r:id="rId7" w:type="default"/>
          <w:pgSz w:w="11910" w:h="16840"/>
          <w:pgMar w:top="1480" w:right="1120" w:bottom="740" w:left="1300" w:header="0" w:footer="487" w:gutter="0"/>
          <w:cols w:space="720" w:num="1"/>
        </w:sectPr>
      </w:pPr>
    </w:p>
    <w:p>
      <w:pPr>
        <w:pStyle w:val="2"/>
        <w:rPr>
          <w:b/>
          <w:bCs/>
          <w:sz w:val="24"/>
          <w:szCs w:val="24"/>
        </w:rPr>
      </w:pPr>
      <w:bookmarkStart w:id="0" w:name="_Toc251742852"/>
      <w:r>
        <w:rPr>
          <w:rFonts w:hint="eastAsia"/>
          <w:b/>
          <w:bCs/>
          <w:sz w:val="24"/>
          <w:szCs w:val="24"/>
        </w:rPr>
        <w:t>附件二参选文件范本</w:t>
      </w:r>
    </w:p>
    <w:p>
      <w:pPr>
        <w:pStyle w:val="12"/>
        <w:jc w:val="center"/>
        <w:rPr>
          <w:rFonts w:ascii="Times New Roman" w:hAnsi="Times New Roman"/>
          <w:b/>
          <w:sz w:val="52"/>
          <w:szCs w:val="52"/>
          <w:lang w:eastAsia="zh-CN"/>
        </w:rPr>
      </w:pPr>
    </w:p>
    <w:p>
      <w:pPr>
        <w:widowControl/>
        <w:autoSpaceDE/>
        <w:autoSpaceDN/>
        <w:rPr>
          <w:rFonts w:ascii="Times New Roman" w:hAnsi="Times New Roman" w:cs="Times New Roman"/>
          <w:b/>
          <w:bCs/>
          <w:sz w:val="36"/>
          <w:szCs w:val="36"/>
          <w:lang w:eastAsia="zh-CN"/>
        </w:rPr>
      </w:pPr>
    </w:p>
    <w:p>
      <w:pPr>
        <w:pStyle w:val="30"/>
        <w:spacing w:beforeLines="0" w:afterLines="0" w:line="240" w:lineRule="auto"/>
        <w:ind w:firstLine="0" w:firstLineChars="0"/>
        <w:rPr>
          <w:rFonts w:ascii="Times New Roman" w:hAnsi="Times New Roman" w:cs="Times New Roman"/>
          <w:b/>
          <w:sz w:val="36"/>
          <w:szCs w:val="36"/>
          <w:lang w:eastAsia="zh-CN"/>
        </w:rPr>
      </w:pPr>
    </w:p>
    <w:p>
      <w:pPr>
        <w:pStyle w:val="12"/>
        <w:spacing w:line="360" w:lineRule="auto"/>
        <w:jc w:val="center"/>
        <w:rPr>
          <w:rFonts w:ascii="方正小标宋简体" w:hAnsi="方正小标宋简体" w:eastAsia="方正小标宋简体" w:cs="方正小标宋简体"/>
          <w:b/>
          <w:sz w:val="44"/>
          <w:szCs w:val="44"/>
          <w:lang w:eastAsia="zh-CN"/>
        </w:rPr>
      </w:pPr>
      <w:r>
        <w:rPr>
          <w:rFonts w:hint="eastAsia" w:ascii="Times New Roman" w:hAnsi="Times New Roman" w:cs="Times New Roman"/>
          <w:b/>
          <w:sz w:val="36"/>
          <w:szCs w:val="36"/>
          <w:lang w:eastAsia="zh-CN"/>
        </w:rPr>
        <w:t xml:space="preserve">      </w:t>
      </w:r>
      <w:r>
        <w:rPr>
          <w:rFonts w:hint="eastAsia" w:ascii="方正小标宋简体" w:hAnsi="方正小标宋简体" w:eastAsia="方正小标宋简体" w:cs="方正小标宋简体"/>
          <w:b/>
          <w:sz w:val="44"/>
          <w:szCs w:val="44"/>
          <w:lang w:eastAsia="zh-CN"/>
        </w:rPr>
        <w:t>福建福海创石油化工有限公司</w:t>
      </w:r>
    </w:p>
    <w:p>
      <w:pPr>
        <w:adjustRightInd w:val="0"/>
        <w:spacing w:line="360" w:lineRule="auto"/>
        <w:jc w:val="center"/>
        <w:rPr>
          <w:b/>
          <w:sz w:val="44"/>
          <w:szCs w:val="44"/>
          <w:lang w:eastAsia="zh-CN"/>
        </w:rPr>
      </w:pPr>
    </w:p>
    <w:p>
      <w:pPr>
        <w:jc w:val="center"/>
        <w:rPr>
          <w:b/>
          <w:sz w:val="36"/>
          <w:szCs w:val="36"/>
          <w:lang w:eastAsia="zh-CN"/>
        </w:rPr>
      </w:pPr>
      <w:r>
        <w:rPr>
          <w:rFonts w:hint="eastAsia"/>
          <w:b/>
          <w:sz w:val="36"/>
          <w:szCs w:val="36"/>
          <w:lang w:eastAsia="zh-CN"/>
        </w:rPr>
        <w:t>2022、2023年压力容器、压力管道定期检验</w:t>
      </w:r>
    </w:p>
    <w:p>
      <w:pPr>
        <w:jc w:val="center"/>
        <w:rPr>
          <w:b/>
          <w:sz w:val="36"/>
          <w:szCs w:val="36"/>
          <w:lang w:eastAsia="zh-CN"/>
        </w:rPr>
      </w:pPr>
    </w:p>
    <w:p>
      <w:pPr>
        <w:adjustRightInd w:val="0"/>
        <w:spacing w:line="360" w:lineRule="auto"/>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6"/>
          <w:lang w:eastAsia="zh-CN"/>
        </w:rPr>
      </w:pPr>
    </w:p>
    <w:p>
      <w:pPr>
        <w:pStyle w:val="12"/>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2"/>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hint="eastAsia" w:ascii="Times New Roman" w:hAnsi="Times New Roman"/>
          <w:b/>
          <w:bCs/>
          <w:w w:val="95"/>
          <w:sz w:val="32"/>
          <w:lang w:val="en-US" w:eastAsia="zh-CN"/>
        </w:rPr>
        <w:t>22</w:t>
      </w:r>
      <w:r>
        <w:rPr>
          <w:rFonts w:ascii="Times New Roman" w:hAnsi="Times New Roman"/>
          <w:b/>
          <w:bCs/>
          <w:w w:val="95"/>
          <w:sz w:val="32"/>
          <w:lang w:eastAsia="zh-CN"/>
        </w:rPr>
        <w:t>年</w:t>
      </w:r>
      <w:r>
        <w:rPr>
          <w:rFonts w:hint="eastAsia" w:ascii="Times New Roman" w:hAnsi="Times New Roman"/>
          <w:b/>
          <w:bCs/>
          <w:w w:val="95"/>
          <w:sz w:val="32"/>
          <w:lang w:eastAsia="zh-CN"/>
        </w:rPr>
        <w:t xml:space="preserve">  </w:t>
      </w:r>
      <w:r>
        <w:rPr>
          <w:rFonts w:ascii="Times New Roman" w:hAnsi="Times New Roman"/>
          <w:b/>
          <w:bCs/>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3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p>
    <w:p>
      <w:pPr>
        <w:pStyle w:val="3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2、参选文件均需A4纸打印或用不褪色墨水书写，由参选人的法定代表人按规定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30"/>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参选文件正本必须逐页或骑缝加盖参选人公章或由法人代表逐页签字方视为有效。</w:t>
      </w:r>
    </w:p>
    <w:p>
      <w:pPr>
        <w:pStyle w:val="30"/>
        <w:spacing w:beforeLines="0" w:afterLines="0" w:line="240" w:lineRule="auto"/>
        <w:rPr>
          <w:rFonts w:cs="Times New Roman"/>
          <w:b/>
          <w:color w:val="C00000"/>
          <w:lang w:eastAsia="zh-CN"/>
        </w:rPr>
      </w:pPr>
      <w:r>
        <w:rPr>
          <w:rFonts w:hint="eastAsia" w:cs="Times New Roman"/>
          <w:bCs w:val="0"/>
          <w:color w:val="C00000"/>
          <w:lang w:eastAsia="zh-CN"/>
        </w:rPr>
        <w:t>4、每包参选文件的应分别装订成册，不得采用活页夹，</w:t>
      </w:r>
      <w:r>
        <w:rPr>
          <w:rFonts w:hint="eastAsia" w:cs="Times New Roman"/>
          <w:b/>
          <w:color w:val="C00000"/>
          <w:lang w:eastAsia="zh-CN"/>
        </w:rPr>
        <w:t>需装订或胶装，否则为无效参选文件。参选文件应编制目录，并且逐页标注连续页码。</w:t>
      </w:r>
    </w:p>
    <w:p>
      <w:pPr>
        <w:pStyle w:val="3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5、以下文件中空格部分，请各参选单位根据实际情况填写后，修改为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30"/>
        <w:spacing w:beforeLines="0" w:afterLines="0" w:line="240" w:lineRule="auto"/>
        <w:ind w:firstLine="559" w:firstLineChars="199"/>
        <w:rPr>
          <w:rFonts w:cs="Times New Roman"/>
          <w:b/>
          <w:color w:val="C00000"/>
          <w:lang w:eastAsia="zh-CN"/>
        </w:rPr>
      </w:pPr>
      <w:r>
        <w:rPr>
          <w:rFonts w:hint="eastAsia" w:cs="Times New Roman"/>
          <w:b/>
          <w:color w:val="C00000"/>
          <w:lang w:eastAsia="zh-CN"/>
        </w:rPr>
        <w:t>6、以下文件中红色字体部分，打印时请删除。</w:t>
      </w:r>
    </w:p>
    <w:p>
      <w:pPr>
        <w:pStyle w:val="30"/>
        <w:spacing w:beforeLines="0" w:afterLines="0" w:line="240" w:lineRule="auto"/>
        <w:ind w:firstLine="621" w:firstLineChars="221"/>
        <w:rPr>
          <w:b/>
          <w:sz w:val="44"/>
          <w:szCs w:val="44"/>
          <w:lang w:eastAsia="zh-CN"/>
        </w:rPr>
      </w:pPr>
      <w:r>
        <w:rPr>
          <w:rFonts w:hint="eastAsia" w:cs="Times New Roman"/>
          <w:b/>
          <w:color w:val="C00000"/>
          <w:lang w:eastAsia="zh-CN"/>
        </w:rPr>
        <w:t>※参选文件，封口处需盖章，如用快递送达，需密封完后再装入快递袋中，未按规定密封，造成误拆投标文件不承担责任。在外层包封上应写明参选项目名称与地址、联络人与电话。</w:t>
      </w:r>
      <w:r>
        <w:rPr>
          <w:b/>
          <w:sz w:val="44"/>
          <w:szCs w:val="44"/>
          <w:lang w:eastAsia="zh-CN"/>
        </w:rPr>
        <w:br w:type="page"/>
      </w:r>
    </w:p>
    <w:p>
      <w:pPr>
        <w:spacing w:line="1000" w:lineRule="exact"/>
        <w:jc w:val="center"/>
        <w:rPr>
          <w:b/>
          <w:sz w:val="44"/>
          <w:szCs w:val="44"/>
          <w:lang w:eastAsia="zh-CN"/>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20"/>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sz w:val="24"/>
              </w:rPr>
              <w:t>1</w:t>
            </w:r>
          </w:p>
        </w:tc>
        <w:tc>
          <w:tcPr>
            <w:tcW w:w="6027" w:type="dxa"/>
          </w:tcPr>
          <w:p>
            <w:pPr>
              <w:spacing w:line="500" w:lineRule="exact"/>
              <w:rPr>
                <w:rFonts w:hint="default" w:eastAsia="宋体"/>
                <w:sz w:val="24"/>
                <w:lang w:val="en-US" w:eastAsia="zh-CN"/>
              </w:rPr>
            </w:pPr>
            <w:r>
              <w:rPr>
                <w:rFonts w:hint="eastAsia"/>
                <w:sz w:val="24"/>
              </w:rPr>
              <w:t>法定代表人</w:t>
            </w:r>
            <w:r>
              <w:rPr>
                <w:rFonts w:hint="eastAsia"/>
                <w:sz w:val="24"/>
                <w:lang w:val="en-US" w:eastAsia="zh-CN"/>
              </w:rPr>
              <w:t>身份证复印件</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sz w:val="24"/>
              </w:rPr>
              <w:t>2</w:t>
            </w:r>
          </w:p>
        </w:tc>
        <w:tc>
          <w:tcPr>
            <w:tcW w:w="6027" w:type="dxa"/>
          </w:tcPr>
          <w:p>
            <w:pPr>
              <w:spacing w:line="500" w:lineRule="exact"/>
              <w:rPr>
                <w:sz w:val="24"/>
                <w:lang w:eastAsia="zh-CN"/>
              </w:rPr>
            </w:pPr>
            <w:r>
              <w:rPr>
                <w:rFonts w:hint="eastAsia"/>
                <w:sz w:val="24"/>
                <w:lang w:eastAsia="zh-CN"/>
              </w:rPr>
              <w:t>营业执照</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7" w:type="dxa"/>
          </w:tcPr>
          <w:p>
            <w:pPr>
              <w:spacing w:line="500" w:lineRule="exact"/>
              <w:rPr>
                <w:sz w:val="24"/>
                <w:lang w:eastAsia="zh-CN"/>
              </w:rPr>
            </w:pPr>
            <w:r>
              <w:rPr>
                <w:rFonts w:hint="eastAsia"/>
                <w:sz w:val="24"/>
                <w:lang w:eastAsia="zh-CN"/>
              </w:rPr>
              <w:t>资质证书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4</w:t>
            </w:r>
          </w:p>
        </w:tc>
        <w:tc>
          <w:tcPr>
            <w:tcW w:w="6027" w:type="dxa"/>
          </w:tcPr>
          <w:p>
            <w:pPr>
              <w:spacing w:line="500" w:lineRule="exact"/>
              <w:rPr>
                <w:sz w:val="24"/>
                <w:lang w:eastAsia="zh-CN"/>
              </w:rPr>
            </w:pPr>
            <w:r>
              <w:rPr>
                <w:rFonts w:hint="eastAsia"/>
                <w:sz w:val="24"/>
              </w:rPr>
              <w:t>其他</w:t>
            </w:r>
            <w:r>
              <w:rPr>
                <w:rFonts w:hint="eastAsia"/>
                <w:sz w:val="24"/>
                <w:lang w:eastAsia="zh-CN"/>
              </w:rPr>
              <w:t>需说明问题</w:t>
            </w:r>
          </w:p>
        </w:tc>
        <w:tc>
          <w:tcPr>
            <w:tcW w:w="1363" w:type="dxa"/>
          </w:tcPr>
          <w:p>
            <w:pPr>
              <w:spacing w:line="500" w:lineRule="exact"/>
              <w:jc w:val="center"/>
              <w:rPr>
                <w:sz w:val="24"/>
              </w:rPr>
            </w:pPr>
          </w:p>
        </w:tc>
      </w:tr>
    </w:tbl>
    <w:p>
      <w:pPr>
        <w:spacing w:line="500" w:lineRule="exact"/>
        <w:jc w:val="center"/>
        <w:rPr>
          <w:b/>
          <w:bCs/>
          <w:sz w:val="24"/>
          <w:lang w:eastAsia="zh-CN"/>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spacing w:line="500" w:lineRule="exact"/>
        <w:jc w:val="center"/>
        <w:rPr>
          <w:b/>
          <w:bCs/>
          <w:sz w:val="36"/>
          <w:szCs w:val="36"/>
          <w:lang w:eastAsia="zh-CN"/>
        </w:rPr>
      </w:pPr>
    </w:p>
    <w:p>
      <w:pPr>
        <w:widowControl/>
        <w:autoSpaceDE/>
        <w:autoSpaceDN/>
        <w:rPr>
          <w:b/>
          <w:bCs/>
          <w:sz w:val="36"/>
          <w:szCs w:val="36"/>
          <w:lang w:eastAsia="zh-CN"/>
        </w:rPr>
      </w:pPr>
      <w:r>
        <w:rPr>
          <w:b/>
          <w:bCs/>
          <w:sz w:val="36"/>
          <w:szCs w:val="36"/>
          <w:lang w:eastAsia="zh-CN"/>
        </w:rPr>
        <w:br w:type="page"/>
      </w:r>
    </w:p>
    <w:p>
      <w:pPr>
        <w:spacing w:line="500" w:lineRule="exact"/>
        <w:jc w:val="both"/>
        <w:rPr>
          <w:b/>
          <w:bCs/>
          <w:sz w:val="36"/>
          <w:szCs w:val="36"/>
          <w:lang w:eastAsia="zh-CN"/>
        </w:rPr>
      </w:pPr>
    </w:p>
    <w:p>
      <w:pPr>
        <w:pStyle w:val="11"/>
        <w:ind w:left="0" w:leftChars="0"/>
        <w:jc w:val="center"/>
        <w:rPr>
          <w:rFonts w:hint="eastAsia"/>
          <w:b/>
          <w:bCs/>
          <w:sz w:val="36"/>
          <w:szCs w:val="36"/>
          <w:lang w:val="en-US" w:eastAsia="zh-CN"/>
        </w:rPr>
      </w:pPr>
      <w:r>
        <w:rPr>
          <w:rFonts w:hint="eastAsia"/>
          <w:b/>
          <w:bCs/>
          <w:sz w:val="36"/>
          <w:szCs w:val="36"/>
          <w:lang w:eastAsia="zh-CN"/>
        </w:rPr>
        <w:t>法定代表人</w:t>
      </w:r>
      <w:r>
        <w:rPr>
          <w:rFonts w:hint="eastAsia"/>
          <w:b/>
          <w:bCs/>
          <w:sz w:val="36"/>
          <w:szCs w:val="36"/>
          <w:lang w:val="en-US" w:eastAsia="zh-CN"/>
        </w:rPr>
        <w:t>身份证复印件</w:t>
      </w:r>
    </w:p>
    <w:p>
      <w:pPr>
        <w:pStyle w:val="11"/>
        <w:ind w:left="0" w:leftChars="0"/>
        <w:jc w:val="center"/>
        <w:rPr>
          <w:rFonts w:hint="eastAsia"/>
          <w:b/>
          <w:bCs/>
          <w:sz w:val="36"/>
          <w:szCs w:val="36"/>
          <w:lang w:val="en-US" w:eastAsia="zh-CN"/>
        </w:rPr>
      </w:pPr>
    </w:p>
    <w:p>
      <w:pPr>
        <w:pStyle w:val="11"/>
        <w:ind w:left="0" w:leftChars="0"/>
        <w:jc w:val="center"/>
        <w:rPr>
          <w:rFonts w:hint="eastAsia"/>
          <w:b/>
          <w:bCs/>
          <w:sz w:val="36"/>
          <w:szCs w:val="36"/>
          <w:lang w:val="en-US" w:eastAsia="zh-CN"/>
        </w:rPr>
      </w:pPr>
    </w:p>
    <w:p>
      <w:pPr>
        <w:pStyle w:val="11"/>
        <w:ind w:left="0" w:leftChars="0"/>
        <w:jc w:val="center"/>
        <w:rPr>
          <w:rFonts w:hint="eastAsia"/>
          <w:b/>
          <w:bCs/>
          <w:sz w:val="36"/>
          <w:szCs w:val="36"/>
          <w:lang w:val="en-US" w:eastAsia="zh-CN"/>
        </w:rPr>
      </w:pPr>
    </w:p>
    <w:p>
      <w:pPr>
        <w:pStyle w:val="11"/>
        <w:ind w:left="0" w:leftChars="0"/>
        <w:jc w:val="center"/>
        <w:rPr>
          <w:rFonts w:hint="eastAsia"/>
          <w:b/>
          <w:bCs/>
          <w:sz w:val="36"/>
          <w:szCs w:val="36"/>
          <w:lang w:val="en-US" w:eastAsia="zh-CN"/>
        </w:rPr>
      </w:pPr>
    </w:p>
    <w:p>
      <w:pPr>
        <w:pStyle w:val="11"/>
        <w:ind w:left="0" w:leftChars="0"/>
        <w:jc w:val="center"/>
        <w:rPr>
          <w:rFonts w:hint="eastAsia"/>
          <w:b/>
          <w:bCs/>
          <w:sz w:val="36"/>
          <w:szCs w:val="36"/>
          <w:lang w:val="en-US" w:eastAsia="zh-CN"/>
        </w:rPr>
      </w:pPr>
    </w:p>
    <w:p>
      <w:pPr>
        <w:pStyle w:val="11"/>
        <w:ind w:left="0" w:leftChars="0"/>
        <w:jc w:val="center"/>
        <w:rPr>
          <w:rFonts w:hint="default"/>
          <w:b/>
          <w:bCs/>
          <w:sz w:val="36"/>
          <w:szCs w:val="36"/>
          <w:lang w:val="en-US" w:eastAsia="zh-CN"/>
        </w:rPr>
      </w:pPr>
    </w:p>
    <w:p>
      <w:pPr>
        <w:pStyle w:val="11"/>
        <w:ind w:left="0" w:leftChars="0"/>
        <w:jc w:val="center"/>
        <w:rPr>
          <w:rFonts w:hint="eastAsia"/>
          <w:b/>
          <w:bCs/>
          <w:sz w:val="36"/>
          <w:szCs w:val="36"/>
          <w:lang w:eastAsia="zh-CN"/>
        </w:rPr>
      </w:pPr>
    </w:p>
    <w:p>
      <w:pPr>
        <w:pStyle w:val="11"/>
        <w:ind w:left="0" w:leftChars="0"/>
        <w:jc w:val="center"/>
        <w:rPr>
          <w:rFonts w:hint="eastAsia"/>
          <w:b/>
          <w:bCs/>
          <w:sz w:val="36"/>
          <w:szCs w:val="36"/>
          <w:lang w:eastAsia="zh-CN"/>
        </w:rPr>
      </w:pPr>
    </w:p>
    <w:p>
      <w:pPr>
        <w:pStyle w:val="11"/>
        <w:ind w:left="0" w:leftChars="0"/>
        <w:jc w:val="center"/>
        <w:rPr>
          <w:rFonts w:hint="eastAsia"/>
          <w:b/>
          <w:bCs/>
          <w:sz w:val="36"/>
          <w:szCs w:val="36"/>
          <w:lang w:eastAsia="zh-CN"/>
        </w:rPr>
      </w:pPr>
    </w:p>
    <w:p>
      <w:pPr>
        <w:pStyle w:val="11"/>
        <w:ind w:left="0" w:leftChars="0"/>
        <w:jc w:val="center"/>
        <w:rPr>
          <w:rFonts w:hint="eastAsia"/>
          <w:b/>
          <w:bCs/>
          <w:sz w:val="36"/>
          <w:szCs w:val="36"/>
          <w:lang w:eastAsia="zh-CN"/>
        </w:rPr>
      </w:pPr>
    </w:p>
    <w:p>
      <w:pPr>
        <w:pStyle w:val="11"/>
        <w:ind w:left="0" w:leftChars="0"/>
        <w:jc w:val="center"/>
        <w:rPr>
          <w:rFonts w:hint="eastAsia"/>
          <w:b/>
          <w:bCs/>
          <w:sz w:val="36"/>
          <w:szCs w:val="36"/>
          <w:lang w:eastAsia="zh-CN"/>
        </w:rPr>
      </w:pPr>
    </w:p>
    <w:p>
      <w:pPr>
        <w:pStyle w:val="11"/>
        <w:ind w:left="0" w:leftChars="0"/>
        <w:jc w:val="center"/>
        <w:rPr>
          <w:rFonts w:hint="eastAsia"/>
          <w:b/>
          <w:bCs/>
          <w:sz w:val="36"/>
          <w:szCs w:val="36"/>
          <w:lang w:eastAsia="zh-CN"/>
        </w:rPr>
      </w:pPr>
    </w:p>
    <w:p>
      <w:pPr>
        <w:pStyle w:val="11"/>
        <w:ind w:left="0" w:leftChars="0"/>
        <w:jc w:val="center"/>
        <w:rPr>
          <w:rFonts w:hint="eastAsia"/>
          <w:b/>
          <w:bCs/>
          <w:sz w:val="36"/>
          <w:szCs w:val="36"/>
          <w:lang w:eastAsia="zh-CN"/>
        </w:rPr>
      </w:pPr>
    </w:p>
    <w:p>
      <w:pPr>
        <w:pStyle w:val="11"/>
        <w:ind w:left="0" w:leftChars="0"/>
        <w:jc w:val="center"/>
        <w:rPr>
          <w:rFonts w:hint="eastAsia"/>
          <w:b/>
          <w:bCs/>
          <w:sz w:val="36"/>
          <w:szCs w:val="36"/>
          <w:lang w:eastAsia="zh-CN"/>
        </w:rPr>
      </w:pPr>
    </w:p>
    <w:p>
      <w:pPr>
        <w:pStyle w:val="11"/>
        <w:ind w:left="0" w:leftChars="0"/>
        <w:jc w:val="center"/>
        <w:rPr>
          <w:rFonts w:hint="eastAsia"/>
          <w:b/>
          <w:bCs/>
          <w:sz w:val="36"/>
          <w:szCs w:val="36"/>
          <w:lang w:eastAsia="zh-CN"/>
        </w:rPr>
      </w:pPr>
    </w:p>
    <w:p>
      <w:pPr>
        <w:pStyle w:val="11"/>
        <w:ind w:left="0" w:leftChars="0"/>
        <w:jc w:val="center"/>
        <w:rPr>
          <w:rFonts w:hint="eastAsia"/>
          <w:b/>
          <w:bCs/>
          <w:sz w:val="36"/>
          <w:szCs w:val="36"/>
          <w:lang w:eastAsia="zh-CN"/>
        </w:rPr>
      </w:pPr>
    </w:p>
    <w:p>
      <w:pPr>
        <w:pStyle w:val="11"/>
        <w:ind w:left="0" w:leftChars="0"/>
        <w:jc w:val="center"/>
        <w:rPr>
          <w:rFonts w:hint="eastAsia"/>
          <w:b/>
          <w:bCs/>
          <w:sz w:val="36"/>
          <w:szCs w:val="36"/>
          <w:lang w:eastAsia="zh-CN"/>
        </w:rPr>
      </w:pPr>
    </w:p>
    <w:p>
      <w:pPr>
        <w:pStyle w:val="11"/>
        <w:ind w:left="0" w:leftChars="0"/>
        <w:jc w:val="center"/>
        <w:rPr>
          <w:rFonts w:hint="eastAsia"/>
          <w:b/>
          <w:bCs/>
          <w:sz w:val="36"/>
          <w:szCs w:val="36"/>
          <w:lang w:eastAsia="zh-CN"/>
        </w:rPr>
      </w:pPr>
    </w:p>
    <w:p>
      <w:pPr>
        <w:pStyle w:val="11"/>
        <w:ind w:left="0" w:leftChars="0"/>
        <w:jc w:val="center"/>
        <w:rPr>
          <w:rFonts w:ascii="Times New Roman" w:hAnsi="Times New Roman"/>
          <w:b/>
          <w:bCs/>
          <w:kern w:val="2"/>
          <w:sz w:val="36"/>
          <w:szCs w:val="36"/>
        </w:rPr>
      </w:pPr>
      <w:r>
        <w:rPr>
          <w:rFonts w:hint="eastAsia"/>
          <w:b/>
          <w:bCs/>
          <w:sz w:val="36"/>
          <w:szCs w:val="36"/>
          <w:lang w:eastAsia="zh-CN"/>
        </w:rPr>
        <w:t>营业执照复印件</w:t>
      </w:r>
    </w:p>
    <w:p>
      <w:pPr>
        <w:pStyle w:val="30"/>
        <w:spacing w:beforeLines="0" w:afterLines="0" w:line="240" w:lineRule="auto"/>
        <w:rPr>
          <w:rFonts w:cs="Times New Roman"/>
          <w:bCs w:val="0"/>
          <w:lang w:eastAsia="zh-CN"/>
        </w:rPr>
      </w:pPr>
    </w:p>
    <w:p>
      <w:pPr>
        <w:pStyle w:val="30"/>
        <w:spacing w:beforeLines="0" w:afterLines="0" w:line="240" w:lineRule="auto"/>
        <w:rPr>
          <w:rFonts w:cs="Times New Roman"/>
          <w:bCs w:val="0"/>
          <w:lang w:eastAsia="zh-CN"/>
        </w:rPr>
      </w:pPr>
    </w:p>
    <w:p>
      <w:pPr>
        <w:pStyle w:val="30"/>
        <w:spacing w:beforeLines="0" w:afterLines="0" w:line="240" w:lineRule="auto"/>
        <w:rPr>
          <w:rFonts w:cs="Times New Roman"/>
          <w:bCs w:val="0"/>
          <w:lang w:eastAsia="zh-CN"/>
        </w:rPr>
      </w:pPr>
    </w:p>
    <w:p>
      <w:pPr>
        <w:pStyle w:val="30"/>
        <w:spacing w:beforeLines="0" w:afterLines="0" w:line="240" w:lineRule="auto"/>
        <w:rPr>
          <w:rFonts w:cs="Times New Roman"/>
          <w:bCs w:val="0"/>
          <w:lang w:eastAsia="zh-CN"/>
        </w:rPr>
      </w:pPr>
    </w:p>
    <w:p>
      <w:pPr>
        <w:pStyle w:val="30"/>
        <w:spacing w:beforeLines="0" w:afterLines="0" w:line="240" w:lineRule="auto"/>
        <w:rPr>
          <w:rFonts w:cs="Times New Roman"/>
          <w:bCs w:val="0"/>
          <w:lang w:eastAsia="zh-CN"/>
        </w:rPr>
      </w:pPr>
    </w:p>
    <w:p>
      <w:pPr>
        <w:pStyle w:val="30"/>
        <w:spacing w:beforeLines="0" w:afterLines="0" w:line="240" w:lineRule="auto"/>
        <w:rPr>
          <w:rFonts w:cs="Times New Roman"/>
          <w:bCs w:val="0"/>
          <w:lang w:eastAsia="zh-CN"/>
        </w:rPr>
      </w:pPr>
    </w:p>
    <w:p>
      <w:pPr>
        <w:pStyle w:val="30"/>
        <w:spacing w:beforeLines="0" w:afterLines="0" w:line="240" w:lineRule="auto"/>
        <w:rPr>
          <w:rFonts w:cs="Times New Roman"/>
          <w:bCs w:val="0"/>
          <w:lang w:eastAsia="zh-CN"/>
        </w:rPr>
      </w:pPr>
    </w:p>
    <w:p>
      <w:pPr>
        <w:pStyle w:val="30"/>
        <w:spacing w:beforeLines="0" w:afterLines="0" w:line="240" w:lineRule="auto"/>
        <w:rPr>
          <w:rFonts w:cs="Times New Roman"/>
          <w:bCs w:val="0"/>
          <w:lang w:eastAsia="zh-CN"/>
        </w:rPr>
      </w:pPr>
    </w:p>
    <w:p>
      <w:pPr>
        <w:pStyle w:val="30"/>
        <w:spacing w:beforeLines="0" w:afterLines="0" w:line="240" w:lineRule="auto"/>
        <w:rPr>
          <w:rFonts w:cs="Times New Roman"/>
          <w:bCs w:val="0"/>
          <w:lang w:eastAsia="zh-CN"/>
        </w:rPr>
      </w:pPr>
    </w:p>
    <w:p>
      <w:pPr>
        <w:pStyle w:val="30"/>
        <w:spacing w:beforeLines="0" w:afterLines="0" w:line="240" w:lineRule="auto"/>
        <w:rPr>
          <w:rFonts w:cs="Times New Roman"/>
          <w:bCs w:val="0"/>
          <w:lang w:eastAsia="zh-CN"/>
        </w:rPr>
      </w:pPr>
    </w:p>
    <w:p>
      <w:pPr>
        <w:pStyle w:val="30"/>
        <w:spacing w:beforeLines="0" w:afterLines="0" w:line="240" w:lineRule="auto"/>
        <w:rPr>
          <w:rFonts w:cs="Times New Roman"/>
          <w:bCs w:val="0"/>
          <w:lang w:eastAsia="zh-CN"/>
        </w:rPr>
      </w:pPr>
    </w:p>
    <w:p>
      <w:pPr>
        <w:pStyle w:val="30"/>
        <w:spacing w:beforeLines="0" w:afterLines="0" w:line="240" w:lineRule="auto"/>
        <w:rPr>
          <w:rFonts w:cs="Times New Roman"/>
          <w:bCs w:val="0"/>
          <w:lang w:eastAsia="zh-CN"/>
        </w:rPr>
      </w:pPr>
    </w:p>
    <w:p>
      <w:pPr>
        <w:widowControl/>
        <w:autoSpaceDE/>
        <w:autoSpaceDN/>
        <w:rPr>
          <w:rFonts w:ascii="Times New Roman" w:hAnsi="Times New Roman" w:cs="Times New Roman"/>
          <w:b/>
          <w:bCs/>
          <w:sz w:val="36"/>
          <w:szCs w:val="36"/>
          <w:lang w:eastAsia="zh-CN"/>
        </w:rPr>
      </w:pPr>
    </w:p>
    <w:p>
      <w:pPr>
        <w:widowControl/>
        <w:autoSpaceDE/>
        <w:autoSpaceDN/>
        <w:jc w:val="center"/>
        <w:rPr>
          <w:rFonts w:ascii="Times New Roman" w:hAnsi="Times New Roman" w:cs="Times New Roman"/>
          <w:b/>
          <w:sz w:val="36"/>
          <w:szCs w:val="36"/>
          <w:lang w:eastAsia="zh-CN"/>
        </w:rPr>
      </w:pPr>
      <w:r>
        <w:rPr>
          <w:rFonts w:hint="eastAsia"/>
          <w:sz w:val="24"/>
          <w:lang w:eastAsia="zh-CN"/>
        </w:rPr>
        <w:t>检验资质复印件</w:t>
      </w:r>
    </w:p>
    <w:p>
      <w:pPr>
        <w:widowControl/>
        <w:autoSpaceDE/>
        <w:autoSpaceDN/>
        <w:rPr>
          <w:rFonts w:hAnsi="Calibri" w:cs="Times New Roman"/>
          <w:sz w:val="34"/>
          <w:lang w:eastAsia="zh-CN"/>
        </w:rPr>
      </w:pPr>
      <w:r>
        <w:rPr>
          <w:lang w:eastAsia="zh-CN"/>
        </w:rPr>
        <w:br w:type="page"/>
      </w:r>
    </w:p>
    <w:p>
      <w:pPr>
        <w:widowControl/>
        <w:autoSpaceDE/>
        <w:autoSpaceDN/>
        <w:rPr>
          <w:rFonts w:ascii="Times New Roman" w:hAnsi="Times New Roman" w:cs="Times New Roman"/>
          <w:b/>
          <w:bCs/>
          <w:sz w:val="36"/>
          <w:szCs w:val="36"/>
          <w:lang w:eastAsia="zh-CN"/>
        </w:rPr>
      </w:pPr>
    </w:p>
    <w:p>
      <w:pPr>
        <w:pStyle w:val="12"/>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spacing w:line="360" w:lineRule="auto"/>
        <w:ind w:firstLine="723" w:firstLineChars="200"/>
        <w:jc w:val="center"/>
        <w:rPr>
          <w:b/>
          <w:sz w:val="36"/>
          <w:szCs w:val="36"/>
          <w:lang w:eastAsia="zh-CN"/>
        </w:rPr>
      </w:pPr>
    </w:p>
    <w:p>
      <w:pPr>
        <w:jc w:val="center"/>
        <w:rPr>
          <w:rFonts w:ascii="方正小标宋简体" w:hAnsi="方正小标宋简体" w:eastAsia="方正小标宋简体" w:cs="方正小标宋简体"/>
          <w:b/>
          <w:sz w:val="44"/>
          <w:szCs w:val="44"/>
          <w:lang w:eastAsia="zh-CN"/>
        </w:rPr>
      </w:pPr>
      <w:r>
        <w:rPr>
          <w:rFonts w:hint="eastAsia"/>
          <w:b/>
          <w:sz w:val="36"/>
          <w:szCs w:val="36"/>
          <w:lang w:eastAsia="zh-CN"/>
        </w:rPr>
        <w:t>2022、2023年压力容器、压力管道定期检验</w:t>
      </w:r>
      <w:r>
        <w:rPr>
          <w:rFonts w:hint="eastAsia" w:ascii="方正小标宋简体" w:hAnsi="方正小标宋简体" w:eastAsia="方正小标宋简体" w:cs="方正小标宋简体"/>
          <w:b/>
          <w:sz w:val="44"/>
          <w:szCs w:val="44"/>
          <w:lang w:eastAsia="zh-CN"/>
        </w:rPr>
        <w:t>项目</w:t>
      </w:r>
    </w:p>
    <w:p>
      <w:pPr>
        <w:spacing w:line="1000" w:lineRule="exact"/>
        <w:jc w:val="center"/>
        <w:rPr>
          <w:b/>
          <w:sz w:val="44"/>
          <w:szCs w:val="44"/>
          <w:lang w:eastAsia="zh-CN"/>
        </w:rPr>
      </w:pPr>
    </w:p>
    <w:p>
      <w:pPr>
        <w:spacing w:line="1000" w:lineRule="exact"/>
        <w:jc w:val="center"/>
        <w:rPr>
          <w:b/>
          <w:sz w:val="44"/>
          <w:szCs w:val="44"/>
          <w:lang w:eastAsia="zh-CN"/>
        </w:rPr>
      </w:pPr>
    </w:p>
    <w:p>
      <w:pPr>
        <w:pStyle w:val="30"/>
        <w:spacing w:beforeLines="0" w:afterLines="0" w:line="240" w:lineRule="auto"/>
        <w:ind w:firstLine="2209" w:firstLineChars="500"/>
        <w:rPr>
          <w:rFonts w:ascii="黑体" w:eastAsia="黑体"/>
          <w:sz w:val="32"/>
          <w:szCs w:val="32"/>
          <w:lang w:eastAsia="zh-CN"/>
        </w:rPr>
      </w:pPr>
      <w:r>
        <w:rPr>
          <w:rFonts w:hint="eastAsia"/>
          <w:b/>
          <w:sz w:val="44"/>
          <w:szCs w:val="44"/>
          <w:lang w:eastAsia="zh-CN"/>
        </w:rPr>
        <w:t>参选</w:t>
      </w:r>
      <w:r>
        <w:rPr>
          <w:b/>
          <w:sz w:val="44"/>
          <w:szCs w:val="44"/>
          <w:lang w:eastAsia="zh-CN"/>
        </w:rPr>
        <w:t>文件</w:t>
      </w:r>
      <w:r>
        <w:rPr>
          <w:rFonts w:hint="eastAsia" w:ascii="黑体" w:eastAsia="黑体"/>
          <w:sz w:val="32"/>
          <w:szCs w:val="32"/>
          <w:lang w:eastAsia="zh-CN"/>
        </w:rPr>
        <w:t>(商务文件)</w:t>
      </w:r>
    </w:p>
    <w:p>
      <w:pPr>
        <w:pStyle w:val="30"/>
        <w:spacing w:beforeLines="0" w:afterLines="0" w:line="240" w:lineRule="auto"/>
        <w:ind w:firstLine="1600" w:firstLineChars="500"/>
        <w:rPr>
          <w:rFonts w:ascii="黑体" w:eastAsia="黑体"/>
          <w:sz w:val="32"/>
          <w:szCs w:val="32"/>
          <w:lang w:eastAsia="zh-CN"/>
        </w:rPr>
      </w:pPr>
    </w:p>
    <w:p>
      <w:pPr>
        <w:pStyle w:val="30"/>
        <w:spacing w:beforeLines="0" w:afterLines="0" w:line="240" w:lineRule="auto"/>
        <w:ind w:firstLine="1600" w:firstLineChars="500"/>
        <w:rPr>
          <w:rFonts w:ascii="黑体" w:eastAsia="黑体"/>
          <w:sz w:val="32"/>
          <w:szCs w:val="32"/>
          <w:lang w:eastAsia="zh-CN"/>
        </w:rPr>
      </w:pPr>
    </w:p>
    <w:p>
      <w:pPr>
        <w:pStyle w:val="30"/>
        <w:spacing w:beforeLines="0" w:afterLines="0" w:line="240" w:lineRule="auto"/>
        <w:ind w:firstLine="1600" w:firstLineChars="500"/>
        <w:rPr>
          <w:rFonts w:ascii="黑体" w:eastAsia="黑体"/>
          <w:sz w:val="32"/>
          <w:szCs w:val="32"/>
          <w:lang w:eastAsia="zh-CN"/>
        </w:rPr>
      </w:pPr>
    </w:p>
    <w:p>
      <w:pPr>
        <w:pStyle w:val="30"/>
        <w:spacing w:beforeLines="0" w:afterLines="0" w:line="240" w:lineRule="auto"/>
        <w:ind w:firstLine="1600" w:firstLineChars="500"/>
        <w:rPr>
          <w:rFonts w:ascii="黑体" w:eastAsia="黑体"/>
          <w:sz w:val="32"/>
          <w:szCs w:val="32"/>
          <w:lang w:eastAsia="zh-CN"/>
        </w:rPr>
      </w:pPr>
    </w:p>
    <w:p>
      <w:pPr>
        <w:pStyle w:val="30"/>
        <w:spacing w:beforeLines="0" w:afterLines="0" w:line="240" w:lineRule="auto"/>
        <w:ind w:firstLine="1526" w:firstLineChars="500"/>
        <w:rPr>
          <w:rFonts w:ascii="Times New Roman" w:hAnsi="Times New Roman"/>
          <w:b/>
          <w:bCs w:val="0"/>
          <w:w w:val="95"/>
          <w:sz w:val="32"/>
          <w:szCs w:val="32"/>
          <w:lang w:eastAsia="zh-CN"/>
        </w:rPr>
      </w:pPr>
    </w:p>
    <w:p>
      <w:pPr>
        <w:pStyle w:val="30"/>
        <w:spacing w:beforeLines="0" w:afterLines="0" w:line="240" w:lineRule="auto"/>
        <w:ind w:firstLine="1526" w:firstLineChars="500"/>
        <w:rPr>
          <w:rFonts w:ascii="Times New Roman" w:hAnsi="Times New Roman"/>
          <w:b/>
          <w:bCs w:val="0"/>
          <w:w w:val="95"/>
          <w:sz w:val="32"/>
          <w:szCs w:val="32"/>
          <w:lang w:eastAsia="zh-CN"/>
        </w:rPr>
      </w:pPr>
    </w:p>
    <w:p>
      <w:pPr>
        <w:pStyle w:val="30"/>
        <w:spacing w:beforeLines="0" w:afterLines="0" w:line="240" w:lineRule="auto"/>
        <w:ind w:firstLine="1526" w:firstLineChars="500"/>
        <w:rPr>
          <w:rFonts w:ascii="Times New Roman" w:hAnsi="Times New Roman"/>
          <w:b/>
          <w:bCs w:val="0"/>
          <w:w w:val="95"/>
          <w:sz w:val="32"/>
          <w:szCs w:val="32"/>
          <w:lang w:eastAsia="zh-CN"/>
        </w:rPr>
      </w:pPr>
    </w:p>
    <w:p>
      <w:pPr>
        <w:pStyle w:val="30"/>
        <w:spacing w:beforeLines="0" w:afterLines="0" w:line="240" w:lineRule="auto"/>
        <w:ind w:firstLine="1526" w:firstLineChars="500"/>
        <w:rPr>
          <w:rFonts w:ascii="Times New Roman" w:hAnsi="Times New Roman"/>
          <w:b/>
          <w:bCs w:val="0"/>
          <w:w w:val="95"/>
          <w:sz w:val="32"/>
          <w:szCs w:val="32"/>
          <w:lang w:eastAsia="zh-CN"/>
        </w:rPr>
      </w:pPr>
    </w:p>
    <w:p>
      <w:pPr>
        <w:pStyle w:val="30"/>
        <w:spacing w:beforeLines="0" w:afterLines="0" w:line="240" w:lineRule="auto"/>
        <w:ind w:firstLine="1526" w:firstLineChars="500"/>
        <w:rPr>
          <w:rFonts w:ascii="Times New Roman" w:hAnsi="Times New Roman"/>
          <w:b/>
          <w:bCs w:val="0"/>
          <w:w w:val="95"/>
          <w:sz w:val="32"/>
          <w:szCs w:val="32"/>
          <w:lang w:eastAsia="zh-CN"/>
        </w:rPr>
      </w:pPr>
    </w:p>
    <w:p>
      <w:pPr>
        <w:pStyle w:val="30"/>
        <w:spacing w:beforeLines="0" w:afterLines="0" w:line="240" w:lineRule="auto"/>
        <w:ind w:firstLine="1526" w:firstLineChars="500"/>
        <w:rPr>
          <w:rFonts w:ascii="Times New Roman" w:hAnsi="Times New Roman"/>
          <w:b/>
          <w:bCs w:val="0"/>
          <w:w w:val="95"/>
          <w:sz w:val="32"/>
          <w:szCs w:val="32"/>
          <w:lang w:eastAsia="zh-CN"/>
        </w:rPr>
      </w:pPr>
    </w:p>
    <w:p>
      <w:pPr>
        <w:pStyle w:val="30"/>
        <w:spacing w:beforeLines="0" w:afterLines="0" w:line="240" w:lineRule="auto"/>
        <w:ind w:firstLine="1526" w:firstLineChars="500"/>
        <w:rPr>
          <w:rFonts w:ascii="Times New Roman" w:hAnsi="Times New Roman"/>
          <w:b/>
          <w:bCs w:val="0"/>
          <w:sz w:val="32"/>
          <w:szCs w:val="32"/>
          <w:lang w:eastAsia="zh-CN"/>
        </w:rPr>
      </w:pPr>
      <w:r>
        <w:rPr>
          <w:rFonts w:hint="eastAsia" w:ascii="Times New Roman" w:hAnsi="Times New Roman"/>
          <w:b/>
          <w:bCs w:val="0"/>
          <w:w w:val="95"/>
          <w:sz w:val="32"/>
          <w:szCs w:val="32"/>
          <w:lang w:eastAsia="zh-CN"/>
        </w:rPr>
        <w:t>参选</w:t>
      </w:r>
      <w:r>
        <w:rPr>
          <w:rFonts w:ascii="Times New Roman" w:hAnsi="Times New Roman"/>
          <w:b/>
          <w:bCs w:val="0"/>
          <w:w w:val="95"/>
          <w:sz w:val="32"/>
          <w:szCs w:val="32"/>
          <w:lang w:eastAsia="zh-CN"/>
        </w:rPr>
        <w:t>人：</w:t>
      </w:r>
      <w:r>
        <w:rPr>
          <w:rFonts w:hint="eastAsia" w:ascii="Times New Roman" w:hAnsi="Times New Roman"/>
          <w:b/>
          <w:bCs w:val="0"/>
          <w:i/>
          <w:iCs/>
          <w:color w:val="C00000"/>
          <w:sz w:val="32"/>
          <w:szCs w:val="32"/>
          <w:lang w:eastAsia="zh-CN"/>
        </w:rPr>
        <w:t xml:space="preserve"> </w:t>
      </w:r>
      <w:r>
        <w:rPr>
          <w:rFonts w:hint="eastAsia" w:ascii="Times New Roman" w:hAnsi="Times New Roman"/>
          <w:b/>
          <w:bCs w:val="0"/>
          <w:i/>
          <w:iCs/>
          <w:color w:val="C00000"/>
          <w:sz w:val="32"/>
          <w:szCs w:val="32"/>
          <w:u w:val="single"/>
          <w:lang w:eastAsia="zh-CN"/>
        </w:rPr>
        <w:t>（打印时请取消下划线）</w:t>
      </w:r>
      <w:r>
        <w:rPr>
          <w:rFonts w:hint="eastAsia" w:ascii="Times New Roman" w:hAnsi="Times New Roman"/>
          <w:b/>
          <w:bCs w:val="0"/>
          <w:sz w:val="32"/>
          <w:szCs w:val="32"/>
          <w:lang w:eastAsia="zh-CN"/>
        </w:rPr>
        <w:t>有限公司</w:t>
      </w:r>
    </w:p>
    <w:p>
      <w:pPr>
        <w:widowControl/>
        <w:autoSpaceDE/>
        <w:autoSpaceDN/>
        <w:ind w:firstLine="2900" w:firstLineChars="950"/>
        <w:rPr>
          <w:rFonts w:ascii="黑体" w:eastAsia="黑体"/>
          <w:sz w:val="32"/>
          <w:szCs w:val="32"/>
          <w:lang w:eastAsia="zh-CN"/>
        </w:rPr>
      </w:pPr>
      <w:r>
        <w:rPr>
          <w:rFonts w:hint="eastAsia" w:ascii="Times New Roman" w:hAnsi="Times New Roman"/>
          <w:b/>
          <w:bCs/>
          <w:w w:val="95"/>
          <w:sz w:val="32"/>
          <w:lang w:eastAsia="zh-CN"/>
        </w:rPr>
        <w:t xml:space="preserve"> 20</w:t>
      </w:r>
      <w:r>
        <w:rPr>
          <w:rFonts w:hint="eastAsia" w:ascii="Times New Roman" w:hAnsi="Times New Roman"/>
          <w:b/>
          <w:bCs/>
          <w:w w:val="95"/>
          <w:sz w:val="32"/>
          <w:lang w:val="en-US" w:eastAsia="zh-CN"/>
        </w:rPr>
        <w:t>22</w:t>
      </w:r>
      <w:r>
        <w:rPr>
          <w:rFonts w:ascii="Times New Roman" w:hAnsi="Times New Roman"/>
          <w:b/>
          <w:bCs/>
          <w:w w:val="95"/>
          <w:sz w:val="32"/>
          <w:lang w:eastAsia="zh-CN"/>
        </w:rPr>
        <w:t>年</w:t>
      </w:r>
      <w:r>
        <w:rPr>
          <w:rFonts w:hint="eastAsia" w:ascii="Times New Roman" w:hAnsi="Times New Roman"/>
          <w:b/>
          <w:bCs/>
          <w:w w:val="95"/>
          <w:sz w:val="32"/>
          <w:lang w:eastAsia="zh-CN"/>
        </w:rPr>
        <w:t xml:space="preserve">  </w:t>
      </w:r>
      <w:r>
        <w:rPr>
          <w:rFonts w:ascii="Times New Roman" w:hAnsi="Times New Roman"/>
          <w:b/>
          <w:bCs/>
          <w:w w:val="95"/>
          <w:sz w:val="32"/>
          <w:lang w:eastAsia="zh-CN"/>
        </w:rPr>
        <w:t>月</w:t>
      </w:r>
    </w:p>
    <w:p>
      <w:pPr>
        <w:pStyle w:val="2"/>
      </w:pP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pStyle w:val="30"/>
        <w:spacing w:beforeLines="0" w:afterLines="0" w:line="240" w:lineRule="auto"/>
        <w:ind w:firstLine="3072" w:firstLineChars="85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目录</w:t>
      </w:r>
    </w:p>
    <w:tbl>
      <w:tblPr>
        <w:tblStyle w:val="20"/>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7" w:type="dxa"/>
          </w:tcPr>
          <w:p>
            <w:pPr>
              <w:spacing w:line="500" w:lineRule="exact"/>
              <w:rPr>
                <w:sz w:val="24"/>
                <w:lang w:eastAsia="zh-CN"/>
              </w:rPr>
            </w:pPr>
            <w:r>
              <w:rPr>
                <w:rFonts w:hint="eastAsia"/>
                <w:sz w:val="24"/>
                <w:lang w:eastAsia="zh-CN"/>
              </w:rPr>
              <w:t>偏离表（如有）</w:t>
            </w:r>
          </w:p>
        </w:tc>
        <w:tc>
          <w:tcPr>
            <w:tcW w:w="1363" w:type="dxa"/>
          </w:tcPr>
          <w:p>
            <w:pPr>
              <w:spacing w:line="500" w:lineRule="exact"/>
              <w:jc w:val="center"/>
              <w:rPr>
                <w:sz w:val="24"/>
              </w:rPr>
            </w:pPr>
          </w:p>
        </w:tc>
      </w:tr>
    </w:tbl>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bCs/>
          <w:sz w:val="36"/>
          <w:szCs w:val="36"/>
          <w:lang w:eastAsia="zh-CN"/>
        </w:rPr>
        <w:sectPr>
          <w:footerReference r:id="rId8" w:type="default"/>
          <w:pgSz w:w="11910" w:h="16840"/>
          <w:pgMar w:top="1500" w:right="1680" w:bottom="740" w:left="1680" w:header="0" w:footer="551" w:gutter="0"/>
          <w:cols w:space="720" w:num="1"/>
          <w:docGrid w:type="lines" w:linePitch="312" w:charSpace="0"/>
        </w:sectPr>
      </w:pPr>
      <w:r>
        <w:rPr>
          <w:rFonts w:ascii="Times New Roman" w:hAnsi="Times New Roman" w:cs="Times New Roman"/>
          <w:b/>
          <w:bCs/>
          <w:sz w:val="36"/>
          <w:szCs w:val="36"/>
          <w:lang w:eastAsia="zh-CN"/>
        </w:rPr>
        <w:br w:type="page"/>
      </w:r>
    </w:p>
    <w:p>
      <w:pPr>
        <w:spacing w:line="360" w:lineRule="auto"/>
        <w:jc w:val="center"/>
        <w:rPr>
          <w:rFonts w:hint="eastAsia"/>
          <w:color w:val="000000"/>
          <w:sz w:val="24"/>
          <w:szCs w:val="24"/>
          <w:lang w:eastAsia="zh-CN"/>
        </w:rPr>
      </w:pPr>
      <w:r>
        <w:rPr>
          <w:rFonts w:hint="eastAsia"/>
          <w:color w:val="000000"/>
          <w:sz w:val="24"/>
          <w:szCs w:val="24"/>
          <w:lang w:eastAsia="zh-CN"/>
        </w:rPr>
        <w:t>参选报价单</w:t>
      </w:r>
    </w:p>
    <w:p>
      <w:pPr>
        <w:pStyle w:val="2"/>
        <w:rPr>
          <w:lang w:eastAsia="zh-CN"/>
        </w:rPr>
      </w:pPr>
    </w:p>
    <w:p>
      <w:pPr>
        <w:spacing w:line="360" w:lineRule="auto"/>
        <w:rPr>
          <w:color w:val="000000"/>
          <w:sz w:val="24"/>
          <w:szCs w:val="24"/>
          <w:lang w:eastAsia="zh-CN"/>
        </w:rPr>
      </w:pPr>
      <w:r>
        <w:rPr>
          <w:rFonts w:hint="eastAsia"/>
          <w:color w:val="000000"/>
          <w:sz w:val="24"/>
          <w:szCs w:val="24"/>
          <w:lang w:eastAsia="zh-CN"/>
        </w:rPr>
        <w:t>致：福建福海创石油化工有限公司</w:t>
      </w:r>
    </w:p>
    <w:p>
      <w:pPr>
        <w:pStyle w:val="6"/>
        <w:shd w:val="clear" w:color="auto" w:fill="FFFFFF"/>
        <w:spacing w:before="0" w:after="0" w:line="360" w:lineRule="auto"/>
        <w:ind w:firstLine="480" w:firstLineChars="200"/>
        <w:rPr>
          <w:rFonts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我方同意比选文件所有条款，同意以《福建省特种设备检验收费项目和收费标准（2020版）》（下文简称“福建收费标准”）、每件失效分析9万元、每台容器或者每条压力管道合于评价5万元下浮，具体如下表：</w:t>
      </w:r>
    </w:p>
    <w:p>
      <w:pPr>
        <w:rPr>
          <w:lang w:eastAsia="zh-CN"/>
        </w:rPr>
      </w:pPr>
    </w:p>
    <w:tbl>
      <w:tblPr>
        <w:tblStyle w:val="20"/>
        <w:tblW w:w="7084" w:type="dxa"/>
        <w:jc w:val="center"/>
        <w:tblLayout w:type="fixed"/>
        <w:tblCellMar>
          <w:top w:w="0" w:type="dxa"/>
          <w:left w:w="108" w:type="dxa"/>
          <w:bottom w:w="0" w:type="dxa"/>
          <w:right w:w="108" w:type="dxa"/>
        </w:tblCellMar>
      </w:tblPr>
      <w:tblGrid>
        <w:gridCol w:w="1499"/>
        <w:gridCol w:w="2827"/>
        <w:gridCol w:w="2758"/>
      </w:tblGrid>
      <w:tr>
        <w:tblPrEx>
          <w:tblCellMar>
            <w:top w:w="0" w:type="dxa"/>
            <w:left w:w="108" w:type="dxa"/>
            <w:bottom w:w="0" w:type="dxa"/>
            <w:right w:w="108" w:type="dxa"/>
          </w:tblCellMar>
        </w:tblPrEx>
        <w:trPr>
          <w:trHeight w:val="765" w:hRule="atLeast"/>
          <w:jc w:val="center"/>
        </w:trPr>
        <w:tc>
          <w:tcPr>
            <w:tcW w:w="14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标段</w:t>
            </w:r>
          </w:p>
        </w:tc>
        <w:tc>
          <w:tcPr>
            <w:tcW w:w="28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第一标段（%）</w:t>
            </w:r>
          </w:p>
        </w:tc>
        <w:tc>
          <w:tcPr>
            <w:tcW w:w="275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第二标段（%）</w:t>
            </w:r>
          </w:p>
        </w:tc>
      </w:tr>
      <w:tr>
        <w:tblPrEx>
          <w:tblCellMar>
            <w:top w:w="0" w:type="dxa"/>
            <w:left w:w="108" w:type="dxa"/>
            <w:bottom w:w="0" w:type="dxa"/>
            <w:right w:w="108" w:type="dxa"/>
          </w:tblCellMar>
        </w:tblPrEx>
        <w:trPr>
          <w:trHeight w:val="705" w:hRule="atLeas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下浮百分比</w:t>
            </w:r>
          </w:p>
        </w:tc>
        <w:tc>
          <w:tcPr>
            <w:tcW w:w="282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　</w:t>
            </w:r>
          </w:p>
        </w:tc>
        <w:tc>
          <w:tcPr>
            <w:tcW w:w="275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　</w:t>
            </w:r>
          </w:p>
        </w:tc>
      </w:tr>
    </w:tbl>
    <w:p>
      <w:pPr>
        <w:rPr>
          <w:lang w:eastAsia="zh-CN"/>
        </w:rPr>
      </w:pPr>
    </w:p>
    <w:p>
      <w:pPr>
        <w:pStyle w:val="28"/>
        <w:spacing w:line="360" w:lineRule="auto"/>
        <w:ind w:left="381" w:leftChars="173" w:firstLine="470" w:firstLineChars="196"/>
        <w:rPr>
          <w:color w:val="000000"/>
          <w:sz w:val="24"/>
          <w:szCs w:val="24"/>
          <w:lang w:eastAsia="zh-CN"/>
        </w:rPr>
      </w:pPr>
      <w:r>
        <w:rPr>
          <w:rFonts w:hint="eastAsia"/>
          <w:color w:val="000000"/>
          <w:sz w:val="24"/>
          <w:szCs w:val="24"/>
          <w:lang w:eastAsia="zh-CN"/>
        </w:rPr>
        <w:t>注：</w:t>
      </w:r>
    </w:p>
    <w:p>
      <w:pPr>
        <w:pStyle w:val="28"/>
        <w:numPr>
          <w:ilvl w:val="3"/>
          <w:numId w:val="4"/>
        </w:numPr>
        <w:spacing w:line="360" w:lineRule="auto"/>
        <w:rPr>
          <w:color w:val="000000"/>
          <w:sz w:val="24"/>
          <w:szCs w:val="24"/>
          <w:lang w:eastAsia="zh-CN"/>
        </w:rPr>
      </w:pPr>
      <w:r>
        <w:rPr>
          <w:rFonts w:hint="eastAsia"/>
          <w:color w:val="000000"/>
          <w:sz w:val="24"/>
          <w:szCs w:val="24"/>
          <w:lang w:eastAsia="zh-CN"/>
        </w:rPr>
        <w:t>以上报价包含了6%增值税；</w:t>
      </w:r>
    </w:p>
    <w:p>
      <w:pPr>
        <w:pStyle w:val="28"/>
        <w:numPr>
          <w:ilvl w:val="3"/>
          <w:numId w:val="4"/>
        </w:numPr>
        <w:spacing w:line="360" w:lineRule="auto"/>
        <w:rPr>
          <w:rFonts w:hint="eastAsia"/>
          <w:color w:val="000000"/>
          <w:sz w:val="24"/>
          <w:szCs w:val="24"/>
          <w:lang w:eastAsia="zh-CN"/>
        </w:rPr>
      </w:pPr>
      <w:r>
        <w:rPr>
          <w:rFonts w:hint="eastAsia"/>
          <w:color w:val="000000"/>
          <w:sz w:val="24"/>
          <w:szCs w:val="24"/>
          <w:lang w:eastAsia="zh-CN"/>
        </w:rPr>
        <w:t>《福建省特种设备检验收费管理暂行办法》闽价费（2009）9号文中的第九条和第十条。</w:t>
      </w:r>
    </w:p>
    <w:p>
      <w:pPr>
        <w:pStyle w:val="28"/>
        <w:spacing w:line="360" w:lineRule="auto"/>
        <w:ind w:left="720" w:firstLine="0"/>
        <w:jc w:val="right"/>
        <w:rPr>
          <w:color w:val="000000"/>
          <w:sz w:val="24"/>
          <w:szCs w:val="24"/>
          <w:lang w:eastAsia="zh-CN"/>
        </w:rPr>
      </w:pPr>
      <w:r>
        <w:rPr>
          <w:rFonts w:hint="eastAsia"/>
          <w:color w:val="000000"/>
          <w:sz w:val="24"/>
          <w:szCs w:val="24"/>
          <w:lang w:eastAsia="zh-CN"/>
        </w:rPr>
        <w:t xml:space="preserve">    （盖章）</w:t>
      </w:r>
    </w:p>
    <w:p>
      <w:pPr>
        <w:pStyle w:val="28"/>
        <w:spacing w:line="360" w:lineRule="auto"/>
        <w:ind w:left="720" w:firstLine="0"/>
        <w:jc w:val="right"/>
        <w:rPr>
          <w:color w:val="000000"/>
          <w:sz w:val="24"/>
          <w:szCs w:val="24"/>
          <w:lang w:eastAsia="zh-CN"/>
        </w:rPr>
      </w:pPr>
      <w:r>
        <w:rPr>
          <w:rFonts w:hint="eastAsia"/>
          <w:color w:val="000000"/>
          <w:sz w:val="24"/>
          <w:szCs w:val="24"/>
          <w:lang w:eastAsia="zh-CN"/>
        </w:rPr>
        <w:t>年   月   日</w:t>
      </w:r>
    </w:p>
    <w:p>
      <w:pPr>
        <w:pStyle w:val="28"/>
        <w:spacing w:line="360" w:lineRule="auto"/>
        <w:ind w:left="363" w:firstLine="0"/>
        <w:rPr>
          <w:b/>
          <w:color w:val="000000"/>
          <w:sz w:val="28"/>
          <w:szCs w:val="28"/>
          <w:lang w:eastAsia="zh-CN"/>
        </w:rPr>
      </w:pPr>
    </w:p>
    <w:p>
      <w:pPr>
        <w:pStyle w:val="28"/>
        <w:spacing w:line="360" w:lineRule="auto"/>
        <w:ind w:left="363" w:firstLine="0"/>
        <w:rPr>
          <w:b/>
          <w:color w:val="000000"/>
          <w:sz w:val="28"/>
          <w:szCs w:val="28"/>
          <w:lang w:eastAsia="zh-CN"/>
        </w:rPr>
      </w:pPr>
    </w:p>
    <w:p>
      <w:pPr>
        <w:widowControl/>
        <w:autoSpaceDE/>
        <w:autoSpaceDN/>
        <w:rPr>
          <w:b/>
          <w:sz w:val="21"/>
          <w:szCs w:val="21"/>
          <w:lang w:eastAsia="zh-CN"/>
        </w:rPr>
      </w:pPr>
      <w:r>
        <w:rPr>
          <w:b/>
          <w:sz w:val="21"/>
          <w:szCs w:val="21"/>
          <w:lang w:eastAsia="zh-CN"/>
        </w:rPr>
        <w:br w:type="page"/>
      </w:r>
    </w:p>
    <w:p>
      <w:pPr>
        <w:snapToGrid w:val="0"/>
        <w:spacing w:line="360" w:lineRule="auto"/>
        <w:jc w:val="center"/>
        <w:rPr>
          <w:b/>
          <w:sz w:val="21"/>
          <w:szCs w:val="21"/>
          <w:lang w:eastAsia="zh-CN"/>
        </w:rPr>
      </w:pPr>
      <w:r>
        <w:rPr>
          <w:rFonts w:hint="eastAsia"/>
          <w:b/>
          <w:sz w:val="21"/>
          <w:szCs w:val="21"/>
          <w:lang w:eastAsia="zh-CN"/>
        </w:rPr>
        <w:t>承诺函</w:t>
      </w:r>
    </w:p>
    <w:p>
      <w:pPr>
        <w:snapToGrid w:val="0"/>
        <w:spacing w:line="360" w:lineRule="auto"/>
        <w:rPr>
          <w:sz w:val="21"/>
          <w:szCs w:val="21"/>
          <w:lang w:eastAsia="zh-CN"/>
        </w:rPr>
      </w:pPr>
      <w:r>
        <w:rPr>
          <w:rFonts w:hint="eastAsia"/>
          <w:sz w:val="21"/>
          <w:szCs w:val="21"/>
          <w:lang w:eastAsia="zh-CN"/>
        </w:rPr>
        <w:t>致：福建福海创石油化工有限公司</w:t>
      </w:r>
    </w:p>
    <w:p>
      <w:pPr>
        <w:snapToGrid w:val="0"/>
        <w:spacing w:line="360" w:lineRule="auto"/>
        <w:ind w:firstLine="420" w:firstLineChars="200"/>
        <w:rPr>
          <w:sz w:val="21"/>
          <w:szCs w:val="21"/>
          <w:lang w:eastAsia="zh-CN"/>
        </w:rPr>
      </w:pPr>
      <w:r>
        <w:rPr>
          <w:rFonts w:hint="eastAsia"/>
          <w:sz w:val="21"/>
          <w:szCs w:val="21"/>
          <w:lang w:eastAsia="zh-CN"/>
        </w:rPr>
        <w:t>我方为对福建福海创石油化工有限公司</w:t>
      </w:r>
      <w:r>
        <w:rPr>
          <w:rFonts w:hint="eastAsia"/>
          <w:sz w:val="21"/>
          <w:szCs w:val="21"/>
          <w:u w:val="single"/>
          <w:lang w:eastAsia="zh-CN"/>
        </w:rPr>
        <w:t xml:space="preserve">                        </w:t>
      </w:r>
      <w:r>
        <w:rPr>
          <w:rFonts w:hint="eastAsia"/>
          <w:sz w:val="21"/>
          <w:szCs w:val="21"/>
          <w:lang w:eastAsia="zh-CN"/>
        </w:rPr>
        <w:t>项目比选文件表示完全响应，遵照公告的要求，特此确认并承诺：</w:t>
      </w:r>
    </w:p>
    <w:p>
      <w:pPr>
        <w:snapToGrid w:val="0"/>
        <w:spacing w:line="360" w:lineRule="auto"/>
        <w:ind w:firstLine="420" w:firstLineChars="200"/>
        <w:rPr>
          <w:sz w:val="21"/>
          <w:szCs w:val="21"/>
          <w:lang w:eastAsia="zh-CN"/>
        </w:rPr>
      </w:pPr>
      <w:r>
        <w:rPr>
          <w:rFonts w:hint="eastAsia"/>
          <w:sz w:val="21"/>
          <w:szCs w:val="21"/>
          <w:lang w:eastAsia="zh-CN"/>
        </w:rPr>
        <w:t>1、我方确认，我方已仔细阅读并研究了贵方的公告及其附件，我方完全熟悉其中的要求、条款和条件，并充分了解比选情况。</w:t>
      </w:r>
    </w:p>
    <w:p>
      <w:pPr>
        <w:snapToGrid w:val="0"/>
        <w:spacing w:line="360" w:lineRule="auto"/>
        <w:ind w:firstLine="420" w:firstLineChars="200"/>
        <w:rPr>
          <w:sz w:val="21"/>
          <w:szCs w:val="21"/>
          <w:lang w:eastAsia="zh-CN"/>
        </w:rPr>
      </w:pPr>
      <w:r>
        <w:rPr>
          <w:rFonts w:hint="eastAsia"/>
          <w:sz w:val="21"/>
          <w:szCs w:val="21"/>
          <w:lang w:eastAsia="zh-CN"/>
        </w:rPr>
        <w:t>2、我方确认：我方完全同意比选文件制定的交易规则。接受比选文件中所制定的评分标准。</w:t>
      </w:r>
    </w:p>
    <w:p>
      <w:pPr>
        <w:snapToGrid w:val="0"/>
        <w:spacing w:line="360" w:lineRule="auto"/>
        <w:ind w:firstLine="420" w:firstLineChars="200"/>
        <w:rPr>
          <w:sz w:val="21"/>
          <w:szCs w:val="21"/>
          <w:lang w:eastAsia="zh-CN"/>
        </w:rPr>
      </w:pPr>
      <w:r>
        <w:rPr>
          <w:rFonts w:hint="eastAsia"/>
          <w:sz w:val="21"/>
          <w:szCs w:val="21"/>
          <w:lang w:eastAsia="zh-CN"/>
        </w:rPr>
        <w:t>3、我方承诺：我方为参选方所提供的材料均为真实、合法、完整。</w:t>
      </w:r>
    </w:p>
    <w:p>
      <w:pPr>
        <w:snapToGrid w:val="0"/>
        <w:spacing w:line="360" w:lineRule="auto"/>
        <w:ind w:firstLine="420" w:firstLineChars="200"/>
        <w:rPr>
          <w:sz w:val="21"/>
          <w:szCs w:val="21"/>
          <w:lang w:eastAsia="zh-CN"/>
        </w:rPr>
      </w:pPr>
      <w:r>
        <w:rPr>
          <w:rFonts w:hint="eastAsia"/>
          <w:sz w:val="21"/>
          <w:szCs w:val="21"/>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pPr>
        <w:snapToGrid w:val="0"/>
        <w:spacing w:line="360" w:lineRule="auto"/>
        <w:ind w:firstLine="525" w:firstLineChars="250"/>
        <w:rPr>
          <w:sz w:val="21"/>
          <w:szCs w:val="21"/>
          <w:lang w:eastAsia="zh-CN"/>
        </w:rPr>
      </w:pPr>
      <w:r>
        <w:rPr>
          <w:rFonts w:hint="eastAsia"/>
          <w:sz w:val="21"/>
          <w:szCs w:val="21"/>
          <w:lang w:eastAsia="zh-CN"/>
        </w:rPr>
        <w:t>特此承诺。</w:t>
      </w:r>
    </w:p>
    <w:p>
      <w:pPr>
        <w:snapToGrid w:val="0"/>
        <w:spacing w:line="360" w:lineRule="auto"/>
        <w:rPr>
          <w:sz w:val="21"/>
          <w:szCs w:val="21"/>
          <w:lang w:eastAsia="zh-CN"/>
        </w:rPr>
      </w:pPr>
      <w:r>
        <w:rPr>
          <w:rFonts w:hint="eastAsia"/>
          <w:sz w:val="21"/>
          <w:szCs w:val="21"/>
          <w:lang w:eastAsia="zh-CN"/>
        </w:rPr>
        <w:t>意向参选方（盖章）：</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lang w:eastAsia="zh-CN"/>
        </w:rPr>
      </w:pPr>
      <w:r>
        <w:rPr>
          <w:rFonts w:hint="eastAsia"/>
          <w:sz w:val="21"/>
          <w:szCs w:val="21"/>
          <w:lang w:eastAsia="zh-CN"/>
        </w:rPr>
        <w:t>法定代表人（签字或盖章）：</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lang w:eastAsia="zh-CN"/>
        </w:rPr>
      </w:pPr>
      <w:r>
        <w:rPr>
          <w:rFonts w:hint="eastAsia"/>
          <w:sz w:val="21"/>
          <w:szCs w:val="21"/>
          <w:lang w:eastAsia="zh-CN"/>
        </w:rPr>
        <w:t>地  址：</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lang w:eastAsia="zh-CN"/>
        </w:rPr>
      </w:pPr>
      <w:r>
        <w:rPr>
          <w:rFonts w:hint="eastAsia"/>
          <w:sz w:val="21"/>
          <w:szCs w:val="21"/>
          <w:lang w:eastAsia="zh-CN"/>
        </w:rPr>
        <w:t>联系人：</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u w:val="single"/>
          <w:lang w:eastAsia="zh-CN"/>
        </w:rPr>
      </w:pPr>
      <w:r>
        <w:rPr>
          <w:rFonts w:hint="eastAsia"/>
          <w:sz w:val="21"/>
          <w:szCs w:val="21"/>
          <w:lang w:eastAsia="zh-CN"/>
        </w:rPr>
        <w:t>电  话：</w:t>
      </w:r>
      <w:r>
        <w:rPr>
          <w:rFonts w:hint="eastAsia"/>
          <w:sz w:val="21"/>
          <w:szCs w:val="21"/>
          <w:u w:val="single"/>
          <w:lang w:eastAsia="zh-CN"/>
        </w:rPr>
        <w:t xml:space="preserve">                                              </w:t>
      </w:r>
    </w:p>
    <w:p>
      <w:pPr>
        <w:snapToGrid w:val="0"/>
        <w:spacing w:line="360" w:lineRule="auto"/>
        <w:rPr>
          <w:sz w:val="21"/>
          <w:szCs w:val="21"/>
          <w:lang w:eastAsia="zh-CN"/>
        </w:rPr>
      </w:pPr>
      <w:r>
        <w:rPr>
          <w:rFonts w:hint="eastAsia"/>
          <w:sz w:val="21"/>
          <w:szCs w:val="21"/>
          <w:lang w:eastAsia="zh-CN"/>
        </w:rPr>
        <w:t xml:space="preserve">邮箱： </w:t>
      </w:r>
      <w:r>
        <w:rPr>
          <w:rFonts w:hint="eastAsia"/>
          <w:sz w:val="21"/>
          <w:szCs w:val="21"/>
          <w:u w:val="single"/>
          <w:lang w:eastAsia="zh-CN"/>
        </w:rPr>
        <w:t xml:space="preserve">                                               </w:t>
      </w:r>
    </w:p>
    <w:p>
      <w:pPr>
        <w:widowControl/>
        <w:autoSpaceDE/>
        <w:autoSpaceDN/>
        <w:spacing w:line="360" w:lineRule="auto"/>
        <w:rPr>
          <w:sz w:val="21"/>
          <w:szCs w:val="21"/>
          <w:lang w:eastAsia="zh-CN"/>
        </w:rPr>
      </w:pPr>
      <w:r>
        <w:rPr>
          <w:rFonts w:hint="eastAsia"/>
          <w:sz w:val="21"/>
          <w:szCs w:val="21"/>
          <w:lang w:eastAsia="zh-CN"/>
        </w:rPr>
        <w:t>日期：</w:t>
      </w:r>
      <w:r>
        <w:rPr>
          <w:rFonts w:hint="eastAsia"/>
          <w:sz w:val="21"/>
          <w:szCs w:val="21"/>
          <w:u w:val="single"/>
          <w:lang w:eastAsia="zh-CN"/>
        </w:rPr>
        <w:t xml:space="preserve">         </w:t>
      </w:r>
      <w:r>
        <w:rPr>
          <w:rFonts w:hint="eastAsia"/>
          <w:sz w:val="21"/>
          <w:szCs w:val="21"/>
          <w:lang w:eastAsia="zh-CN"/>
        </w:rPr>
        <w:t>年</w:t>
      </w:r>
      <w:r>
        <w:rPr>
          <w:rFonts w:hint="eastAsia"/>
          <w:sz w:val="21"/>
          <w:szCs w:val="21"/>
          <w:u w:val="single"/>
          <w:lang w:eastAsia="zh-CN"/>
        </w:rPr>
        <w:t xml:space="preserve">        </w:t>
      </w:r>
      <w:r>
        <w:rPr>
          <w:rFonts w:hint="eastAsia"/>
          <w:sz w:val="21"/>
          <w:szCs w:val="21"/>
          <w:lang w:eastAsia="zh-CN"/>
        </w:rPr>
        <w:t>月</w:t>
      </w:r>
      <w:r>
        <w:rPr>
          <w:rFonts w:hint="eastAsia"/>
          <w:sz w:val="21"/>
          <w:szCs w:val="21"/>
          <w:u w:val="single"/>
          <w:lang w:eastAsia="zh-CN"/>
        </w:rPr>
        <w:t xml:space="preserve">       </w:t>
      </w:r>
      <w:r>
        <w:rPr>
          <w:rFonts w:hint="eastAsia"/>
          <w:sz w:val="21"/>
          <w:szCs w:val="21"/>
          <w:lang w:eastAsia="zh-CN"/>
        </w:rPr>
        <w:t>日</w:t>
      </w:r>
      <w:bookmarkEnd w:id="0"/>
    </w:p>
    <w:p>
      <w:pPr>
        <w:pStyle w:val="2"/>
      </w:pPr>
      <w:r>
        <w:br w:type="page"/>
      </w:r>
    </w:p>
    <w:p>
      <w:pPr>
        <w:widowControl/>
        <w:autoSpaceDE/>
        <w:autoSpaceDN/>
        <w:spacing w:line="360" w:lineRule="auto"/>
        <w:jc w:val="center"/>
        <w:rPr>
          <w:lang w:eastAsia="zh-CN"/>
        </w:rPr>
      </w:pPr>
      <w:r>
        <w:rPr>
          <w:rFonts w:hint="eastAsia"/>
          <w:lang w:eastAsia="zh-CN"/>
        </w:rPr>
        <w:t>偏离表（如有）</w:t>
      </w:r>
    </w:p>
    <w:sectPr>
      <w:footerReference r:id="rId9"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长城宋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rPr>
      <w:t xml:space="preserve">第 </w:t>
    </w:r>
    <w:r>
      <w:fldChar w:fldCharType="begin"/>
    </w:r>
    <w:r>
      <w:instrText xml:space="preserve"> PAGE   \* MERGEFORMAT </w:instrText>
    </w:r>
    <w:r>
      <w:fldChar w:fldCharType="separate"/>
    </w:r>
    <w:r>
      <w:rPr>
        <w:lang w:val="zh-CN"/>
      </w:rPr>
      <w:t>13</w:t>
    </w:r>
    <w:r>
      <w:rPr>
        <w:lang w:val="zh-CN"/>
      </w:rPr>
      <w:fldChar w:fldCharType="end"/>
    </w:r>
    <w:r>
      <w:rPr>
        <w:rFonts w:hint="eastAsia"/>
      </w:rPr>
      <w:t xml:space="preserve"> 页 共 5页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4"/>
      </w:rPr>
    </w:pPr>
    <w:r>
      <w:fldChar w:fldCharType="begin"/>
    </w:r>
    <w:r>
      <w:rPr>
        <w:rStyle w:val="24"/>
      </w:rPr>
      <w:instrText xml:space="preserve">PAGE  </w:instrText>
    </w:r>
    <w:r>
      <w:fldChar w:fldCharType="separate"/>
    </w:r>
    <w:r>
      <w:rPr>
        <w:rStyle w:val="24"/>
      </w:rPr>
      <w:t>4</w: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B5EDF"/>
    <w:multiLevelType w:val="multilevel"/>
    <w:tmpl w:val="07FB5EDF"/>
    <w:lvl w:ilvl="0" w:tentative="0">
      <w:start w:val="1"/>
      <w:numFmt w:val="decimal"/>
      <w:lvlText w:val="%1，"/>
      <w:lvlJc w:val="left"/>
      <w:pPr>
        <w:tabs>
          <w:tab w:val="left" w:pos="720"/>
        </w:tabs>
        <w:ind w:left="720" w:hanging="720"/>
      </w:pPr>
      <w:rPr>
        <w:rFonts w:ascii="宋体" w:hAnsi="Times New Roman" w:eastAsia="宋体" w:cs="宋体"/>
      </w:rPr>
    </w:lvl>
    <w:lvl w:ilvl="1" w:tentative="0">
      <w:start w:val="1"/>
      <w:numFmt w:val="decimal"/>
      <w:suff w:val="nothing"/>
      <w:lvlText w:val="（%2）"/>
      <w:lvlJc w:val="left"/>
      <w:pPr>
        <w:ind w:left="420"/>
      </w:pPr>
      <w:rPr>
        <w:rFonts w:hint="eastAsia" w:ascii="Times New Roman" w:hAnsi="Times New Roman" w:eastAsia="宋体" w:cs="Times New Roman"/>
      </w:rPr>
    </w:lvl>
    <w:lvl w:ilvl="2" w:tentative="0">
      <w:start w:val="10"/>
      <w:numFmt w:val="japaneseCounting"/>
      <w:lvlText w:val="%3．"/>
      <w:lvlJc w:val="left"/>
      <w:pPr>
        <w:tabs>
          <w:tab w:val="left" w:pos="1560"/>
        </w:tabs>
        <w:ind w:left="1560" w:hanging="720"/>
      </w:pPr>
      <w:rPr>
        <w:rFonts w:hint="default" w:cs="Times New Roman"/>
      </w:rPr>
    </w:lvl>
    <w:lvl w:ilvl="3" w:tentative="0">
      <w:start w:val="1"/>
      <w:numFmt w:val="decimal"/>
      <w:lvlText w:val="%4."/>
      <w:lvlJc w:val="left"/>
      <w:pPr>
        <w:ind w:left="1620" w:hanging="360"/>
      </w:pPr>
      <w:rPr>
        <w:rFonts w:hint="default"/>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232B61A1"/>
    <w:multiLevelType w:val="multilevel"/>
    <w:tmpl w:val="232B61A1"/>
    <w:lvl w:ilvl="0" w:tentative="0">
      <w:start w:val="1"/>
      <w:numFmt w:val="decimal"/>
      <w:suff w:val="space"/>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36784644"/>
    <w:multiLevelType w:val="multilevel"/>
    <w:tmpl w:val="36784644"/>
    <w:lvl w:ilvl="0" w:tentative="0">
      <w:start w:val="1"/>
      <w:numFmt w:val="chineseCountingThousand"/>
      <w:suff w:val="space"/>
      <w:lvlText w:val="%1、"/>
      <w:lvlJc w:val="left"/>
      <w:pPr>
        <w:ind w:left="1552"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9BD3E75"/>
    <w:multiLevelType w:val="multilevel"/>
    <w:tmpl w:val="39BD3E75"/>
    <w:lvl w:ilvl="0" w:tentative="0">
      <w:start w:val="1"/>
      <w:numFmt w:val="decimal"/>
      <w:suff w:val="space"/>
      <w:lvlText w:val="%1."/>
      <w:lvlJc w:val="left"/>
      <w:pPr>
        <w:ind w:left="1192"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5">
    <w:nsid w:val="5D7D4E6B"/>
    <w:multiLevelType w:val="multilevel"/>
    <w:tmpl w:val="5D7D4E6B"/>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787E11"/>
    <w:multiLevelType w:val="multilevel"/>
    <w:tmpl w:val="6C787E11"/>
    <w:lvl w:ilvl="0" w:tentative="0">
      <w:start w:val="1"/>
      <w:numFmt w:val="decimal"/>
      <w:suff w:val="nothing"/>
      <w:lvlText w:val="（%1）"/>
      <w:lvlJc w:val="left"/>
      <w:rPr>
        <w:rFonts w:hint="eastAsia" w:ascii="Times New Roman" w:hAnsi="Times New Roman" w:eastAsia="宋体" w:cs="Times New Roman"/>
        <w:lang w:val="en-US"/>
      </w:rPr>
    </w:lvl>
    <w:lvl w:ilvl="1" w:tentative="0">
      <w:start w:val="6"/>
      <w:numFmt w:val="japaneseCounting"/>
      <w:lvlText w:val="%2．"/>
      <w:lvlJc w:val="left"/>
      <w:pPr>
        <w:tabs>
          <w:tab w:val="left" w:pos="1844"/>
        </w:tabs>
        <w:ind w:left="1844" w:hanging="720"/>
      </w:pPr>
      <w:rPr>
        <w:rFonts w:hint="default" w:cs="Times New Roman"/>
      </w:rPr>
    </w:lvl>
    <w:lvl w:ilvl="2" w:tentative="0">
      <w:start w:val="1"/>
      <w:numFmt w:val="lowerRoman"/>
      <w:lvlText w:val="%3."/>
      <w:lvlJc w:val="right"/>
      <w:pPr>
        <w:tabs>
          <w:tab w:val="left" w:pos="1844"/>
        </w:tabs>
        <w:ind w:left="1844" w:hanging="420"/>
      </w:pPr>
      <w:rPr>
        <w:rFonts w:cs="Times New Roman"/>
      </w:rPr>
    </w:lvl>
    <w:lvl w:ilvl="3" w:tentative="0">
      <w:start w:val="1"/>
      <w:numFmt w:val="decimal"/>
      <w:lvlText w:val="%4."/>
      <w:lvlJc w:val="left"/>
      <w:pPr>
        <w:tabs>
          <w:tab w:val="left" w:pos="2264"/>
        </w:tabs>
        <w:ind w:left="2264" w:hanging="420"/>
      </w:pPr>
      <w:rPr>
        <w:rFonts w:cs="Times New Roman"/>
      </w:rPr>
    </w:lvl>
    <w:lvl w:ilvl="4" w:tentative="0">
      <w:start w:val="1"/>
      <w:numFmt w:val="lowerLetter"/>
      <w:lvlText w:val="%5)"/>
      <w:lvlJc w:val="left"/>
      <w:pPr>
        <w:tabs>
          <w:tab w:val="left" w:pos="2684"/>
        </w:tabs>
        <w:ind w:left="2684" w:hanging="420"/>
      </w:pPr>
      <w:rPr>
        <w:rFonts w:cs="Times New Roman"/>
      </w:rPr>
    </w:lvl>
    <w:lvl w:ilvl="5" w:tentative="0">
      <w:start w:val="1"/>
      <w:numFmt w:val="lowerRoman"/>
      <w:lvlText w:val="%6."/>
      <w:lvlJc w:val="right"/>
      <w:pPr>
        <w:tabs>
          <w:tab w:val="left" w:pos="3104"/>
        </w:tabs>
        <w:ind w:left="3104" w:hanging="420"/>
      </w:pPr>
      <w:rPr>
        <w:rFonts w:cs="Times New Roman"/>
      </w:rPr>
    </w:lvl>
    <w:lvl w:ilvl="6" w:tentative="0">
      <w:start w:val="1"/>
      <w:numFmt w:val="decimal"/>
      <w:lvlText w:val="%7."/>
      <w:lvlJc w:val="left"/>
      <w:pPr>
        <w:tabs>
          <w:tab w:val="left" w:pos="3524"/>
        </w:tabs>
        <w:ind w:left="3524" w:hanging="420"/>
      </w:pPr>
      <w:rPr>
        <w:rFonts w:cs="Times New Roman"/>
      </w:rPr>
    </w:lvl>
    <w:lvl w:ilvl="7" w:tentative="0">
      <w:start w:val="1"/>
      <w:numFmt w:val="lowerLetter"/>
      <w:lvlText w:val="%8)"/>
      <w:lvlJc w:val="left"/>
      <w:pPr>
        <w:tabs>
          <w:tab w:val="left" w:pos="3944"/>
        </w:tabs>
        <w:ind w:left="3944" w:hanging="420"/>
      </w:pPr>
      <w:rPr>
        <w:rFonts w:cs="Times New Roman"/>
      </w:rPr>
    </w:lvl>
    <w:lvl w:ilvl="8" w:tentative="0">
      <w:start w:val="1"/>
      <w:numFmt w:val="lowerRoman"/>
      <w:lvlText w:val="%9."/>
      <w:lvlJc w:val="right"/>
      <w:pPr>
        <w:tabs>
          <w:tab w:val="left" w:pos="4364"/>
        </w:tabs>
        <w:ind w:left="4364" w:hanging="420"/>
      </w:pPr>
      <w:rPr>
        <w:rFonts w:cs="Times New Roman"/>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3"/>
    </o:shapelayout>
  </w:hdrShapeDefaults>
  <w:compat>
    <w:ulTrailSpace/>
    <w:useFELayout/>
    <w:compatSetting w:name="compatibilityMode" w:uri="http://schemas.microsoft.com/office/word" w:val="12"/>
  </w:compat>
  <w:rsids>
    <w:rsidRoot w:val="00967702"/>
    <w:rsid w:val="00001E49"/>
    <w:rsid w:val="00004AA4"/>
    <w:rsid w:val="00015731"/>
    <w:rsid w:val="00027648"/>
    <w:rsid w:val="00033172"/>
    <w:rsid w:val="00034969"/>
    <w:rsid w:val="00036618"/>
    <w:rsid w:val="00041560"/>
    <w:rsid w:val="00045996"/>
    <w:rsid w:val="00047F6F"/>
    <w:rsid w:val="00050FC7"/>
    <w:rsid w:val="000530BE"/>
    <w:rsid w:val="0006645E"/>
    <w:rsid w:val="000704C1"/>
    <w:rsid w:val="00072884"/>
    <w:rsid w:val="00081C43"/>
    <w:rsid w:val="00081DC5"/>
    <w:rsid w:val="000951D9"/>
    <w:rsid w:val="000C2D38"/>
    <w:rsid w:val="000C65FA"/>
    <w:rsid w:val="000C7CEB"/>
    <w:rsid w:val="000D0B61"/>
    <w:rsid w:val="000D53ED"/>
    <w:rsid w:val="000E134B"/>
    <w:rsid w:val="000E3887"/>
    <w:rsid w:val="000F396C"/>
    <w:rsid w:val="00110E4B"/>
    <w:rsid w:val="001203B1"/>
    <w:rsid w:val="00120DD5"/>
    <w:rsid w:val="001212B1"/>
    <w:rsid w:val="00121DC9"/>
    <w:rsid w:val="00124A88"/>
    <w:rsid w:val="001306A6"/>
    <w:rsid w:val="001345AB"/>
    <w:rsid w:val="00143ACD"/>
    <w:rsid w:val="001509C2"/>
    <w:rsid w:val="00150EEF"/>
    <w:rsid w:val="0015488F"/>
    <w:rsid w:val="00161809"/>
    <w:rsid w:val="00177008"/>
    <w:rsid w:val="00180C8C"/>
    <w:rsid w:val="00182855"/>
    <w:rsid w:val="00184543"/>
    <w:rsid w:val="00190E60"/>
    <w:rsid w:val="00193817"/>
    <w:rsid w:val="001942C5"/>
    <w:rsid w:val="00197AC1"/>
    <w:rsid w:val="001B0325"/>
    <w:rsid w:val="001B09E3"/>
    <w:rsid w:val="001B19D0"/>
    <w:rsid w:val="001B651B"/>
    <w:rsid w:val="001B698B"/>
    <w:rsid w:val="001C64EE"/>
    <w:rsid w:val="001C7F69"/>
    <w:rsid w:val="001D333B"/>
    <w:rsid w:val="001D3F36"/>
    <w:rsid w:val="001E06C5"/>
    <w:rsid w:val="001E445C"/>
    <w:rsid w:val="001E6D44"/>
    <w:rsid w:val="001E7E59"/>
    <w:rsid w:val="001F1AE0"/>
    <w:rsid w:val="001F1F3E"/>
    <w:rsid w:val="002004B8"/>
    <w:rsid w:val="0020310A"/>
    <w:rsid w:val="0020384B"/>
    <w:rsid w:val="00204373"/>
    <w:rsid w:val="00207919"/>
    <w:rsid w:val="00210517"/>
    <w:rsid w:val="002174E8"/>
    <w:rsid w:val="00222A55"/>
    <w:rsid w:val="00223643"/>
    <w:rsid w:val="00223900"/>
    <w:rsid w:val="00225CC8"/>
    <w:rsid w:val="00226F69"/>
    <w:rsid w:val="00227520"/>
    <w:rsid w:val="00227556"/>
    <w:rsid w:val="00232621"/>
    <w:rsid w:val="00232D2B"/>
    <w:rsid w:val="00246A99"/>
    <w:rsid w:val="002553AF"/>
    <w:rsid w:val="00265F51"/>
    <w:rsid w:val="00284AF9"/>
    <w:rsid w:val="002900BF"/>
    <w:rsid w:val="002908F2"/>
    <w:rsid w:val="002A54DD"/>
    <w:rsid w:val="002A5953"/>
    <w:rsid w:val="002B66B7"/>
    <w:rsid w:val="002D0988"/>
    <w:rsid w:val="002D2A35"/>
    <w:rsid w:val="002F346F"/>
    <w:rsid w:val="00302308"/>
    <w:rsid w:val="003111F7"/>
    <w:rsid w:val="0031168A"/>
    <w:rsid w:val="00312F53"/>
    <w:rsid w:val="00322549"/>
    <w:rsid w:val="00324339"/>
    <w:rsid w:val="00327348"/>
    <w:rsid w:val="0033272C"/>
    <w:rsid w:val="00357637"/>
    <w:rsid w:val="003651C5"/>
    <w:rsid w:val="0037030F"/>
    <w:rsid w:val="0038711C"/>
    <w:rsid w:val="00394783"/>
    <w:rsid w:val="003A1EBC"/>
    <w:rsid w:val="003B141A"/>
    <w:rsid w:val="003B5173"/>
    <w:rsid w:val="003B5DD0"/>
    <w:rsid w:val="003C06EE"/>
    <w:rsid w:val="003C1519"/>
    <w:rsid w:val="003D0218"/>
    <w:rsid w:val="003D47C3"/>
    <w:rsid w:val="003D6EF0"/>
    <w:rsid w:val="003D7220"/>
    <w:rsid w:val="003F3753"/>
    <w:rsid w:val="0040417A"/>
    <w:rsid w:val="0041536C"/>
    <w:rsid w:val="00416014"/>
    <w:rsid w:val="0041622C"/>
    <w:rsid w:val="00417AA2"/>
    <w:rsid w:val="0042095F"/>
    <w:rsid w:val="0042249E"/>
    <w:rsid w:val="00426802"/>
    <w:rsid w:val="00432729"/>
    <w:rsid w:val="00443E44"/>
    <w:rsid w:val="00454D97"/>
    <w:rsid w:val="004560E0"/>
    <w:rsid w:val="004560F0"/>
    <w:rsid w:val="00460F36"/>
    <w:rsid w:val="00462A9C"/>
    <w:rsid w:val="004666C6"/>
    <w:rsid w:val="00467697"/>
    <w:rsid w:val="00471F11"/>
    <w:rsid w:val="0047282D"/>
    <w:rsid w:val="004835AF"/>
    <w:rsid w:val="004852B7"/>
    <w:rsid w:val="004921EE"/>
    <w:rsid w:val="00492AF9"/>
    <w:rsid w:val="0049478A"/>
    <w:rsid w:val="004A24A2"/>
    <w:rsid w:val="004A7ABC"/>
    <w:rsid w:val="004B1056"/>
    <w:rsid w:val="004B6E00"/>
    <w:rsid w:val="004C272C"/>
    <w:rsid w:val="004C2D4A"/>
    <w:rsid w:val="004C3B08"/>
    <w:rsid w:val="004C57C7"/>
    <w:rsid w:val="004E27BB"/>
    <w:rsid w:val="004E45B1"/>
    <w:rsid w:val="004E4BF8"/>
    <w:rsid w:val="004F0A05"/>
    <w:rsid w:val="004F0B00"/>
    <w:rsid w:val="004F371B"/>
    <w:rsid w:val="004F6BFB"/>
    <w:rsid w:val="00503396"/>
    <w:rsid w:val="0051138C"/>
    <w:rsid w:val="00513F96"/>
    <w:rsid w:val="00520B24"/>
    <w:rsid w:val="0052110F"/>
    <w:rsid w:val="00530A86"/>
    <w:rsid w:val="00533CCF"/>
    <w:rsid w:val="0053587A"/>
    <w:rsid w:val="00537E3F"/>
    <w:rsid w:val="00545874"/>
    <w:rsid w:val="00545940"/>
    <w:rsid w:val="00553FDD"/>
    <w:rsid w:val="005568B6"/>
    <w:rsid w:val="00570270"/>
    <w:rsid w:val="005834E4"/>
    <w:rsid w:val="005900EA"/>
    <w:rsid w:val="00590160"/>
    <w:rsid w:val="005946B1"/>
    <w:rsid w:val="00595F8F"/>
    <w:rsid w:val="005A0D85"/>
    <w:rsid w:val="005A26D4"/>
    <w:rsid w:val="005A4871"/>
    <w:rsid w:val="005A5468"/>
    <w:rsid w:val="005A5BB3"/>
    <w:rsid w:val="005B4BA0"/>
    <w:rsid w:val="005B6CD0"/>
    <w:rsid w:val="005C38B3"/>
    <w:rsid w:val="005C78B8"/>
    <w:rsid w:val="005D2DE0"/>
    <w:rsid w:val="005D3FA6"/>
    <w:rsid w:val="005D663E"/>
    <w:rsid w:val="005E2A8C"/>
    <w:rsid w:val="005F7F99"/>
    <w:rsid w:val="0061363F"/>
    <w:rsid w:val="0061784A"/>
    <w:rsid w:val="00625716"/>
    <w:rsid w:val="00627C3F"/>
    <w:rsid w:val="006326A2"/>
    <w:rsid w:val="0065764A"/>
    <w:rsid w:val="006614D5"/>
    <w:rsid w:val="00667FF6"/>
    <w:rsid w:val="00673477"/>
    <w:rsid w:val="00686F2E"/>
    <w:rsid w:val="00687319"/>
    <w:rsid w:val="0069035C"/>
    <w:rsid w:val="006A47D7"/>
    <w:rsid w:val="006A78D8"/>
    <w:rsid w:val="006B5ABD"/>
    <w:rsid w:val="006B65EB"/>
    <w:rsid w:val="006B76E7"/>
    <w:rsid w:val="006C5C93"/>
    <w:rsid w:val="006C7074"/>
    <w:rsid w:val="006F03AE"/>
    <w:rsid w:val="006F135E"/>
    <w:rsid w:val="006F27B5"/>
    <w:rsid w:val="006F3D0B"/>
    <w:rsid w:val="007015DC"/>
    <w:rsid w:val="007024E3"/>
    <w:rsid w:val="00702828"/>
    <w:rsid w:val="007054E4"/>
    <w:rsid w:val="00713D2F"/>
    <w:rsid w:val="00724236"/>
    <w:rsid w:val="007344C2"/>
    <w:rsid w:val="00740F19"/>
    <w:rsid w:val="00745BB8"/>
    <w:rsid w:val="00752F16"/>
    <w:rsid w:val="00757065"/>
    <w:rsid w:val="0076533D"/>
    <w:rsid w:val="00775F3C"/>
    <w:rsid w:val="00782412"/>
    <w:rsid w:val="0078254B"/>
    <w:rsid w:val="00786010"/>
    <w:rsid w:val="00790182"/>
    <w:rsid w:val="007B4E21"/>
    <w:rsid w:val="007B6E4A"/>
    <w:rsid w:val="007C1FCB"/>
    <w:rsid w:val="007C2DE5"/>
    <w:rsid w:val="007D388F"/>
    <w:rsid w:val="007E064F"/>
    <w:rsid w:val="007F0CFD"/>
    <w:rsid w:val="00800552"/>
    <w:rsid w:val="00815E98"/>
    <w:rsid w:val="008200EA"/>
    <w:rsid w:val="00827F7D"/>
    <w:rsid w:val="008331B4"/>
    <w:rsid w:val="008353F8"/>
    <w:rsid w:val="008459C9"/>
    <w:rsid w:val="00847B37"/>
    <w:rsid w:val="00870C48"/>
    <w:rsid w:val="0087394D"/>
    <w:rsid w:val="0087426B"/>
    <w:rsid w:val="008762A4"/>
    <w:rsid w:val="00880EEB"/>
    <w:rsid w:val="00895439"/>
    <w:rsid w:val="008A030B"/>
    <w:rsid w:val="008A04C9"/>
    <w:rsid w:val="008A2AA3"/>
    <w:rsid w:val="008A6613"/>
    <w:rsid w:val="008A7C39"/>
    <w:rsid w:val="008A7CF2"/>
    <w:rsid w:val="008B0299"/>
    <w:rsid w:val="008B096A"/>
    <w:rsid w:val="008B0F4F"/>
    <w:rsid w:val="008C2601"/>
    <w:rsid w:val="008C467C"/>
    <w:rsid w:val="008D25AB"/>
    <w:rsid w:val="008E1200"/>
    <w:rsid w:val="008E67C8"/>
    <w:rsid w:val="008E6D93"/>
    <w:rsid w:val="008F12A1"/>
    <w:rsid w:val="00902FD1"/>
    <w:rsid w:val="00903F9D"/>
    <w:rsid w:val="00911E5A"/>
    <w:rsid w:val="009137F2"/>
    <w:rsid w:val="00920210"/>
    <w:rsid w:val="00927FB1"/>
    <w:rsid w:val="009312CA"/>
    <w:rsid w:val="009349FA"/>
    <w:rsid w:val="0093652B"/>
    <w:rsid w:val="0094103A"/>
    <w:rsid w:val="0094239E"/>
    <w:rsid w:val="00942F8D"/>
    <w:rsid w:val="00945FC8"/>
    <w:rsid w:val="00950AA3"/>
    <w:rsid w:val="00951E87"/>
    <w:rsid w:val="00967702"/>
    <w:rsid w:val="00974C0E"/>
    <w:rsid w:val="00975313"/>
    <w:rsid w:val="00976C64"/>
    <w:rsid w:val="0099060C"/>
    <w:rsid w:val="00991863"/>
    <w:rsid w:val="009A42BC"/>
    <w:rsid w:val="009B1A50"/>
    <w:rsid w:val="009B3DBB"/>
    <w:rsid w:val="009B6F21"/>
    <w:rsid w:val="009C4F9E"/>
    <w:rsid w:val="009D0AD8"/>
    <w:rsid w:val="009D54DD"/>
    <w:rsid w:val="009D572B"/>
    <w:rsid w:val="009D66D2"/>
    <w:rsid w:val="009D751F"/>
    <w:rsid w:val="009F6ED0"/>
    <w:rsid w:val="00A000D8"/>
    <w:rsid w:val="00A04674"/>
    <w:rsid w:val="00A047B3"/>
    <w:rsid w:val="00A049E9"/>
    <w:rsid w:val="00A12D78"/>
    <w:rsid w:val="00A1300A"/>
    <w:rsid w:val="00A14716"/>
    <w:rsid w:val="00A15FB6"/>
    <w:rsid w:val="00A31E35"/>
    <w:rsid w:val="00A37FB8"/>
    <w:rsid w:val="00A536F8"/>
    <w:rsid w:val="00A56B7B"/>
    <w:rsid w:val="00A626E5"/>
    <w:rsid w:val="00A6392F"/>
    <w:rsid w:val="00A6431B"/>
    <w:rsid w:val="00A649E2"/>
    <w:rsid w:val="00A64C39"/>
    <w:rsid w:val="00A67901"/>
    <w:rsid w:val="00A72FB9"/>
    <w:rsid w:val="00A813C3"/>
    <w:rsid w:val="00A942B7"/>
    <w:rsid w:val="00A9459A"/>
    <w:rsid w:val="00AA205E"/>
    <w:rsid w:val="00AA6B18"/>
    <w:rsid w:val="00AA7B38"/>
    <w:rsid w:val="00AB310A"/>
    <w:rsid w:val="00AB3788"/>
    <w:rsid w:val="00AB42B3"/>
    <w:rsid w:val="00AB4338"/>
    <w:rsid w:val="00AC3B11"/>
    <w:rsid w:val="00AD3F06"/>
    <w:rsid w:val="00AD434F"/>
    <w:rsid w:val="00AD5EAA"/>
    <w:rsid w:val="00AD6FE9"/>
    <w:rsid w:val="00AE39CF"/>
    <w:rsid w:val="00AF060C"/>
    <w:rsid w:val="00B01B2B"/>
    <w:rsid w:val="00B02C93"/>
    <w:rsid w:val="00B03E1F"/>
    <w:rsid w:val="00B212DD"/>
    <w:rsid w:val="00B422DD"/>
    <w:rsid w:val="00B44FC3"/>
    <w:rsid w:val="00B47113"/>
    <w:rsid w:val="00B52A36"/>
    <w:rsid w:val="00B562A8"/>
    <w:rsid w:val="00B62DB3"/>
    <w:rsid w:val="00B63026"/>
    <w:rsid w:val="00B64738"/>
    <w:rsid w:val="00B722EC"/>
    <w:rsid w:val="00B93932"/>
    <w:rsid w:val="00B94296"/>
    <w:rsid w:val="00B97E37"/>
    <w:rsid w:val="00BA6E50"/>
    <w:rsid w:val="00BB6560"/>
    <w:rsid w:val="00BC304A"/>
    <w:rsid w:val="00BC610C"/>
    <w:rsid w:val="00BD4686"/>
    <w:rsid w:val="00BE1953"/>
    <w:rsid w:val="00BF295C"/>
    <w:rsid w:val="00BF3204"/>
    <w:rsid w:val="00BF3379"/>
    <w:rsid w:val="00C00714"/>
    <w:rsid w:val="00C144F2"/>
    <w:rsid w:val="00C14ABE"/>
    <w:rsid w:val="00C14E4D"/>
    <w:rsid w:val="00C22E21"/>
    <w:rsid w:val="00C2347D"/>
    <w:rsid w:val="00C30DDC"/>
    <w:rsid w:val="00C4332E"/>
    <w:rsid w:val="00C43C3C"/>
    <w:rsid w:val="00C461A2"/>
    <w:rsid w:val="00C64760"/>
    <w:rsid w:val="00C66D37"/>
    <w:rsid w:val="00C67BAD"/>
    <w:rsid w:val="00C739FA"/>
    <w:rsid w:val="00C81681"/>
    <w:rsid w:val="00C866B7"/>
    <w:rsid w:val="00C9289E"/>
    <w:rsid w:val="00C93054"/>
    <w:rsid w:val="00CA3B99"/>
    <w:rsid w:val="00CA4E8A"/>
    <w:rsid w:val="00CB2409"/>
    <w:rsid w:val="00CB27F6"/>
    <w:rsid w:val="00CB2E01"/>
    <w:rsid w:val="00CC47B8"/>
    <w:rsid w:val="00CC4B8A"/>
    <w:rsid w:val="00CC4E0E"/>
    <w:rsid w:val="00CC71DD"/>
    <w:rsid w:val="00CD038B"/>
    <w:rsid w:val="00CD2B47"/>
    <w:rsid w:val="00CE2F8F"/>
    <w:rsid w:val="00CE7866"/>
    <w:rsid w:val="00CF27B3"/>
    <w:rsid w:val="00D1636F"/>
    <w:rsid w:val="00D213EB"/>
    <w:rsid w:val="00D23975"/>
    <w:rsid w:val="00D3348A"/>
    <w:rsid w:val="00D4266B"/>
    <w:rsid w:val="00D439F4"/>
    <w:rsid w:val="00D5181B"/>
    <w:rsid w:val="00D51DBF"/>
    <w:rsid w:val="00D5452E"/>
    <w:rsid w:val="00D54D99"/>
    <w:rsid w:val="00D555A8"/>
    <w:rsid w:val="00D56858"/>
    <w:rsid w:val="00D73B6D"/>
    <w:rsid w:val="00D749CB"/>
    <w:rsid w:val="00D8270F"/>
    <w:rsid w:val="00D935AC"/>
    <w:rsid w:val="00D947D8"/>
    <w:rsid w:val="00DA2FEB"/>
    <w:rsid w:val="00DA421F"/>
    <w:rsid w:val="00DA57F8"/>
    <w:rsid w:val="00DB0694"/>
    <w:rsid w:val="00DB26AF"/>
    <w:rsid w:val="00DB2C45"/>
    <w:rsid w:val="00DB31A8"/>
    <w:rsid w:val="00DC48D4"/>
    <w:rsid w:val="00DC6A08"/>
    <w:rsid w:val="00DC6A0A"/>
    <w:rsid w:val="00DD56C2"/>
    <w:rsid w:val="00DD7728"/>
    <w:rsid w:val="00DE1FE5"/>
    <w:rsid w:val="00DF3998"/>
    <w:rsid w:val="00DF6B40"/>
    <w:rsid w:val="00E054D5"/>
    <w:rsid w:val="00E2081D"/>
    <w:rsid w:val="00E2420D"/>
    <w:rsid w:val="00E279D3"/>
    <w:rsid w:val="00E30101"/>
    <w:rsid w:val="00E40E0E"/>
    <w:rsid w:val="00E4417B"/>
    <w:rsid w:val="00E50EFA"/>
    <w:rsid w:val="00E52823"/>
    <w:rsid w:val="00E53674"/>
    <w:rsid w:val="00E6572B"/>
    <w:rsid w:val="00E6741A"/>
    <w:rsid w:val="00E856C1"/>
    <w:rsid w:val="00E9299A"/>
    <w:rsid w:val="00EB0E92"/>
    <w:rsid w:val="00EB244B"/>
    <w:rsid w:val="00EB2DB7"/>
    <w:rsid w:val="00EB54C4"/>
    <w:rsid w:val="00ED0764"/>
    <w:rsid w:val="00ED3BD6"/>
    <w:rsid w:val="00EE0212"/>
    <w:rsid w:val="00EE310F"/>
    <w:rsid w:val="00EF0A6A"/>
    <w:rsid w:val="00EF6D2F"/>
    <w:rsid w:val="00F01AB6"/>
    <w:rsid w:val="00F02270"/>
    <w:rsid w:val="00F05D15"/>
    <w:rsid w:val="00F078C9"/>
    <w:rsid w:val="00F1284E"/>
    <w:rsid w:val="00F258A2"/>
    <w:rsid w:val="00F25B44"/>
    <w:rsid w:val="00F3037D"/>
    <w:rsid w:val="00F32352"/>
    <w:rsid w:val="00F330AB"/>
    <w:rsid w:val="00F36CF5"/>
    <w:rsid w:val="00F3758A"/>
    <w:rsid w:val="00F3790F"/>
    <w:rsid w:val="00F43B2F"/>
    <w:rsid w:val="00F471A2"/>
    <w:rsid w:val="00F50CC6"/>
    <w:rsid w:val="00F60BD9"/>
    <w:rsid w:val="00F62379"/>
    <w:rsid w:val="00F6409E"/>
    <w:rsid w:val="00F725E8"/>
    <w:rsid w:val="00F85E84"/>
    <w:rsid w:val="00F86F14"/>
    <w:rsid w:val="00F90BD7"/>
    <w:rsid w:val="00F9163E"/>
    <w:rsid w:val="00F941E5"/>
    <w:rsid w:val="00F97466"/>
    <w:rsid w:val="00FB595C"/>
    <w:rsid w:val="00FB79A5"/>
    <w:rsid w:val="00FC1254"/>
    <w:rsid w:val="00FC61E7"/>
    <w:rsid w:val="00FD632B"/>
    <w:rsid w:val="00FE51E6"/>
    <w:rsid w:val="00FE6693"/>
    <w:rsid w:val="00FE6DCD"/>
    <w:rsid w:val="00FF2511"/>
    <w:rsid w:val="00FF351F"/>
    <w:rsid w:val="00FF45EA"/>
    <w:rsid w:val="00FF5A3A"/>
    <w:rsid w:val="00FF6709"/>
    <w:rsid w:val="0367315B"/>
    <w:rsid w:val="03CB6EE9"/>
    <w:rsid w:val="061139E5"/>
    <w:rsid w:val="06A47B97"/>
    <w:rsid w:val="06F50B00"/>
    <w:rsid w:val="076E1278"/>
    <w:rsid w:val="08D1141D"/>
    <w:rsid w:val="0B296DE2"/>
    <w:rsid w:val="10294AA3"/>
    <w:rsid w:val="10E40CA0"/>
    <w:rsid w:val="136130D9"/>
    <w:rsid w:val="18DD4F7E"/>
    <w:rsid w:val="195B58A2"/>
    <w:rsid w:val="1C6F279D"/>
    <w:rsid w:val="1E085A14"/>
    <w:rsid w:val="1FF43DDB"/>
    <w:rsid w:val="21933AA2"/>
    <w:rsid w:val="24B21B4E"/>
    <w:rsid w:val="25BF356F"/>
    <w:rsid w:val="25DB0C2D"/>
    <w:rsid w:val="269469E7"/>
    <w:rsid w:val="29466A38"/>
    <w:rsid w:val="29FC3B14"/>
    <w:rsid w:val="2B11792E"/>
    <w:rsid w:val="2F730AC3"/>
    <w:rsid w:val="31C54755"/>
    <w:rsid w:val="3216608C"/>
    <w:rsid w:val="34CE14C6"/>
    <w:rsid w:val="34D84CEC"/>
    <w:rsid w:val="37AF5AB7"/>
    <w:rsid w:val="387F2E2B"/>
    <w:rsid w:val="3B1C3371"/>
    <w:rsid w:val="3CC23198"/>
    <w:rsid w:val="3DDF4815"/>
    <w:rsid w:val="3FE669E5"/>
    <w:rsid w:val="4731464E"/>
    <w:rsid w:val="50F63E28"/>
    <w:rsid w:val="5221007F"/>
    <w:rsid w:val="52926B5A"/>
    <w:rsid w:val="53A35FFF"/>
    <w:rsid w:val="545C5E51"/>
    <w:rsid w:val="5486175B"/>
    <w:rsid w:val="57667D24"/>
    <w:rsid w:val="57CE5BC3"/>
    <w:rsid w:val="5AE1516A"/>
    <w:rsid w:val="5B6A3A79"/>
    <w:rsid w:val="5C1A5F7B"/>
    <w:rsid w:val="645771F8"/>
    <w:rsid w:val="6A54112D"/>
    <w:rsid w:val="6AA035AE"/>
    <w:rsid w:val="6ADD1A69"/>
    <w:rsid w:val="6D4416C2"/>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538"/>
      <w:outlineLvl w:val="0"/>
    </w:pPr>
    <w:rPr>
      <w:b/>
      <w:bCs/>
      <w:sz w:val="28"/>
      <w:szCs w:val="28"/>
    </w:rPr>
  </w:style>
  <w:style w:type="paragraph" w:styleId="4">
    <w:name w:val="heading 2"/>
    <w:basedOn w:val="1"/>
    <w:next w:val="1"/>
    <w:qFormat/>
    <w:uiPriority w:val="1"/>
    <w:pPr>
      <w:ind w:left="629"/>
      <w:outlineLvl w:val="1"/>
    </w:pPr>
    <w:rPr>
      <w:b/>
      <w:bCs/>
      <w:sz w:val="24"/>
      <w:szCs w:val="24"/>
    </w:rPr>
  </w:style>
  <w:style w:type="paragraph" w:styleId="5">
    <w:name w:val="heading 3"/>
    <w:basedOn w:val="1"/>
    <w:next w:val="1"/>
    <w:link w:val="35"/>
    <w:qFormat/>
    <w:uiPriority w:val="0"/>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6">
    <w:name w:val="heading 4"/>
    <w:basedOn w:val="1"/>
    <w:next w:val="1"/>
    <w:link w:val="43"/>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38"/>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8">
    <w:name w:val="Normal Indent"/>
    <w:basedOn w:val="1"/>
    <w:link w:val="31"/>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annotation text"/>
    <w:basedOn w:val="1"/>
    <w:link w:val="44"/>
    <w:semiHidden/>
    <w:unhideWhenUsed/>
    <w:qFormat/>
    <w:uiPriority w:val="0"/>
  </w:style>
  <w:style w:type="paragraph" w:styleId="10">
    <w:name w:val="Body Text"/>
    <w:basedOn w:val="1"/>
    <w:link w:val="46"/>
    <w:qFormat/>
    <w:uiPriority w:val="1"/>
    <w:rPr>
      <w:sz w:val="24"/>
      <w:szCs w:val="24"/>
    </w:rPr>
  </w:style>
  <w:style w:type="paragraph" w:styleId="11">
    <w:name w:val="Body Text Indent"/>
    <w:basedOn w:val="1"/>
    <w:link w:val="42"/>
    <w:qFormat/>
    <w:uiPriority w:val="99"/>
    <w:pPr>
      <w:spacing w:after="120"/>
      <w:ind w:left="420" w:leftChars="200"/>
    </w:pPr>
  </w:style>
  <w:style w:type="paragraph" w:styleId="12">
    <w:name w:val="Plain Text"/>
    <w:basedOn w:val="1"/>
    <w:link w:val="33"/>
    <w:qFormat/>
    <w:uiPriority w:val="0"/>
    <w:rPr>
      <w:rFonts w:hAnsi="Courier New" w:cs="Courier New"/>
      <w:szCs w:val="21"/>
    </w:rPr>
  </w:style>
  <w:style w:type="paragraph" w:styleId="13">
    <w:name w:val="Date"/>
    <w:basedOn w:val="1"/>
    <w:next w:val="1"/>
    <w:link w:val="34"/>
    <w:qFormat/>
    <w:uiPriority w:val="0"/>
    <w:pPr>
      <w:autoSpaceDE/>
      <w:autoSpaceDN/>
      <w:ind w:left="100" w:leftChars="2500"/>
      <w:jc w:val="both"/>
    </w:pPr>
    <w:rPr>
      <w:rFonts w:ascii="Times New Roman" w:hAnsi="Times New Roman" w:cs="Times New Roman"/>
      <w:sz w:val="24"/>
      <w:szCs w:val="24"/>
      <w:lang w:eastAsia="zh-CN"/>
    </w:rPr>
  </w:style>
  <w:style w:type="paragraph" w:styleId="14">
    <w:name w:val="Body Text Indent 2"/>
    <w:basedOn w:val="1"/>
    <w:link w:val="37"/>
    <w:qFormat/>
    <w:uiPriority w:val="0"/>
    <w:pPr>
      <w:spacing w:after="120" w:line="480" w:lineRule="auto"/>
      <w:ind w:left="420" w:leftChars="200"/>
    </w:pPr>
  </w:style>
  <w:style w:type="paragraph" w:styleId="15">
    <w:name w:val="Balloon Text"/>
    <w:basedOn w:val="1"/>
    <w:link w:val="40"/>
    <w:semiHidden/>
    <w:unhideWhenUsed/>
    <w:qFormat/>
    <w:uiPriority w:val="0"/>
    <w:rPr>
      <w:sz w:val="18"/>
      <w:szCs w:val="18"/>
    </w:rPr>
  </w:style>
  <w:style w:type="paragraph" w:styleId="16">
    <w:name w:val="footer"/>
    <w:basedOn w:val="1"/>
    <w:link w:val="39"/>
    <w:qFormat/>
    <w:uiPriority w:val="0"/>
    <w:pPr>
      <w:tabs>
        <w:tab w:val="center" w:pos="4153"/>
        <w:tab w:val="right" w:pos="8306"/>
      </w:tabs>
      <w:snapToGrid w:val="0"/>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Normal (Web)"/>
    <w:basedOn w:val="1"/>
    <w:unhideWhenUsed/>
    <w:qFormat/>
    <w:uiPriority w:val="0"/>
    <w:pPr>
      <w:widowControl/>
      <w:autoSpaceDE/>
      <w:autoSpaceDN/>
    </w:pPr>
    <w:rPr>
      <w:sz w:val="24"/>
      <w:szCs w:val="24"/>
      <w:lang w:eastAsia="zh-CN"/>
    </w:rPr>
  </w:style>
  <w:style w:type="paragraph" w:styleId="19">
    <w:name w:val="annotation subject"/>
    <w:basedOn w:val="9"/>
    <w:next w:val="9"/>
    <w:link w:val="45"/>
    <w:semiHidden/>
    <w:unhideWhenUsed/>
    <w:qFormat/>
    <w:uiPriority w:val="0"/>
    <w:rPr>
      <w:b/>
      <w:bCs/>
    </w:rPr>
  </w:style>
  <w:style w:type="table" w:styleId="21">
    <w:name w:val="Table Grid"/>
    <w:basedOn w:val="20"/>
    <w:qFormat/>
    <w:uiPriority w:val="9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styleId="26">
    <w:name w:val="annotation reference"/>
    <w:basedOn w:val="22"/>
    <w:semiHidden/>
    <w:unhideWhenUsed/>
    <w:qFormat/>
    <w:uiPriority w:val="0"/>
    <w:rPr>
      <w:sz w:val="21"/>
      <w:szCs w:val="21"/>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99"/>
    <w:pPr>
      <w:spacing w:before="206"/>
      <w:ind w:left="959" w:hanging="361"/>
    </w:pPr>
  </w:style>
  <w:style w:type="paragraph" w:customStyle="1" w:styleId="29">
    <w:name w:val="Table Paragraph"/>
    <w:basedOn w:val="1"/>
    <w:qFormat/>
    <w:uiPriority w:val="1"/>
  </w:style>
  <w:style w:type="paragraph" w:customStyle="1" w:styleId="3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1">
    <w:name w:val="正文缩进 Char"/>
    <w:link w:val="8"/>
    <w:qFormat/>
    <w:uiPriority w:val="0"/>
    <w:rPr>
      <w:kern w:val="2"/>
      <w:sz w:val="21"/>
    </w:rPr>
  </w:style>
  <w:style w:type="paragraph" w:customStyle="1" w:styleId="32">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3">
    <w:name w:val="纯文本 Char"/>
    <w:basedOn w:val="22"/>
    <w:link w:val="12"/>
    <w:qFormat/>
    <w:uiPriority w:val="0"/>
    <w:rPr>
      <w:rFonts w:ascii="宋体" w:hAnsi="Courier New" w:cs="Courier New"/>
      <w:sz w:val="22"/>
      <w:szCs w:val="21"/>
      <w:lang w:eastAsia="en-US"/>
    </w:rPr>
  </w:style>
  <w:style w:type="character" w:customStyle="1" w:styleId="34">
    <w:name w:val="日期 Char"/>
    <w:basedOn w:val="22"/>
    <w:link w:val="13"/>
    <w:qFormat/>
    <w:uiPriority w:val="0"/>
    <w:rPr>
      <w:sz w:val="24"/>
      <w:szCs w:val="24"/>
    </w:rPr>
  </w:style>
  <w:style w:type="character" w:customStyle="1" w:styleId="35">
    <w:name w:val="标题 3 Char"/>
    <w:basedOn w:val="22"/>
    <w:link w:val="5"/>
    <w:qFormat/>
    <w:uiPriority w:val="0"/>
    <w:rPr>
      <w:b/>
      <w:bCs/>
      <w:sz w:val="32"/>
      <w:szCs w:val="32"/>
    </w:rPr>
  </w:style>
  <w:style w:type="character" w:customStyle="1" w:styleId="36">
    <w:name w:val="xdrichtextbox2"/>
    <w:basedOn w:val="22"/>
    <w:qFormat/>
    <w:uiPriority w:val="0"/>
    <w:rPr>
      <w:color w:val="0000FF"/>
      <w:sz w:val="18"/>
      <w:szCs w:val="18"/>
      <w:u w:val="none"/>
      <w:bdr w:val="single" w:color="DCDCDC" w:sz="8" w:space="0"/>
      <w:shd w:val="clear" w:color="auto" w:fill="FFFFFF"/>
    </w:rPr>
  </w:style>
  <w:style w:type="character" w:customStyle="1" w:styleId="37">
    <w:name w:val="正文文本缩进 2 Char"/>
    <w:basedOn w:val="22"/>
    <w:link w:val="14"/>
    <w:qFormat/>
    <w:uiPriority w:val="0"/>
    <w:rPr>
      <w:rFonts w:ascii="宋体" w:hAnsi="宋体" w:cs="宋体"/>
      <w:sz w:val="22"/>
      <w:szCs w:val="22"/>
      <w:lang w:eastAsia="en-US"/>
    </w:rPr>
  </w:style>
  <w:style w:type="character" w:customStyle="1" w:styleId="38">
    <w:name w:val="标题 8 Char"/>
    <w:basedOn w:val="22"/>
    <w:link w:val="7"/>
    <w:qFormat/>
    <w:uiPriority w:val="0"/>
    <w:rPr>
      <w:rFonts w:asciiTheme="majorHAnsi" w:hAnsiTheme="majorHAnsi" w:eastAsiaTheme="majorEastAsia" w:cstheme="majorBidi"/>
      <w:sz w:val="24"/>
      <w:szCs w:val="24"/>
      <w:lang w:eastAsia="en-US"/>
    </w:rPr>
  </w:style>
  <w:style w:type="character" w:customStyle="1" w:styleId="39">
    <w:name w:val="页脚 Char"/>
    <w:basedOn w:val="22"/>
    <w:link w:val="16"/>
    <w:qFormat/>
    <w:uiPriority w:val="0"/>
    <w:rPr>
      <w:rFonts w:ascii="宋体" w:hAnsi="宋体" w:cs="宋体"/>
      <w:sz w:val="18"/>
      <w:szCs w:val="18"/>
      <w:lang w:eastAsia="en-US"/>
    </w:rPr>
  </w:style>
  <w:style w:type="character" w:customStyle="1" w:styleId="40">
    <w:name w:val="批注框文本 Char"/>
    <w:basedOn w:val="22"/>
    <w:link w:val="15"/>
    <w:semiHidden/>
    <w:qFormat/>
    <w:uiPriority w:val="0"/>
    <w:rPr>
      <w:rFonts w:ascii="宋体" w:hAnsi="宋体" w:cs="宋体"/>
      <w:sz w:val="18"/>
      <w:szCs w:val="18"/>
      <w:lang w:eastAsia="en-US"/>
    </w:rPr>
  </w:style>
  <w:style w:type="character" w:customStyle="1" w:styleId="41">
    <w:name w:val="apple-converted-space"/>
    <w:basedOn w:val="22"/>
    <w:qFormat/>
    <w:uiPriority w:val="0"/>
  </w:style>
  <w:style w:type="character" w:customStyle="1" w:styleId="42">
    <w:name w:val="正文文本缩进 Char"/>
    <w:basedOn w:val="22"/>
    <w:link w:val="11"/>
    <w:qFormat/>
    <w:uiPriority w:val="99"/>
    <w:rPr>
      <w:rFonts w:ascii="宋体" w:hAnsi="宋体" w:cs="宋体"/>
      <w:sz w:val="22"/>
      <w:szCs w:val="22"/>
      <w:lang w:eastAsia="en-US"/>
    </w:rPr>
  </w:style>
  <w:style w:type="character" w:customStyle="1" w:styleId="43">
    <w:name w:val="标题 4 Char"/>
    <w:basedOn w:val="22"/>
    <w:link w:val="6"/>
    <w:qFormat/>
    <w:uiPriority w:val="0"/>
    <w:rPr>
      <w:rFonts w:asciiTheme="majorHAnsi" w:hAnsiTheme="majorHAnsi" w:eastAsiaTheme="majorEastAsia" w:cstheme="majorBidi"/>
      <w:b/>
      <w:bCs/>
      <w:sz w:val="28"/>
      <w:szCs w:val="28"/>
      <w:lang w:eastAsia="en-US"/>
    </w:rPr>
  </w:style>
  <w:style w:type="character" w:customStyle="1" w:styleId="44">
    <w:name w:val="批注文字 Char"/>
    <w:basedOn w:val="22"/>
    <w:link w:val="9"/>
    <w:semiHidden/>
    <w:qFormat/>
    <w:uiPriority w:val="0"/>
    <w:rPr>
      <w:rFonts w:ascii="宋体" w:hAnsi="宋体" w:cs="宋体"/>
      <w:sz w:val="22"/>
      <w:szCs w:val="22"/>
      <w:lang w:eastAsia="en-US"/>
    </w:rPr>
  </w:style>
  <w:style w:type="character" w:customStyle="1" w:styleId="45">
    <w:name w:val="批注主题 Char"/>
    <w:basedOn w:val="44"/>
    <w:link w:val="19"/>
    <w:semiHidden/>
    <w:qFormat/>
    <w:uiPriority w:val="0"/>
    <w:rPr>
      <w:rFonts w:ascii="宋体" w:hAnsi="宋体" w:cs="宋体"/>
      <w:b/>
      <w:bCs/>
      <w:sz w:val="22"/>
      <w:szCs w:val="22"/>
      <w:lang w:eastAsia="en-US"/>
    </w:rPr>
  </w:style>
  <w:style w:type="character" w:customStyle="1" w:styleId="46">
    <w:name w:val="正文文本 Char"/>
    <w:link w:val="10"/>
    <w:qFormat/>
    <w:uiPriority w:val="1"/>
    <w:rPr>
      <w:rFonts w:ascii="宋体" w:hAnsi="宋体" w:cs="宋体"/>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4"/>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40</Pages>
  <Words>2555</Words>
  <Characters>14564</Characters>
  <Lines>121</Lines>
  <Paragraphs>34</Paragraphs>
  <TotalTime>23</TotalTime>
  <ScaleCrop>false</ScaleCrop>
  <LinksUpToDate>false</LinksUpToDate>
  <CharactersWithSpaces>17085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2022-03-10T02:09:51Z</dcterms:modified>
  <dc:title>公开招标文件（货物服务类）</dc:title>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EA60A979764A4702A7D3A4AF93E1216A</vt:lpwstr>
  </property>
</Properties>
</file>