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无水氯化钙</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TLFT</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无水氯化钙</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1129</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腾龙芳烃（漳州）有限公司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lang w:eastAsia="zh-CN"/>
        </w:rPr>
        <w:t>2022年11月29日</w:t>
      </w:r>
    </w:p>
    <w:p>
      <w:pPr>
        <w:widowControl/>
        <w:shd w:val="clear" w:color="auto" w:fill="FFFFFF"/>
        <w:rPr>
          <w:rFonts w:ascii="Times New Roman" w:hAnsi="Times New Roman" w:eastAsia="宋体" w:cs="Times New Roman"/>
          <w:kern w:val="2"/>
          <w:sz w:val="21"/>
          <w:szCs w:val="24"/>
          <w:lang w:val="en-US" w:eastAsia="zh-CN" w:bidi="ar-SA"/>
        </w:rPr>
      </w:pPr>
    </w:p>
    <w:p>
      <w:pPr>
        <w:widowControl/>
        <w:shd w:val="clear" w:color="auto" w:fill="FFFFFF"/>
        <w:rPr>
          <w:rFonts w:ascii="Times New Roman" w:hAnsi="Times New Roman" w:eastAsia="宋体" w:cs="Times New Roman"/>
          <w:kern w:val="2"/>
          <w:sz w:val="21"/>
          <w:szCs w:val="24"/>
          <w:lang w:val="en-US" w:eastAsia="zh-CN" w:bidi="ar-SA"/>
        </w:rPr>
      </w:pPr>
    </w:p>
    <w:p>
      <w:pPr>
        <w:widowControl/>
        <w:shd w:val="clear" w:color="auto" w:fill="FFFFFF"/>
        <w:rPr>
          <w:rFonts w:ascii="Times New Roman" w:hAnsi="Times New Roman" w:eastAsia="宋体" w:cs="Times New Roman"/>
          <w:kern w:val="2"/>
          <w:sz w:val="21"/>
          <w:szCs w:val="24"/>
          <w:lang w:val="en-US" w:eastAsia="zh-CN" w:bidi="ar-SA"/>
        </w:rPr>
      </w:pPr>
    </w:p>
    <w:p>
      <w:pPr>
        <w:widowControl/>
        <w:shd w:val="clear" w:color="auto" w:fill="FFFFFF"/>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spacing w:line="300" w:lineRule="auto"/>
        <w:ind w:firstLine="1928" w:firstLineChars="600"/>
        <w:jc w:val="both"/>
        <w:rPr>
          <w:rFonts w:hint="eastAsia"/>
          <w:b/>
          <w:bCs/>
          <w:color w:val="auto"/>
          <w:sz w:val="32"/>
          <w:lang w:val="en-US" w:eastAsia="zh-CN"/>
        </w:rPr>
      </w:pPr>
      <w:r>
        <w:rPr>
          <w:rFonts w:hint="eastAsia"/>
          <w:b/>
          <w:bCs/>
          <w:color w:val="auto"/>
          <w:sz w:val="32"/>
          <w:lang w:val="en-US" w:eastAsia="zh-CN"/>
        </w:rPr>
        <w:t>腾龙芳烃（漳州）有限公司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无水氯化钙</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腾龙芳烃（漳州）有限公司</w:t>
      </w:r>
      <w:r>
        <w:rPr>
          <w:rFonts w:hint="eastAsia" w:asciiTheme="minorEastAsia" w:hAnsiTheme="minorEastAsia" w:eastAsiaTheme="minorEastAsia"/>
          <w:bCs/>
          <w:color w:val="auto"/>
          <w:sz w:val="24"/>
          <w:lang w:eastAsia="zh-CN"/>
        </w:rPr>
        <w:t>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无水氯化钙</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w:t>
      </w:r>
      <w:r>
        <w:rPr>
          <w:rFonts w:hint="eastAsia" w:asciiTheme="minorEastAsia" w:hAnsiTheme="minorEastAsia" w:eastAsiaTheme="minorEastAsia"/>
          <w:bCs/>
          <w:color w:val="auto"/>
          <w:sz w:val="24"/>
          <w:u w:val="single"/>
          <w:lang w:eastAsia="zh-CN"/>
        </w:rPr>
        <w:t>2022-TLFT-无水氯化钙-1129</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8"/>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8"/>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无水氯化钙。</w:t>
      </w:r>
    </w:p>
    <w:p>
      <w:pPr>
        <w:pStyle w:val="18"/>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无水氯化钙</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p>
    <w:p>
      <w:pPr>
        <w:pStyle w:val="18"/>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8"/>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8"/>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8"/>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8"/>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8"/>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6000元（陆仟圆整）</w:t>
      </w:r>
      <w:r>
        <w:rPr>
          <w:rFonts w:hint="eastAsia" w:asciiTheme="minorEastAsia" w:hAnsiTheme="minorEastAsia" w:eastAsiaTheme="minorEastAsia"/>
          <w:bCs/>
          <w:sz w:val="24"/>
        </w:rPr>
        <w:t>。</w:t>
      </w:r>
    </w:p>
    <w:p>
      <w:pPr>
        <w:pStyle w:val="18"/>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8"/>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w:t>
      </w:r>
      <w:r>
        <w:rPr>
          <w:rFonts w:hint="eastAsia" w:asciiTheme="majorEastAsia" w:hAnsiTheme="majorEastAsia" w:eastAsiaTheme="majorEastAsia"/>
          <w:color w:val="auto"/>
          <w:sz w:val="24"/>
          <w:lang w:val="en-US" w:eastAsia="zh-CN"/>
        </w:rPr>
        <w:t>起</w:t>
      </w:r>
      <w:r>
        <w:rPr>
          <w:rFonts w:hint="eastAsia" w:asciiTheme="majorEastAsia" w:hAnsiTheme="majorEastAsia" w:eastAsiaTheme="majorEastAsia"/>
          <w:color w:val="auto"/>
          <w:sz w:val="24"/>
        </w:rPr>
        <w:t>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12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20</w:t>
      </w:r>
      <w:r>
        <w:rPr>
          <w:rFonts w:hint="eastAsia" w:asciiTheme="majorEastAsia" w:hAnsiTheme="majorEastAsia" w:eastAsiaTheme="majorEastAsia"/>
          <w:color w:val="auto"/>
          <w:sz w:val="24"/>
        </w:rPr>
        <w:t>日（含当日）</w:t>
      </w:r>
    </w:p>
    <w:p>
      <w:pPr>
        <w:pStyle w:val="18"/>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highlight w:val="yellow"/>
          <w:lang w:val="en-US" w:eastAsia="zh-CN"/>
        </w:rPr>
        <w:t>邮件主题命名：</w:t>
      </w:r>
      <w:r>
        <w:rPr>
          <w:rFonts w:hint="eastAsia" w:asciiTheme="minorEastAsia" w:hAnsiTheme="minorEastAsia" w:eastAsiaTheme="minorEastAsia"/>
          <w:bCs/>
          <w:color w:val="auto"/>
          <w:sz w:val="24"/>
          <w:highlight w:val="yellow"/>
          <w:u w:val="single"/>
          <w:lang w:val="en-US" w:eastAsia="zh-CN"/>
        </w:rPr>
        <w:t>无水氯化钙</w:t>
      </w:r>
      <w:r>
        <w:rPr>
          <w:rFonts w:hint="eastAsia" w:asciiTheme="minorEastAsia" w:hAnsiTheme="minorEastAsia" w:eastAsiaTheme="minorEastAsia"/>
          <w:bCs/>
          <w:color w:val="auto"/>
          <w:sz w:val="24"/>
          <w:highlight w:val="yellow"/>
          <w:u w:val="single"/>
          <w:lang w:eastAsia="zh-CN"/>
        </w:rPr>
        <w:t>（项目</w:t>
      </w:r>
      <w:r>
        <w:rPr>
          <w:rFonts w:hint="eastAsia" w:asciiTheme="minorEastAsia" w:hAnsiTheme="minorEastAsia" w:eastAsiaTheme="minorEastAsia"/>
          <w:bCs/>
          <w:color w:val="auto"/>
          <w:sz w:val="24"/>
          <w:highlight w:val="yellow"/>
          <w:u w:val="single"/>
        </w:rPr>
        <w:t>编号：</w:t>
      </w:r>
      <w:r>
        <w:rPr>
          <w:rFonts w:hint="eastAsia" w:asciiTheme="minorEastAsia" w:hAnsiTheme="minorEastAsia" w:eastAsiaTheme="minorEastAsia"/>
          <w:bCs/>
          <w:color w:val="auto"/>
          <w:sz w:val="24"/>
          <w:highlight w:val="yellow"/>
          <w:u w:val="single"/>
          <w:lang w:eastAsia="zh-CN"/>
        </w:rPr>
        <w:t>2022-TLFT-无水氯化钙-1129</w:t>
      </w:r>
      <w:r>
        <w:rPr>
          <w:rFonts w:hint="eastAsia" w:asciiTheme="minorEastAsia" w:hAnsiTheme="minorEastAsia" w:eastAsiaTheme="minorEastAsia"/>
          <w:bCs/>
          <w:color w:val="auto"/>
          <w:sz w:val="24"/>
          <w:highlight w:val="yellow"/>
          <w:u w:val="single"/>
        </w:rPr>
        <w:t>）</w:t>
      </w:r>
      <w:r>
        <w:rPr>
          <w:rFonts w:hint="eastAsia" w:asciiTheme="minorEastAsia" w:hAnsiTheme="minorEastAsia" w:eastAsiaTheme="minorEastAsia"/>
          <w:bCs/>
          <w:color w:val="auto"/>
          <w:sz w:val="24"/>
          <w:highlight w:val="yellow"/>
          <w:u w:val="single"/>
          <w:lang w:val="en-US" w:eastAsia="zh-CN"/>
        </w:rPr>
        <w:t>参选报名</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陆</w:t>
      </w:r>
      <w:r>
        <w:rPr>
          <w:rFonts w:hint="eastAsia" w:asciiTheme="minorEastAsia" w:hAnsiTheme="minorEastAsia" w:eastAsiaTheme="minorEastAsia"/>
          <w:bCs/>
          <w:sz w:val="24"/>
        </w:rPr>
        <w:t>仟圆整），如中选、该保证金转为履约保证金，如不中选，在比选结束后请</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联系商务联系人办理无息等额退款。</w:t>
      </w:r>
    </w:p>
    <w:p>
      <w:pPr>
        <w:pStyle w:val="18"/>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18"/>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sz w:val="24"/>
        </w:rPr>
      </w:pPr>
      <w:r>
        <w:rPr>
          <w:rFonts w:hint="eastAsia" w:asciiTheme="minorEastAsia" w:hAnsiTheme="minorEastAsia" w:eastAsiaTheme="minorEastAsia"/>
          <w:bCs/>
          <w:color w:val="auto"/>
          <w:sz w:val="24"/>
        </w:rPr>
        <w:t>获取比选文件：参选人自行下载比选文件。</w:t>
      </w:r>
    </w:p>
    <w:p>
      <w:pPr>
        <w:pStyle w:val="18"/>
        <w:keepNext w:val="0"/>
        <w:keepLines w:val="0"/>
        <w:pageBreakBefore w:val="0"/>
        <w:widowControl w:val="0"/>
        <w:numPr>
          <w:ilvl w:val="0"/>
          <w:numId w:val="0"/>
        </w:numPr>
        <w:kinsoku/>
        <w:wordWrap/>
        <w:overflowPunct/>
        <w:topLinePunct w:val="0"/>
        <w:autoSpaceDE/>
        <w:autoSpaceDN/>
        <w:bidi w:val="0"/>
        <w:spacing w:before="0" w:line="300" w:lineRule="auto"/>
        <w:ind w:left="832" w:leftChars="0"/>
        <w:rPr>
          <w:rFonts w:asciiTheme="minorEastAsia" w:hAnsiTheme="minorEastAsia" w:eastAsiaTheme="minorEastAsia"/>
          <w:bCs/>
          <w:color w:val="auto"/>
          <w:sz w:val="24"/>
        </w:rPr>
      </w:pPr>
    </w:p>
    <w:p>
      <w:pPr>
        <w:pStyle w:val="18"/>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8"/>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 xml:space="preserve">收件人：蓝志达  电话：13559491161         </w:t>
      </w:r>
      <w:r>
        <w:rPr>
          <w:rFonts w:hint="eastAsia" w:asciiTheme="minorEastAsia" w:hAnsiTheme="minorEastAsia" w:eastAsiaTheme="minorEastAsia"/>
          <w:bCs/>
          <w:sz w:val="24"/>
        </w:rPr>
        <w:t>地址：厦门市思明区莲前街道领事馆路16号银领中心B栋4楼</w:t>
      </w:r>
    </w:p>
    <w:p>
      <w:pPr>
        <w:pStyle w:val="18"/>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8"/>
        <w:numPr>
          <w:ilvl w:val="0"/>
          <w:numId w:val="6"/>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bCs w:val="0"/>
          <w:sz w:val="24"/>
        </w:rPr>
        <w:t>寄件人公司名称及相应参选项目名称</w:t>
      </w:r>
      <w:r>
        <w:rPr>
          <w:rFonts w:hint="eastAsia" w:asciiTheme="minorEastAsia" w:hAnsiTheme="minorEastAsia" w:eastAsiaTheme="minorEastAsia"/>
          <w:b/>
          <w:bCs w:val="0"/>
          <w:sz w:val="24"/>
          <w:lang w:val="en-US" w:eastAsia="zh-CN"/>
        </w:rPr>
        <w:t>+编号</w:t>
      </w:r>
      <w:r>
        <w:rPr>
          <w:rFonts w:asciiTheme="minorEastAsia" w:hAnsiTheme="minorEastAsia" w:eastAsiaTheme="minorEastAsia"/>
          <w:bCs/>
          <w:sz w:val="24"/>
        </w:rPr>
        <w:t>！</w:t>
      </w:r>
    </w:p>
    <w:p>
      <w:pPr>
        <w:pStyle w:val="18"/>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递交截止时间前邮件加密发送参选文件至：wzcgb@fjpec.com.cn（邮件标题备注参选项目名称）。开选当日将由业务员联系获取加密密码。</w:t>
      </w:r>
    </w:p>
    <w:p>
      <w:pPr>
        <w:pStyle w:val="18"/>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Cs/>
          <w:color w:val="auto"/>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r>
        <w:rPr>
          <w:rFonts w:hint="eastAsia" w:asciiTheme="majorEastAsia" w:hAnsiTheme="majorEastAsia" w:eastAsiaTheme="majorEastAsia"/>
          <w:bCs/>
          <w:color w:val="auto"/>
          <w:sz w:val="24"/>
        </w:rPr>
        <w:t>。</w:t>
      </w:r>
    </w:p>
    <w:p>
      <w:pPr>
        <w:pStyle w:val="18"/>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蓝志达</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13559491161</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周建华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0596-6311614  </w:t>
      </w:r>
      <w:r>
        <w:rPr>
          <w:rFonts w:hint="eastAsia" w:asciiTheme="minorEastAsia" w:hAnsiTheme="minorEastAsia" w:eastAsiaTheme="minorEastAsia"/>
          <w:bCs/>
          <w:color w:val="auto"/>
          <w:sz w:val="24"/>
        </w:rPr>
        <w:t>邮箱：</w:t>
      </w:r>
      <w:r>
        <w:rPr>
          <w:rFonts w:hint="eastAsia" w:asciiTheme="minorEastAsia" w:hAnsiTheme="minorEastAsia" w:eastAsiaTheme="minorEastAsia"/>
          <w:bCs/>
          <w:color w:val="auto"/>
          <w:sz w:val="24"/>
          <w:lang w:val="en-US" w:eastAsia="zh-CN"/>
        </w:rPr>
        <w:t>jhzhou</w:t>
      </w:r>
      <w:r>
        <w:rPr>
          <w:rFonts w:hint="eastAsia" w:asciiTheme="minorEastAsia" w:hAnsiTheme="minorEastAsia" w:eastAsiaTheme="minorEastAsia"/>
          <w:bCs/>
          <w:color w:val="auto"/>
          <w:sz w:val="24"/>
        </w:rPr>
        <w:t>@fhcpec.com.cn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腾龙芳烃（漳州）有限公司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eastAsiaTheme="minorEastAsia"/>
          <w:b/>
          <w:bCs/>
          <w:color w:val="auto"/>
          <w:sz w:val="36"/>
          <w:lang w:eastAsia="zh-CN"/>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lang w:eastAsia="zh-CN"/>
        </w:rPr>
        <w:t>2022年11月29日</w:t>
      </w:r>
    </w:p>
    <w:p>
      <w:pPr>
        <w:spacing w:line="400" w:lineRule="exact"/>
        <w:jc w:val="both"/>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无水氯化钙</w:t>
      </w:r>
      <w:r>
        <w:rPr>
          <w:rFonts w:hint="eastAsia" w:ascii="宋体" w:hAnsi="宋体"/>
          <w:color w:val="auto"/>
          <w:sz w:val="18"/>
          <w:szCs w:val="18"/>
          <w:u w:val="single"/>
          <w:lang w:eastAsia="zh-CN"/>
        </w:rPr>
        <w:t>。</w:t>
      </w:r>
    </w:p>
    <w:p>
      <w:pPr>
        <w:pStyle w:val="21"/>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sz w:val="18"/>
          <w:szCs w:val="18"/>
        </w:rPr>
        <w:t>（5）参选保证金：</w:t>
      </w:r>
      <w:r>
        <w:rPr>
          <w:rFonts w:hint="eastAsia" w:ascii="宋体"/>
          <w:sz w:val="18"/>
          <w:szCs w:val="18"/>
          <w:lang w:val="en-US" w:eastAsia="zh-CN"/>
        </w:rPr>
        <w:t>6000元（陆仟圆整）</w:t>
      </w:r>
      <w:r>
        <w:rPr>
          <w:rFonts w:hint="eastAsia" w:ascii="宋体"/>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w:t>
      </w:r>
      <w:r>
        <w:rPr>
          <w:rFonts w:hint="eastAsia" w:ascii="宋体" w:hAnsi="宋体"/>
          <w:sz w:val="18"/>
          <w:szCs w:val="18"/>
          <w:lang w:eastAsia="zh-CN"/>
        </w:rPr>
        <w:t>。</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无水氯化钙</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腾龙芳烃（漳州）有限公司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宋体"/>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2022-TLFT-无水氯化钙-1129</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无水氯化钙</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数量：48吨。</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详见附件1，质量指标。</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none"/>
          <w:lang w:val="en-US" w:eastAsia="zh-CN"/>
        </w:rPr>
        <w:t>袋装。</w:t>
      </w:r>
    </w:p>
    <w:p>
      <w:pPr>
        <w:spacing w:line="360" w:lineRule="exact"/>
        <w:jc w:val="left"/>
        <w:rPr>
          <w:rFonts w:hint="default" w:asci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color w:val="auto"/>
          <w:sz w:val="24"/>
          <w:lang w:val="en-US" w:eastAsia="zh-CN"/>
        </w:rPr>
        <w:t>分批送货，每次5吨或3吨，具体时间以需方通知为准。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无水氯化钙</w:t>
      </w:r>
      <w:r>
        <w:rPr>
          <w:rFonts w:hint="eastAsia" w:ascii="宋体" w:hAnsi="宋体" w:cs="宋体"/>
          <w:color w:val="auto"/>
          <w:sz w:val="24"/>
        </w:rPr>
        <w:t>含税送到价。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w:t>
      </w:r>
      <w:r>
        <w:rPr>
          <w:rFonts w:hint="eastAsia" w:ascii="宋体" w:hAnsi="宋体" w:cs="宋体"/>
          <w:color w:val="auto"/>
          <w:sz w:val="24"/>
          <w:lang w:val="en-US" w:eastAsia="zh-CN"/>
        </w:rPr>
        <w:t>分批到货，分批付款，现汇支付。单批</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.1参选文件递交截止时间：见比选公告。</w:t>
      </w:r>
    </w:p>
    <w:p>
      <w:pPr>
        <w:spacing w:line="360" w:lineRule="exact"/>
        <w:jc w:val="left"/>
        <w:rPr>
          <w:rFonts w:hint="eastAsia" w:ascii="宋体" w:hAnsi="宋体" w:cs="宋体"/>
          <w:color w:val="000000" w:themeColor="text1"/>
          <w:sz w:val="24"/>
          <w:lang w:val="en-US" w:eastAsia="zh-CN"/>
        </w:rPr>
      </w:pPr>
      <w:r>
        <w:rPr>
          <w:rFonts w:hint="eastAsia" w:ascii="宋体" w:hAnsi="宋体" w:cs="宋体"/>
          <w:sz w:val="24"/>
          <w:szCs w:val="24"/>
          <w:lang w:val="en-US" w:eastAsia="zh-CN"/>
        </w:rPr>
        <w:t>8</w:t>
      </w:r>
      <w:r>
        <w:rPr>
          <w:rFonts w:hint="eastAsia" w:ascii="宋体" w:hAnsi="宋体" w:cs="宋体"/>
          <w:sz w:val="24"/>
          <w:szCs w:val="24"/>
        </w:rPr>
        <w:t>.2参选文件应密封，包含比选公告、参选规定及说明、公开比选文件、参选书、法定代表人授权书、报价单，上述六项文件一式两份并逐页盖公章。密封处盖章。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8.3我公司联系方式：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公司名称：腾龙芳烃（漳州）有限公司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ind w:firstLine="720" w:firstLineChars="300"/>
        <w:jc w:val="left"/>
        <w:rPr>
          <w:rFonts w:hint="eastAsia" w:ascii="宋体" w:hAnsi="宋体" w:cs="宋体"/>
          <w:color w:val="auto"/>
          <w:sz w:val="24"/>
          <w:lang w:val="en-US" w:eastAsia="zh-CN"/>
        </w:rPr>
      </w:pPr>
      <w:r>
        <w:rPr>
          <w:rFonts w:hint="eastAsia" w:ascii="宋体" w:hAnsi="宋体" w:cs="宋体"/>
          <w:color w:val="auto"/>
          <w:sz w:val="24"/>
          <w:lang w:val="en-US" w:eastAsia="zh-CN"/>
        </w:rPr>
        <w:t>联系人：蓝志达  手机：13559491161</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lang w:eastAsia="zh-CN"/>
        </w:rPr>
        <w:t>2022-TLFT-无水氯化钙-1129</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2022-TLFT-无水氯化钙-1129</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2022-TLFT-无水氯化钙-1129</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无水氯化钙</w:t>
      </w:r>
      <w:r>
        <w:rPr>
          <w:rFonts w:hint="eastAsia" w:ascii="宋体" w:hAnsi="宋体"/>
          <w:color w:val="auto"/>
          <w:sz w:val="24"/>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hAnsi="宋体"/>
          <w:color w:val="auto"/>
          <w:sz w:val="24"/>
          <w:u w:val="single"/>
          <w:lang w:val="en-US" w:eastAsia="zh-CN"/>
        </w:rPr>
        <w:t>48吨</w:t>
      </w:r>
      <w:r>
        <w:rPr>
          <w:rFonts w:hint="eastAsia" w:ascii="宋体" w:hAnsi="宋体"/>
          <w:color w:val="auto"/>
          <w:sz w:val="24"/>
          <w:lang w:eastAsia="zh-CN"/>
        </w:rPr>
        <w:t>。</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（2）采购指标：</w:t>
      </w:r>
      <w:r>
        <w:rPr>
          <w:rFonts w:hint="eastAsia" w:ascii="宋体" w:hAnsi="宋体" w:cs="宋体"/>
          <w:color w:val="auto"/>
          <w:sz w:val="24"/>
          <w:u w:val="single"/>
          <w:lang w:val="en-US" w:eastAsia="zh-CN"/>
        </w:rPr>
        <w:t>详见附件1，质量指标。</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s="宋体"/>
          <w:color w:val="auto"/>
          <w:sz w:val="24"/>
          <w:u w:val="none"/>
          <w:lang w:val="en-US" w:eastAsia="zh-CN"/>
        </w:rPr>
        <w:t>袋装</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分批送货，每次5吨或3吨，具体时间以需方通知为准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lang w:val="en-US" w:eastAsia="zh-CN"/>
        </w:rPr>
        <w:t>分批到货，分批付款，现汇支付。单批</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腾龙芳烃（漳州）有限公司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lang w:eastAsia="zh-CN"/>
        </w:rPr>
        <w:t>2022-TLFT-无水氯化钙-1129</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附件1 质量指标</w:t>
      </w:r>
    </w:p>
    <w:tbl>
      <w:tblPr>
        <w:tblStyle w:val="8"/>
        <w:tblpPr w:leftFromText="180" w:rightFromText="180" w:vertAnchor="text" w:horzAnchor="page" w:tblpX="1812" w:tblpY="6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200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项目</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指标</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氯化钙（CaCl</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≥94.00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碱度（以Ca（OH）</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≤0.25</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总碱金属氯化物（以NaCl计）w/%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≤5.0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铁（Fe）w/%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≤0.004</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水不溶物w/%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≤0.15</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PH（10g/mL）</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6.0~11.0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总镁（以MgCl</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≤0.5</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硫酸盐（以CaSO</w:t>
            </w:r>
            <w:r>
              <w:rPr>
                <w:rFonts w:hint="eastAsia" w:ascii="宋体" w:hAnsi="宋体" w:cs="宋体"/>
                <w:b w:val="0"/>
                <w:bCs/>
                <w:color w:val="auto"/>
                <w:sz w:val="21"/>
                <w:szCs w:val="21"/>
                <w:vertAlign w:val="subscript"/>
                <w:lang w:val="en-US" w:eastAsia="zh-CN"/>
              </w:rPr>
              <w:t>4</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≤0.05</w:t>
            </w:r>
          </w:p>
        </w:tc>
        <w:tc>
          <w:tcPr>
            <w:tcW w:w="2841" w:type="dxa"/>
          </w:tcPr>
          <w:p>
            <w:pPr>
              <w:spacing w:line="360" w:lineRule="auto"/>
              <w:jc w:val="center"/>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注：检验项目为规定的全部项目。</w:t>
            </w:r>
          </w:p>
        </w:tc>
      </w:tr>
    </w:tbl>
    <w:p>
      <w:pPr>
        <w:spacing w:line="360" w:lineRule="auto"/>
        <w:jc w:val="left"/>
        <w:rPr>
          <w:rFonts w:hint="default" w:ascii="宋体" w:hAnsi="宋体" w:cs="宋体"/>
          <w:b/>
          <w:color w:val="auto"/>
          <w:sz w:val="28"/>
          <w:szCs w:val="28"/>
          <w:lang w:val="en-US" w:eastAsia="zh-CN"/>
        </w:rPr>
      </w:pP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622"/>
        </w:tabs>
        <w:bidi w:val="0"/>
        <w:jc w:val="left"/>
        <w:rPr>
          <w:rFonts w:hint="default"/>
          <w:lang w:val="en-US" w:eastAsia="zh-CN"/>
        </w:rPr>
      </w:pPr>
    </w:p>
    <w:p>
      <w:pPr>
        <w:tabs>
          <w:tab w:val="left" w:pos="2622"/>
        </w:tabs>
        <w:bidi w:val="0"/>
        <w:jc w:val="left"/>
        <w:rPr>
          <w:rFonts w:hint="default"/>
          <w:lang w:val="en-US" w:eastAsia="zh-CN"/>
        </w:rPr>
      </w:pPr>
    </w:p>
    <w:p>
      <w:pPr>
        <w:tabs>
          <w:tab w:val="left" w:pos="2622"/>
        </w:tabs>
        <w:bidi w:val="0"/>
        <w:jc w:val="left"/>
        <w:rPr>
          <w:rFonts w:hint="default"/>
          <w:lang w:val="en-US" w:eastAsia="zh-CN"/>
        </w:rPr>
      </w:pPr>
    </w:p>
    <w:p>
      <w:pPr>
        <w:tabs>
          <w:tab w:val="left" w:pos="2622"/>
        </w:tabs>
        <w:bidi w:val="0"/>
        <w:jc w:val="left"/>
        <w:rPr>
          <w:rFonts w:hint="default"/>
          <w:lang w:val="en-US" w:eastAsia="zh-CN"/>
        </w:rPr>
      </w:pPr>
    </w:p>
    <w:p>
      <w:pPr>
        <w:tabs>
          <w:tab w:val="left" w:pos="2622"/>
        </w:tabs>
        <w:bidi w:val="0"/>
        <w:jc w:val="left"/>
        <w:rPr>
          <w:rFonts w:hint="default"/>
          <w:lang w:val="en-US" w:eastAsia="zh-CN"/>
        </w:rPr>
      </w:pPr>
    </w:p>
    <w:p>
      <w:pPr>
        <w:spacing w:line="280" w:lineRule="exact"/>
        <w:jc w:val="left"/>
        <w:rPr>
          <w:rFonts w:hint="default" w:ascii="宋体" w:hAnsi="宋体" w:eastAsia="宋体"/>
          <w:b/>
          <w:bCs w:val="0"/>
          <w:color w:val="000000"/>
          <w:sz w:val="24"/>
          <w:lang w:val="en-US" w:eastAsia="zh-CN"/>
        </w:rPr>
      </w:pPr>
      <w:r>
        <w:rPr>
          <w:rFonts w:hint="eastAsia" w:ascii="宋体" w:hAnsi="宋体"/>
          <w:b/>
          <w:bCs w:val="0"/>
          <w:color w:val="000000"/>
          <w:sz w:val="24"/>
          <w:lang w:val="en-US" w:eastAsia="zh-CN"/>
        </w:rPr>
        <w:t>附件2：合同条款</w:t>
      </w:r>
    </w:p>
    <w:p>
      <w:pPr>
        <w:spacing w:line="280" w:lineRule="exact"/>
        <w:jc w:val="center"/>
        <w:rPr>
          <w:rFonts w:ascii="宋体" w:hAnsi="宋体"/>
          <w:b/>
          <w:color w:val="000000"/>
          <w:sz w:val="24"/>
        </w:rPr>
      </w:pPr>
      <w:r>
        <w:rPr>
          <w:rFonts w:hint="eastAsia" w:ascii="宋体" w:hAnsi="宋体"/>
          <w:b/>
          <w:color w:val="000000"/>
          <w:sz w:val="24"/>
        </w:rPr>
        <w:t>一般货物（产品）采购合同</w:t>
      </w:r>
    </w:p>
    <w:p>
      <w:pPr>
        <w:spacing w:line="280" w:lineRule="exact"/>
        <w:rPr>
          <w:rFonts w:hint="eastAsia"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76" w:lineRule="auto"/>
        <w:rPr>
          <w:rFonts w:ascii="宋体" w:hAnsi="宋体"/>
          <w:b/>
          <w:color w:val="000000"/>
          <w:szCs w:val="21"/>
        </w:rPr>
      </w:pPr>
      <w:r>
        <w:rPr>
          <w:rFonts w:hint="eastAsia" w:ascii="宋体" w:hAnsi="宋体"/>
          <w:b/>
          <w:color w:val="000000"/>
          <w:szCs w:val="21"/>
        </w:rPr>
        <w:t xml:space="preserve">供方：                     </w:t>
      </w:r>
    </w:p>
    <w:p>
      <w:pPr>
        <w:spacing w:line="276" w:lineRule="auto"/>
        <w:rPr>
          <w:rFonts w:hint="eastAsia" w:ascii="宋体" w:hAnsi="宋体" w:eastAsia="宋体"/>
          <w:b/>
          <w:color w:val="000000"/>
          <w:szCs w:val="21"/>
          <w:lang w:eastAsia="zh-CN"/>
        </w:rPr>
      </w:pPr>
      <w:r>
        <w:rPr>
          <w:rFonts w:hint="eastAsia" w:ascii="宋体" w:hAnsi="宋体"/>
          <w:b/>
          <w:color w:val="000000"/>
          <w:szCs w:val="21"/>
        </w:rPr>
        <w:t>需方：</w:t>
      </w:r>
      <w:r>
        <w:rPr>
          <w:rStyle w:val="10"/>
          <w:rFonts w:hint="eastAsia" w:ascii="宋体" w:hAnsi="宋体" w:eastAsia="宋体" w:cs="宋体"/>
          <w:snapToGrid w:val="0"/>
          <w:color w:val="000000"/>
          <w:sz w:val="21"/>
          <w:szCs w:val="21"/>
          <w:lang w:eastAsia="zh-CN"/>
        </w:rPr>
        <w:t>腾龙芳烃（漳州）有限公司</w:t>
      </w:r>
    </w:p>
    <w:p>
      <w:pPr>
        <w:pStyle w:val="6"/>
        <w:keepNext w:val="0"/>
        <w:keepLines w:val="0"/>
        <w:widowControl/>
        <w:suppressLineNumbers w:val="0"/>
        <w:wordWrap/>
        <w:spacing w:before="0" w:beforeAutospacing="0" w:after="0" w:afterAutospacing="0" w:line="432" w:lineRule="auto"/>
        <w:ind w:left="0" w:right="0" w:firstLine="560"/>
        <w:rPr>
          <w:rFonts w:ascii="宋体" w:hAnsi="宋体"/>
          <w:color w:val="000000"/>
          <w:sz w:val="21"/>
          <w:szCs w:val="21"/>
        </w:rPr>
      </w:pPr>
      <w:r>
        <w:rPr>
          <w:rFonts w:hint="eastAsia" w:ascii="宋体" w:hAnsi="宋体"/>
          <w:color w:val="000000"/>
          <w:sz w:val="21"/>
          <w:szCs w:val="21"/>
        </w:rPr>
        <w:t>鉴于：供、需双方有权利及能力依法签署并履行本合同约定的事项；供、需双方经过充分协商，根据《中华人民共和国</w:t>
      </w:r>
      <w:r>
        <w:rPr>
          <w:rFonts w:hint="eastAsia" w:ascii="宋体" w:hAnsi="宋体" w:eastAsia="宋体" w:cs="宋体"/>
          <w:color w:val="000000"/>
          <w:sz w:val="21"/>
          <w:szCs w:val="21"/>
          <w:shd w:val="clear" w:color="auto" w:fill="FFFFFF"/>
        </w:rPr>
        <w:t>民法典</w:t>
      </w:r>
      <w:r>
        <w:rPr>
          <w:rFonts w:hint="eastAsia" w:ascii="宋体" w:hAnsi="宋体"/>
          <w:color w:val="000000"/>
          <w:sz w:val="21"/>
          <w:szCs w:val="21"/>
        </w:rPr>
        <w:t>》及相关法律法规，本着平等互利、诚信合作的原则，于</w:t>
      </w:r>
      <w:r>
        <w:rPr>
          <w:rFonts w:hint="eastAsia" w:ascii="宋体" w:hAnsi="宋体"/>
          <w:color w:val="000000"/>
          <w:sz w:val="21"/>
          <w:szCs w:val="21"/>
          <w:lang w:val="en-US" w:eastAsia="zh-CN"/>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日在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漳州</w:t>
      </w:r>
      <w:r>
        <w:rPr>
          <w:rFonts w:hint="eastAsia" w:ascii="宋体" w:hAnsi="宋体"/>
          <w:color w:val="000000"/>
          <w:sz w:val="21"/>
          <w:szCs w:val="21"/>
          <w:u w:val="single"/>
        </w:rPr>
        <w:t xml:space="preserve"> </w:t>
      </w:r>
      <w:r>
        <w:rPr>
          <w:rFonts w:hint="eastAsia" w:ascii="宋体" w:hAnsi="宋体"/>
          <w:color w:val="000000"/>
          <w:sz w:val="21"/>
          <w:szCs w:val="21"/>
        </w:rPr>
        <w:t>签订本合同。供、需双方在协议上的签字人是供、需双方的法定代表人或委托代理人。</w:t>
      </w:r>
    </w:p>
    <w:p>
      <w:pPr>
        <w:spacing w:line="276" w:lineRule="auto"/>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7"/>
        <w:tblpPr w:leftFromText="180" w:rightFromText="180" w:vertAnchor="text" w:horzAnchor="page" w:tblpXSpec="center" w:tblpY="169"/>
        <w:tblOverlap w:val="never"/>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82"/>
        <w:gridCol w:w="3432"/>
        <w:gridCol w:w="962"/>
        <w:gridCol w:w="986"/>
        <w:gridCol w:w="824"/>
        <w:gridCol w:w="1139"/>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82" w:type="dxa"/>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产品</w:t>
            </w:r>
          </w:p>
          <w:p>
            <w:pPr>
              <w:spacing w:line="276" w:lineRule="auto"/>
              <w:jc w:val="center"/>
              <w:rPr>
                <w:rFonts w:ascii="宋体" w:hAnsi="宋体"/>
                <w:color w:val="000000"/>
                <w:szCs w:val="21"/>
              </w:rPr>
            </w:pPr>
            <w:r>
              <w:rPr>
                <w:rFonts w:hint="eastAsia" w:ascii="宋体" w:hAnsi="宋体"/>
                <w:color w:val="000000"/>
                <w:szCs w:val="21"/>
              </w:rPr>
              <w:t>名称</w:t>
            </w:r>
          </w:p>
        </w:tc>
        <w:tc>
          <w:tcPr>
            <w:tcW w:w="882" w:type="dxa"/>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生产</w:t>
            </w:r>
          </w:p>
          <w:p>
            <w:pPr>
              <w:spacing w:line="276" w:lineRule="auto"/>
              <w:jc w:val="center"/>
              <w:rPr>
                <w:rFonts w:ascii="宋体" w:hAnsi="宋体"/>
                <w:color w:val="000000"/>
                <w:szCs w:val="21"/>
              </w:rPr>
            </w:pPr>
            <w:r>
              <w:rPr>
                <w:rFonts w:hint="eastAsia" w:ascii="宋体" w:hAnsi="宋体"/>
                <w:color w:val="000000"/>
                <w:szCs w:val="21"/>
              </w:rPr>
              <w:t>厂家</w:t>
            </w:r>
          </w:p>
        </w:tc>
        <w:tc>
          <w:tcPr>
            <w:tcW w:w="3432" w:type="dxa"/>
            <w:noWrap w:val="0"/>
            <w:vAlign w:val="center"/>
          </w:tcPr>
          <w:p>
            <w:pPr>
              <w:spacing w:line="276" w:lineRule="auto"/>
              <w:jc w:val="center"/>
              <w:rPr>
                <w:rFonts w:ascii="宋体" w:hAnsi="宋体"/>
                <w:color w:val="000000"/>
                <w:szCs w:val="21"/>
              </w:rPr>
            </w:pPr>
            <w:r>
              <w:rPr>
                <w:rFonts w:hint="eastAsia" w:ascii="宋体" w:hAnsi="宋体"/>
                <w:color w:val="000000"/>
                <w:szCs w:val="21"/>
              </w:rPr>
              <w:t>型号规格</w:t>
            </w:r>
          </w:p>
        </w:tc>
        <w:tc>
          <w:tcPr>
            <w:tcW w:w="962" w:type="dxa"/>
            <w:noWrap w:val="0"/>
            <w:vAlign w:val="center"/>
          </w:tcPr>
          <w:p>
            <w:pPr>
              <w:spacing w:line="276" w:lineRule="auto"/>
              <w:jc w:val="center"/>
              <w:rPr>
                <w:rFonts w:ascii="宋体" w:hAnsi="宋体"/>
                <w:color w:val="000000"/>
                <w:szCs w:val="21"/>
              </w:rPr>
            </w:pPr>
            <w:r>
              <w:rPr>
                <w:rFonts w:hint="eastAsia" w:ascii="宋体" w:hAnsi="宋体"/>
                <w:color w:val="000000"/>
                <w:szCs w:val="21"/>
              </w:rPr>
              <w:t>计量单位</w:t>
            </w:r>
          </w:p>
        </w:tc>
        <w:tc>
          <w:tcPr>
            <w:tcW w:w="986" w:type="dxa"/>
            <w:noWrap w:val="0"/>
            <w:vAlign w:val="center"/>
          </w:tcPr>
          <w:p>
            <w:pPr>
              <w:spacing w:line="276" w:lineRule="auto"/>
              <w:jc w:val="center"/>
              <w:rPr>
                <w:rFonts w:ascii="宋体" w:hAnsi="宋体"/>
                <w:color w:val="000000"/>
                <w:szCs w:val="21"/>
              </w:rPr>
            </w:pPr>
            <w:r>
              <w:rPr>
                <w:rFonts w:hint="eastAsia" w:ascii="宋体" w:hAnsi="宋体"/>
                <w:color w:val="000000"/>
                <w:szCs w:val="21"/>
              </w:rPr>
              <w:t>数量</w:t>
            </w:r>
          </w:p>
        </w:tc>
        <w:tc>
          <w:tcPr>
            <w:tcW w:w="824" w:type="dxa"/>
            <w:tcBorders>
              <w:bottom w:val="single" w:color="auto" w:sz="4" w:space="0"/>
            </w:tcBorders>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含税</w:t>
            </w:r>
          </w:p>
          <w:p>
            <w:pPr>
              <w:spacing w:line="276" w:lineRule="auto"/>
              <w:jc w:val="center"/>
              <w:rPr>
                <w:rFonts w:hint="eastAsia" w:ascii="宋体" w:hAnsi="宋体"/>
                <w:color w:val="000000"/>
                <w:szCs w:val="21"/>
              </w:rPr>
            </w:pPr>
            <w:r>
              <w:rPr>
                <w:rFonts w:hint="eastAsia" w:ascii="宋体" w:hAnsi="宋体"/>
                <w:color w:val="000000"/>
                <w:szCs w:val="21"/>
              </w:rPr>
              <w:t>单价</w:t>
            </w:r>
          </w:p>
        </w:tc>
        <w:tc>
          <w:tcPr>
            <w:tcW w:w="1139" w:type="dxa"/>
            <w:tcBorders>
              <w:bottom w:val="single" w:color="auto" w:sz="4" w:space="0"/>
            </w:tcBorders>
            <w:noWrap w:val="0"/>
            <w:vAlign w:val="center"/>
          </w:tcPr>
          <w:p>
            <w:pPr>
              <w:spacing w:line="276" w:lineRule="auto"/>
              <w:jc w:val="center"/>
              <w:rPr>
                <w:rFonts w:ascii="宋体" w:hAnsi="宋体"/>
                <w:color w:val="000000"/>
                <w:szCs w:val="21"/>
              </w:rPr>
            </w:pPr>
            <w:r>
              <w:rPr>
                <w:rFonts w:hint="eastAsia" w:ascii="宋体" w:hAnsi="宋体"/>
                <w:color w:val="000000"/>
                <w:szCs w:val="21"/>
              </w:rPr>
              <w:t>含税总金额</w:t>
            </w:r>
          </w:p>
        </w:tc>
        <w:tc>
          <w:tcPr>
            <w:tcW w:w="470" w:type="dxa"/>
            <w:noWrap w:val="0"/>
            <w:vAlign w:val="center"/>
          </w:tcPr>
          <w:p>
            <w:pPr>
              <w:spacing w:line="276"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82" w:type="dxa"/>
            <w:noWrap w:val="0"/>
            <w:vAlign w:val="center"/>
          </w:tcPr>
          <w:p>
            <w:pPr>
              <w:spacing w:line="276" w:lineRule="auto"/>
              <w:jc w:val="center"/>
              <w:rPr>
                <w:rFonts w:hint="eastAsia" w:ascii="宋体" w:hAnsi="宋体" w:eastAsia="宋体"/>
                <w:color w:val="000000"/>
                <w:szCs w:val="21"/>
                <w:lang w:eastAsia="zh-CN"/>
              </w:rPr>
            </w:pPr>
            <w:r>
              <w:rPr>
                <w:rFonts w:hint="eastAsia" w:ascii="宋体" w:hAnsi="宋体"/>
                <w:color w:val="000000"/>
                <w:szCs w:val="21"/>
                <w:lang w:eastAsia="zh-CN"/>
              </w:rPr>
              <w:t>无水氯化钙</w:t>
            </w:r>
          </w:p>
        </w:tc>
        <w:tc>
          <w:tcPr>
            <w:tcW w:w="882" w:type="dxa"/>
            <w:noWrap w:val="0"/>
            <w:vAlign w:val="center"/>
          </w:tcPr>
          <w:p>
            <w:pPr>
              <w:spacing w:line="276" w:lineRule="auto"/>
              <w:jc w:val="center"/>
              <w:rPr>
                <w:rFonts w:ascii="宋体" w:hAnsi="宋体"/>
                <w:color w:val="000000"/>
                <w:szCs w:val="21"/>
              </w:rPr>
            </w:pPr>
            <w:r>
              <w:rPr>
                <w:rFonts w:hint="eastAsia" w:ascii="宋体" w:hAnsi="宋体" w:cs="宋体"/>
                <w:color w:val="000000"/>
                <w:kern w:val="0"/>
                <w:szCs w:val="21"/>
              </w:rPr>
              <w:t>/</w:t>
            </w:r>
          </w:p>
        </w:tc>
        <w:tc>
          <w:tcPr>
            <w:tcW w:w="3432" w:type="dxa"/>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详见质量规范附件</w:t>
            </w:r>
          </w:p>
        </w:tc>
        <w:tc>
          <w:tcPr>
            <w:tcW w:w="962" w:type="dxa"/>
            <w:noWrap w:val="0"/>
            <w:vAlign w:val="center"/>
          </w:tcPr>
          <w:p>
            <w:pPr>
              <w:spacing w:line="276" w:lineRule="auto"/>
              <w:jc w:val="center"/>
              <w:rPr>
                <w:rFonts w:ascii="宋体" w:hAnsi="宋体"/>
                <w:color w:val="000000"/>
                <w:szCs w:val="21"/>
              </w:rPr>
            </w:pPr>
            <w:r>
              <w:rPr>
                <w:rFonts w:hint="eastAsia" w:ascii="宋体" w:hAnsi="宋体"/>
                <w:color w:val="000000"/>
                <w:szCs w:val="21"/>
              </w:rPr>
              <w:t>吨</w:t>
            </w:r>
          </w:p>
        </w:tc>
        <w:tc>
          <w:tcPr>
            <w:tcW w:w="986" w:type="dxa"/>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48</w:t>
            </w:r>
          </w:p>
        </w:tc>
        <w:tc>
          <w:tcPr>
            <w:tcW w:w="824" w:type="dxa"/>
            <w:noWrap w:val="0"/>
            <w:vAlign w:val="center"/>
          </w:tcPr>
          <w:p>
            <w:pPr>
              <w:spacing w:line="276" w:lineRule="auto"/>
              <w:jc w:val="center"/>
              <w:rPr>
                <w:rFonts w:hint="default" w:ascii="宋体" w:hAnsi="宋体" w:eastAsia="宋体"/>
                <w:color w:val="000000"/>
                <w:szCs w:val="21"/>
                <w:lang w:val="en-US" w:eastAsia="zh-CN"/>
              </w:rPr>
            </w:pPr>
          </w:p>
        </w:tc>
        <w:tc>
          <w:tcPr>
            <w:tcW w:w="1139" w:type="dxa"/>
            <w:noWrap w:val="0"/>
            <w:vAlign w:val="center"/>
          </w:tcPr>
          <w:p>
            <w:pPr>
              <w:spacing w:line="276" w:lineRule="auto"/>
              <w:jc w:val="center"/>
              <w:rPr>
                <w:rFonts w:hint="default" w:ascii="宋体" w:hAnsi="宋体" w:eastAsia="宋体"/>
                <w:color w:val="000000"/>
                <w:szCs w:val="21"/>
                <w:lang w:val="en-US" w:eastAsia="zh-CN"/>
              </w:rPr>
            </w:pPr>
          </w:p>
        </w:tc>
        <w:tc>
          <w:tcPr>
            <w:tcW w:w="470" w:type="dxa"/>
            <w:noWrap w:val="0"/>
            <w:vAlign w:val="center"/>
          </w:tcPr>
          <w:p>
            <w:pPr>
              <w:spacing w:line="276"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77" w:type="dxa"/>
            <w:gridSpan w:val="8"/>
            <w:noWrap w:val="0"/>
            <w:vAlign w:val="center"/>
          </w:tcPr>
          <w:p>
            <w:pPr>
              <w:spacing w:line="276" w:lineRule="auto"/>
              <w:rPr>
                <w:rFonts w:hint="default" w:ascii="宋体" w:hAnsi="宋体" w:eastAsia="宋体"/>
                <w:color w:val="000000"/>
                <w:szCs w:val="21"/>
                <w:lang w:val="en-US" w:eastAsia="zh-CN"/>
              </w:rPr>
            </w:pPr>
            <w:r>
              <w:rPr>
                <w:rFonts w:hint="eastAsia" w:ascii="宋体" w:hAnsi="宋体"/>
                <w:color w:val="000000"/>
                <w:szCs w:val="21"/>
                <w:lang w:val="en-US" w:eastAsia="zh-CN"/>
              </w:rPr>
              <w:t>以上金额开具13%增值税专用发票，并送货到漳州市古雷开发区腾龙路福海创石油化工有限公司指定地点。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764" w:type="dxa"/>
            <w:gridSpan w:val="2"/>
            <w:noWrap w:val="0"/>
            <w:vAlign w:val="center"/>
          </w:tcPr>
          <w:p>
            <w:pPr>
              <w:spacing w:line="276" w:lineRule="auto"/>
              <w:rPr>
                <w:rFonts w:ascii="宋体" w:hAnsi="宋体"/>
                <w:color w:val="000000"/>
                <w:szCs w:val="21"/>
              </w:rPr>
            </w:pPr>
            <w:r>
              <w:rPr>
                <w:rFonts w:hint="eastAsia" w:ascii="宋体" w:hAnsi="宋体"/>
                <w:color w:val="000000"/>
                <w:szCs w:val="21"/>
              </w:rPr>
              <w:t xml:space="preserve">合计人民币含税(13%)金额（大写）：                   </w:t>
            </w:r>
          </w:p>
        </w:tc>
        <w:tc>
          <w:tcPr>
            <w:tcW w:w="7813" w:type="dxa"/>
            <w:gridSpan w:val="6"/>
            <w:noWrap w:val="0"/>
            <w:vAlign w:val="center"/>
          </w:tcPr>
          <w:p>
            <w:pPr>
              <w:spacing w:line="276" w:lineRule="auto"/>
              <w:rPr>
                <w:rFonts w:hint="default" w:ascii="宋体" w:hAnsi="宋体" w:eastAsia="宋体"/>
                <w:color w:val="000000"/>
                <w:szCs w:val="21"/>
                <w:lang w:val="en-US" w:eastAsia="zh-CN"/>
              </w:rPr>
            </w:pPr>
          </w:p>
        </w:tc>
      </w:tr>
    </w:tbl>
    <w:p>
      <w:pPr>
        <w:spacing w:line="280" w:lineRule="exact"/>
        <w:ind w:firstLine="422" w:firstLineChars="200"/>
        <w:rPr>
          <w:rFonts w:ascii="宋体" w:hAnsi="宋体"/>
          <w:b/>
          <w:color w:val="000000"/>
          <w:szCs w:val="21"/>
        </w:rPr>
      </w:pPr>
    </w:p>
    <w:p>
      <w:pPr>
        <w:spacing w:line="276" w:lineRule="auto"/>
        <w:rPr>
          <w:rFonts w:ascii="宋体" w:hAnsi="宋体"/>
          <w:b/>
          <w:color w:val="000000"/>
          <w:szCs w:val="21"/>
        </w:rPr>
      </w:pPr>
      <w:r>
        <w:rPr>
          <w:rFonts w:hint="eastAsia" w:ascii="宋体" w:hAnsi="宋体"/>
          <w:b/>
          <w:color w:val="000000"/>
          <w:szCs w:val="21"/>
        </w:rPr>
        <w:t>二、供货有效期：</w:t>
      </w:r>
    </w:p>
    <w:p>
      <w:pPr>
        <w:spacing w:line="276" w:lineRule="auto"/>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w:t>
      </w:r>
      <w:r>
        <w:rPr>
          <w:rFonts w:hint="eastAsia" w:ascii="宋体" w:hAnsi="宋体"/>
          <w:color w:val="000000"/>
          <w:szCs w:val="21"/>
          <w:u w:val="single"/>
          <w:lang w:val="en-US" w:eastAsia="zh-CN"/>
        </w:rPr>
        <w:t>23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w:t>
      </w:r>
      <w:r>
        <w:rPr>
          <w:rFonts w:hint="eastAsia" w:ascii="宋体" w:hAnsi="宋体"/>
          <w:color w:val="000000"/>
          <w:szCs w:val="21"/>
          <w:u w:val="single"/>
          <w:lang w:val="en-US" w:eastAsia="zh-CN"/>
        </w:rPr>
        <w:t>23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12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pPr>
        <w:spacing w:line="276" w:lineRule="auto"/>
        <w:rPr>
          <w:rFonts w:ascii="宋体" w:hAnsi="宋体"/>
          <w:b/>
          <w:color w:val="000000"/>
          <w:szCs w:val="21"/>
        </w:rPr>
      </w:pPr>
      <w:r>
        <w:rPr>
          <w:rFonts w:hint="eastAsia" w:ascii="宋体" w:hAnsi="宋体"/>
          <w:b/>
          <w:color w:val="000000"/>
          <w:szCs w:val="21"/>
        </w:rPr>
        <w:t>三、产品质量要求及技术标准：</w:t>
      </w:r>
    </w:p>
    <w:p>
      <w:pPr>
        <w:spacing w:line="276" w:lineRule="auto"/>
        <w:ind w:firstLine="420" w:firstLineChars="200"/>
        <w:rPr>
          <w:rFonts w:ascii="宋体" w:hAnsi="宋体"/>
          <w:color w:val="000000"/>
          <w:szCs w:val="21"/>
          <w:u w:val="single"/>
        </w:rPr>
      </w:pP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供方需提供所供产品质量检验证明，以需方指定单位验收为准，如化验不合格，需方有权</w:t>
      </w:r>
      <w:r>
        <w:rPr>
          <w:rFonts w:hint="eastAsia" w:ascii="宋体" w:hAnsi="宋体"/>
          <w:color w:val="000000"/>
          <w:szCs w:val="21"/>
          <w:u w:val="single"/>
        </w:rPr>
        <w:t xml:space="preserve">退换货，退换货所需的费用由供方承担。 </w:t>
      </w:r>
    </w:p>
    <w:p>
      <w:pPr>
        <w:spacing w:line="276" w:lineRule="auto"/>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（条款一规定的型号规格）     </w:t>
      </w:r>
      <w:r>
        <w:rPr>
          <w:rFonts w:hint="eastAsia" w:ascii="宋体" w:hAnsi="宋体" w:cs="Arial"/>
          <w:color w:val="000000"/>
          <w:szCs w:val="21"/>
        </w:rPr>
        <w:t>。</w:t>
      </w:r>
    </w:p>
    <w:p>
      <w:pPr>
        <w:spacing w:line="276" w:lineRule="auto"/>
        <w:rPr>
          <w:rFonts w:ascii="宋体" w:hAnsi="宋体"/>
          <w:b/>
          <w:color w:val="000000"/>
          <w:szCs w:val="21"/>
        </w:rPr>
      </w:pPr>
      <w:r>
        <w:rPr>
          <w:rFonts w:hint="eastAsia" w:ascii="宋体" w:hAnsi="宋体"/>
          <w:b/>
          <w:color w:val="000000"/>
          <w:szCs w:val="21"/>
        </w:rPr>
        <w:t>四、包装方式：</w:t>
      </w:r>
    </w:p>
    <w:p>
      <w:pPr>
        <w:spacing w:line="276" w:lineRule="auto"/>
        <w:ind w:firstLine="420" w:firstLineChars="200"/>
        <w:rPr>
          <w:rFonts w:ascii="宋体" w:hAnsi="宋体"/>
          <w:color w:val="000000"/>
          <w:szCs w:val="21"/>
        </w:rPr>
      </w:pP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w:t>
      </w:r>
    </w:p>
    <w:p>
      <w:pPr>
        <w:spacing w:line="276" w:lineRule="auto"/>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袋装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     </w:t>
      </w:r>
      <w:r>
        <w:rPr>
          <w:rFonts w:hint="eastAsia" w:ascii="宋体" w:hAnsi="宋体"/>
          <w:color w:val="000000"/>
          <w:szCs w:val="21"/>
        </w:rPr>
        <w:t xml:space="preserve">   4、其他：</w:t>
      </w:r>
      <w:r>
        <w:rPr>
          <w:rFonts w:hint="eastAsia" w:ascii="宋体" w:hAnsi="宋体"/>
          <w:color w:val="000000"/>
          <w:szCs w:val="21"/>
          <w:u w:val="single"/>
        </w:rPr>
        <w:t xml:space="preserve"> /                 </w:t>
      </w:r>
    </w:p>
    <w:p>
      <w:pPr>
        <w:spacing w:line="276" w:lineRule="auto"/>
        <w:rPr>
          <w:rFonts w:ascii="宋体" w:hAnsi="宋体"/>
          <w:b/>
          <w:color w:val="000000"/>
          <w:szCs w:val="21"/>
        </w:rPr>
      </w:pPr>
      <w:r>
        <w:rPr>
          <w:rFonts w:hint="eastAsia" w:ascii="宋体" w:hAnsi="宋体"/>
          <w:b/>
          <w:color w:val="000000"/>
          <w:szCs w:val="21"/>
        </w:rPr>
        <w:t>五、货款结算与支付方式：</w:t>
      </w:r>
    </w:p>
    <w:p>
      <w:pPr>
        <w:spacing w:line="276" w:lineRule="auto"/>
        <w:ind w:firstLine="411" w:firstLineChars="196"/>
        <w:rPr>
          <w:rFonts w:hint="default" w:ascii="宋体" w:hAnsi="宋体" w:eastAsia="宋体"/>
          <w:color w:val="000000"/>
          <w:szCs w:val="21"/>
          <w:lang w:val="en-US" w:eastAsia="zh-CN"/>
        </w:rPr>
      </w:pPr>
      <w:r>
        <w:rPr>
          <w:rFonts w:hint="eastAsia" w:ascii="宋体" w:hAnsi="宋体"/>
          <w:color w:val="000000"/>
          <w:szCs w:val="21"/>
        </w:rPr>
        <w:t>每批产品全部到货后，经需方或需方指定单位：</w:t>
      </w:r>
      <w:r>
        <w:rPr>
          <w:rFonts w:hint="eastAsia" w:ascii="宋体" w:hAnsi="宋体"/>
          <w:color w:val="000000"/>
          <w:szCs w:val="21"/>
          <w:u w:val="single"/>
        </w:rPr>
        <w:t>福建福海创石油化工有限公司</w:t>
      </w:r>
      <w:r>
        <w:rPr>
          <w:rFonts w:hint="eastAsia" w:ascii="宋体" w:hAnsi="宋体"/>
          <w:color w:val="000000"/>
          <w:szCs w:val="21"/>
        </w:rPr>
        <w:t>（本合同中统称“需方”）根据本合同约定的质量、数量标准验收合格后，供方提供相应金额的增值税专用发票以及发票详单，需方收到增值税专用发票及发票详单并确认无误后于</w:t>
      </w:r>
      <w:r>
        <w:rPr>
          <w:rFonts w:hint="eastAsia" w:ascii="宋体" w:hAnsi="宋体"/>
          <w:szCs w:val="21"/>
        </w:rPr>
        <w:t>收到发票后以银行转账方式支付供方相应货款。</w:t>
      </w:r>
      <w:r>
        <w:rPr>
          <w:rFonts w:hint="eastAsia" w:ascii="宋体" w:hAnsi="宋体"/>
          <w:szCs w:val="21"/>
          <w:lang w:val="en-US" w:eastAsia="zh-CN"/>
        </w:rPr>
        <w:t>分批到货，分批付款。实际结算数量为合同约定数量的±5%。</w:t>
      </w:r>
    </w:p>
    <w:p>
      <w:pPr>
        <w:spacing w:line="276" w:lineRule="auto"/>
        <w:rPr>
          <w:rFonts w:ascii="宋体" w:hAnsi="宋体"/>
          <w:szCs w:val="21"/>
        </w:rPr>
      </w:pPr>
      <w:r>
        <w:rPr>
          <w:rFonts w:hint="eastAsia" w:ascii="宋体" w:hAnsi="宋体"/>
          <w:b/>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5</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76" w:lineRule="auto"/>
        <w:rPr>
          <w:rFonts w:ascii="宋体" w:hAnsi="宋体"/>
          <w:sz w:val="24"/>
        </w:rPr>
      </w:pPr>
      <w:r>
        <w:rPr>
          <w:rFonts w:hint="eastAsia" w:ascii="宋体" w:hAnsi="宋体"/>
          <w:b/>
          <w:szCs w:val="21"/>
        </w:rPr>
        <w:t>七、交付方式：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r>
        <w:rPr>
          <w:rFonts w:ascii="宋体" w:hAnsi="宋体"/>
          <w:sz w:val="24"/>
        </w:rPr>
        <w:t xml:space="preserve"> </w:t>
      </w:r>
    </w:p>
    <w:p>
      <w:pPr>
        <w:spacing w:line="276" w:lineRule="auto"/>
        <w:ind w:firstLine="420" w:firstLineChars="200"/>
        <w:rPr>
          <w:rFonts w:ascii="宋体" w:hAnsi="宋体"/>
          <w:szCs w:val="21"/>
        </w:rPr>
      </w:pPr>
      <w:r>
        <w:rPr>
          <w:rFonts w:hint="eastAsia" w:ascii="宋体" w:hAnsi="宋体"/>
          <w:szCs w:val="21"/>
        </w:rPr>
        <w:t>1、需方自提，自提所需的所有费用由需方自理，提货地点为</w:t>
      </w:r>
      <w:r>
        <w:rPr>
          <w:rFonts w:hint="eastAsia" w:ascii="宋体" w:hAnsi="宋体"/>
          <w:sz w:val="18"/>
          <w:szCs w:val="18"/>
          <w:u w:val="single"/>
        </w:rPr>
        <w:t xml:space="preserve">    /      </w:t>
      </w:r>
      <w:r>
        <w:rPr>
          <w:rFonts w:hint="eastAsia" w:ascii="宋体" w:hAnsi="宋体"/>
          <w:szCs w:val="21"/>
        </w:rPr>
        <w:t xml:space="preserve">；    </w:t>
      </w:r>
    </w:p>
    <w:p>
      <w:pPr>
        <w:spacing w:line="276" w:lineRule="auto"/>
        <w:ind w:firstLine="420" w:firstLineChars="200"/>
        <w:rPr>
          <w:rFonts w:ascii="宋体" w:hAnsi="宋体"/>
          <w:color w:val="000000"/>
          <w:szCs w:val="21"/>
        </w:rPr>
      </w:pPr>
      <w:r>
        <w:rPr>
          <w:rFonts w:hint="eastAsia" w:ascii="宋体" w:hAnsi="宋体"/>
          <w:szCs w:val="21"/>
        </w:rPr>
        <w:t>2、供方送货，运费、保险费由供方承担，到货地点为</w:t>
      </w:r>
      <w:r>
        <w:rPr>
          <w:rFonts w:hint="eastAsia" w:ascii="宋体" w:hAnsi="宋体"/>
          <w:sz w:val="18"/>
          <w:szCs w:val="18"/>
          <w:u w:val="single"/>
        </w:rPr>
        <w:t>　</w:t>
      </w:r>
      <w:r>
        <w:rPr>
          <w:rFonts w:hint="eastAsia"/>
          <w:szCs w:val="21"/>
          <w:u w:val="single"/>
        </w:rPr>
        <w:t>福建省漳州市古雷经济开发区腾龙路</w:t>
      </w:r>
      <w:r>
        <w:rPr>
          <w:rFonts w:hint="eastAsia" w:ascii="宋体" w:hAnsi="宋体"/>
          <w:szCs w:val="21"/>
          <w:u w:val="single"/>
        </w:rPr>
        <w:t>福</w:t>
      </w:r>
      <w:r>
        <w:rPr>
          <w:rFonts w:hint="eastAsia" w:ascii="宋体" w:hAnsi="宋体"/>
          <w:color w:val="000000"/>
          <w:szCs w:val="21"/>
          <w:u w:val="single"/>
        </w:rPr>
        <w:t>建福海创石油化工有限公司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76" w:lineRule="auto"/>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76" w:lineRule="auto"/>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w:t>
      </w:r>
      <w:r>
        <w:rPr>
          <w:rFonts w:hint="eastAsia" w:ascii="宋体" w:hAnsi="宋体"/>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叁  </w:t>
      </w:r>
      <w:r>
        <w:rPr>
          <w:rFonts w:hint="eastAsia" w:ascii="宋体" w:hAnsi="宋体"/>
          <w:color w:val="000000"/>
          <w:szCs w:val="21"/>
        </w:rPr>
        <w:t>份。</w:t>
      </w:r>
    </w:p>
    <w:p>
      <w:pPr>
        <w:spacing w:line="280" w:lineRule="exact"/>
        <w:rPr>
          <w:rFonts w:ascii="宋体" w:hAnsi="宋体"/>
          <w:color w:val="000000"/>
          <w:szCs w:val="21"/>
        </w:rPr>
      </w:pPr>
    </w:p>
    <w:tbl>
      <w:tblPr>
        <w:tblStyle w:val="7"/>
        <w:tblW w:w="0" w:type="auto"/>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noWrap w:val="0"/>
            <w:vAlign w:val="center"/>
          </w:tcPr>
          <w:p>
            <w:pPr>
              <w:spacing w:line="280" w:lineRule="exact"/>
              <w:rPr>
                <w:rFonts w:hint="eastAsia" w:eastAsia="宋体"/>
                <w:b/>
                <w:color w:val="000000"/>
                <w:szCs w:val="21"/>
                <w:lang w:eastAsia="zh-CN"/>
              </w:rPr>
            </w:pPr>
          </w:p>
        </w:tc>
        <w:tc>
          <w:tcPr>
            <w:tcW w:w="1377" w:type="dxa"/>
            <w:gridSpan w:val="4"/>
            <w:noWrap w:val="0"/>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noWrap w:val="0"/>
            <w:vAlign w:val="center"/>
          </w:tcPr>
          <w:p>
            <w:pPr>
              <w:spacing w:line="280" w:lineRule="exact"/>
              <w:rPr>
                <w:rFonts w:hint="eastAsia" w:eastAsia="宋体"/>
                <w:b/>
                <w:color w:val="000000"/>
                <w:szCs w:val="21"/>
                <w:lang w:eastAsia="zh-CN"/>
              </w:rPr>
            </w:pPr>
            <w:r>
              <w:rPr>
                <w:rStyle w:val="10"/>
                <w:rFonts w:hint="eastAsia" w:ascii="宋体" w:hAnsi="宋体" w:eastAsia="宋体" w:cs="宋体"/>
                <w:snapToGrid w:val="0"/>
                <w:color w:val="000000"/>
                <w:sz w:val="21"/>
                <w:szCs w:val="21"/>
                <w:lang w:eastAsia="zh-CN"/>
              </w:rPr>
              <w:t>腾龙芳烃（漳州）有限公司</w:t>
            </w:r>
          </w:p>
        </w:tc>
      </w:tr>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color w:val="000000"/>
                <w:szCs w:val="21"/>
              </w:rPr>
            </w:pPr>
            <w:r>
              <w:rPr>
                <w:rFonts w:hint="eastAsia" w:ascii="宋体" w:hAnsi="宋体"/>
                <w:color w:val="000000"/>
                <w:szCs w:val="21"/>
              </w:rPr>
              <w:t>工商注册号：</w:t>
            </w:r>
          </w:p>
        </w:tc>
        <w:tc>
          <w:tcPr>
            <w:tcW w:w="3883" w:type="dxa"/>
            <w:gridSpan w:val="2"/>
            <w:noWrap w:val="0"/>
            <w:vAlign w:val="center"/>
          </w:tcPr>
          <w:p>
            <w:pPr>
              <w:spacing w:line="280" w:lineRule="exact"/>
              <w:rPr>
                <w:rFonts w:hint="eastAsia"/>
                <w:color w:val="000000"/>
                <w:szCs w:val="21"/>
              </w:rPr>
            </w:pPr>
          </w:p>
        </w:tc>
        <w:tc>
          <w:tcPr>
            <w:tcW w:w="1377" w:type="dxa"/>
            <w:gridSpan w:val="4"/>
            <w:noWrap w:val="0"/>
            <w:vAlign w:val="center"/>
          </w:tcPr>
          <w:p>
            <w:pPr>
              <w:spacing w:line="280" w:lineRule="exact"/>
              <w:rPr>
                <w:color w:val="000000"/>
                <w:szCs w:val="21"/>
              </w:rPr>
            </w:pPr>
            <w:r>
              <w:rPr>
                <w:rFonts w:hint="eastAsia" w:ascii="宋体" w:hAnsi="宋体"/>
                <w:color w:val="000000"/>
                <w:szCs w:val="21"/>
              </w:rPr>
              <w:t>工商注册号：</w:t>
            </w:r>
          </w:p>
        </w:tc>
        <w:tc>
          <w:tcPr>
            <w:tcW w:w="3975" w:type="dxa"/>
            <w:gridSpan w:val="2"/>
            <w:noWrap w:val="0"/>
            <w:vAlign w:val="center"/>
          </w:tcPr>
          <w:p>
            <w:pPr>
              <w:spacing w:line="280" w:lineRule="exact"/>
              <w:rPr>
                <w:rFonts w:hint="default" w:eastAsia="宋体"/>
                <w:color w:val="000000"/>
                <w:szCs w:val="21"/>
                <w:lang w:val="en-US" w:eastAsia="zh-CN"/>
              </w:rPr>
            </w:pPr>
            <w:r>
              <w:rPr>
                <w:rFonts w:hint="eastAsia" w:eastAsia="宋体"/>
                <w:color w:val="000000"/>
                <w:szCs w:val="21"/>
                <w:lang w:val="en-US" w:eastAsia="zh-CN"/>
              </w:rPr>
              <w:t>91350600717866709A</w:t>
            </w: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地址：</w:t>
            </w:r>
          </w:p>
        </w:tc>
        <w:tc>
          <w:tcPr>
            <w:tcW w:w="4513" w:type="dxa"/>
            <w:gridSpan w:val="5"/>
            <w:noWrap w:val="0"/>
            <w:vAlign w:val="center"/>
          </w:tcPr>
          <w:p>
            <w:pPr>
              <w:spacing w:line="280" w:lineRule="exact"/>
              <w:rPr>
                <w:rFonts w:hint="eastAsia"/>
                <w:color w:val="000000"/>
                <w:sz w:val="18"/>
                <w:szCs w:val="18"/>
              </w:rPr>
            </w:pPr>
          </w:p>
        </w:tc>
        <w:tc>
          <w:tcPr>
            <w:tcW w:w="842" w:type="dxa"/>
            <w:noWrap w:val="0"/>
            <w:vAlign w:val="center"/>
          </w:tcPr>
          <w:p>
            <w:pPr>
              <w:spacing w:line="280" w:lineRule="exact"/>
              <w:rPr>
                <w:color w:val="000000"/>
                <w:szCs w:val="21"/>
              </w:rPr>
            </w:pPr>
            <w:r>
              <w:rPr>
                <w:rFonts w:hint="eastAsia" w:ascii="宋体" w:hAnsi="宋体"/>
                <w:color w:val="000000"/>
                <w:szCs w:val="21"/>
              </w:rPr>
              <w:t>地址：</w:t>
            </w:r>
          </w:p>
        </w:tc>
        <w:tc>
          <w:tcPr>
            <w:tcW w:w="4510" w:type="dxa"/>
            <w:gridSpan w:val="5"/>
            <w:noWrap w:val="0"/>
            <w:vAlign w:val="center"/>
          </w:tcPr>
          <w:p>
            <w:pPr>
              <w:spacing w:line="280" w:lineRule="exact"/>
              <w:rPr>
                <w:rFonts w:hint="default" w:eastAsia="宋体"/>
                <w:color w:val="000000"/>
                <w:sz w:val="18"/>
                <w:szCs w:val="18"/>
                <w:lang w:val="en-US" w:eastAsia="zh-CN"/>
              </w:rPr>
            </w:pPr>
            <w:r>
              <w:rPr>
                <w:rFonts w:hint="eastAsia" w:eastAsia="宋体"/>
                <w:color w:val="000000"/>
                <w:sz w:val="18"/>
                <w:szCs w:val="18"/>
                <w:lang w:val="en-US" w:eastAsia="zh-CN"/>
              </w:rPr>
              <w:t>福建省漳州市古雷港经济开发区腾龙路84号</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邮政编码：</w:t>
            </w:r>
          </w:p>
        </w:tc>
        <w:tc>
          <w:tcPr>
            <w:tcW w:w="4093" w:type="dxa"/>
            <w:gridSpan w:val="3"/>
            <w:noWrap w:val="0"/>
            <w:vAlign w:val="center"/>
          </w:tcPr>
          <w:p>
            <w:pPr>
              <w:spacing w:line="280" w:lineRule="exact"/>
              <w:rPr>
                <w:color w:val="000000"/>
                <w:szCs w:val="21"/>
              </w:rPr>
            </w:pPr>
          </w:p>
        </w:tc>
        <w:tc>
          <w:tcPr>
            <w:tcW w:w="1260" w:type="dxa"/>
            <w:gridSpan w:val="3"/>
            <w:noWrap w:val="0"/>
            <w:vAlign w:val="center"/>
          </w:tcPr>
          <w:p>
            <w:pPr>
              <w:spacing w:line="280" w:lineRule="exact"/>
              <w:rPr>
                <w:color w:val="000000"/>
                <w:szCs w:val="21"/>
              </w:rPr>
            </w:pPr>
            <w:r>
              <w:rPr>
                <w:rFonts w:hint="eastAsia" w:ascii="宋体" w:hAnsi="宋体"/>
                <w:color w:val="000000"/>
                <w:szCs w:val="21"/>
              </w:rPr>
              <w:t>邮政编码：</w:t>
            </w:r>
          </w:p>
        </w:tc>
        <w:tc>
          <w:tcPr>
            <w:tcW w:w="4092" w:type="dxa"/>
            <w:gridSpan w:val="3"/>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733" w:type="dxa"/>
            <w:gridSpan w:val="5"/>
            <w:noWrap w:val="0"/>
            <w:vAlign w:val="center"/>
          </w:tcPr>
          <w:p>
            <w:pPr>
              <w:spacing w:line="280" w:lineRule="exact"/>
              <w:rPr>
                <w:color w:val="000000"/>
                <w:szCs w:val="21"/>
              </w:rPr>
            </w:pPr>
            <w:r>
              <w:rPr>
                <w:rFonts w:hint="eastAsia" w:ascii="宋体" w:hAnsi="宋体"/>
                <w:color w:val="000000"/>
                <w:szCs w:val="21"/>
              </w:rPr>
              <w:t>法定代表人或委托代理人：</w:t>
            </w:r>
          </w:p>
        </w:tc>
        <w:tc>
          <w:tcPr>
            <w:tcW w:w="2623" w:type="dxa"/>
            <w:noWrap w:val="0"/>
            <w:vAlign w:val="center"/>
          </w:tcPr>
          <w:p>
            <w:pPr>
              <w:spacing w:line="280" w:lineRule="exact"/>
              <w:rPr>
                <w:color w:val="000000"/>
                <w:szCs w:val="21"/>
              </w:rPr>
            </w:pPr>
          </w:p>
        </w:tc>
        <w:tc>
          <w:tcPr>
            <w:tcW w:w="2732" w:type="dxa"/>
            <w:gridSpan w:val="5"/>
            <w:noWrap w:val="0"/>
            <w:vAlign w:val="center"/>
          </w:tcPr>
          <w:p>
            <w:pPr>
              <w:spacing w:line="280" w:lineRule="exact"/>
              <w:rPr>
                <w:color w:val="000000"/>
                <w:szCs w:val="21"/>
              </w:rPr>
            </w:pPr>
            <w:r>
              <w:rPr>
                <w:rFonts w:hint="eastAsia" w:ascii="宋体" w:hAnsi="宋体"/>
                <w:color w:val="000000"/>
                <w:szCs w:val="21"/>
              </w:rPr>
              <w:t>法定代表人或委托代理人：</w:t>
            </w:r>
          </w:p>
        </w:tc>
        <w:tc>
          <w:tcPr>
            <w:tcW w:w="2620" w:type="dxa"/>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050" w:type="dxa"/>
            <w:gridSpan w:val="2"/>
            <w:noWrap w:val="0"/>
            <w:vAlign w:val="center"/>
          </w:tcPr>
          <w:p>
            <w:pPr>
              <w:spacing w:line="280" w:lineRule="exact"/>
              <w:rPr>
                <w:color w:val="000000"/>
                <w:szCs w:val="21"/>
              </w:rPr>
            </w:pPr>
            <w:r>
              <w:rPr>
                <w:rFonts w:hint="eastAsia" w:ascii="宋体" w:hAnsi="宋体"/>
                <w:color w:val="000000"/>
                <w:szCs w:val="21"/>
              </w:rPr>
              <w:t>经办人：</w:t>
            </w:r>
          </w:p>
        </w:tc>
        <w:tc>
          <w:tcPr>
            <w:tcW w:w="4306" w:type="dxa"/>
            <w:gridSpan w:val="4"/>
            <w:noWrap w:val="0"/>
            <w:vAlign w:val="center"/>
          </w:tcPr>
          <w:p>
            <w:pPr>
              <w:spacing w:line="280" w:lineRule="exact"/>
              <w:rPr>
                <w:rFonts w:hint="eastAsia"/>
                <w:color w:val="000000"/>
                <w:szCs w:val="21"/>
              </w:rPr>
            </w:pPr>
          </w:p>
        </w:tc>
        <w:tc>
          <w:tcPr>
            <w:tcW w:w="1052" w:type="dxa"/>
            <w:gridSpan w:val="2"/>
            <w:noWrap w:val="0"/>
            <w:vAlign w:val="center"/>
          </w:tcPr>
          <w:p>
            <w:pPr>
              <w:spacing w:line="280" w:lineRule="exact"/>
              <w:rPr>
                <w:color w:val="000000"/>
                <w:szCs w:val="21"/>
              </w:rPr>
            </w:pPr>
            <w:r>
              <w:rPr>
                <w:rFonts w:hint="eastAsia" w:ascii="宋体" w:hAnsi="宋体"/>
                <w:color w:val="000000"/>
                <w:szCs w:val="21"/>
              </w:rPr>
              <w:t>经办人：</w:t>
            </w:r>
          </w:p>
        </w:tc>
        <w:tc>
          <w:tcPr>
            <w:tcW w:w="4300" w:type="dxa"/>
            <w:gridSpan w:val="4"/>
            <w:noWrap w:val="0"/>
            <w:vAlign w:val="center"/>
          </w:tcPr>
          <w:p>
            <w:pPr>
              <w:spacing w:line="280" w:lineRule="exact"/>
              <w:rPr>
                <w:rFonts w:hint="default" w:eastAsia="宋体"/>
                <w:color w:val="000000"/>
                <w:szCs w:val="21"/>
                <w:lang w:val="en-US" w:eastAsia="zh-CN"/>
              </w:rPr>
            </w:pPr>
            <w:r>
              <w:rPr>
                <w:rFonts w:hint="eastAsia"/>
                <w:color w:val="000000"/>
                <w:szCs w:val="21"/>
                <w:lang w:val="en-US" w:eastAsia="zh-CN"/>
              </w:rPr>
              <w:t>蓝志达</w:t>
            </w:r>
          </w:p>
        </w:tc>
      </w:tr>
      <w:tr>
        <w:tblPrEx>
          <w:tblCellMar>
            <w:top w:w="0" w:type="dxa"/>
            <w:left w:w="108" w:type="dxa"/>
            <w:bottom w:w="0" w:type="dxa"/>
            <w:right w:w="108" w:type="dxa"/>
          </w:tblCellMar>
        </w:tblPrEx>
        <w:trPr>
          <w:trHeight w:val="111" w:hRule="atLeast"/>
          <w:jc w:val="center"/>
        </w:trPr>
        <w:tc>
          <w:tcPr>
            <w:tcW w:w="843" w:type="dxa"/>
            <w:noWrap w:val="0"/>
            <w:vAlign w:val="center"/>
          </w:tcPr>
          <w:p>
            <w:pPr>
              <w:spacing w:line="280" w:lineRule="exact"/>
              <w:rPr>
                <w:color w:val="000000"/>
                <w:szCs w:val="21"/>
              </w:rPr>
            </w:pPr>
            <w:r>
              <w:rPr>
                <w:rFonts w:hint="eastAsia" w:ascii="宋体" w:hAnsi="宋体"/>
                <w:color w:val="000000"/>
                <w:szCs w:val="21"/>
              </w:rPr>
              <w:t>电话：</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电话：</w:t>
            </w:r>
          </w:p>
        </w:tc>
        <w:tc>
          <w:tcPr>
            <w:tcW w:w="4510" w:type="dxa"/>
            <w:gridSpan w:val="5"/>
            <w:noWrap w:val="0"/>
            <w:vAlign w:val="center"/>
          </w:tcPr>
          <w:p>
            <w:pPr>
              <w:spacing w:line="280" w:lineRule="exact"/>
              <w:rPr>
                <w:rFonts w:hint="default" w:eastAsia="宋体"/>
                <w:color w:val="000000"/>
                <w:szCs w:val="21"/>
                <w:lang w:val="en-US" w:eastAsia="zh-CN"/>
              </w:rPr>
            </w:pPr>
            <w:r>
              <w:rPr>
                <w:rFonts w:hint="eastAsia"/>
                <w:color w:val="000000"/>
                <w:szCs w:val="21"/>
                <w:lang w:val="en-US" w:eastAsia="zh-CN"/>
              </w:rPr>
              <w:t>13559491161</w:t>
            </w: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传真：</w:t>
            </w:r>
          </w:p>
        </w:tc>
        <w:tc>
          <w:tcPr>
            <w:tcW w:w="4513" w:type="dxa"/>
            <w:gridSpan w:val="5"/>
            <w:noWrap w:val="0"/>
            <w:vAlign w:val="center"/>
          </w:tcPr>
          <w:p>
            <w:pPr>
              <w:spacing w:line="280" w:lineRule="exact"/>
              <w:rPr>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传真：</w:t>
            </w:r>
          </w:p>
        </w:tc>
        <w:tc>
          <w:tcPr>
            <w:tcW w:w="4510" w:type="dxa"/>
            <w:gridSpan w:val="5"/>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电子邮箱：</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092"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wzcgb</w:t>
            </w:r>
            <w:r>
              <w:rPr>
                <w:rFonts w:hint="eastAsia" w:ascii="宋体" w:hAnsi="宋体" w:eastAsia="宋体" w:cs="宋体"/>
                <w:color w:val="000000"/>
                <w:sz w:val="21"/>
                <w:szCs w:val="21"/>
              </w:rPr>
              <w:t>@fjpec.com.cn</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开户银行：</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092" w:type="dxa"/>
            <w:gridSpan w:val="3"/>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兴业银行股份有限公司漳州古雷支行</w:t>
            </w:r>
          </w:p>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帐号：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帐号：</w:t>
            </w:r>
          </w:p>
        </w:tc>
        <w:tc>
          <w:tcPr>
            <w:tcW w:w="4510" w:type="dxa"/>
            <w:gridSpan w:val="5"/>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162070100100021071</w:t>
            </w: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税号：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税号：</w:t>
            </w:r>
          </w:p>
        </w:tc>
        <w:tc>
          <w:tcPr>
            <w:tcW w:w="4510" w:type="dxa"/>
            <w:gridSpan w:val="5"/>
            <w:noWrap w:val="0"/>
            <w:vAlign w:val="center"/>
          </w:tcPr>
          <w:p>
            <w:pPr>
              <w:spacing w:line="280" w:lineRule="exact"/>
              <w:rPr>
                <w:rFonts w:hint="default" w:eastAsia="宋体"/>
                <w:color w:val="000000"/>
                <w:szCs w:val="21"/>
                <w:lang w:val="en-US" w:eastAsia="zh-CN"/>
              </w:rPr>
            </w:pPr>
            <w:r>
              <w:rPr>
                <w:rFonts w:hint="eastAsia" w:eastAsia="宋体"/>
                <w:color w:val="000000"/>
                <w:szCs w:val="21"/>
                <w:lang w:val="en-US" w:eastAsia="zh-CN"/>
              </w:rPr>
              <w:t>91350600717866709A</w:t>
            </w:r>
          </w:p>
        </w:tc>
      </w:tr>
    </w:tbl>
    <w:p>
      <w:pPr>
        <w:spacing w:line="220" w:lineRule="exact"/>
        <w:rPr>
          <w:rFonts w:ascii="宋体" w:hAnsi="宋体"/>
          <w:b/>
          <w:color w:val="000000"/>
          <w:szCs w:val="21"/>
          <w:u w:val="single"/>
        </w:rPr>
      </w:pPr>
    </w:p>
    <w:p>
      <w:pPr>
        <w:spacing w:line="220" w:lineRule="exact"/>
        <w:jc w:val="center"/>
        <w:rPr>
          <w:rFonts w:ascii="宋体" w:hAnsi="宋体"/>
          <w:b/>
          <w:color w:val="000000"/>
          <w:sz w:val="18"/>
          <w:szCs w:val="18"/>
          <w:u w:val="single"/>
        </w:rPr>
      </w:pPr>
    </w:p>
    <w:p>
      <w:pPr>
        <w:spacing w:line="220" w:lineRule="exact"/>
        <w:jc w:val="center"/>
        <w:rPr>
          <w:rFonts w:hint="eastAsia" w:ascii="宋体" w:hAnsi="宋体"/>
          <w:b/>
          <w:color w:val="000000"/>
          <w:sz w:val="18"/>
          <w:szCs w:val="18"/>
          <w:u w:val="single"/>
        </w:rPr>
      </w:pPr>
    </w:p>
    <w:p>
      <w:pPr>
        <w:spacing w:line="276" w:lineRule="auto"/>
        <w:jc w:val="center"/>
        <w:rPr>
          <w:rFonts w:hint="eastAsia" w:ascii="宋体" w:hAnsi="宋体"/>
          <w:b/>
          <w:color w:val="000000"/>
          <w:szCs w:val="21"/>
          <w:u w:val="single"/>
        </w:rPr>
      </w:pPr>
    </w:p>
    <w:p>
      <w:pPr>
        <w:spacing w:line="276" w:lineRule="auto"/>
        <w:jc w:val="center"/>
        <w:rPr>
          <w:rFonts w:ascii="宋体" w:hAnsi="宋体"/>
          <w:b/>
          <w:color w:val="000000"/>
          <w:szCs w:val="21"/>
        </w:rPr>
      </w:pPr>
      <w:r>
        <w:rPr>
          <w:rFonts w:hint="eastAsia" w:ascii="宋体" w:hAnsi="宋体"/>
          <w:b/>
          <w:color w:val="000000"/>
          <w:szCs w:val="21"/>
          <w:u w:val="single"/>
        </w:rPr>
        <w:t>第二部分  合同条款及规则</w:t>
      </w:r>
    </w:p>
    <w:p>
      <w:pPr>
        <w:spacing w:line="276" w:lineRule="auto"/>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szCs w:val="21"/>
          <w:u w:val="single"/>
        </w:rPr>
        <w:t>2</w:t>
      </w:r>
      <w:r>
        <w:rPr>
          <w:rFonts w:hint="eastAsia" w:ascii="宋体" w:hAnsi="宋体"/>
          <w:color w:val="000000"/>
          <w:szCs w:val="21"/>
          <w:u w:val="single"/>
        </w:rPr>
        <w:t xml:space="preserve">     </w:t>
      </w:r>
      <w:r>
        <w:rPr>
          <w:rFonts w:hint="eastAsia" w:ascii="宋体" w:hAnsi="宋体"/>
          <w:color w:val="000000"/>
          <w:szCs w:val="21"/>
        </w:rPr>
        <w:t>款执行。</w:t>
      </w:r>
    </w:p>
    <w:p>
      <w:pPr>
        <w:spacing w:line="276" w:lineRule="auto"/>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276" w:lineRule="auto"/>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276" w:lineRule="auto"/>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pPr>
        <w:spacing w:line="276" w:lineRule="auto"/>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pPr>
        <w:spacing w:line="276" w:lineRule="auto"/>
        <w:rPr>
          <w:rFonts w:ascii="宋体" w:hAnsi="宋体"/>
          <w:b/>
          <w:color w:val="000000"/>
          <w:szCs w:val="21"/>
        </w:rPr>
      </w:pPr>
      <w:r>
        <w:rPr>
          <w:rFonts w:hint="eastAsia" w:ascii="宋体" w:hAnsi="宋体"/>
          <w:b/>
          <w:color w:val="000000"/>
          <w:szCs w:val="21"/>
        </w:rPr>
        <w:t>第二条 产品包装标准</w:t>
      </w:r>
    </w:p>
    <w:p>
      <w:pPr>
        <w:spacing w:line="276" w:lineRule="auto"/>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276" w:lineRule="auto"/>
        <w:rPr>
          <w:rFonts w:ascii="宋体" w:hAnsi="宋体"/>
          <w:b/>
          <w:color w:val="000000"/>
          <w:szCs w:val="21"/>
        </w:rPr>
      </w:pPr>
      <w:r>
        <w:rPr>
          <w:rFonts w:hint="eastAsia" w:ascii="宋体" w:hAnsi="宋体"/>
          <w:b/>
          <w:color w:val="000000"/>
          <w:szCs w:val="21"/>
        </w:rPr>
        <w:t>第三条 对产品质量负责的条件及期限</w:t>
      </w:r>
    </w:p>
    <w:p>
      <w:pPr>
        <w:spacing w:line="276" w:lineRule="auto"/>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276" w:lineRule="auto"/>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276" w:lineRule="auto"/>
        <w:rPr>
          <w:rFonts w:ascii="宋体" w:hAnsi="宋体"/>
          <w:b/>
          <w:color w:val="000000"/>
          <w:szCs w:val="21"/>
        </w:rPr>
      </w:pPr>
      <w:r>
        <w:rPr>
          <w:rFonts w:hint="eastAsia" w:ascii="宋体" w:hAnsi="宋体"/>
          <w:b/>
          <w:color w:val="000000"/>
          <w:szCs w:val="21"/>
        </w:rPr>
        <w:t>第四条 货物所有权、风险的转移</w:t>
      </w:r>
    </w:p>
    <w:p>
      <w:pPr>
        <w:spacing w:line="276" w:lineRule="auto"/>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276" w:lineRule="auto"/>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276" w:lineRule="auto"/>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276" w:lineRule="auto"/>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276" w:lineRule="auto"/>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 xml:space="preserve">，再以汽车运输方式运至需方指定的单位或仓库。         </w:t>
      </w:r>
    </w:p>
    <w:p>
      <w:pPr>
        <w:spacing w:line="276" w:lineRule="auto"/>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276" w:lineRule="auto"/>
        <w:ind w:firstLine="420" w:firstLineChars="200"/>
        <w:rPr>
          <w:rFonts w:hint="eastAsia"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276" w:lineRule="auto"/>
        <w:ind w:firstLine="210" w:firstLineChars="1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7  </w:t>
      </w:r>
      <w:r>
        <w:rPr>
          <w:rFonts w:hint="eastAsia" w:ascii="宋体" w:hAnsi="宋体"/>
          <w:color w:val="000000"/>
          <w:szCs w:val="21"/>
        </w:rPr>
        <w:t>天内向供方提出异议。</w:t>
      </w:r>
    </w:p>
    <w:p>
      <w:pPr>
        <w:spacing w:line="276" w:lineRule="auto"/>
        <w:ind w:firstLine="210" w:firstLineChars="1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5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276" w:lineRule="auto"/>
        <w:rPr>
          <w:rFonts w:ascii="宋体" w:hAnsi="宋体"/>
          <w:b/>
          <w:color w:val="000000"/>
          <w:szCs w:val="21"/>
        </w:rPr>
      </w:pPr>
      <w:r>
        <w:rPr>
          <w:rFonts w:hint="eastAsia" w:ascii="宋体" w:hAnsi="宋体"/>
          <w:b/>
          <w:color w:val="000000"/>
          <w:szCs w:val="21"/>
        </w:rPr>
        <w:t>第七条  保密条款</w:t>
      </w:r>
    </w:p>
    <w:p>
      <w:pPr>
        <w:spacing w:line="276" w:lineRule="auto"/>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76" w:lineRule="auto"/>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276" w:lineRule="auto"/>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276" w:lineRule="auto"/>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276" w:lineRule="auto"/>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276" w:lineRule="auto"/>
        <w:rPr>
          <w:rFonts w:ascii="宋体" w:hAnsi="宋体"/>
          <w:b/>
          <w:color w:val="000000"/>
          <w:szCs w:val="21"/>
        </w:rPr>
      </w:pPr>
      <w:r>
        <w:rPr>
          <w:rFonts w:hint="eastAsia" w:ascii="宋体" w:hAnsi="宋体"/>
          <w:b/>
          <w:color w:val="000000"/>
          <w:szCs w:val="21"/>
        </w:rPr>
        <w:t>第九条  不可抗力</w:t>
      </w:r>
    </w:p>
    <w:p>
      <w:pPr>
        <w:spacing w:line="276" w:lineRule="auto"/>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276" w:lineRule="auto"/>
        <w:ind w:firstLine="210" w:firstLineChars="100"/>
        <w:rPr>
          <w:rFonts w:ascii="宋体" w:hAnsi="宋体" w:cs="Arial"/>
          <w:color w:val="000000"/>
          <w:szCs w:val="21"/>
        </w:rPr>
      </w:pPr>
      <w:r>
        <w:rPr>
          <w:rFonts w:hint="eastAsia" w:ascii="宋体" w:hAnsi="宋体" w:cs="Arial"/>
          <w:color w:val="000000"/>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76" w:lineRule="auto"/>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76" w:lineRule="auto"/>
        <w:rPr>
          <w:rFonts w:ascii="宋体" w:hAnsi="宋体"/>
          <w:b/>
          <w:color w:val="000000"/>
          <w:szCs w:val="21"/>
        </w:rPr>
      </w:pPr>
      <w:r>
        <w:rPr>
          <w:rFonts w:hint="eastAsia" w:ascii="宋体" w:hAnsi="宋体"/>
          <w:b/>
          <w:color w:val="000000"/>
          <w:szCs w:val="21"/>
        </w:rPr>
        <w:t xml:space="preserve">第十条 合同变更与解除： </w:t>
      </w:r>
    </w:p>
    <w:p>
      <w:pPr>
        <w:spacing w:line="276" w:lineRule="auto"/>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276" w:lineRule="auto"/>
        <w:rPr>
          <w:rFonts w:hint="eastAsia" w:ascii="宋体" w:hAnsi="宋体"/>
          <w:color w:val="000000"/>
          <w:szCs w:val="21"/>
        </w:rPr>
      </w:pPr>
      <w:r>
        <w:rPr>
          <w:rFonts w:hint="eastAsia" w:ascii="宋体" w:hAnsi="宋体"/>
          <w:b/>
          <w:color w:val="000000"/>
          <w:szCs w:val="21"/>
        </w:rPr>
        <w:t>第十一条 违约责任</w:t>
      </w:r>
    </w:p>
    <w:p>
      <w:pPr>
        <w:spacing w:line="276" w:lineRule="auto"/>
        <w:ind w:firstLine="420" w:firstLineChars="200"/>
        <w:rPr>
          <w:rFonts w:hint="eastAsia" w:ascii="宋体" w:hAnsi="宋体"/>
          <w:color w:val="FF0000"/>
          <w:szCs w:val="21"/>
        </w:rPr>
      </w:pPr>
      <w:r>
        <w:rPr>
          <w:rFonts w:hint="eastAsia" w:ascii="宋体" w:hAnsi="宋体"/>
          <w:color w:val="000000"/>
          <w:szCs w:val="21"/>
        </w:rPr>
        <w:t>1</w:t>
      </w:r>
      <w:r>
        <w:rPr>
          <w:rFonts w:hint="eastAsia" w:ascii="宋体" w:hAnsi="宋体" w:eastAsia="宋体" w:cs="Times New Roman"/>
          <w:color w:val="000000"/>
          <w:szCs w:val="21"/>
        </w:rPr>
        <w:t>、供方未按期如数交付符合合同约定质量的货物，每逾期</w:t>
      </w:r>
      <w:r>
        <w:rPr>
          <w:rFonts w:hint="eastAsia" w:ascii="宋体" w:hAnsi="宋体" w:eastAsia="宋体" w:cs="Times New Roman"/>
          <w:color w:val="000000"/>
          <w:szCs w:val="21"/>
          <w:u w:val="single"/>
        </w:rPr>
        <w:t xml:space="preserve"> 壹</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rPr>
        <w:t>日，应向需方支付延迟交付货物货款金额</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rPr>
        <w:t xml:space="preserve">1 </w:t>
      </w:r>
      <w:r>
        <w:rPr>
          <w:rFonts w:hint="eastAsia" w:ascii="宋体" w:hAnsi="宋体" w:eastAsia="宋体" w:cs="Times New Roman"/>
          <w:color w:val="000000"/>
          <w:szCs w:val="21"/>
        </w:rPr>
        <w:t>％的违约金；如供方逾期交货超过</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lang w:val="en-US" w:eastAsia="zh-CN"/>
        </w:rPr>
        <w:t>十</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日的或供方逾期交货次数累计超过</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三</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rPr>
        <w:t>次，除应向需方支付违约金外，需方还有权解除该份合同，并要求供方赔偿因逾期交货而造成的损失。</w:t>
      </w:r>
    </w:p>
    <w:p>
      <w:pPr>
        <w:spacing w:line="276" w:lineRule="auto"/>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人身伤害，供方应承担赔偿责任。供方交付的货物不符合合同约定的质量次数超过</w:t>
      </w:r>
      <w:r>
        <w:rPr>
          <w:rFonts w:hint="eastAsia" w:ascii="宋体" w:hAnsi="宋体"/>
          <w:color w:val="000000"/>
          <w:szCs w:val="21"/>
          <w:u w:val="single"/>
        </w:rPr>
        <w:t xml:space="preserve">  壹   </w:t>
      </w:r>
      <w:r>
        <w:rPr>
          <w:rFonts w:hint="eastAsia" w:ascii="宋体" w:hAnsi="宋体"/>
          <w:color w:val="000000"/>
          <w:szCs w:val="21"/>
        </w:rPr>
        <w:t>次，需方有权解除合同。</w:t>
      </w:r>
    </w:p>
    <w:p>
      <w:pPr>
        <w:spacing w:line="276" w:lineRule="auto"/>
        <w:ind w:firstLine="420" w:firstLineChars="200"/>
        <w:rPr>
          <w:rFonts w:hint="eastAsia"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276" w:lineRule="auto"/>
        <w:rPr>
          <w:rFonts w:ascii="宋体" w:hAnsi="宋体"/>
          <w:b/>
          <w:color w:val="000000"/>
          <w:szCs w:val="21"/>
        </w:rPr>
      </w:pPr>
      <w:r>
        <w:rPr>
          <w:rFonts w:hint="eastAsia" w:ascii="宋体" w:hAnsi="宋体"/>
          <w:b/>
          <w:color w:val="000000"/>
          <w:szCs w:val="21"/>
        </w:rPr>
        <w:t>第十二条　法律的适用及争议解决方式</w:t>
      </w:r>
    </w:p>
    <w:p>
      <w:pPr>
        <w:spacing w:line="276" w:lineRule="auto"/>
        <w:ind w:firstLine="420" w:firstLineChars="200"/>
        <w:rPr>
          <w:rFonts w:hint="eastAsia" w:ascii="宋体" w:hAnsi="宋体"/>
          <w:color w:val="000000"/>
          <w:szCs w:val="21"/>
        </w:rPr>
      </w:pPr>
      <w:r>
        <w:rPr>
          <w:rFonts w:hint="eastAsia" w:ascii="宋体" w:hAnsi="宋体"/>
          <w:color w:val="000000"/>
          <w:szCs w:val="21"/>
        </w:rPr>
        <w:t>1、本合同的效力、解释及履行均适用中华人民共和国法律。</w:t>
      </w:r>
    </w:p>
    <w:p>
      <w:pPr>
        <w:spacing w:line="276" w:lineRule="auto"/>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276" w:lineRule="auto"/>
        <w:rPr>
          <w:rFonts w:ascii="宋体" w:hAnsi="宋体"/>
          <w:b/>
          <w:color w:val="000000"/>
          <w:szCs w:val="21"/>
        </w:rPr>
      </w:pPr>
      <w:r>
        <w:rPr>
          <w:rFonts w:hint="eastAsia" w:ascii="宋体" w:hAnsi="宋体"/>
          <w:b/>
          <w:color w:val="000000"/>
          <w:szCs w:val="21"/>
        </w:rPr>
        <w:t>第十三条　合同的效力及其他</w:t>
      </w:r>
    </w:p>
    <w:p>
      <w:pPr>
        <w:spacing w:line="276" w:lineRule="auto"/>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276" w:lineRule="auto"/>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276" w:lineRule="auto"/>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3、本合同的组成部分：协议书、《合同条款及规则》、相关标准及附件、补充协议。</w:t>
      </w:r>
    </w:p>
    <w:p>
      <w:pPr>
        <w:spacing w:line="276" w:lineRule="auto"/>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76" w:lineRule="auto"/>
        <w:ind w:firstLine="420" w:firstLineChars="200"/>
        <w:rPr>
          <w:rFonts w:hint="eastAsia" w:ascii="宋体" w:hAnsi="宋体"/>
          <w:color w:val="000000"/>
          <w:szCs w:val="21"/>
          <w:u w:val="single"/>
        </w:rPr>
      </w:pPr>
      <w:r>
        <w:rPr>
          <w:rFonts w:hint="eastAsia"/>
          <w:color w:val="000000"/>
          <w:szCs w:val="21"/>
        </w:rPr>
        <w:t>5、其他约定事项：</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p>
    <w:p>
      <w:pPr>
        <w:spacing w:beforeLines="0" w:afterLines="0" w:line="3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供方的人民币：6000元（人民币：陆仟元整）参选保证金转为履约保证金</w:t>
      </w:r>
      <w:r>
        <w:rPr>
          <w:rFonts w:hint="eastAsia" w:ascii="宋体" w:hAnsi="宋体"/>
          <w:color w:val="000000"/>
          <w:sz w:val="21"/>
          <w:szCs w:val="21"/>
        </w:rPr>
        <w:t>，待本合同执行完后30天内需方无息返还该笔履约保证金至供方指定账户。</w:t>
      </w: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wordWrap w:val="0"/>
        <w:jc w:val="left"/>
        <w:rPr>
          <w:rFonts w:ascii="宋体" w:hAnsi="宋体"/>
          <w:sz w:val="28"/>
          <w:szCs w:val="28"/>
        </w:rPr>
      </w:pPr>
    </w:p>
    <w:p>
      <w:pPr>
        <w:spacing w:line="360" w:lineRule="auto"/>
        <w:jc w:val="center"/>
        <w:rPr>
          <w:rFonts w:ascii="宋体" w:hAnsi="宋体"/>
          <w:sz w:val="24"/>
          <w:szCs w:val="24"/>
        </w:rPr>
      </w:pPr>
      <w:r>
        <w:rPr>
          <w:rFonts w:hint="eastAsia" w:hAnsi="宋体"/>
          <w:b/>
          <w:sz w:val="44"/>
          <w:szCs w:val="72"/>
          <w:lang w:eastAsia="zh-CN"/>
        </w:rPr>
        <w:t>无水氯化钙</w:t>
      </w:r>
      <w:r>
        <w:rPr>
          <w:rFonts w:hint="eastAsia" w:hAnsi="宋体"/>
          <w:b/>
          <w:sz w:val="44"/>
          <w:szCs w:val="72"/>
        </w:rPr>
        <w:t>质量规范</w:t>
      </w:r>
      <w:bookmarkStart w:id="1" w:name="_GoBack"/>
      <w:bookmarkEnd w:id="1"/>
    </w:p>
    <w:tbl>
      <w:tblPr>
        <w:tblStyle w:val="8"/>
        <w:tblpPr w:leftFromText="180" w:rightFromText="180" w:vertAnchor="text" w:horzAnchor="page" w:tblpX="1812" w:tblpY="6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200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项目</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指标</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氯化钙（CaCl</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≥94.00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碱度（以Ca（OH）</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≤0.25</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总碱金属氯化物（以NaCl计）w/%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≤5.0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铁（Fe）w/%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≤0.004</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水不溶物w/%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≤0.15</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PH（10g/mL）</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6.0~11.0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总镁（以MgCl</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≤0.5</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硫酸盐（以CaSO</w:t>
            </w:r>
            <w:r>
              <w:rPr>
                <w:rFonts w:hint="eastAsia" w:ascii="宋体" w:hAnsi="宋体" w:cs="宋体"/>
                <w:b w:val="0"/>
                <w:bCs/>
                <w:color w:val="auto"/>
                <w:sz w:val="21"/>
                <w:szCs w:val="21"/>
                <w:vertAlign w:val="subscript"/>
                <w:lang w:val="en-US" w:eastAsia="zh-CN"/>
              </w:rPr>
              <w:t>4</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≤0.05</w:t>
            </w:r>
          </w:p>
        </w:tc>
        <w:tc>
          <w:tcPr>
            <w:tcW w:w="2841" w:type="dxa"/>
          </w:tcPr>
          <w:p>
            <w:pPr>
              <w:spacing w:line="360" w:lineRule="auto"/>
              <w:jc w:val="center"/>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注：检验项目为规定的全部项目。</w:t>
            </w:r>
          </w:p>
        </w:tc>
      </w:tr>
    </w:tbl>
    <w:p>
      <w:pPr>
        <w:spacing w:line="360" w:lineRule="auto"/>
        <w:jc w:val="left"/>
        <w:rPr>
          <w:rFonts w:hint="default" w:ascii="宋体" w:hAnsi="宋体" w:cs="宋体"/>
          <w:b/>
          <w:color w:val="auto"/>
          <w:sz w:val="28"/>
          <w:szCs w:val="28"/>
          <w:lang w:val="en-US" w:eastAsia="zh-CN"/>
        </w:rPr>
      </w:pPr>
    </w:p>
    <w:p>
      <w:pPr>
        <w:spacing w:line="276" w:lineRule="auto"/>
        <w:ind w:firstLine="0" w:firstLineChars="0"/>
        <w:rPr>
          <w:rFonts w:hint="eastAsia"/>
          <w:color w:val="000000"/>
          <w:szCs w:val="21"/>
        </w:rPr>
      </w:pPr>
    </w:p>
    <w:p>
      <w:pPr>
        <w:tabs>
          <w:tab w:val="left" w:pos="2622"/>
        </w:tabs>
        <w:bidi w:val="0"/>
        <w:jc w:val="left"/>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74765DC0"/>
    <w:multiLevelType w:val="singleLevel"/>
    <w:tmpl w:val="74765DC0"/>
    <w:lvl w:ilvl="0" w:tentative="0">
      <w:start w:val="3"/>
      <w:numFmt w:val="decimal"/>
      <w:suff w:val="nothing"/>
      <w:lvlText w:val="（%1）"/>
      <w:lvlJc w:val="left"/>
    </w:lvl>
  </w:abstractNum>
  <w:num w:numId="1">
    <w:abstractNumId w:val="6"/>
  </w:num>
  <w:num w:numId="2">
    <w:abstractNumId w:val="1"/>
  </w:num>
  <w:num w:numId="3">
    <w:abstractNumId w:val="7"/>
  </w:num>
  <w:num w:numId="4">
    <w:abstractNumId w:val="3"/>
  </w:num>
  <w:num w:numId="5">
    <w:abstractNumId w:val="8"/>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01F2B"/>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C0384"/>
    <w:rsid w:val="02992C0F"/>
    <w:rsid w:val="02C61090"/>
    <w:rsid w:val="032A2EF9"/>
    <w:rsid w:val="032D15FD"/>
    <w:rsid w:val="032F04D8"/>
    <w:rsid w:val="03CE22E9"/>
    <w:rsid w:val="03E5328D"/>
    <w:rsid w:val="042207A6"/>
    <w:rsid w:val="04435FF9"/>
    <w:rsid w:val="04675C1C"/>
    <w:rsid w:val="046E24C0"/>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E878CC"/>
    <w:rsid w:val="07E87C6B"/>
    <w:rsid w:val="07FB0E0D"/>
    <w:rsid w:val="080F7CCD"/>
    <w:rsid w:val="090A2F1F"/>
    <w:rsid w:val="09263288"/>
    <w:rsid w:val="096D274B"/>
    <w:rsid w:val="0A58515B"/>
    <w:rsid w:val="0A8B6BF2"/>
    <w:rsid w:val="0AB96449"/>
    <w:rsid w:val="0B1E7010"/>
    <w:rsid w:val="0B35169E"/>
    <w:rsid w:val="0B4A13AC"/>
    <w:rsid w:val="0B8D5623"/>
    <w:rsid w:val="0B8E420A"/>
    <w:rsid w:val="0BF4189E"/>
    <w:rsid w:val="0C3D7481"/>
    <w:rsid w:val="0CDE2054"/>
    <w:rsid w:val="0CF127D7"/>
    <w:rsid w:val="0D200600"/>
    <w:rsid w:val="0D886316"/>
    <w:rsid w:val="0D8B274C"/>
    <w:rsid w:val="0DB03436"/>
    <w:rsid w:val="0E02486F"/>
    <w:rsid w:val="0E3D2F5D"/>
    <w:rsid w:val="0E3F22A2"/>
    <w:rsid w:val="0E9503CA"/>
    <w:rsid w:val="0EB53D9B"/>
    <w:rsid w:val="0EE30943"/>
    <w:rsid w:val="0F8C0A60"/>
    <w:rsid w:val="0FA364D6"/>
    <w:rsid w:val="0FAC6C25"/>
    <w:rsid w:val="0FCE6C96"/>
    <w:rsid w:val="0FE34343"/>
    <w:rsid w:val="0FFD4C8B"/>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37C22"/>
    <w:rsid w:val="12CF31F9"/>
    <w:rsid w:val="12CF7342"/>
    <w:rsid w:val="12DB5F87"/>
    <w:rsid w:val="1387789C"/>
    <w:rsid w:val="13B74194"/>
    <w:rsid w:val="142239CB"/>
    <w:rsid w:val="14937361"/>
    <w:rsid w:val="149868E6"/>
    <w:rsid w:val="14C77424"/>
    <w:rsid w:val="15033088"/>
    <w:rsid w:val="15101A52"/>
    <w:rsid w:val="15125849"/>
    <w:rsid w:val="1522458D"/>
    <w:rsid w:val="15B653C8"/>
    <w:rsid w:val="15BF2E22"/>
    <w:rsid w:val="15C205AB"/>
    <w:rsid w:val="15C31A47"/>
    <w:rsid w:val="16172661"/>
    <w:rsid w:val="16270A04"/>
    <w:rsid w:val="164B41EC"/>
    <w:rsid w:val="165069FC"/>
    <w:rsid w:val="173B43BC"/>
    <w:rsid w:val="178C691A"/>
    <w:rsid w:val="17D666E6"/>
    <w:rsid w:val="17FE73E2"/>
    <w:rsid w:val="183B0D71"/>
    <w:rsid w:val="184968FC"/>
    <w:rsid w:val="185D1C5F"/>
    <w:rsid w:val="188C5585"/>
    <w:rsid w:val="18C27F65"/>
    <w:rsid w:val="18FA6BBD"/>
    <w:rsid w:val="192A2CC6"/>
    <w:rsid w:val="1980441E"/>
    <w:rsid w:val="1A2F6DF9"/>
    <w:rsid w:val="1A4C05AB"/>
    <w:rsid w:val="1AF22A1C"/>
    <w:rsid w:val="1AFD66F4"/>
    <w:rsid w:val="1B233A0E"/>
    <w:rsid w:val="1B7A2426"/>
    <w:rsid w:val="1B8F7883"/>
    <w:rsid w:val="1B927AE6"/>
    <w:rsid w:val="1BDB364C"/>
    <w:rsid w:val="1C1B3FE4"/>
    <w:rsid w:val="1C8261A0"/>
    <w:rsid w:val="1D0113C9"/>
    <w:rsid w:val="1D05782C"/>
    <w:rsid w:val="1D9330A1"/>
    <w:rsid w:val="1DB72E7F"/>
    <w:rsid w:val="1DDB74E0"/>
    <w:rsid w:val="1DF747BA"/>
    <w:rsid w:val="1E272B92"/>
    <w:rsid w:val="1E3264F3"/>
    <w:rsid w:val="1E600A9D"/>
    <w:rsid w:val="1EBD3B62"/>
    <w:rsid w:val="1F02429F"/>
    <w:rsid w:val="1F133081"/>
    <w:rsid w:val="1F590291"/>
    <w:rsid w:val="1FB02A8C"/>
    <w:rsid w:val="207E3421"/>
    <w:rsid w:val="2090579A"/>
    <w:rsid w:val="20AF45AF"/>
    <w:rsid w:val="212D3E49"/>
    <w:rsid w:val="215846DF"/>
    <w:rsid w:val="21BD6DBB"/>
    <w:rsid w:val="22521DD3"/>
    <w:rsid w:val="229A02DC"/>
    <w:rsid w:val="23464916"/>
    <w:rsid w:val="23496B54"/>
    <w:rsid w:val="237B661E"/>
    <w:rsid w:val="238B4E5F"/>
    <w:rsid w:val="23A23902"/>
    <w:rsid w:val="23BF50C8"/>
    <w:rsid w:val="23CC07DA"/>
    <w:rsid w:val="247C7073"/>
    <w:rsid w:val="2496308D"/>
    <w:rsid w:val="24A9374C"/>
    <w:rsid w:val="252379DD"/>
    <w:rsid w:val="2589209A"/>
    <w:rsid w:val="25B40CD0"/>
    <w:rsid w:val="25C05710"/>
    <w:rsid w:val="25CB1E8B"/>
    <w:rsid w:val="25D966A9"/>
    <w:rsid w:val="25F3676D"/>
    <w:rsid w:val="26633241"/>
    <w:rsid w:val="267F12E4"/>
    <w:rsid w:val="27025876"/>
    <w:rsid w:val="274761A1"/>
    <w:rsid w:val="27937EDA"/>
    <w:rsid w:val="27CF60B0"/>
    <w:rsid w:val="27E234BC"/>
    <w:rsid w:val="28012C6B"/>
    <w:rsid w:val="280475E2"/>
    <w:rsid w:val="285B7C69"/>
    <w:rsid w:val="28615F59"/>
    <w:rsid w:val="28B0150E"/>
    <w:rsid w:val="299A1AD2"/>
    <w:rsid w:val="29B80978"/>
    <w:rsid w:val="29C447D7"/>
    <w:rsid w:val="29D17C38"/>
    <w:rsid w:val="29DA1C97"/>
    <w:rsid w:val="29F11E79"/>
    <w:rsid w:val="2A1F1303"/>
    <w:rsid w:val="2A7B7273"/>
    <w:rsid w:val="2A8932B7"/>
    <w:rsid w:val="2AAB2012"/>
    <w:rsid w:val="2AC0562D"/>
    <w:rsid w:val="2AC11AAE"/>
    <w:rsid w:val="2AE84D10"/>
    <w:rsid w:val="2B4658AA"/>
    <w:rsid w:val="2B8E1B57"/>
    <w:rsid w:val="2B8E71EA"/>
    <w:rsid w:val="2BA705F6"/>
    <w:rsid w:val="2BE04E2E"/>
    <w:rsid w:val="2C31119D"/>
    <w:rsid w:val="2C3328C4"/>
    <w:rsid w:val="2C5548F9"/>
    <w:rsid w:val="2CA22535"/>
    <w:rsid w:val="2D2B1461"/>
    <w:rsid w:val="2DC17CC1"/>
    <w:rsid w:val="2E1169D7"/>
    <w:rsid w:val="2E12514F"/>
    <w:rsid w:val="2E351771"/>
    <w:rsid w:val="2EC908A4"/>
    <w:rsid w:val="2EF7551C"/>
    <w:rsid w:val="2F054D64"/>
    <w:rsid w:val="2F210D6D"/>
    <w:rsid w:val="2F8E0962"/>
    <w:rsid w:val="2FA30B14"/>
    <w:rsid w:val="2FBD5AB0"/>
    <w:rsid w:val="30071591"/>
    <w:rsid w:val="30243F4A"/>
    <w:rsid w:val="305C52E4"/>
    <w:rsid w:val="30924D48"/>
    <w:rsid w:val="30985912"/>
    <w:rsid w:val="30E60CDF"/>
    <w:rsid w:val="312B136C"/>
    <w:rsid w:val="316D3EFB"/>
    <w:rsid w:val="31771119"/>
    <w:rsid w:val="31CE1FAB"/>
    <w:rsid w:val="31F46862"/>
    <w:rsid w:val="322E5C7B"/>
    <w:rsid w:val="32306ABA"/>
    <w:rsid w:val="32492609"/>
    <w:rsid w:val="328F6057"/>
    <w:rsid w:val="32A75EF3"/>
    <w:rsid w:val="32AE7831"/>
    <w:rsid w:val="33413E8A"/>
    <w:rsid w:val="335E264F"/>
    <w:rsid w:val="338059AD"/>
    <w:rsid w:val="33F1490B"/>
    <w:rsid w:val="345B10E7"/>
    <w:rsid w:val="347C5E46"/>
    <w:rsid w:val="34E06E39"/>
    <w:rsid w:val="352C0C5B"/>
    <w:rsid w:val="35B058C7"/>
    <w:rsid w:val="35B1518D"/>
    <w:rsid w:val="35F871FB"/>
    <w:rsid w:val="35FC498E"/>
    <w:rsid w:val="36417C8D"/>
    <w:rsid w:val="366436B8"/>
    <w:rsid w:val="36886515"/>
    <w:rsid w:val="368B1D4A"/>
    <w:rsid w:val="369F3C73"/>
    <w:rsid w:val="36BA7A63"/>
    <w:rsid w:val="36F2393C"/>
    <w:rsid w:val="3768338E"/>
    <w:rsid w:val="37895AC8"/>
    <w:rsid w:val="37945B49"/>
    <w:rsid w:val="379D3B99"/>
    <w:rsid w:val="37ED7F2D"/>
    <w:rsid w:val="38227768"/>
    <w:rsid w:val="38A94FE7"/>
    <w:rsid w:val="39137A71"/>
    <w:rsid w:val="39300BC2"/>
    <w:rsid w:val="39390772"/>
    <w:rsid w:val="3955569C"/>
    <w:rsid w:val="39657C8F"/>
    <w:rsid w:val="3969383E"/>
    <w:rsid w:val="39AB3796"/>
    <w:rsid w:val="3A4967DD"/>
    <w:rsid w:val="3A5116BA"/>
    <w:rsid w:val="3A87079F"/>
    <w:rsid w:val="3A8C3BAF"/>
    <w:rsid w:val="3AD63889"/>
    <w:rsid w:val="3AE53DD3"/>
    <w:rsid w:val="3B293E28"/>
    <w:rsid w:val="3B2F7891"/>
    <w:rsid w:val="3B4D336E"/>
    <w:rsid w:val="3B603F9A"/>
    <w:rsid w:val="3C113ED9"/>
    <w:rsid w:val="3C1E5B01"/>
    <w:rsid w:val="3C333506"/>
    <w:rsid w:val="3C656913"/>
    <w:rsid w:val="3C94066E"/>
    <w:rsid w:val="3CF85BC1"/>
    <w:rsid w:val="3CFE624A"/>
    <w:rsid w:val="3D0603B6"/>
    <w:rsid w:val="3D1251D3"/>
    <w:rsid w:val="3D254755"/>
    <w:rsid w:val="3D470E27"/>
    <w:rsid w:val="3D475A63"/>
    <w:rsid w:val="3D5440BC"/>
    <w:rsid w:val="3E447FF5"/>
    <w:rsid w:val="3E884EAA"/>
    <w:rsid w:val="3F1539A0"/>
    <w:rsid w:val="3F1E4982"/>
    <w:rsid w:val="3F6B06C4"/>
    <w:rsid w:val="3FEE6A4A"/>
    <w:rsid w:val="401F30A7"/>
    <w:rsid w:val="40831E81"/>
    <w:rsid w:val="408C76E2"/>
    <w:rsid w:val="409057BD"/>
    <w:rsid w:val="410D2280"/>
    <w:rsid w:val="41186225"/>
    <w:rsid w:val="416F5968"/>
    <w:rsid w:val="41803BF5"/>
    <w:rsid w:val="418324AC"/>
    <w:rsid w:val="41A04200"/>
    <w:rsid w:val="41A32F85"/>
    <w:rsid w:val="41D2372A"/>
    <w:rsid w:val="42203971"/>
    <w:rsid w:val="42257F84"/>
    <w:rsid w:val="422D3D55"/>
    <w:rsid w:val="42680DF6"/>
    <w:rsid w:val="42BF0693"/>
    <w:rsid w:val="42DC0DDB"/>
    <w:rsid w:val="4328285A"/>
    <w:rsid w:val="43434628"/>
    <w:rsid w:val="43482915"/>
    <w:rsid w:val="4351032C"/>
    <w:rsid w:val="4355293C"/>
    <w:rsid w:val="437E56C2"/>
    <w:rsid w:val="439439C5"/>
    <w:rsid w:val="44236751"/>
    <w:rsid w:val="448C78B8"/>
    <w:rsid w:val="44CB1108"/>
    <w:rsid w:val="44D75CF7"/>
    <w:rsid w:val="453F611C"/>
    <w:rsid w:val="45C94E39"/>
    <w:rsid w:val="45D568DB"/>
    <w:rsid w:val="45E64357"/>
    <w:rsid w:val="46196E13"/>
    <w:rsid w:val="46495A0E"/>
    <w:rsid w:val="464B079B"/>
    <w:rsid w:val="468077A8"/>
    <w:rsid w:val="468E6ECD"/>
    <w:rsid w:val="468F75C6"/>
    <w:rsid w:val="46EA56DB"/>
    <w:rsid w:val="47663ED1"/>
    <w:rsid w:val="476C6251"/>
    <w:rsid w:val="479C322F"/>
    <w:rsid w:val="47A978DA"/>
    <w:rsid w:val="48037F6C"/>
    <w:rsid w:val="480C6C1B"/>
    <w:rsid w:val="4815707A"/>
    <w:rsid w:val="48295411"/>
    <w:rsid w:val="48B268BC"/>
    <w:rsid w:val="48D21A79"/>
    <w:rsid w:val="48DF13FB"/>
    <w:rsid w:val="493B7D23"/>
    <w:rsid w:val="49545F4C"/>
    <w:rsid w:val="4969259E"/>
    <w:rsid w:val="496C7B96"/>
    <w:rsid w:val="497038CD"/>
    <w:rsid w:val="49730A66"/>
    <w:rsid w:val="499A66C3"/>
    <w:rsid w:val="49AC538B"/>
    <w:rsid w:val="4AC46FB1"/>
    <w:rsid w:val="4B2451E8"/>
    <w:rsid w:val="4B475F61"/>
    <w:rsid w:val="4B4A24A6"/>
    <w:rsid w:val="4BF27690"/>
    <w:rsid w:val="4C204881"/>
    <w:rsid w:val="4C775DE6"/>
    <w:rsid w:val="4C82133E"/>
    <w:rsid w:val="4CDD10E0"/>
    <w:rsid w:val="4D13604C"/>
    <w:rsid w:val="4D4B33AE"/>
    <w:rsid w:val="4D83591F"/>
    <w:rsid w:val="4DA80E22"/>
    <w:rsid w:val="4DE92DD7"/>
    <w:rsid w:val="4DFE7BC4"/>
    <w:rsid w:val="4E0062C6"/>
    <w:rsid w:val="4E6B6CEB"/>
    <w:rsid w:val="4EAD5D22"/>
    <w:rsid w:val="4F7714C8"/>
    <w:rsid w:val="4F7F519B"/>
    <w:rsid w:val="4F8D5360"/>
    <w:rsid w:val="4FA265C1"/>
    <w:rsid w:val="4FAF2ACB"/>
    <w:rsid w:val="4FBD337E"/>
    <w:rsid w:val="4FBF37C2"/>
    <w:rsid w:val="4FD3724E"/>
    <w:rsid w:val="503B5A8A"/>
    <w:rsid w:val="505852F6"/>
    <w:rsid w:val="507E72C1"/>
    <w:rsid w:val="508235A6"/>
    <w:rsid w:val="50DE33C7"/>
    <w:rsid w:val="51097EEB"/>
    <w:rsid w:val="512F6EC2"/>
    <w:rsid w:val="513242BC"/>
    <w:rsid w:val="513403C7"/>
    <w:rsid w:val="518B38CB"/>
    <w:rsid w:val="51E51CC3"/>
    <w:rsid w:val="525D3E69"/>
    <w:rsid w:val="529A77A5"/>
    <w:rsid w:val="53396CC8"/>
    <w:rsid w:val="536C4A8A"/>
    <w:rsid w:val="53C90F08"/>
    <w:rsid w:val="53ED6794"/>
    <w:rsid w:val="542657F3"/>
    <w:rsid w:val="542A50A2"/>
    <w:rsid w:val="542D5399"/>
    <w:rsid w:val="54606FA2"/>
    <w:rsid w:val="55275D47"/>
    <w:rsid w:val="55695F5D"/>
    <w:rsid w:val="557E6ADC"/>
    <w:rsid w:val="559230BD"/>
    <w:rsid w:val="55972129"/>
    <w:rsid w:val="55E305E8"/>
    <w:rsid w:val="55E6015C"/>
    <w:rsid w:val="55E907A3"/>
    <w:rsid w:val="56325307"/>
    <w:rsid w:val="5659474A"/>
    <w:rsid w:val="56732B47"/>
    <w:rsid w:val="571465BA"/>
    <w:rsid w:val="5733660F"/>
    <w:rsid w:val="57463334"/>
    <w:rsid w:val="578B6597"/>
    <w:rsid w:val="57942C39"/>
    <w:rsid w:val="57A8196A"/>
    <w:rsid w:val="57D35E90"/>
    <w:rsid w:val="5845276D"/>
    <w:rsid w:val="586947A8"/>
    <w:rsid w:val="58BD4EAA"/>
    <w:rsid w:val="58DA20C8"/>
    <w:rsid w:val="58EA2AB0"/>
    <w:rsid w:val="58FE6BB9"/>
    <w:rsid w:val="592E0C31"/>
    <w:rsid w:val="593259F3"/>
    <w:rsid w:val="59B047F6"/>
    <w:rsid w:val="59B64E5B"/>
    <w:rsid w:val="59BD7F54"/>
    <w:rsid w:val="59C41AA5"/>
    <w:rsid w:val="5A487012"/>
    <w:rsid w:val="5A54189B"/>
    <w:rsid w:val="5A5A695B"/>
    <w:rsid w:val="5B416702"/>
    <w:rsid w:val="5B510FBA"/>
    <w:rsid w:val="5B5E370D"/>
    <w:rsid w:val="5B713427"/>
    <w:rsid w:val="5B8152A6"/>
    <w:rsid w:val="5B964C3B"/>
    <w:rsid w:val="5C514191"/>
    <w:rsid w:val="5C8B0489"/>
    <w:rsid w:val="5D3038FF"/>
    <w:rsid w:val="5D7874AE"/>
    <w:rsid w:val="5DCB432F"/>
    <w:rsid w:val="5DD956B5"/>
    <w:rsid w:val="5DE04163"/>
    <w:rsid w:val="5E086E60"/>
    <w:rsid w:val="5E5B4B1E"/>
    <w:rsid w:val="5E806603"/>
    <w:rsid w:val="5EDC2437"/>
    <w:rsid w:val="5F3C0936"/>
    <w:rsid w:val="5F683B20"/>
    <w:rsid w:val="5F6A1B70"/>
    <w:rsid w:val="5F715923"/>
    <w:rsid w:val="5F74528F"/>
    <w:rsid w:val="5F905960"/>
    <w:rsid w:val="603C6B90"/>
    <w:rsid w:val="605268CF"/>
    <w:rsid w:val="608B4D11"/>
    <w:rsid w:val="60E930B4"/>
    <w:rsid w:val="61034DA8"/>
    <w:rsid w:val="613121DF"/>
    <w:rsid w:val="61391E0A"/>
    <w:rsid w:val="61716ECA"/>
    <w:rsid w:val="61775743"/>
    <w:rsid w:val="61E151CE"/>
    <w:rsid w:val="61EC3C39"/>
    <w:rsid w:val="62093EA3"/>
    <w:rsid w:val="6229181C"/>
    <w:rsid w:val="62772330"/>
    <w:rsid w:val="62F96812"/>
    <w:rsid w:val="634B6B7B"/>
    <w:rsid w:val="64383FFB"/>
    <w:rsid w:val="64DD3A5E"/>
    <w:rsid w:val="651A5C4B"/>
    <w:rsid w:val="652C53ED"/>
    <w:rsid w:val="653116C9"/>
    <w:rsid w:val="653A164C"/>
    <w:rsid w:val="65B31BCC"/>
    <w:rsid w:val="65B87A10"/>
    <w:rsid w:val="65D35C16"/>
    <w:rsid w:val="66241202"/>
    <w:rsid w:val="666879C6"/>
    <w:rsid w:val="66923567"/>
    <w:rsid w:val="66F977AF"/>
    <w:rsid w:val="67B71CB2"/>
    <w:rsid w:val="67FB1FF0"/>
    <w:rsid w:val="68031777"/>
    <w:rsid w:val="682233F5"/>
    <w:rsid w:val="68353249"/>
    <w:rsid w:val="684319C5"/>
    <w:rsid w:val="68767A40"/>
    <w:rsid w:val="68897795"/>
    <w:rsid w:val="68C11D22"/>
    <w:rsid w:val="68D575AA"/>
    <w:rsid w:val="68F0116E"/>
    <w:rsid w:val="68F73295"/>
    <w:rsid w:val="69085BD7"/>
    <w:rsid w:val="69967D6F"/>
    <w:rsid w:val="69F50851"/>
    <w:rsid w:val="6A9407E1"/>
    <w:rsid w:val="6B477EF6"/>
    <w:rsid w:val="6B513865"/>
    <w:rsid w:val="6B9A256C"/>
    <w:rsid w:val="6BA373FF"/>
    <w:rsid w:val="6BD570E7"/>
    <w:rsid w:val="6BEB1E5F"/>
    <w:rsid w:val="6C4957FC"/>
    <w:rsid w:val="6C5534FB"/>
    <w:rsid w:val="6D387925"/>
    <w:rsid w:val="6D3E0CE6"/>
    <w:rsid w:val="6D6E3F95"/>
    <w:rsid w:val="6DB151E2"/>
    <w:rsid w:val="6DBF39F3"/>
    <w:rsid w:val="6DFB01CF"/>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B16B06"/>
    <w:rsid w:val="713779A1"/>
    <w:rsid w:val="715168D7"/>
    <w:rsid w:val="7161690A"/>
    <w:rsid w:val="71C3277B"/>
    <w:rsid w:val="71FE5EAA"/>
    <w:rsid w:val="724E26A6"/>
    <w:rsid w:val="727035A7"/>
    <w:rsid w:val="72BA2638"/>
    <w:rsid w:val="72E24278"/>
    <w:rsid w:val="72F247EE"/>
    <w:rsid w:val="73046E24"/>
    <w:rsid w:val="73117CBC"/>
    <w:rsid w:val="731D3DC6"/>
    <w:rsid w:val="73785811"/>
    <w:rsid w:val="73843B37"/>
    <w:rsid w:val="73AA2AB8"/>
    <w:rsid w:val="7448595E"/>
    <w:rsid w:val="74936C9D"/>
    <w:rsid w:val="74A25915"/>
    <w:rsid w:val="74EF62F1"/>
    <w:rsid w:val="750000AA"/>
    <w:rsid w:val="750A7ABF"/>
    <w:rsid w:val="751510A5"/>
    <w:rsid w:val="753235FD"/>
    <w:rsid w:val="753A7947"/>
    <w:rsid w:val="75706FDE"/>
    <w:rsid w:val="759077E6"/>
    <w:rsid w:val="75940C8C"/>
    <w:rsid w:val="75BB2BFD"/>
    <w:rsid w:val="75BC7EFC"/>
    <w:rsid w:val="75C940ED"/>
    <w:rsid w:val="75E97B5E"/>
    <w:rsid w:val="76AC7129"/>
    <w:rsid w:val="76D15FF3"/>
    <w:rsid w:val="77281E9E"/>
    <w:rsid w:val="773C2D8E"/>
    <w:rsid w:val="77550A67"/>
    <w:rsid w:val="77B83BB6"/>
    <w:rsid w:val="77BA2D12"/>
    <w:rsid w:val="77D16BCC"/>
    <w:rsid w:val="783E431A"/>
    <w:rsid w:val="7856695F"/>
    <w:rsid w:val="7866427B"/>
    <w:rsid w:val="78812401"/>
    <w:rsid w:val="78F732D8"/>
    <w:rsid w:val="790F1791"/>
    <w:rsid w:val="791F3849"/>
    <w:rsid w:val="7961798B"/>
    <w:rsid w:val="797350BA"/>
    <w:rsid w:val="79751FE8"/>
    <w:rsid w:val="79775EC9"/>
    <w:rsid w:val="79EE2754"/>
    <w:rsid w:val="7A37206F"/>
    <w:rsid w:val="7A50077A"/>
    <w:rsid w:val="7A741385"/>
    <w:rsid w:val="7A7E5483"/>
    <w:rsid w:val="7AAF231C"/>
    <w:rsid w:val="7AC84743"/>
    <w:rsid w:val="7B2F1AD6"/>
    <w:rsid w:val="7B3A1AA6"/>
    <w:rsid w:val="7B7027FC"/>
    <w:rsid w:val="7B740622"/>
    <w:rsid w:val="7B994BC5"/>
    <w:rsid w:val="7BE145C1"/>
    <w:rsid w:val="7C152DD9"/>
    <w:rsid w:val="7C444612"/>
    <w:rsid w:val="7C520931"/>
    <w:rsid w:val="7C6766D3"/>
    <w:rsid w:val="7C831CEC"/>
    <w:rsid w:val="7CF26FE4"/>
    <w:rsid w:val="7D0D4810"/>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semiHidden/>
    <w:unhideWhenUsed/>
    <w:qFormat/>
    <w:uiPriority w:val="0"/>
    <w:rPr>
      <w:color w:val="0091F2"/>
      <w:sz w:val="18"/>
      <w:szCs w:val="18"/>
      <w:u w:val="none"/>
    </w:rPr>
  </w:style>
  <w:style w:type="character" w:styleId="13">
    <w:name w:val="HTML Definition"/>
    <w:basedOn w:val="9"/>
    <w:semiHidden/>
    <w:unhideWhenUsed/>
    <w:qFormat/>
    <w:uiPriority w:val="0"/>
  </w:style>
  <w:style w:type="character" w:styleId="14">
    <w:name w:val="HTML Variable"/>
    <w:basedOn w:val="9"/>
    <w:semiHidden/>
    <w:unhideWhenUsed/>
    <w:qFormat/>
    <w:uiPriority w:val="0"/>
  </w:style>
  <w:style w:type="character" w:styleId="15">
    <w:name w:val="Hyperlink"/>
    <w:basedOn w:val="9"/>
    <w:semiHidden/>
    <w:unhideWhenUsed/>
    <w:qFormat/>
    <w:uiPriority w:val="0"/>
    <w:rPr>
      <w:color w:val="0091F2"/>
      <w:sz w:val="18"/>
      <w:szCs w:val="18"/>
      <w:u w:val="none"/>
    </w:rPr>
  </w:style>
  <w:style w:type="character" w:styleId="16">
    <w:name w:val="HTML Code"/>
    <w:basedOn w:val="9"/>
    <w:semiHidden/>
    <w:unhideWhenUsed/>
    <w:qFormat/>
    <w:uiPriority w:val="0"/>
    <w:rPr>
      <w:rFonts w:ascii="Courier New" w:hAnsi="Courier New"/>
      <w:sz w:val="20"/>
    </w:rPr>
  </w:style>
  <w:style w:type="character" w:styleId="17">
    <w:name w:val="HTML Cite"/>
    <w:basedOn w:val="9"/>
    <w:semiHidden/>
    <w:unhideWhenUsed/>
    <w:qFormat/>
    <w:uiPriority w:val="0"/>
  </w:style>
  <w:style w:type="paragraph" w:customStyle="1" w:styleId="18">
    <w:name w:val="列表段落1"/>
    <w:basedOn w:val="1"/>
    <w:qFormat/>
    <w:uiPriority w:val="34"/>
    <w:pPr>
      <w:spacing w:before="206"/>
      <w:ind w:left="959" w:hanging="361"/>
    </w:pPr>
  </w:style>
  <w:style w:type="character" w:customStyle="1" w:styleId="19">
    <w:name w:val="cd_message"/>
    <w:basedOn w:val="9"/>
    <w:qFormat/>
    <w:uiPriority w:val="0"/>
  </w:style>
  <w:style w:type="paragraph" w:customStyle="1" w:styleId="2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1">
    <w:name w:val="列出段落1"/>
    <w:basedOn w:val="1"/>
    <w:qFormat/>
    <w:uiPriority w:val="99"/>
    <w:pPr>
      <w:ind w:firstLine="420" w:firstLineChars="200"/>
    </w:pPr>
  </w:style>
  <w:style w:type="character" w:customStyle="1" w:styleId="22">
    <w:name w:val="页眉 字符"/>
    <w:basedOn w:val="9"/>
    <w:link w:val="5"/>
    <w:qFormat/>
    <w:uiPriority w:val="0"/>
    <w:rPr>
      <w:kern w:val="2"/>
      <w:sz w:val="18"/>
      <w:szCs w:val="18"/>
    </w:rPr>
  </w:style>
  <w:style w:type="character" w:customStyle="1" w:styleId="23">
    <w:name w:val="common_over_page_btn1"/>
    <w:basedOn w:val="9"/>
    <w:qFormat/>
    <w:uiPriority w:val="0"/>
  </w:style>
  <w:style w:type="character" w:customStyle="1" w:styleId="24">
    <w:name w:val="common_over_page_btn2"/>
    <w:basedOn w:val="9"/>
    <w:qFormat/>
    <w:uiPriority w:val="0"/>
    <w:rPr>
      <w:color w:val="999999"/>
      <w:bdr w:val="single" w:color="D4D4D4" w:sz="6" w:space="0"/>
      <w:shd w:val="clear" w:color="auto" w:fill="FFFFFF"/>
    </w:rPr>
  </w:style>
  <w:style w:type="paragraph" w:customStyle="1" w:styleId="25">
    <w:name w:val="Table Paragraph"/>
    <w:basedOn w:val="1"/>
    <w:qFormat/>
    <w:uiPriority w:val="1"/>
  </w:style>
  <w:style w:type="paragraph" w:styleId="26">
    <w:name w:val="List Paragraph"/>
    <w:basedOn w:val="1"/>
    <w:qFormat/>
    <w:uiPriority w:val="34"/>
    <w:pPr>
      <w:ind w:firstLine="420" w:firstLineChars="200"/>
    </w:pPr>
    <w:rPr>
      <w:rFonts w:ascii="Times New Roman" w:hAnsi="Times New Roman" w:eastAsia="宋体" w:cs="Times New Roman"/>
      <w:szCs w:val="24"/>
    </w:rPr>
  </w:style>
  <w:style w:type="paragraph" w:customStyle="1" w:styleId="27">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8">
    <w:name w:val="ico1654"/>
    <w:basedOn w:val="9"/>
    <w:qFormat/>
    <w:uiPriority w:val="0"/>
  </w:style>
  <w:style w:type="character" w:customStyle="1" w:styleId="29">
    <w:name w:val="icontext2"/>
    <w:basedOn w:val="9"/>
    <w:qFormat/>
    <w:uiPriority w:val="0"/>
  </w:style>
  <w:style w:type="character" w:customStyle="1" w:styleId="30">
    <w:name w:val="edit_class"/>
    <w:basedOn w:val="9"/>
    <w:qFormat/>
    <w:uiPriority w:val="0"/>
  </w:style>
  <w:style w:type="character" w:customStyle="1" w:styleId="31">
    <w:name w:val="hover41"/>
    <w:basedOn w:val="9"/>
    <w:qFormat/>
    <w:uiPriority w:val="0"/>
    <w:rPr>
      <w:color w:val="FFFFFF"/>
    </w:rPr>
  </w:style>
  <w:style w:type="character" w:customStyle="1" w:styleId="32">
    <w:name w:val="w32"/>
    <w:basedOn w:val="9"/>
    <w:qFormat/>
    <w:uiPriority w:val="0"/>
  </w:style>
  <w:style w:type="character" w:customStyle="1" w:styleId="33">
    <w:name w:val="hilite"/>
    <w:basedOn w:val="9"/>
    <w:qFormat/>
    <w:uiPriority w:val="0"/>
    <w:rPr>
      <w:color w:val="FFFFFF"/>
      <w:shd w:val="clear" w:fill="666666"/>
    </w:rPr>
  </w:style>
  <w:style w:type="character" w:customStyle="1" w:styleId="34">
    <w:name w:val="layui-layer-tabnow"/>
    <w:basedOn w:val="9"/>
    <w:qFormat/>
    <w:uiPriority w:val="0"/>
    <w:rPr>
      <w:bdr w:val="single" w:color="CCCCCC" w:sz="6" w:space="0"/>
      <w:shd w:val="clear" w:fill="FFFFFF"/>
    </w:rPr>
  </w:style>
  <w:style w:type="character" w:customStyle="1" w:styleId="35">
    <w:name w:val="icontext1"/>
    <w:basedOn w:val="9"/>
    <w:qFormat/>
    <w:uiPriority w:val="0"/>
  </w:style>
  <w:style w:type="character" w:customStyle="1" w:styleId="36">
    <w:name w:val="icontext11"/>
    <w:basedOn w:val="9"/>
    <w:qFormat/>
    <w:uiPriority w:val="0"/>
  </w:style>
  <w:style w:type="character" w:customStyle="1" w:styleId="37">
    <w:name w:val="icontext12"/>
    <w:basedOn w:val="9"/>
    <w:qFormat/>
    <w:uiPriority w:val="0"/>
  </w:style>
  <w:style w:type="character" w:customStyle="1" w:styleId="38">
    <w:name w:val="pagechatarealistclose_box"/>
    <w:basedOn w:val="9"/>
    <w:qFormat/>
    <w:uiPriority w:val="0"/>
  </w:style>
  <w:style w:type="character" w:customStyle="1" w:styleId="39">
    <w:name w:val="pagechatarealistclose_box1"/>
    <w:basedOn w:val="9"/>
    <w:qFormat/>
    <w:uiPriority w:val="0"/>
  </w:style>
  <w:style w:type="character" w:customStyle="1" w:styleId="40">
    <w:name w:val="cy"/>
    <w:basedOn w:val="9"/>
    <w:qFormat/>
    <w:uiPriority w:val="0"/>
  </w:style>
  <w:style w:type="character" w:customStyle="1" w:styleId="41">
    <w:name w:val="cdropleft"/>
    <w:basedOn w:val="9"/>
    <w:qFormat/>
    <w:uiPriority w:val="0"/>
  </w:style>
  <w:style w:type="character" w:customStyle="1" w:styleId="42">
    <w:name w:val="design_class"/>
    <w:basedOn w:val="9"/>
    <w:qFormat/>
    <w:uiPriority w:val="0"/>
  </w:style>
  <w:style w:type="character" w:customStyle="1" w:styleId="43">
    <w:name w:val="active7"/>
    <w:basedOn w:val="9"/>
    <w:qFormat/>
    <w:uiPriority w:val="0"/>
    <w:rPr>
      <w:color w:val="00FF00"/>
      <w:shd w:val="clear" w:fill="111111"/>
    </w:rPr>
  </w:style>
  <w:style w:type="character" w:customStyle="1" w:styleId="44">
    <w:name w:val="active8"/>
    <w:basedOn w:val="9"/>
    <w:qFormat/>
    <w:uiPriority w:val="0"/>
    <w:rPr>
      <w:shd w:val="clear" w:fill="EC3535"/>
    </w:rPr>
  </w:style>
  <w:style w:type="character" w:customStyle="1" w:styleId="45">
    <w:name w:val="biggerthanmax"/>
    <w:basedOn w:val="9"/>
    <w:qFormat/>
    <w:uiPriority w:val="0"/>
    <w:rPr>
      <w:shd w:val="clear" w:fill="FFFF00"/>
    </w:rPr>
  </w:style>
  <w:style w:type="character" w:customStyle="1" w:styleId="46">
    <w:name w:val="cdropright"/>
    <w:basedOn w:val="9"/>
    <w:qFormat/>
    <w:uiPriority w:val="0"/>
  </w:style>
  <w:style w:type="character" w:customStyle="1" w:styleId="47">
    <w:name w:val="button4"/>
    <w:basedOn w:val="9"/>
    <w:qFormat/>
    <w:uiPriority w:val="0"/>
  </w:style>
  <w:style w:type="character" w:customStyle="1" w:styleId="48">
    <w:name w:val="tmpztreemove_arrow"/>
    <w:basedOn w:val="9"/>
    <w:qFormat/>
    <w:uiPriority w:val="0"/>
  </w:style>
  <w:style w:type="character" w:customStyle="1" w:styleId="49">
    <w:name w:val="associateddata"/>
    <w:basedOn w:val="9"/>
    <w:qFormat/>
    <w:uiPriority w:val="0"/>
    <w:rPr>
      <w:shd w:val="clear" w:fill="50A6F9"/>
    </w:rPr>
  </w:style>
  <w:style w:type="character" w:customStyle="1" w:styleId="50">
    <w:name w:val="icontext3"/>
    <w:basedOn w:val="9"/>
    <w:qFormat/>
    <w:uiPriority w:val="0"/>
  </w:style>
  <w:style w:type="character" w:customStyle="1" w:styleId="51">
    <w:name w:val="after"/>
    <w:basedOn w:val="9"/>
    <w:qFormat/>
    <w:uiPriority w:val="0"/>
    <w:rPr>
      <w:sz w:val="0"/>
      <w:szCs w:val="0"/>
    </w:rPr>
  </w:style>
  <w:style w:type="character" w:customStyle="1" w:styleId="52">
    <w:name w:val="drapbtn"/>
    <w:basedOn w:val="9"/>
    <w:qFormat/>
    <w:uiPriority w:val="0"/>
  </w:style>
  <w:style w:type="character" w:customStyle="1" w:styleId="53">
    <w:name w:val="iconline2"/>
    <w:basedOn w:val="9"/>
    <w:qFormat/>
    <w:uiPriority w:val="0"/>
  </w:style>
  <w:style w:type="character" w:customStyle="1" w:styleId="54">
    <w:name w:val="iconline21"/>
    <w:basedOn w:val="9"/>
    <w:qFormat/>
    <w:uiPriority w:val="0"/>
  </w:style>
  <w:style w:type="character" w:customStyle="1" w:styleId="55">
    <w:name w:val="first-child"/>
    <w:basedOn w:val="9"/>
    <w:qFormat/>
    <w:uiPriority w:val="0"/>
  </w:style>
  <w:style w:type="character" w:customStyle="1" w:styleId="56">
    <w:name w:val="choosename"/>
    <w:basedOn w:val="9"/>
    <w:qFormat/>
    <w:uiPriority w:val="0"/>
  </w:style>
  <w:style w:type="character" w:customStyle="1" w:styleId="57">
    <w:name w:val="xdrichtextbox4"/>
    <w:basedOn w:val="9"/>
    <w:qFormat/>
    <w:uiPriority w:val="0"/>
  </w:style>
  <w:style w:type="character" w:customStyle="1" w:styleId="58">
    <w:name w:val="active5"/>
    <w:basedOn w:val="9"/>
    <w:qFormat/>
    <w:uiPriority w:val="0"/>
    <w:rPr>
      <w:color w:val="00FF00"/>
      <w:shd w:val="clear" w:fill="111111"/>
    </w:rPr>
  </w:style>
  <w:style w:type="character" w:customStyle="1" w:styleId="59">
    <w:name w:val="active6"/>
    <w:basedOn w:val="9"/>
    <w:qFormat/>
    <w:uiPriority w:val="0"/>
    <w:rPr>
      <w:shd w:val="clear" w:fill="EC3535"/>
    </w:rPr>
  </w:style>
  <w:style w:type="character" w:customStyle="1" w:styleId="60">
    <w:name w:val="hilite5"/>
    <w:basedOn w:val="9"/>
    <w:qFormat/>
    <w:uiPriority w:val="0"/>
    <w:rPr>
      <w:color w:val="FFFFFF"/>
      <w:shd w:val="clear" w:fill="666666"/>
    </w:rPr>
  </w:style>
  <w:style w:type="character" w:customStyle="1" w:styleId="61">
    <w:name w:val="ico1653"/>
    <w:basedOn w:val="9"/>
    <w:qFormat/>
    <w:uiPriority w:val="0"/>
  </w:style>
  <w:style w:type="character" w:customStyle="1" w:styleId="62">
    <w:name w:val="xdrichtextbox"/>
    <w:basedOn w:val="9"/>
    <w:qFormat/>
    <w:uiPriority w:val="0"/>
    <w:rPr>
      <w:color w:val="auto"/>
      <w:u w:val="none"/>
      <w:bdr w:val="single" w:color="DCDCDC" w:sz="8" w:space="0"/>
      <w:shd w:val="clear" w:fill="auto"/>
    </w:rPr>
  </w:style>
  <w:style w:type="character" w:customStyle="1" w:styleId="63">
    <w:name w:val="button"/>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0</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cp:lastPrinted>2022-11-30T06:59:35Z</cp:lastPrinted>
  <dcterms:modified xsi:type="dcterms:W3CDTF">2022-11-30T08:35:07Z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