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snapToGrid w:val="0"/>
          <w:sz w:val="30"/>
          <w:szCs w:val="30"/>
        </w:rPr>
        <w:t>腾龙芳烃（漳州）有限公司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土壤、地下水环境监测</w:t>
      </w:r>
      <w:r>
        <w:rPr>
          <w:rFonts w:hint="eastAsia" w:ascii="Times New Roman" w:hAnsi="Times New Roman" w:cs="Times New Roman"/>
          <w:b/>
          <w:bCs/>
          <w:sz w:val="32"/>
          <w:szCs w:val="36"/>
        </w:rPr>
        <w:t>方案</w:t>
      </w:r>
    </w:p>
    <w:p>
      <w:pPr>
        <w:pStyle w:val="11"/>
        <w:spacing w:line="360" w:lineRule="auto"/>
        <w:jc w:val="both"/>
        <w:rPr>
          <w:rFonts w:ascii="宋体" w:hAnsi="宋体" w:eastAsia="宋体"/>
          <w:b/>
          <w:snapToGrid w:val="0"/>
          <w:color w:val="auto"/>
          <w:sz w:val="28"/>
          <w:szCs w:val="28"/>
        </w:rPr>
      </w:pPr>
      <w:r>
        <w:rPr>
          <w:rFonts w:hint="eastAsia" w:ascii="宋体" w:hAnsi="宋体" w:eastAsia="宋体"/>
          <w:b/>
          <w:snapToGrid w:val="0"/>
          <w:color w:val="auto"/>
          <w:sz w:val="28"/>
          <w:szCs w:val="28"/>
        </w:rPr>
        <w:t>一、企业概况</w:t>
      </w:r>
    </w:p>
    <w:p>
      <w:pPr>
        <w:pStyle w:val="11"/>
        <w:spacing w:line="360" w:lineRule="auto"/>
        <w:ind w:firstLine="360" w:firstLineChars="150"/>
        <w:rPr>
          <w:rFonts w:ascii="宋体" w:hAnsi="宋体" w:eastAsia="宋体"/>
          <w:snapToGrid w:val="0"/>
        </w:rPr>
      </w:pPr>
      <w:r>
        <w:rPr>
          <w:rFonts w:hint="eastAsia" w:ascii="宋体" w:hAnsi="宋体" w:eastAsia="宋体"/>
          <w:snapToGrid w:val="0"/>
        </w:rPr>
        <w:t>腾龙芳烃(漳州)有限公司位于漳州市古雷经济开发区，占地面积164.722公顷，规模为160万吨/年对二甲苯。共建有17套生产装置，另有储运罐区及四炉三机的自备热电站。</w:t>
      </w:r>
    </w:p>
    <w:p>
      <w:pPr>
        <w:pStyle w:val="11"/>
        <w:spacing w:line="360" w:lineRule="auto"/>
        <w:ind w:firstLine="360" w:firstLineChars="150"/>
        <w:rPr>
          <w:rFonts w:ascii="宋体" w:hAnsi="宋体" w:eastAsia="宋体"/>
          <w:snapToGrid w:val="0"/>
        </w:rPr>
      </w:pPr>
      <w:r>
        <w:rPr>
          <w:rFonts w:hint="eastAsia" w:ascii="宋体" w:hAnsi="宋体" w:eastAsia="宋体"/>
          <w:snapToGrid w:val="0"/>
        </w:rPr>
        <w:t>公司以凝析油（CO）和常渣油（AR）为原料。主要产品对二甲苯（PX）和邻二甲苯（OX），同时副产苯、甲苯、液化气、燃料气、C5、抽余油、重芳烃等。</w:t>
      </w:r>
    </w:p>
    <w:p>
      <w:pPr>
        <w:pStyle w:val="11"/>
        <w:spacing w:line="360" w:lineRule="auto"/>
        <w:jc w:val="both"/>
        <w:rPr>
          <w:rFonts w:ascii="宋体" w:hAnsi="宋体" w:eastAsia="宋体"/>
          <w:b/>
          <w:snapToGrid w:val="0"/>
          <w:color w:val="auto"/>
          <w:sz w:val="28"/>
          <w:szCs w:val="28"/>
        </w:rPr>
      </w:pPr>
      <w:r>
        <w:rPr>
          <w:rFonts w:hint="eastAsia" w:ascii="宋体" w:hAnsi="宋体" w:eastAsia="宋体"/>
          <w:b/>
          <w:snapToGrid w:val="0"/>
          <w:color w:val="auto"/>
          <w:sz w:val="28"/>
          <w:szCs w:val="28"/>
        </w:rPr>
        <w:t>二、点位布设方案</w:t>
      </w:r>
    </w:p>
    <w:p>
      <w:pPr>
        <w:pStyle w:val="11"/>
        <w:spacing w:line="360" w:lineRule="auto"/>
        <w:ind w:firstLine="480" w:firstLineChars="200"/>
        <w:rPr>
          <w:rFonts w:ascii="宋体" w:hAnsi="宋体" w:eastAsia="宋体"/>
          <w:snapToGrid w:val="0"/>
        </w:rPr>
      </w:pPr>
      <w:r>
        <w:rPr>
          <w:rFonts w:hint="eastAsia" w:ascii="宋体" w:hAnsi="宋体" w:eastAsia="宋体"/>
          <w:snapToGrid w:val="0"/>
        </w:rPr>
        <w:t>土壤及地下水监测点位布设详见下图</w:t>
      </w:r>
    </w:p>
    <w:p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>
        <w:rPr>
          <w:rFonts w:ascii="Times New Roman" w:hAnsi="Times New Roman" w:cs="Times New Roman"/>
          <w:b/>
          <w:bCs/>
          <w:sz w:val="32"/>
          <w:szCs w:val="36"/>
        </w:rPr>
        <w:drawing>
          <wp:inline distT="0" distB="0" distL="0" distR="0">
            <wp:extent cx="5274310" cy="9290685"/>
            <wp:effectExtent l="0" t="0" r="0" b="0"/>
            <wp:docPr id="1" name="图片 1" descr="E:\腾龙芳烃\环境监测\自行监测数据\2023年土壤和地下水监测\b7642d7d1935f53a109d58da5f7cb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腾龙芳烃\环境监测\自行监测数据\2023年土壤和地下水监测\b7642d7d1935f53a109d58da5f7cb7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29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6326"/>
        </w:tabs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>监测点位布置图</w:t>
      </w:r>
    </w:p>
    <w:p>
      <w:pPr>
        <w:tabs>
          <w:tab w:val="left" w:pos="6326"/>
        </w:tabs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</w:rPr>
        <w:t>三、</w:t>
      </w:r>
      <w:r>
        <w:rPr>
          <w:rFonts w:ascii="Times New Roman" w:hAnsi="Times New Roman" w:cs="Times New Roman"/>
          <w:b/>
          <w:bCs/>
          <w:sz w:val="28"/>
          <w:szCs w:val="36"/>
        </w:rPr>
        <w:t>监测项目</w:t>
      </w:r>
      <w:r>
        <w:rPr>
          <w:rFonts w:hint="eastAsia" w:ascii="Times New Roman" w:hAnsi="Times New Roman" w:cs="Times New Roman"/>
          <w:b/>
          <w:bCs/>
          <w:sz w:val="28"/>
          <w:szCs w:val="36"/>
        </w:rPr>
        <w:t>及点位</w:t>
      </w:r>
    </w:p>
    <w:p>
      <w:pPr>
        <w:tabs>
          <w:tab w:val="left" w:pos="6326"/>
        </w:tabs>
        <w:rPr>
          <w:rFonts w:ascii="Times New Roman" w:hAnsi="Times New Roman" w:cs="Times New Roman"/>
          <w:bCs/>
          <w:sz w:val="28"/>
          <w:szCs w:val="36"/>
        </w:rPr>
      </w:pPr>
      <w:r>
        <w:rPr>
          <w:rFonts w:hint="eastAsia" w:ascii="Times New Roman" w:hAnsi="Times New Roman" w:cs="Times New Roman"/>
          <w:bCs/>
          <w:sz w:val="28"/>
          <w:szCs w:val="36"/>
        </w:rPr>
        <w:t>土壤检测</w:t>
      </w:r>
    </w:p>
    <w:tbl>
      <w:tblPr>
        <w:tblStyle w:val="5"/>
        <w:tblW w:w="9919" w:type="dxa"/>
        <w:tblInd w:w="-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224"/>
        <w:gridCol w:w="4602"/>
        <w:gridCol w:w="170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tblHeader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2"/>
              </w:rPr>
              <w:t>样品类型</w:t>
            </w:r>
          </w:p>
        </w:tc>
        <w:tc>
          <w:tcPr>
            <w:tcW w:w="5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监测项目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监测频率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NewRomanPSMT" w:hAnsi="Times New Roman" w:eastAsia="TimesNewRomanPSMT" w:cs="TimesNewRomanPSMT"/>
                <w:kern w:val="0"/>
                <w:szCs w:val="21"/>
              </w:rPr>
              <w:t xml:space="preserve">GB 36600-2018 </w:t>
            </w:r>
            <w:r>
              <w:rPr>
                <w:rFonts w:hint="eastAsia" w:ascii="宋体" w:hAnsi="Times New Roman" w:eastAsia="宋体" w:cs="宋体"/>
                <w:kern w:val="0"/>
                <w:szCs w:val="21"/>
              </w:rPr>
              <w:t>中</w:t>
            </w:r>
            <w:r>
              <w:rPr>
                <w:rFonts w:ascii="TimesNewRomanPSMT" w:hAnsi="Times New Roman" w:eastAsia="TimesNewRomanPSMT" w:cs="TimesNewRomanPSMT"/>
                <w:kern w:val="0"/>
                <w:szCs w:val="21"/>
              </w:rPr>
              <w:t xml:space="preserve">45 </w:t>
            </w:r>
            <w:r>
              <w:rPr>
                <w:rFonts w:hint="eastAsia" w:ascii="宋体" w:hAnsi="Times New Roman" w:eastAsia="宋体" w:cs="宋体"/>
                <w:kern w:val="0"/>
                <w:szCs w:val="21"/>
              </w:rPr>
              <w:t>项基本项目</w:t>
            </w:r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砷、镉、铬（六价）、铜、铅、汞、镍、</w:t>
            </w:r>
            <w:r>
              <w:rPr>
                <w:rFonts w:ascii="Times New Roman" w:hAnsi="Times New Roman" w:cs="Times New Roman"/>
              </w:rPr>
              <w:t>四氯化碳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氯仿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氯甲烷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1,1-二氯乙烷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1,2-二氯乙烷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1,1-二氯乙烯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顺-1,2-二氯乙烯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反-1,2-二氯乙烯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二氯甲烷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1,2-二氯丙烷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1,1,1,2-四氯乙烷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1,1,2,2-四氯乙烷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四氯乙烯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1,1,1-三氯乙烷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1,1,2-三氯乙烷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三氯乙烯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1,2,3-三氯丙烷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1,2-二氯苯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1,4-二氯苯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乙苯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甲苯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间二甲苯+对二甲苯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邻二甲苯</w:t>
            </w:r>
            <w:r>
              <w:rPr>
                <w:rFonts w:hint="eastAsia" w:ascii="Times New Roman" w:hAnsi="Times New Roman" w:cs="Times New Roman"/>
              </w:rPr>
              <w:t>、硝基苯、苯胺、</w:t>
            </w: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hint="eastAsia" w:ascii="Times New Roman" w:hAnsi="Times New Roman" w:cs="Times New Roman"/>
              </w:rPr>
              <w:t>氯酚、苯并</w:t>
            </w:r>
            <w:r>
              <w:rPr>
                <w:rFonts w:ascii="Times New Roman" w:hAnsi="Times New Roman" w:cs="Times New Roman"/>
              </w:rPr>
              <w:t>[a]</w:t>
            </w:r>
            <w:r>
              <w:rPr>
                <w:rFonts w:hint="eastAsia" w:ascii="Times New Roman" w:hAnsi="Times New Roman" w:cs="Times New Roman"/>
              </w:rPr>
              <w:t>蒽、苯并</w:t>
            </w:r>
            <w:r>
              <w:rPr>
                <w:rFonts w:ascii="Times New Roman" w:hAnsi="Times New Roman" w:cs="Times New Roman"/>
              </w:rPr>
              <w:t>[a]</w:t>
            </w:r>
            <w:r>
              <w:rPr>
                <w:rFonts w:hint="eastAsia" w:ascii="Times New Roman" w:hAnsi="Times New Roman" w:cs="Times New Roman"/>
              </w:rPr>
              <w:t>芘、苯并</w:t>
            </w:r>
            <w:r>
              <w:rPr>
                <w:rFonts w:ascii="Times New Roman" w:hAnsi="Times New Roman" w:cs="Times New Roman"/>
              </w:rPr>
              <w:t>[b]</w:t>
            </w:r>
            <w:r>
              <w:rPr>
                <w:rFonts w:hint="eastAsia" w:ascii="Times New Roman" w:hAnsi="Times New Roman" w:cs="Times New Roman"/>
              </w:rPr>
              <w:t>荧蒽、苯并</w:t>
            </w:r>
            <w:r>
              <w:rPr>
                <w:rFonts w:ascii="Times New Roman" w:hAnsi="Times New Roman" w:cs="Times New Roman"/>
              </w:rPr>
              <w:t>[k]</w:t>
            </w:r>
            <w:r>
              <w:rPr>
                <w:rFonts w:hint="eastAsia" w:ascii="Times New Roman" w:hAnsi="Times New Roman" w:cs="Times New Roman"/>
              </w:rPr>
              <w:t>荧蒽、䓛、二苯并</w:t>
            </w:r>
            <w:r>
              <w:rPr>
                <w:rFonts w:ascii="Times New Roman" w:hAnsi="Times New Roman" w:cs="Times New Roman"/>
              </w:rPr>
              <w:t>[a, h]</w:t>
            </w:r>
            <w:r>
              <w:rPr>
                <w:rFonts w:hint="eastAsia" w:ascii="Times New Roman" w:hAnsi="Times New Roman" w:cs="Times New Roman"/>
              </w:rPr>
              <w:t>蒽、茚并</w:t>
            </w:r>
            <w:r>
              <w:rPr>
                <w:rFonts w:ascii="Times New Roman" w:hAnsi="Times New Roman" w:cs="Times New Roman"/>
              </w:rPr>
              <w:t>[1,2,3-cd]</w:t>
            </w:r>
            <w:r>
              <w:rPr>
                <w:rFonts w:hint="eastAsia" w:ascii="Times New Roman" w:hAnsi="Times New Roman" w:cs="Times New Roman"/>
              </w:rPr>
              <w:t>芘、萘</w:t>
            </w: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napToGrid w:val="0"/>
                <w:highlight w:val="yellow"/>
              </w:rPr>
            </w:pPr>
            <w:r>
              <w:rPr>
                <w:rFonts w:hint="eastAsia" w:ascii="宋体" w:hAnsi="宋体" w:eastAsia="宋体"/>
                <w:snapToGrid w:val="0"/>
                <w:highlight w:val="yellow"/>
              </w:rPr>
              <w:t>表层土 1次/年</w:t>
            </w:r>
          </w:p>
          <w:p>
            <w:pPr>
              <w:jc w:val="left"/>
              <w:rPr>
                <w:rFonts w:ascii="宋体" w:hAnsi="宋体" w:eastAsia="宋体"/>
                <w:snapToGrid w:val="0"/>
              </w:rPr>
            </w:pPr>
            <w:r>
              <w:rPr>
                <w:rFonts w:ascii="宋体" w:hAnsi="宋体" w:eastAsia="宋体"/>
                <w:snapToGrid w:val="0"/>
                <w:highlight w:val="yellow"/>
              </w:rPr>
              <w:t>深层土</w:t>
            </w:r>
            <w:r>
              <w:rPr>
                <w:rFonts w:hint="eastAsia" w:ascii="宋体" w:hAnsi="宋体" w:eastAsia="宋体"/>
                <w:snapToGrid w:val="0"/>
                <w:highlight w:val="yellow"/>
              </w:rPr>
              <w:t xml:space="preserve"> </w:t>
            </w:r>
            <w:r>
              <w:rPr>
                <w:rFonts w:ascii="宋体" w:hAnsi="宋体" w:eastAsia="宋体"/>
                <w:snapToGrid w:val="0"/>
                <w:highlight w:val="yellow"/>
              </w:rPr>
              <w:t>1次</w:t>
            </w:r>
            <w:r>
              <w:rPr>
                <w:rFonts w:hint="eastAsia" w:ascii="宋体" w:hAnsi="宋体" w:eastAsia="宋体"/>
                <w:snapToGrid w:val="0"/>
                <w:highlight w:val="yellow"/>
              </w:rPr>
              <w:t>/</w:t>
            </w:r>
            <w:r>
              <w:rPr>
                <w:rFonts w:ascii="宋体" w:hAnsi="宋体" w:eastAsia="宋体"/>
                <w:snapToGrid w:val="0"/>
                <w:highlight w:val="yellow"/>
              </w:rPr>
              <w:t>3年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snapToGrid w:val="0"/>
              </w:rPr>
              <w:t>GB36600-2018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6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其他项目</w:t>
            </w:r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Times New Roman" w:eastAsia="宋体" w:cs="宋体"/>
                <w:kern w:val="0"/>
                <w:szCs w:val="21"/>
              </w:rPr>
            </w:pPr>
            <w:r>
              <w:rPr>
                <w:rFonts w:ascii="TimesNewRomanPSMT" w:hAnsi="Times New Roman" w:eastAsia="TimesNewRomanPSMT" w:cs="TimesNewRomanPSMT"/>
                <w:kern w:val="0"/>
                <w:szCs w:val="21"/>
              </w:rPr>
              <w:t>pH</w:t>
            </w:r>
            <w:r>
              <w:rPr>
                <w:rFonts w:hint="eastAsia" w:ascii="宋体" w:hAnsi="Times New Roman" w:eastAsia="宋体" w:cs="宋体"/>
                <w:kern w:val="0"/>
                <w:szCs w:val="21"/>
              </w:rPr>
              <w:t>、锌、钼、钴、钒、铬、苯酚、石油烃（</w:t>
            </w:r>
            <w:r>
              <w:rPr>
                <w:rFonts w:ascii="TimesNewRomanPSMT" w:hAnsi="Times New Roman" w:eastAsia="TimesNewRomanPSMT" w:cs="TimesNewRomanPSMT"/>
                <w:kern w:val="0"/>
                <w:szCs w:val="21"/>
              </w:rPr>
              <w:t>C</w:t>
            </w:r>
            <w:r>
              <w:rPr>
                <w:rFonts w:ascii="TimesNewRomanPSMT" w:hAnsi="Times New Roman" w:eastAsia="TimesNewRomanPSMT" w:cs="TimesNewRomanPSMT"/>
                <w:kern w:val="0"/>
                <w:sz w:val="14"/>
                <w:szCs w:val="14"/>
              </w:rPr>
              <w:t>10</w:t>
            </w:r>
            <w:r>
              <w:rPr>
                <w:rFonts w:ascii="TimesNewRomanPSMT" w:hAnsi="Times New Roman" w:eastAsia="TimesNewRomanPSMT" w:cs="TimesNewRomanPSMT"/>
                <w:kern w:val="0"/>
                <w:szCs w:val="21"/>
              </w:rPr>
              <w:t>-C</w:t>
            </w:r>
            <w:r>
              <w:rPr>
                <w:rFonts w:ascii="TimesNewRomanPSMT" w:hAnsi="Times New Roman" w:eastAsia="TimesNewRomanPSMT" w:cs="TimesNewRomanPSMT"/>
                <w:kern w:val="0"/>
                <w:sz w:val="14"/>
                <w:szCs w:val="14"/>
              </w:rPr>
              <w:t>40</w:t>
            </w:r>
            <w:r>
              <w:rPr>
                <w:rFonts w:hint="eastAsia" w:ascii="宋体" w:hAnsi="Times New Roman" w:eastAsia="宋体" w:cs="宋体"/>
                <w:kern w:val="0"/>
                <w:szCs w:val="21"/>
              </w:rPr>
              <w:t>）、石油烃（</w:t>
            </w:r>
            <w:r>
              <w:rPr>
                <w:rFonts w:ascii="TimesNewRomanPSMT" w:hAnsi="Times New Roman" w:eastAsia="TimesNewRomanPSMT" w:cs="TimesNewRomanPSMT"/>
                <w:kern w:val="0"/>
                <w:szCs w:val="21"/>
              </w:rPr>
              <w:t>C</w:t>
            </w:r>
            <w:r>
              <w:rPr>
                <w:rFonts w:ascii="TimesNewRomanPSMT" w:hAnsi="Times New Roman" w:eastAsia="TimesNewRomanPSMT" w:cs="TimesNewRomanPSMT"/>
                <w:kern w:val="0"/>
                <w:sz w:val="14"/>
                <w:szCs w:val="14"/>
              </w:rPr>
              <w:t>6</w:t>
            </w:r>
            <w:r>
              <w:rPr>
                <w:rFonts w:ascii="TimesNewRomanPSMT" w:hAnsi="Times New Roman" w:eastAsia="TimesNewRomanPSMT" w:cs="TimesNewRomanPSMT"/>
                <w:kern w:val="0"/>
                <w:szCs w:val="21"/>
              </w:rPr>
              <w:t>-C</w:t>
            </w:r>
            <w:r>
              <w:rPr>
                <w:rFonts w:ascii="TimesNewRomanPSMT" w:hAnsi="Times New Roman" w:eastAsia="TimesNewRomanPSMT" w:cs="TimesNewRomanPSMT"/>
                <w:kern w:val="0"/>
                <w:sz w:val="14"/>
                <w:szCs w:val="14"/>
              </w:rPr>
              <w:t>9</w:t>
            </w:r>
            <w:r>
              <w:rPr>
                <w:rFonts w:hint="eastAsia" w:ascii="宋体" w:hAnsi="Times New Roman" w:eastAsia="宋体" w:cs="宋体"/>
                <w:kern w:val="0"/>
                <w:szCs w:val="21"/>
              </w:rPr>
              <w:t>）</w:t>
            </w:r>
          </w:p>
        </w:tc>
        <w:tc>
          <w:tcPr>
            <w:tcW w:w="17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napToGrid w:val="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napToGrid w:val="0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</w:rPr>
      </w:pP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4604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1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样品信息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采样规范</w:t>
            </w:r>
          </w:p>
        </w:tc>
        <w:tc>
          <w:tcPr>
            <w:tcW w:w="729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土壤环境监测技术规范 HJ/T 166-2004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2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采样点位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采样深度（cm）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highlight w:val="yellow"/>
                <w:lang w:val="en-US" w:eastAsia="zh-CN"/>
              </w:rPr>
              <w:t>表层土</w:t>
            </w:r>
            <w:r>
              <w:rPr>
                <w:rFonts w:ascii="Times New Roman" w:hAnsi="Times New Roman" w:cs="Times New Roman"/>
                <w:highlight w:val="yellow"/>
              </w:rPr>
              <w:t>9</w:t>
            </w:r>
            <w:r>
              <w:rPr>
                <w:rFonts w:hint="eastAsia" w:ascii="Times New Roman" w:hAnsi="Times New Roman" w:cs="Times New Roman"/>
                <w:highlight w:val="yellow"/>
              </w:rPr>
              <w:t>个点位</w:t>
            </w:r>
          </w:p>
        </w:tc>
        <w:tc>
          <w:tcPr>
            <w:tcW w:w="460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hint="eastAsia" w:ascii="Times New Roman" w:hAnsi="Times New Roman" w:cs="Times New Roman"/>
                <w:highlight w:val="yellow"/>
              </w:rPr>
              <w:t>点位布设图中画圈位置（以实际定位为准）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表层土0-</w:t>
            </w:r>
            <w:r>
              <w:rPr>
                <w:rFonts w:hint="eastAsia" w:ascii="Times New Roman" w:hAnsi="Times New Roman" w:cs="Times New Roman"/>
                <w:highlight w:val="yellow"/>
              </w:rPr>
              <w:t>5</w:t>
            </w:r>
            <w:r>
              <w:rPr>
                <w:rFonts w:ascii="Times New Roman" w:hAnsi="Times New Roman" w:cs="Times New Roman"/>
                <w:highlight w:val="yellow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highlight w:val="yellow"/>
                <w:lang w:val="en-US" w:eastAsia="zh-CN"/>
              </w:rPr>
              <w:t>深层土3</w:t>
            </w:r>
            <w:r>
              <w:rPr>
                <w:rFonts w:hint="eastAsia" w:ascii="Times New Roman" w:hAnsi="Times New Roman" w:cs="Times New Roman"/>
                <w:highlight w:val="yellow"/>
              </w:rPr>
              <w:t>个点位</w:t>
            </w:r>
          </w:p>
        </w:tc>
        <w:tc>
          <w:tcPr>
            <w:tcW w:w="46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highlight w:val="yellow"/>
              </w:rPr>
              <w:t>点位布设图中画圈位置（以实际定位为准）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highlight w:val="yellow"/>
              </w:rPr>
              <w:t>深层土看地下水位</w:t>
            </w:r>
          </w:p>
        </w:tc>
      </w:tr>
    </w:tbl>
    <w:p>
      <w:pPr>
        <w:tabs>
          <w:tab w:val="left" w:pos="6326"/>
        </w:tabs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地下水检测</w:t>
      </w:r>
    </w:p>
    <w:tbl>
      <w:tblPr>
        <w:tblStyle w:val="5"/>
        <w:tblW w:w="100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20"/>
        <w:gridCol w:w="4187"/>
        <w:gridCol w:w="3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tblHeader/>
          <w:jc w:val="center"/>
        </w:trPr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2"/>
              </w:rPr>
              <w:t>样品类型</w:t>
            </w:r>
          </w:p>
        </w:tc>
        <w:tc>
          <w:tcPr>
            <w:tcW w:w="5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监测项目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采样</w:t>
            </w:r>
            <w:r>
              <w:rPr>
                <w:rFonts w:hint="eastAsia" w:ascii="Times New Roman" w:hAnsi="Times New Roman" w:cs="Times New Roman"/>
                <w:b/>
                <w:sz w:val="24"/>
                <w:szCs w:val="22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检测方法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2" w:hRule="atLeast"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地下水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共5个点位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GB/T 14848</w:t>
            </w:r>
            <w:r>
              <w:rPr>
                <w:rFonts w:hint="eastAsia" w:ascii="Times New Roman" w:hAnsi="Times New Roman" w:cs="Times New Roman"/>
                <w:highlight w:val="yellow"/>
              </w:rPr>
              <w:t>表</w:t>
            </w:r>
            <w:r>
              <w:rPr>
                <w:rFonts w:ascii="Times New Roman" w:hAnsi="Times New Roman" w:cs="Times New Roman"/>
                <w:highlight w:val="yellow"/>
              </w:rPr>
              <w:t>1</w:t>
            </w:r>
            <w:r>
              <w:rPr>
                <w:rFonts w:hint="eastAsia" w:ascii="Times New Roman" w:hAnsi="Times New Roman" w:cs="Times New Roman"/>
                <w:highlight w:val="yellow"/>
              </w:rPr>
              <w:t>常规指标（微生物指标、放射性指标除外）。</w:t>
            </w: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highlight w:val="yellow"/>
                <w:lang w:val="en-US" w:eastAsia="zh-CN"/>
              </w:rPr>
              <w:t>色（铂钴额度单位）、嗅和味、浑浊度、肉眼可见物、pH、总硬度、溶解性固体、硫酸盐、氯化物、铁、锰、铜、锌、铝、挥发性酚类（以苯酚计）、阴离子表面活性剂、耗氧量（COD</w:t>
            </w:r>
            <w:r>
              <w:rPr>
                <w:rFonts w:hint="eastAsia" w:ascii="Times New Roman" w:hAnsi="Times New Roman" w:cs="Times New Roman"/>
                <w:highlight w:val="yellow"/>
                <w:vertAlign w:val="subscript"/>
                <w:lang w:val="en-US" w:eastAsia="zh-CN"/>
              </w:rPr>
              <w:t>Mn</w:t>
            </w:r>
            <w:r>
              <w:rPr>
                <w:rFonts w:hint="eastAsia" w:ascii="Times New Roman" w:hAnsi="Times New Roman" w:cs="Times New Roman"/>
                <w:highlight w:val="yellow"/>
                <w:lang w:val="en-US" w:eastAsia="zh-CN"/>
              </w:rPr>
              <w:t>法，以O</w:t>
            </w:r>
            <w:r>
              <w:rPr>
                <w:rFonts w:hint="eastAsia" w:ascii="Times New Roman" w:hAnsi="Times New Roman" w:cs="Times New Roman"/>
                <w:highlight w:val="yellow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highlight w:val="yellow"/>
                <w:lang w:val="en-US" w:eastAsia="zh-CN"/>
              </w:rPr>
              <w:t>计）、氨氮（以N计）、硫化物、钠、亚硝酸盐（以N计）、硝酸盐（以N计）、氰化物、氟化物、碘化物、汞、砷、硒、镉、铬（六价）、铅、三氯甲烷、四氯化碳、苯、甲苯</w:t>
            </w:r>
          </w:p>
        </w:tc>
        <w:tc>
          <w:tcPr>
            <w:tcW w:w="35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HJ164、HJ1019、GB/T14848、HJ 610监测分析方法应选用上述执行标准规定的方法，选用其他方法，需符合相关标准要求，且必须符合HJ1209所作相关要求。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其它项目</w:t>
            </w:r>
          </w:p>
        </w:tc>
        <w:tc>
          <w:tcPr>
            <w:tcW w:w="4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高锰酸盐指数</w:t>
            </w:r>
            <w:r>
              <w:rPr>
                <w:rFonts w:hint="eastAsia" w:ascii="Times New Roman" w:hAnsi="Times New Roman" w:cs="Times New Roman"/>
                <w:highlight w:val="yellow"/>
              </w:rPr>
              <w:t>、</w:t>
            </w:r>
            <w:r>
              <w:rPr>
                <w:rFonts w:ascii="Times New Roman" w:hAnsi="Times New Roman" w:cs="Times New Roman"/>
                <w:highlight w:val="yellow"/>
              </w:rPr>
              <w:t>石油类</w:t>
            </w:r>
          </w:p>
        </w:tc>
        <w:tc>
          <w:tcPr>
            <w:tcW w:w="35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</w:p>
        </w:tc>
      </w:tr>
    </w:tbl>
    <w:p>
      <w:pPr>
        <w:tabs>
          <w:tab w:val="left" w:pos="6326"/>
        </w:tabs>
        <w:rPr>
          <w:rFonts w:ascii="Times New Roman" w:hAnsi="Times New Roman" w:cs="Times New Roman"/>
          <w:sz w:val="28"/>
          <w:szCs w:val="36"/>
        </w:rPr>
      </w:pPr>
    </w:p>
    <w:tbl>
      <w:tblPr>
        <w:tblStyle w:val="5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343"/>
        <w:gridCol w:w="3261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3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采样规范</w:t>
            </w:r>
          </w:p>
        </w:tc>
        <w:tc>
          <w:tcPr>
            <w:tcW w:w="715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</w:t>
            </w:r>
            <w:r>
              <w:rPr>
                <w:rFonts w:ascii="Times New Roman" w:hAnsi="Times New Roman" w:cs="Times New Roman"/>
              </w:rPr>
              <w:t>环境监测技术规范 HJ/T 16</w:t>
            </w:r>
            <w:r>
              <w:rPr>
                <w:rFonts w:hint="eastAsia" w:ascii="Times New Roman" w:hAnsi="Times New Roman" w:cs="Times New Roma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井深，m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采样点位</w:t>
            </w: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ZK-01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ZK-02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ZK-03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ZK-05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hint="eastAsia" w:ascii="Times New Roman" w:hAnsi="Times New Roman" w:cs="Times New Roman"/>
                <w:highlight w:val="yellow"/>
              </w:rPr>
              <w:t>ZK-13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hint="eastAsia" w:ascii="Times New Roman" w:hAnsi="Times New Roman" w:cs="Times New Roman"/>
                <w:highlight w:val="yellow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22</w:t>
            </w:r>
          </w:p>
        </w:tc>
      </w:tr>
    </w:tbl>
    <w:p>
      <w:pPr>
        <w:jc w:val="left"/>
        <w:rPr>
          <w:rFonts w:ascii="Times New Roman" w:hAnsi="Times New Roman" w:cs="Times New Roman"/>
          <w:b/>
          <w:bCs/>
          <w:sz w:val="32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NewRomanPSMT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990520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ZjZjYTRiNGJiZjVlNWIwZjUwOTI1NjlkOGRmYzAifQ=="/>
  </w:docVars>
  <w:rsids>
    <w:rsidRoot w:val="0F581427"/>
    <w:rsid w:val="000163DB"/>
    <w:rsid w:val="0003513B"/>
    <w:rsid w:val="0006078C"/>
    <w:rsid w:val="00066B1A"/>
    <w:rsid w:val="000732F1"/>
    <w:rsid w:val="000B1322"/>
    <w:rsid w:val="000C76CC"/>
    <w:rsid w:val="000E19EA"/>
    <w:rsid w:val="00105215"/>
    <w:rsid w:val="00106B02"/>
    <w:rsid w:val="00133E0C"/>
    <w:rsid w:val="00141A4D"/>
    <w:rsid w:val="00155DF7"/>
    <w:rsid w:val="00157D73"/>
    <w:rsid w:val="001648EB"/>
    <w:rsid w:val="00185247"/>
    <w:rsid w:val="001D2C8F"/>
    <w:rsid w:val="00207C49"/>
    <w:rsid w:val="00212423"/>
    <w:rsid w:val="00261842"/>
    <w:rsid w:val="002A4C4E"/>
    <w:rsid w:val="002D1F6D"/>
    <w:rsid w:val="002D71BA"/>
    <w:rsid w:val="002D7276"/>
    <w:rsid w:val="002D7663"/>
    <w:rsid w:val="002F431D"/>
    <w:rsid w:val="00327CBA"/>
    <w:rsid w:val="00354147"/>
    <w:rsid w:val="003C71EF"/>
    <w:rsid w:val="003F1099"/>
    <w:rsid w:val="003F6C42"/>
    <w:rsid w:val="0042493B"/>
    <w:rsid w:val="004402F1"/>
    <w:rsid w:val="00476F65"/>
    <w:rsid w:val="00483CC2"/>
    <w:rsid w:val="00486940"/>
    <w:rsid w:val="004F64BF"/>
    <w:rsid w:val="005360A6"/>
    <w:rsid w:val="00556268"/>
    <w:rsid w:val="00565A19"/>
    <w:rsid w:val="0057777C"/>
    <w:rsid w:val="00577EF5"/>
    <w:rsid w:val="0058611E"/>
    <w:rsid w:val="006578A9"/>
    <w:rsid w:val="00662EDF"/>
    <w:rsid w:val="00683EB6"/>
    <w:rsid w:val="006C0815"/>
    <w:rsid w:val="006C2D79"/>
    <w:rsid w:val="006C5A41"/>
    <w:rsid w:val="006D23CB"/>
    <w:rsid w:val="006D7B94"/>
    <w:rsid w:val="006D7C11"/>
    <w:rsid w:val="00700289"/>
    <w:rsid w:val="00712EAC"/>
    <w:rsid w:val="00726DA4"/>
    <w:rsid w:val="00737F65"/>
    <w:rsid w:val="00757BAD"/>
    <w:rsid w:val="007E1312"/>
    <w:rsid w:val="007F391C"/>
    <w:rsid w:val="00806320"/>
    <w:rsid w:val="00806696"/>
    <w:rsid w:val="008830DD"/>
    <w:rsid w:val="008A581E"/>
    <w:rsid w:val="008A5DF3"/>
    <w:rsid w:val="008D2147"/>
    <w:rsid w:val="008E421B"/>
    <w:rsid w:val="00952BD5"/>
    <w:rsid w:val="009E5BCA"/>
    <w:rsid w:val="00A47A55"/>
    <w:rsid w:val="00A47CF8"/>
    <w:rsid w:val="00A941EB"/>
    <w:rsid w:val="00AA7ED9"/>
    <w:rsid w:val="00AC4F3F"/>
    <w:rsid w:val="00AD572B"/>
    <w:rsid w:val="00B1641F"/>
    <w:rsid w:val="00B305D0"/>
    <w:rsid w:val="00B54F22"/>
    <w:rsid w:val="00B5606B"/>
    <w:rsid w:val="00B86215"/>
    <w:rsid w:val="00BF4E7C"/>
    <w:rsid w:val="00C05142"/>
    <w:rsid w:val="00C20CE9"/>
    <w:rsid w:val="00C3785C"/>
    <w:rsid w:val="00CA5F63"/>
    <w:rsid w:val="00CC3055"/>
    <w:rsid w:val="00CD7B4B"/>
    <w:rsid w:val="00D92F05"/>
    <w:rsid w:val="00DA5305"/>
    <w:rsid w:val="00DE71E8"/>
    <w:rsid w:val="00E0568E"/>
    <w:rsid w:val="00E4061C"/>
    <w:rsid w:val="00E468AC"/>
    <w:rsid w:val="00E52543"/>
    <w:rsid w:val="00E751E8"/>
    <w:rsid w:val="00E928DB"/>
    <w:rsid w:val="00EA7890"/>
    <w:rsid w:val="00EB58AC"/>
    <w:rsid w:val="00EF5F91"/>
    <w:rsid w:val="00F6799D"/>
    <w:rsid w:val="00FE36EC"/>
    <w:rsid w:val="00FF50DB"/>
    <w:rsid w:val="07DB6956"/>
    <w:rsid w:val="097207C0"/>
    <w:rsid w:val="0CAE0268"/>
    <w:rsid w:val="0E17785A"/>
    <w:rsid w:val="0F581427"/>
    <w:rsid w:val="15C75C29"/>
    <w:rsid w:val="33F3699D"/>
    <w:rsid w:val="409911AC"/>
    <w:rsid w:val="455976C1"/>
    <w:rsid w:val="45795D9F"/>
    <w:rsid w:val="458853CA"/>
    <w:rsid w:val="47140B08"/>
    <w:rsid w:val="49922B33"/>
    <w:rsid w:val="4F8513FF"/>
    <w:rsid w:val="4F945A20"/>
    <w:rsid w:val="500A2FE5"/>
    <w:rsid w:val="500F11BF"/>
    <w:rsid w:val="567B15DE"/>
    <w:rsid w:val="6AA06288"/>
    <w:rsid w:val="6C9C675B"/>
    <w:rsid w:val="6EB30665"/>
    <w:rsid w:val="73B7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Paragraph"/>
    <w:basedOn w:val="1"/>
    <w:qFormat/>
    <w:uiPriority w:val="0"/>
    <w:pPr>
      <w:ind w:firstLine="561" w:firstLineChars="200"/>
      <w:jc w:val="left"/>
    </w:pPr>
    <w:rPr>
      <w:rFonts w:ascii="Times New Roman" w:hAnsi="Times New Roman" w:eastAsia="宋体" w:cs="Times New Roman"/>
      <w:kern w:val="0"/>
      <w:sz w:val="22"/>
      <w:szCs w:val="22"/>
    </w:rPr>
  </w:style>
  <w:style w:type="character" w:customStyle="1" w:styleId="8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Default"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957</Words>
  <Characters>1163</Characters>
  <Lines>7</Lines>
  <Paragraphs>2</Paragraphs>
  <TotalTime>12</TotalTime>
  <ScaleCrop>false</ScaleCrop>
  <LinksUpToDate>false</LinksUpToDate>
  <CharactersWithSpaces>1175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2019-07-29T07:55:00Z</dcterms:created>
  <dc:creator>onism丶</dc:creator>
  <cp:lastModifiedBy>HP</cp:lastModifiedBy>
  <dcterms:modified xsi:type="dcterms:W3CDTF">2022-11-17T02:20:14Z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934E082821E243A2840A0EAC1EACC560</vt:lpwstr>
  </property>
</Properties>
</file>