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color w:val="000000" w:themeColor="text1"/>
          <w:sz w:val="52"/>
          <w:szCs w:val="22"/>
          <w:u w:val="single"/>
          <w:lang w:val="en-US" w:eastAsia="zh-CN"/>
        </w:rPr>
      </w:pPr>
      <w:r>
        <w:rPr>
          <w:rFonts w:hint="eastAsia" w:ascii="微软雅黑" w:eastAsia="微软雅黑"/>
          <w:b/>
          <w:color w:val="000000" w:themeColor="text1"/>
          <w:sz w:val="52"/>
          <w:szCs w:val="22"/>
          <w:u w:val="single"/>
          <w:lang w:eastAsia="zh-CN"/>
        </w:rPr>
        <w:t>2022年改扩建项目仪表专业备品备件（EMERSON、P+F、YOKOGAWA、ROCKWELL品牌备件等）采购</w:t>
      </w:r>
      <w:r>
        <w:rPr>
          <w:rFonts w:hint="eastAsia" w:ascii="微软雅黑" w:eastAsia="微软雅黑"/>
          <w:b/>
          <w:color w:val="000000" w:themeColor="text1"/>
          <w:sz w:val="52"/>
          <w:szCs w:val="22"/>
          <w:u w:val="single"/>
          <w:lang w:val="en-US"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FHC-PTCG20221122002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福建福海创石油化工有限公司2022年改扩建项目仪表专业备品备件（EMERSON、P+F、YOKOGAWA、ROCKWELL品牌备件等）采购比选公告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w:t>
      </w:r>
      <w:r>
        <w:rPr>
          <w:rFonts w:hint="eastAsia"/>
          <w:color w:val="000000" w:themeColor="text1"/>
          <w:u w:val="single"/>
          <w:lang w:val="en-US" w:eastAsia="zh-CN"/>
        </w:rPr>
        <w:t>改扩建项目仪表专业备品备件采购项目</w:t>
      </w:r>
      <w:r>
        <w:rPr>
          <w:rFonts w:hint="eastAsia"/>
          <w:color w:val="000000" w:themeColor="text1"/>
          <w:u w:val="single"/>
          <w:lang w:eastAsia="zh-CN"/>
        </w:rPr>
        <w:t>（项目编号：FHC-PTCG20221122002）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福海创</w:t>
      </w:r>
      <w:r>
        <w:rPr>
          <w:rFonts w:hint="eastAsia"/>
          <w:sz w:val="24"/>
          <w:szCs w:val="24"/>
          <w:lang w:eastAsia="zh-CN"/>
        </w:rPr>
        <w:t>2022年改扩建项目仪表专业备品备件采购项目</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包1EMERSON备件、包2P+F备件、包3YOKOGAWA备件、包4ROCKWELL品牌备件等</w:t>
      </w:r>
      <w:r>
        <w:rPr>
          <w:rFonts w:hint="eastAsia"/>
          <w:color w:val="000000" w:themeColor="text1"/>
          <w:u w:val="none"/>
          <w:lang w:val="en-US" w:eastAsia="zh-CN"/>
        </w:rPr>
        <w:t>。</w:t>
      </w:r>
      <w:bookmarkStart w:id="1" w:name="_GoBack"/>
      <w:r>
        <w:rPr>
          <w:rFonts w:hint="eastAsia"/>
          <w:sz w:val="24"/>
          <w:szCs w:val="24"/>
          <w:lang w:eastAsia="zh-CN"/>
        </w:rPr>
        <w:t>参选人</w:t>
      </w:r>
      <w:r>
        <w:rPr>
          <w:rFonts w:hint="eastAsia"/>
          <w:sz w:val="24"/>
          <w:szCs w:val="24"/>
          <w:lang w:val="en-US" w:eastAsia="zh-CN"/>
        </w:rPr>
        <w:t>可参选一个或多个合同包，但</w:t>
      </w:r>
      <w:r>
        <w:rPr>
          <w:rFonts w:hint="eastAsia"/>
          <w:sz w:val="24"/>
          <w:szCs w:val="24"/>
          <w:lang w:eastAsia="zh-CN"/>
        </w:rPr>
        <w:t>必须对</w:t>
      </w:r>
      <w:r>
        <w:rPr>
          <w:rFonts w:hint="eastAsia"/>
          <w:sz w:val="24"/>
          <w:szCs w:val="24"/>
          <w:lang w:val="en-US" w:eastAsia="zh-CN"/>
        </w:rPr>
        <w:t>同一个</w:t>
      </w:r>
      <w:r>
        <w:rPr>
          <w:rFonts w:hint="eastAsia"/>
          <w:sz w:val="24"/>
          <w:szCs w:val="24"/>
          <w:lang w:eastAsia="zh-CN"/>
        </w:rPr>
        <w:t>合同包中的全部物资进行参选，不得仅对合同包中的部分物资进行参选，否则其比选文件将被拒绝。</w:t>
      </w:r>
      <w:bookmarkEnd w:id="1"/>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3.交货期要求：2023年3月20日前到货。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4.采购范围：详看附件采购清单。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5.预算控制价：包1EMERSON备件预算控制价80.8万元（含税）、包2P+F备件预算控制价16.31万元（含税）、包3YOKOGAWA备件预算控制价13.2万元、包4ROCKWELL品牌备件等预算控制价3.615万元（含税）。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至</w:t>
      </w:r>
      <w:r>
        <w:rPr>
          <w:rFonts w:hint="eastAsia"/>
          <w:color w:val="000000" w:themeColor="text1"/>
          <w:sz w:val="24"/>
          <w:szCs w:val="24"/>
          <w:lang w:val="en-US" w:eastAsia="zh-CN"/>
        </w:rPr>
        <w:t>12</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3000元，包3</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2600元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rPr>
          <w:rFonts w:hint="eastAsia"/>
          <w:lang w:eastAsia="zh-CN"/>
        </w:rPr>
        <w:t>邮编：363216</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福海创2022年改扩建项目仪表专业备品备件采购项目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3000元，包3</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2600元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80.8</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b/>
          <w:color w:val="FF0000"/>
          <w:lang w:val="en-US" w:eastAsia="zh-CN"/>
        </w:rPr>
        <w:t>包2</w:t>
      </w:r>
      <w:r>
        <w:rPr>
          <w:rFonts w:hint="eastAsia"/>
          <w:b/>
          <w:color w:val="FF0000"/>
          <w:lang w:eastAsia="zh-CN"/>
        </w:rPr>
        <w:t>设置最高控制价</w:t>
      </w:r>
      <w:r>
        <w:rPr>
          <w:rFonts w:hint="eastAsia"/>
          <w:b/>
          <w:color w:val="FF0000"/>
          <w:lang w:val="en-US" w:eastAsia="zh-CN"/>
        </w:rPr>
        <w:t>16.31万元（含税、包3</w:t>
      </w:r>
      <w:r>
        <w:rPr>
          <w:rFonts w:hint="eastAsia"/>
          <w:b/>
          <w:color w:val="FF0000"/>
          <w:lang w:eastAsia="zh-CN"/>
        </w:rPr>
        <w:t>设置最高控制价</w:t>
      </w:r>
      <w:r>
        <w:rPr>
          <w:rFonts w:hint="eastAsia"/>
          <w:b/>
          <w:color w:val="FF0000"/>
          <w:lang w:val="en-US" w:eastAsia="zh-CN"/>
        </w:rPr>
        <w:t>13.2万元（含税）、包4</w:t>
      </w:r>
      <w:r>
        <w:rPr>
          <w:rFonts w:hint="eastAsia"/>
          <w:b/>
          <w:color w:val="FF0000"/>
          <w:lang w:eastAsia="zh-CN"/>
        </w:rPr>
        <w:t>设置最高控制价</w:t>
      </w:r>
      <w:r>
        <w:rPr>
          <w:rFonts w:hint="eastAsia"/>
          <w:b/>
          <w:color w:val="FF0000"/>
          <w:lang w:val="en-US" w:eastAsia="zh-CN"/>
        </w:rPr>
        <w:t>3.615万元</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lang w:val="en-US" w:eastAsia="zh-CN"/>
              </w:rPr>
              <w:t>福建福海创石油化工有限公司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val="en-US" w:eastAsia="zh-CN"/>
        </w:rPr>
        <w:t>改扩建项目部仪表专业备品备件</w:t>
      </w:r>
      <w:r>
        <w:rPr>
          <w:rFonts w:hint="eastAsia" w:ascii="方正小标宋简体" w:hAnsi="方正小标宋简体" w:eastAsia="方正小标宋简体" w:cs="方正小标宋简体"/>
          <w:b/>
          <w:color w:val="FF0000"/>
          <w:sz w:val="44"/>
          <w:szCs w:val="44"/>
          <w:lang w:eastAsia="zh-CN"/>
        </w:rPr>
        <w:t>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w:t>
      </w:r>
      <w:r>
        <w:rPr>
          <w:rFonts w:hint="eastAsia" w:ascii="Times New Roman" w:hAnsi="ˎ̥"/>
          <w:color w:val="000000" w:themeColor="text1"/>
          <w:sz w:val="28"/>
          <w:szCs w:val="28"/>
          <w:u w:val="single"/>
          <w:lang w:eastAsia="zh-CN"/>
        </w:rPr>
        <w:t>福建福海创石油化工有限公司</w:t>
      </w:r>
      <w:r>
        <w:rPr>
          <w:rFonts w:hint="eastAsia" w:ascii="Times New Roman" w:hAnsi="ˎ̥"/>
          <w:color w:val="000000" w:themeColor="text1"/>
          <w:sz w:val="28"/>
          <w:szCs w:val="28"/>
          <w:u w:val="single"/>
          <w:lang w:val="en-US" w:eastAsia="zh-CN"/>
        </w:rPr>
        <w:t>改扩建项目部仪表专业包*******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040" w:firstLineChars="8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eastAsia="宋体"/>
          <w:sz w:val="24"/>
          <w:szCs w:val="24"/>
          <w:u w:val="none"/>
          <w:lang w:val="en-US" w:eastAsia="zh-CN"/>
        </w:rPr>
      </w:pPr>
      <w:r>
        <w:rPr>
          <w:rFonts w:hint="eastAsia" w:ascii="Times New Roman" w:hAnsi="Times New Roman"/>
          <w:sz w:val="24"/>
          <w:szCs w:val="24"/>
          <w:u w:val="none"/>
          <w:lang w:val="en-US" w:eastAsia="zh-CN"/>
        </w:rPr>
        <w:t>合同交货期：2023年3月20日前</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明细如附件</w:t>
      </w:r>
      <w:r>
        <w:rPr>
          <w:rFonts w:hint="eastAsia" w:ascii="Times New Roman" w:hAnsi="Times New Roman"/>
          <w:b/>
          <w:bCs/>
          <w:sz w:val="24"/>
          <w:szCs w:val="24"/>
          <w:lang w:eastAsia="zh-CN"/>
        </w:rPr>
        <w:t>。</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1967051"/>
    <w:rsid w:val="0367315B"/>
    <w:rsid w:val="04F6467F"/>
    <w:rsid w:val="052E194E"/>
    <w:rsid w:val="055A6556"/>
    <w:rsid w:val="05A9263C"/>
    <w:rsid w:val="061139E5"/>
    <w:rsid w:val="06F50B00"/>
    <w:rsid w:val="076E1278"/>
    <w:rsid w:val="08D1141D"/>
    <w:rsid w:val="094A7BA5"/>
    <w:rsid w:val="09610811"/>
    <w:rsid w:val="0AC16729"/>
    <w:rsid w:val="0B296DE2"/>
    <w:rsid w:val="0B4F0FFE"/>
    <w:rsid w:val="0C5F26F4"/>
    <w:rsid w:val="10294AA3"/>
    <w:rsid w:val="10791B1A"/>
    <w:rsid w:val="109B279F"/>
    <w:rsid w:val="10E40CA0"/>
    <w:rsid w:val="136130D9"/>
    <w:rsid w:val="13CE320B"/>
    <w:rsid w:val="158161EB"/>
    <w:rsid w:val="158E1ADE"/>
    <w:rsid w:val="18DD4F7E"/>
    <w:rsid w:val="195B58A2"/>
    <w:rsid w:val="19F253E3"/>
    <w:rsid w:val="1A3A6DF2"/>
    <w:rsid w:val="1C217EAF"/>
    <w:rsid w:val="1D2249F7"/>
    <w:rsid w:val="1DC9336B"/>
    <w:rsid w:val="1E085A14"/>
    <w:rsid w:val="1E251E88"/>
    <w:rsid w:val="1FF43DDB"/>
    <w:rsid w:val="21933AA2"/>
    <w:rsid w:val="228B0245"/>
    <w:rsid w:val="24DC0EEC"/>
    <w:rsid w:val="25BF356F"/>
    <w:rsid w:val="25DB0C2D"/>
    <w:rsid w:val="269469E7"/>
    <w:rsid w:val="269C5229"/>
    <w:rsid w:val="270310AF"/>
    <w:rsid w:val="29FC3B14"/>
    <w:rsid w:val="2AB021CB"/>
    <w:rsid w:val="2B11792E"/>
    <w:rsid w:val="2C9B48A1"/>
    <w:rsid w:val="2DE57862"/>
    <w:rsid w:val="2E605F69"/>
    <w:rsid w:val="2EF411A5"/>
    <w:rsid w:val="2FAE6D99"/>
    <w:rsid w:val="31C54755"/>
    <w:rsid w:val="320B25D2"/>
    <w:rsid w:val="3216608C"/>
    <w:rsid w:val="32E0343B"/>
    <w:rsid w:val="34CE14C6"/>
    <w:rsid w:val="34D84CEC"/>
    <w:rsid w:val="36D132D6"/>
    <w:rsid w:val="379B53C1"/>
    <w:rsid w:val="37AF5AB7"/>
    <w:rsid w:val="37F824E3"/>
    <w:rsid w:val="395A672D"/>
    <w:rsid w:val="3B1C3371"/>
    <w:rsid w:val="3B8C26AA"/>
    <w:rsid w:val="3CC23198"/>
    <w:rsid w:val="3DDF4815"/>
    <w:rsid w:val="3ED80D7C"/>
    <w:rsid w:val="3FB11C04"/>
    <w:rsid w:val="3FE669E5"/>
    <w:rsid w:val="40FD77F3"/>
    <w:rsid w:val="423D79BD"/>
    <w:rsid w:val="46595107"/>
    <w:rsid w:val="4ABC6375"/>
    <w:rsid w:val="4C3D436D"/>
    <w:rsid w:val="4D230D7C"/>
    <w:rsid w:val="4D7472E9"/>
    <w:rsid w:val="4F34472E"/>
    <w:rsid w:val="4F7033BA"/>
    <w:rsid w:val="4FB40925"/>
    <w:rsid w:val="50164A28"/>
    <w:rsid w:val="50F63E28"/>
    <w:rsid w:val="5221007F"/>
    <w:rsid w:val="52926B5A"/>
    <w:rsid w:val="545C5E51"/>
    <w:rsid w:val="5486175B"/>
    <w:rsid w:val="5604432E"/>
    <w:rsid w:val="566B2377"/>
    <w:rsid w:val="57667D24"/>
    <w:rsid w:val="57CE5BC3"/>
    <w:rsid w:val="586D6C9A"/>
    <w:rsid w:val="5AE1516A"/>
    <w:rsid w:val="5B6A3A79"/>
    <w:rsid w:val="5C1A5F7B"/>
    <w:rsid w:val="5C57586D"/>
    <w:rsid w:val="5EF92A9F"/>
    <w:rsid w:val="5F3F564B"/>
    <w:rsid w:val="645771F8"/>
    <w:rsid w:val="65304BCB"/>
    <w:rsid w:val="66FD5367"/>
    <w:rsid w:val="67B83C43"/>
    <w:rsid w:val="69CE6A8F"/>
    <w:rsid w:val="6A54112D"/>
    <w:rsid w:val="6AA035AE"/>
    <w:rsid w:val="6C64133F"/>
    <w:rsid w:val="6D7959E2"/>
    <w:rsid w:val="6E0F2E14"/>
    <w:rsid w:val="6EBB75BF"/>
    <w:rsid w:val="6F1E141D"/>
    <w:rsid w:val="6F5354F8"/>
    <w:rsid w:val="70504CBD"/>
    <w:rsid w:val="72DE4E13"/>
    <w:rsid w:val="73F3359E"/>
    <w:rsid w:val="740A2BDE"/>
    <w:rsid w:val="74793297"/>
    <w:rsid w:val="74B45F33"/>
    <w:rsid w:val="74EF2DE7"/>
    <w:rsid w:val="751839E0"/>
    <w:rsid w:val="75D56EB3"/>
    <w:rsid w:val="76274F93"/>
    <w:rsid w:val="79EB3F2F"/>
    <w:rsid w:val="7A442103"/>
    <w:rsid w:val="7B005883"/>
    <w:rsid w:val="7B11789E"/>
    <w:rsid w:val="7CBF3194"/>
    <w:rsid w:val="7D001ABF"/>
    <w:rsid w:val="7D1F33A6"/>
    <w:rsid w:val="7DA460CF"/>
    <w:rsid w:val="7DC76BB7"/>
    <w:rsid w:val="7DC94A0A"/>
    <w:rsid w:val="7E7E34E9"/>
    <w:rsid w:val="7FC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8737</Words>
  <Characters>9326</Characters>
  <Lines>81</Lines>
  <Paragraphs>23</Paragraphs>
  <TotalTime>2</TotalTime>
  <ScaleCrop>false</ScaleCrop>
  <LinksUpToDate>false</LinksUpToDate>
  <CharactersWithSpaces>10171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2022-12-04T14:49:42Z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