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pStyle w:val="2"/>
        <w:rPr>
          <w:sz w:val="36"/>
          <w:szCs w:val="36"/>
        </w:rPr>
      </w:pPr>
    </w:p>
    <w:p>
      <w:pPr>
        <w:jc w:val="center"/>
        <w:rPr>
          <w:rFonts w:ascii="微软雅黑" w:eastAsia="微软雅黑"/>
          <w:b/>
          <w:sz w:val="36"/>
          <w:szCs w:val="36"/>
          <w:lang w:eastAsia="zh-CN"/>
        </w:rPr>
      </w:pPr>
      <w:r>
        <w:rPr>
          <w:rFonts w:ascii="微软雅黑" w:eastAsia="微软雅黑"/>
          <w:b/>
          <w:sz w:val="36"/>
          <w:szCs w:val="36"/>
          <w:lang w:eastAsia="zh-CN"/>
        </w:rPr>
        <w:t>热电厂4×670t/h锅炉烟气脱硝</w:t>
      </w: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还原剂</w:t>
      </w:r>
      <w:r>
        <w:rPr>
          <w:rFonts w:ascii="微软雅黑" w:eastAsia="微软雅黑"/>
          <w:b/>
          <w:sz w:val="36"/>
          <w:szCs w:val="36"/>
          <w:lang w:eastAsia="zh-CN"/>
        </w:rPr>
        <w:t>液氨改尿素项目可行性研究报告</w:t>
      </w:r>
      <w:r>
        <w:rPr>
          <w:rFonts w:hint="eastAsia" w:ascii="微软雅黑" w:eastAsia="微软雅黑"/>
          <w:b/>
          <w:sz w:val="36"/>
          <w:szCs w:val="36"/>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rFonts w:hint="eastAsia"/>
          <w:sz w:val="28"/>
          <w:szCs w:val="28"/>
          <w:u w:val="single"/>
          <w:shd w:val="clear" w:color="auto" w:fill="FFFFFF"/>
        </w:rPr>
        <w:t>FHC-PTCG20221215002</w:t>
      </w:r>
      <w:r>
        <w:rPr>
          <w:rFonts w:hint="eastAsia"/>
          <w:sz w:val="28"/>
          <w:szCs w:val="28"/>
          <w:u w:val="single"/>
        </w:rPr>
        <w:t xml:space="preserve"> </w:t>
      </w:r>
      <w:r>
        <w:rPr>
          <w:rFonts w:hint="eastAsia"/>
          <w:sz w:val="28"/>
          <w:szCs w:val="28"/>
        </w:rPr>
        <w:t>）</w:t>
      </w:r>
    </w:p>
    <w:p>
      <w:pPr>
        <w:pStyle w:val="8"/>
        <w:rPr>
          <w:rFonts w:ascii="微软雅黑"/>
          <w:b/>
          <w:sz w:val="94"/>
          <w:lang w:eastAsia="zh-CN"/>
        </w:rPr>
      </w:pPr>
    </w:p>
    <w:p>
      <w:pPr>
        <w:pStyle w:val="8"/>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w:t>
      </w:r>
      <w:r>
        <w:rPr>
          <w:rFonts w:ascii="微软雅黑" w:eastAsia="微软雅黑"/>
          <w:b/>
          <w:w w:val="95"/>
          <w:sz w:val="32"/>
          <w:lang w:eastAsia="zh-CN"/>
        </w:rPr>
        <w:t>2</w:t>
      </w:r>
      <w:r>
        <w:rPr>
          <w:rFonts w:hint="eastAsia" w:ascii="微软雅黑" w:eastAsia="微软雅黑"/>
          <w:b/>
          <w:w w:val="95"/>
          <w:sz w:val="32"/>
          <w:lang w:eastAsia="zh-CN"/>
        </w:rPr>
        <w:t xml:space="preserve"> 年 </w:t>
      </w:r>
      <w:r>
        <w:rPr>
          <w:rFonts w:ascii="微软雅黑" w:eastAsia="微软雅黑"/>
          <w:b/>
          <w:w w:val="95"/>
          <w:sz w:val="32"/>
          <w:lang w:eastAsia="zh-CN"/>
        </w:rPr>
        <w:t>12</w:t>
      </w:r>
      <w:r>
        <w:rPr>
          <w:rFonts w:hint="eastAsia" w:ascii="微软雅黑" w:eastAsia="微软雅黑"/>
          <w:b/>
          <w:w w:val="95"/>
          <w:sz w:val="32"/>
          <w:lang w:eastAsia="zh-CN"/>
        </w:rPr>
        <w:t xml:space="preserve">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ind w:firstLine="630" w:firstLineChars="225"/>
        <w:rPr>
          <w:color w:val="000000"/>
          <w:sz w:val="28"/>
          <w:szCs w:val="28"/>
          <w:lang w:eastAsia="zh-CN"/>
        </w:rPr>
      </w:pPr>
      <w:r>
        <w:rPr>
          <w:rFonts w:hint="eastAsia"/>
          <w:color w:val="000000"/>
          <w:sz w:val="28"/>
          <w:szCs w:val="28"/>
          <w:lang w:eastAsia="zh-CN"/>
        </w:rPr>
        <w:t>附件二：参选文件格式</w:t>
      </w:r>
    </w:p>
    <w:p>
      <w:pPr>
        <w:ind w:left="360" w:firstLine="560" w:firstLineChars="200"/>
        <w:rPr>
          <w:sz w:val="28"/>
          <w:szCs w:val="28"/>
          <w:lang w:eastAsia="zh-CN"/>
        </w:rPr>
      </w:pPr>
      <w:r>
        <w:rPr>
          <w:rFonts w:hint="eastAsia"/>
          <w:sz w:val="28"/>
          <w:szCs w:val="28"/>
          <w:lang w:eastAsia="zh-CN"/>
        </w:rPr>
        <w:t>附件1：参选单位企业概况</w:t>
      </w:r>
    </w:p>
    <w:p>
      <w:pPr>
        <w:ind w:left="360" w:firstLine="560" w:firstLineChars="200"/>
        <w:rPr>
          <w:color w:val="000000"/>
          <w:sz w:val="28"/>
          <w:szCs w:val="28"/>
          <w:lang w:eastAsia="zh-CN"/>
        </w:rPr>
      </w:pPr>
      <w:r>
        <w:rPr>
          <w:rFonts w:hint="eastAsia"/>
          <w:color w:val="000000"/>
          <w:sz w:val="28"/>
          <w:szCs w:val="28"/>
          <w:lang w:eastAsia="zh-CN"/>
        </w:rPr>
        <w:t>附件2：参选书</w:t>
      </w:r>
    </w:p>
    <w:p>
      <w:pPr>
        <w:ind w:left="360" w:firstLine="560" w:firstLineChars="200"/>
        <w:rPr>
          <w:sz w:val="28"/>
          <w:szCs w:val="28"/>
          <w:lang w:eastAsia="zh-CN"/>
        </w:rPr>
      </w:pPr>
      <w:r>
        <w:rPr>
          <w:rFonts w:hint="eastAsia"/>
          <w:color w:val="000000"/>
          <w:sz w:val="28"/>
          <w:szCs w:val="28"/>
          <w:lang w:eastAsia="zh-CN"/>
        </w:rPr>
        <w:t>附件3：法定代表人授权委托书</w:t>
      </w:r>
    </w:p>
    <w:p>
      <w:pPr>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ind w:firstLine="980" w:firstLineChars="350"/>
        <w:rPr>
          <w:color w:val="000000"/>
          <w:sz w:val="28"/>
          <w:szCs w:val="28"/>
          <w:lang w:eastAsia="zh-CN"/>
        </w:rPr>
      </w:pPr>
      <w:r>
        <w:rPr>
          <w:rFonts w:hint="eastAsia"/>
          <w:color w:val="000000"/>
          <w:sz w:val="28"/>
          <w:szCs w:val="28"/>
          <w:lang w:eastAsia="zh-CN"/>
        </w:rPr>
        <w:t>附件5：技术方案书</w:t>
      </w:r>
    </w:p>
    <w:p>
      <w:pPr>
        <w:spacing w:line="408" w:lineRule="auto"/>
        <w:ind w:left="220" w:leftChars="100" w:right="103"/>
        <w:rPr>
          <w:sz w:val="28"/>
          <w:lang w:eastAsia="zh-CN"/>
        </w:rPr>
      </w:pPr>
      <w:r>
        <w:rPr>
          <w:rFonts w:hint="eastAsia"/>
          <w:sz w:val="28"/>
          <w:szCs w:val="28"/>
          <w:lang w:eastAsia="zh-CN"/>
        </w:rPr>
        <w:t xml:space="preserve">     附件6：</w:t>
      </w:r>
      <w:r>
        <w:rPr>
          <w:rFonts w:hint="eastAsia"/>
          <w:color w:val="000000"/>
          <w:sz w:val="28"/>
          <w:szCs w:val="28"/>
          <w:lang w:eastAsia="zh-CN"/>
        </w:rPr>
        <w:t>报价单</w:t>
      </w:r>
    </w:p>
    <w:p>
      <w:pPr>
        <w:spacing w:line="408" w:lineRule="auto"/>
        <w:rPr>
          <w:sz w:val="28"/>
          <w:lang w:eastAsia="zh-CN"/>
        </w:rPr>
        <w:sectPr>
          <w:footerReference r:id="rId5" w:type="default"/>
          <w:pgSz w:w="11910" w:h="16840"/>
          <w:pgMar w:top="1480" w:right="1340" w:bottom="740" w:left="1680" w:header="0" w:footer="551" w:gutter="0"/>
          <w:pgNumType w:start="1"/>
          <w:cols w:space="720" w:num="1"/>
        </w:sectPr>
      </w:pPr>
    </w:p>
    <w:p>
      <w:pPr>
        <w:tabs>
          <w:tab w:val="left" w:pos="1272"/>
        </w:tabs>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ind w:firstLine="480" w:firstLineChars="200"/>
        <w:rPr>
          <w:rFonts w:ascii="微软雅黑" w:eastAsia="微软雅黑"/>
          <w:sz w:val="24"/>
          <w:szCs w:val="24"/>
          <w:lang w:eastAsia="zh-CN"/>
        </w:rPr>
      </w:pPr>
      <w:r>
        <w:rPr>
          <w:sz w:val="24"/>
          <w:szCs w:val="24"/>
          <w:lang w:eastAsia="zh-CN"/>
        </w:rPr>
        <w:t>福建福海创石油化工有限公司拟对本公司</w:t>
      </w:r>
      <w:r>
        <w:rPr>
          <w:rFonts w:asciiTheme="majorEastAsia" w:hAnsiTheme="majorEastAsia" w:eastAsiaTheme="majorEastAsia"/>
          <w:sz w:val="24"/>
          <w:szCs w:val="24"/>
          <w:lang w:eastAsia="zh-CN"/>
        </w:rPr>
        <w:t>热电厂4×670t/h锅炉烟气脱硝</w:t>
      </w:r>
      <w:r>
        <w:rPr>
          <w:rFonts w:hint="eastAsia" w:asciiTheme="majorEastAsia" w:hAnsiTheme="majorEastAsia" w:eastAsiaTheme="majorEastAsia"/>
          <w:sz w:val="24"/>
          <w:szCs w:val="24"/>
          <w:lang w:eastAsia="zh-CN"/>
        </w:rPr>
        <w:t>还原剂</w:t>
      </w:r>
      <w:r>
        <w:rPr>
          <w:rFonts w:asciiTheme="majorEastAsia" w:hAnsiTheme="majorEastAsia" w:eastAsiaTheme="majorEastAsia"/>
          <w:sz w:val="24"/>
          <w:szCs w:val="24"/>
          <w:lang w:eastAsia="zh-CN"/>
        </w:rPr>
        <w:t>液氨改尿素项目可行性研究报告</w:t>
      </w:r>
      <w:r>
        <w:rPr>
          <w:rFonts w:hint="eastAsia" w:asciiTheme="majorEastAsia" w:hAnsiTheme="majorEastAsia" w:eastAsiaTheme="majorEastAsia"/>
          <w:sz w:val="24"/>
          <w:szCs w:val="24"/>
          <w:lang w:eastAsia="zh-CN"/>
        </w:rPr>
        <w:t>项目</w:t>
      </w:r>
      <w:r>
        <w:rPr>
          <w:sz w:val="24"/>
          <w:szCs w:val="24"/>
          <w:lang w:eastAsia="zh-CN"/>
        </w:rPr>
        <w:t>进行公开比选。为了“公开、公平、公正、透明”，引导参选人进行正确参选，特制定本规定文件。福建福海创石油化工有限公司承诺本次自主比选不存在任何障碍，保证本公告内容不存在任何重大遗漏、虚假陈述或严重误导，并对其内容的真实性、完整性和有效性负责。</w:t>
      </w:r>
    </w:p>
    <w:p>
      <w:pPr>
        <w:autoSpaceDE/>
        <w:autoSpaceDN/>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asciiTheme="majorEastAsia" w:hAnsiTheme="majorEastAsia" w:eastAsiaTheme="majorEastAsia"/>
          <w:sz w:val="24"/>
          <w:szCs w:val="24"/>
          <w:lang w:eastAsia="zh-CN"/>
        </w:rPr>
        <w:t>热电厂4×670t/h锅炉烟气脱硝</w:t>
      </w:r>
      <w:r>
        <w:rPr>
          <w:rFonts w:hint="eastAsia" w:asciiTheme="majorEastAsia" w:hAnsiTheme="majorEastAsia" w:eastAsiaTheme="majorEastAsia"/>
          <w:sz w:val="24"/>
          <w:szCs w:val="24"/>
          <w:lang w:eastAsia="zh-CN"/>
        </w:rPr>
        <w:t>还原剂</w:t>
      </w:r>
      <w:r>
        <w:rPr>
          <w:rFonts w:asciiTheme="majorEastAsia" w:hAnsiTheme="majorEastAsia" w:eastAsiaTheme="majorEastAsia"/>
          <w:sz w:val="24"/>
          <w:szCs w:val="24"/>
          <w:lang w:eastAsia="zh-CN"/>
        </w:rPr>
        <w:t>液氨改尿素项目可行性研究报告</w:t>
      </w:r>
    </w:p>
    <w:p>
      <w:pPr>
        <w:ind w:firstLine="480" w:firstLineChars="200"/>
        <w:rPr>
          <w:rFonts w:asciiTheme="minorEastAsia" w:hAnsiTheme="minorEastAsia" w:eastAsiaTheme="minorEastAsia"/>
          <w:color w:val="000000"/>
          <w:sz w:val="24"/>
          <w:lang w:eastAsia="zh-CN"/>
        </w:rPr>
      </w:pPr>
      <w:r>
        <w:rPr>
          <w:rFonts w:hint="eastAsia" w:asciiTheme="majorEastAsia" w:hAnsiTheme="majorEastAsia" w:eastAsiaTheme="majorEastAsia"/>
          <w:bCs/>
          <w:sz w:val="24"/>
          <w:szCs w:val="24"/>
          <w:lang w:eastAsia="zh-CN"/>
        </w:rPr>
        <w:t>2. 项目简要说明：</w:t>
      </w:r>
      <w:r>
        <w:rPr>
          <w:rFonts w:hint="eastAsia" w:asciiTheme="minorEastAsia" w:hAnsiTheme="minorEastAsia" w:eastAsiaTheme="minorEastAsia"/>
          <w:color w:val="000000"/>
          <w:sz w:val="24"/>
          <w:lang w:eastAsia="zh-CN"/>
        </w:rPr>
        <w:t>通过对现有脱硝系统及设备资料的收集及现场</w:t>
      </w:r>
      <w:bookmarkStart w:id="16" w:name="_GoBack"/>
      <w:bookmarkEnd w:id="16"/>
      <w:r>
        <w:rPr>
          <w:rFonts w:hint="eastAsia" w:asciiTheme="minorEastAsia" w:hAnsiTheme="minorEastAsia" w:eastAsiaTheme="minorEastAsia"/>
          <w:color w:val="000000"/>
          <w:sz w:val="24"/>
          <w:lang w:eastAsia="zh-CN"/>
        </w:rPr>
        <w:t>实地勘查，编制</w:t>
      </w:r>
      <w:r>
        <w:rPr>
          <w:rFonts w:asciiTheme="minorEastAsia" w:hAnsiTheme="minorEastAsia" w:eastAsiaTheme="minorEastAsia"/>
          <w:color w:val="000000"/>
          <w:sz w:val="24"/>
          <w:lang w:eastAsia="zh-CN"/>
        </w:rPr>
        <w:t>热电厂4×670t/h锅炉烟气脱硝</w:t>
      </w:r>
      <w:r>
        <w:rPr>
          <w:rFonts w:hint="eastAsia" w:asciiTheme="minorEastAsia" w:hAnsiTheme="minorEastAsia" w:eastAsiaTheme="minorEastAsia"/>
          <w:color w:val="000000"/>
          <w:sz w:val="24"/>
          <w:lang w:eastAsia="zh-CN"/>
        </w:rPr>
        <w:t>还原剂液氨改尿素工程可行性研究报告、项目申请报告、工程招标技术规范书修编</w:t>
      </w:r>
      <w:r>
        <w:rPr>
          <w:rFonts w:hint="eastAsia" w:ascii="Times New Roman" w:hAnsi="Times New Roman"/>
          <w:sz w:val="24"/>
          <w:szCs w:val="24"/>
          <w:lang w:eastAsia="zh-CN"/>
        </w:rPr>
        <w:t>工作。</w:t>
      </w:r>
    </w:p>
    <w:p>
      <w:pPr>
        <w:pStyle w:val="4"/>
        <w:ind w:left="0" w:firstLine="480" w:firstLineChars="200"/>
        <w:rPr>
          <w:lang w:eastAsia="zh-CN"/>
        </w:rPr>
      </w:pPr>
      <w:r>
        <w:rPr>
          <w:rFonts w:hint="eastAsia" w:asciiTheme="majorEastAsia" w:hAnsiTheme="majorEastAsia" w:eastAsiaTheme="majorEastAsia"/>
          <w:b w:val="0"/>
          <w:lang w:eastAsia="zh-CN"/>
        </w:rPr>
        <w:t>3. 比选控制价：</w:t>
      </w:r>
      <w:r>
        <w:rPr>
          <w:rFonts w:asciiTheme="majorEastAsia" w:hAnsiTheme="majorEastAsia" w:eastAsiaTheme="majorEastAsia"/>
          <w:b w:val="0"/>
          <w:lang w:eastAsia="zh-CN"/>
        </w:rPr>
        <w:t>25</w:t>
      </w:r>
      <w:r>
        <w:rPr>
          <w:rFonts w:hint="eastAsia" w:asciiTheme="majorEastAsia" w:hAnsiTheme="majorEastAsia" w:eastAsiaTheme="majorEastAsia"/>
          <w:b w:val="0"/>
          <w:lang w:eastAsia="zh-CN"/>
        </w:rPr>
        <w:t>万元</w:t>
      </w:r>
    </w:p>
    <w:p>
      <w:pPr>
        <w:pStyle w:val="4"/>
        <w:spacing w:before="24"/>
        <w:ind w:left="0" w:firstLine="359" w:firstLineChars="149"/>
        <w:rPr>
          <w:lang w:eastAsia="zh-CN"/>
        </w:rPr>
      </w:pPr>
      <w:r>
        <w:rPr>
          <w:rFonts w:hint="eastAsia"/>
          <w:lang w:eastAsia="zh-CN"/>
        </w:rPr>
        <w:t>二</w:t>
      </w:r>
      <w:r>
        <w:rPr>
          <w:lang w:eastAsia="zh-CN"/>
        </w:rPr>
        <w:t>、参选人资格要求：</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w:t>
      </w:r>
      <w:r>
        <w:rPr>
          <w:rFonts w:hint="eastAsia" w:asciiTheme="minorEastAsia" w:hAnsiTheme="minorEastAsia" w:eastAsiaTheme="minorEastAsia"/>
          <w:sz w:val="24"/>
          <w:lang w:eastAsia="zh-CN"/>
        </w:rPr>
        <w:t>具备工程咨询单位乙级及以上资信资质</w:t>
      </w:r>
      <w:r>
        <w:rPr>
          <w:rFonts w:hint="eastAsia" w:asciiTheme="minorEastAsia" w:hAnsiTheme="minorEastAsia" w:eastAsiaTheme="minorEastAsia"/>
          <w:sz w:val="24"/>
          <w:szCs w:val="24"/>
          <w:lang w:eastAsia="zh-CN"/>
        </w:rPr>
        <w:t>，业务范围包括电力行业或者包括生态建设和环境工程</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 xml:space="preserve">3. </w:t>
      </w:r>
      <w:r>
        <w:rPr>
          <w:rFonts w:hint="eastAsia" w:asciiTheme="minorEastAsia" w:hAnsiTheme="minorEastAsia" w:eastAsiaTheme="minorEastAsia"/>
          <w:sz w:val="24"/>
          <w:lang w:eastAsia="zh-CN"/>
        </w:rPr>
        <w:t>近3年内具备至少</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个同等及以上级别机组脱硝还原剂液氨改尿素可行性研究报告编制业绩记录</w:t>
      </w:r>
      <w:r>
        <w:rPr>
          <w:rFonts w:hint="eastAsia"/>
          <w:sz w:val="24"/>
          <w:szCs w:val="24"/>
          <w:lang w:eastAsia="zh-CN"/>
        </w:rPr>
        <w:t>；</w:t>
      </w:r>
    </w:p>
    <w:p>
      <w:pPr>
        <w:pStyle w:val="2"/>
        <w:spacing w:line="360" w:lineRule="auto"/>
        <w:ind w:firstLine="465"/>
        <w:rPr>
          <w:sz w:val="24"/>
          <w:szCs w:val="24"/>
        </w:rPr>
      </w:pPr>
      <w:r>
        <w:rPr>
          <w:rFonts w:hint="eastAsia"/>
          <w:sz w:val="24"/>
          <w:szCs w:val="24"/>
        </w:rPr>
        <w:t xml:space="preserve">4. </w:t>
      </w:r>
      <w:r>
        <w:rPr>
          <w:rFonts w:hint="eastAsia" w:hAnsi="宋体"/>
          <w:sz w:val="24"/>
        </w:rPr>
        <w:t>近三年内无</w:t>
      </w:r>
      <w:r>
        <w:rPr>
          <w:rFonts w:hint="eastAsia" w:asciiTheme="minorEastAsia" w:hAnsiTheme="minorEastAsia" w:eastAsiaTheme="minorEastAsia"/>
          <w:sz w:val="24"/>
        </w:rPr>
        <w:t>可行性研究</w:t>
      </w:r>
      <w:r>
        <w:rPr>
          <w:rFonts w:hint="eastAsia" w:hAnsi="宋体"/>
          <w:sz w:val="24"/>
        </w:rPr>
        <w:t>质量事故，无被相关行政部门处罚记录</w:t>
      </w:r>
      <w:r>
        <w:rPr>
          <w:rFonts w:hint="eastAsia"/>
          <w:sz w:val="24"/>
          <w:szCs w:val="24"/>
        </w:rPr>
        <w:t>；</w:t>
      </w:r>
    </w:p>
    <w:p>
      <w:pPr>
        <w:pStyle w:val="2"/>
        <w:spacing w:line="360" w:lineRule="auto"/>
        <w:ind w:firstLine="465"/>
        <w:rPr>
          <w:sz w:val="24"/>
          <w:szCs w:val="24"/>
        </w:rPr>
      </w:pPr>
      <w:r>
        <w:rPr>
          <w:rFonts w:hint="eastAsia"/>
          <w:sz w:val="24"/>
          <w:szCs w:val="24"/>
        </w:rPr>
        <w:t xml:space="preserve">5. </w:t>
      </w:r>
      <w:r>
        <w:rPr>
          <w:rFonts w:hint="eastAsia" w:hAnsi="宋体"/>
          <w:sz w:val="24"/>
        </w:rPr>
        <w:t>参选方应</w:t>
      </w:r>
      <w:r>
        <w:rPr>
          <w:rFonts w:hint="eastAsia" w:asciiTheme="minorEastAsia" w:hAnsiTheme="minorEastAsia" w:eastAsiaTheme="minorEastAsia"/>
          <w:sz w:val="24"/>
        </w:rPr>
        <w:t>提供相关可行性研究业绩</w:t>
      </w:r>
      <w:r>
        <w:rPr>
          <w:rFonts w:hint="eastAsia" w:hAnsi="宋体"/>
          <w:sz w:val="24"/>
        </w:rPr>
        <w:t>；</w:t>
      </w:r>
    </w:p>
    <w:p>
      <w:pPr>
        <w:pStyle w:val="2"/>
        <w:spacing w:line="360" w:lineRule="auto"/>
        <w:ind w:firstLine="465"/>
        <w:rPr>
          <w:sz w:val="24"/>
          <w:szCs w:val="24"/>
        </w:rPr>
      </w:pPr>
      <w:r>
        <w:rPr>
          <w:rFonts w:hint="eastAsia"/>
          <w:sz w:val="24"/>
          <w:szCs w:val="24"/>
        </w:rPr>
        <w:t xml:space="preserve">6. </w:t>
      </w:r>
      <w:r>
        <w:rPr>
          <w:rFonts w:asciiTheme="majorEastAsia" w:hAnsiTheme="majorEastAsia" w:eastAsiaTheme="majorEastAsia"/>
          <w:sz w:val="24"/>
          <w:szCs w:val="24"/>
        </w:rPr>
        <w:t>没有失信黑名单记录（以最高院失信被执行人系统发布信息为准）</w:t>
      </w:r>
    </w:p>
    <w:p>
      <w:pPr>
        <w:widowControl/>
        <w:autoSpaceDE/>
        <w:autoSpaceDN/>
        <w:ind w:firstLine="480" w:firstLineChars="200"/>
        <w:jc w:val="both"/>
        <w:rPr>
          <w:rFonts w:asciiTheme="majorEastAsia" w:hAnsiTheme="majorEastAsia" w:eastAsiaTheme="majorEastAsia"/>
          <w:sz w:val="24"/>
          <w:szCs w:val="24"/>
          <w:lang w:eastAsia="zh-CN"/>
        </w:rPr>
      </w:pPr>
      <w:r>
        <w:rPr>
          <w:rFonts w:hint="eastAsia"/>
          <w:sz w:val="24"/>
          <w:szCs w:val="24"/>
          <w:lang w:eastAsia="zh-CN"/>
        </w:rPr>
        <w:t>7.</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65"/>
        <w:rPr>
          <w:sz w:val="24"/>
          <w:szCs w:val="24"/>
        </w:rPr>
      </w:pPr>
      <w:r>
        <w:rPr>
          <w:rFonts w:hint="eastAsia" w:asciiTheme="majorEastAsia" w:hAnsiTheme="majorEastAsia" w:eastAsiaTheme="majorEastAsia"/>
          <w:sz w:val="24"/>
          <w:szCs w:val="24"/>
        </w:rPr>
        <w:t xml:space="preserve">8. </w:t>
      </w:r>
      <w:r>
        <w:rPr>
          <w:rFonts w:hint="eastAsia"/>
          <w:sz w:val="24"/>
          <w:szCs w:val="24"/>
        </w:rPr>
        <w:t>本项目不接受联合体参选，不允许分包。</w:t>
      </w:r>
    </w:p>
    <w:p>
      <w:pPr>
        <w:pStyle w:val="35"/>
        <w:autoSpaceDE/>
        <w:autoSpaceDN/>
        <w:spacing w:before="0"/>
        <w:ind w:left="119" w:leftChars="54" w:firstLine="378" w:firstLineChars="147"/>
        <w:jc w:val="both"/>
        <w:rPr>
          <w:rFonts w:asciiTheme="majorEastAsia" w:hAnsiTheme="majorEastAsia" w:eastAsiaTheme="majorEastAsia"/>
          <w:b/>
          <w:bCs/>
          <w:sz w:val="24"/>
          <w:szCs w:val="24"/>
          <w:lang w:eastAsia="zh-CN"/>
        </w:rPr>
      </w:pPr>
      <w:r>
        <w:rPr>
          <w:rFonts w:hint="eastAsia"/>
          <w:b/>
          <w:snapToGrid w:val="0"/>
          <w:spacing w:val="8"/>
          <w:sz w:val="24"/>
          <w:szCs w:val="24"/>
          <w:lang w:eastAsia="zh-CN"/>
        </w:rPr>
        <w:t>三、</w:t>
      </w:r>
      <w:r>
        <w:rPr>
          <w:rFonts w:hint="eastAsia" w:asciiTheme="majorEastAsia" w:hAnsiTheme="majorEastAsia" w:eastAsiaTheme="majorEastAsia"/>
          <w:b/>
          <w:bCs/>
          <w:sz w:val="24"/>
          <w:szCs w:val="24"/>
          <w:lang w:eastAsia="zh-CN"/>
        </w:rPr>
        <w:t>报名要求</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年</w:t>
      </w:r>
      <w:r>
        <w:rPr>
          <w:rFonts w:asciiTheme="majorEastAsia" w:hAnsiTheme="majorEastAsia" w:eastAsiaTheme="majorEastAsia"/>
          <w:sz w:val="24"/>
          <w:szCs w:val="24"/>
          <w:lang w:eastAsia="zh-CN"/>
        </w:rPr>
        <w:t>12</w:t>
      </w:r>
      <w:r>
        <w:rPr>
          <w:rFonts w:hint="eastAsia" w:asciiTheme="majorEastAsia" w:hAnsiTheme="majorEastAsia" w:eastAsiaTheme="majorEastAsia"/>
          <w:sz w:val="24"/>
          <w:szCs w:val="24"/>
          <w:lang w:eastAsia="zh-CN"/>
        </w:rPr>
        <w:t>月</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lang w:eastAsia="zh-CN"/>
        </w:rPr>
        <w:t>日至2</w:t>
      </w:r>
      <w:r>
        <w:rPr>
          <w:rFonts w:asciiTheme="majorEastAsia" w:hAnsiTheme="majorEastAsia" w:eastAsiaTheme="majorEastAsia"/>
          <w:sz w:val="24"/>
          <w:szCs w:val="24"/>
          <w:lang w:eastAsia="zh-CN"/>
        </w:rPr>
        <w:t>023年</w:t>
      </w:r>
      <w:r>
        <w:rPr>
          <w:rFonts w:hint="eastAsia" w:asciiTheme="majorEastAsia" w:hAnsiTheme="majorEastAsia" w:eastAsiaTheme="majorEastAsia"/>
          <w:sz w:val="24"/>
          <w:szCs w:val="24"/>
          <w:lang w:eastAsia="zh-CN"/>
        </w:rPr>
        <w:t>0</w:t>
      </w:r>
      <w:r>
        <w:rPr>
          <w:rFonts w:asciiTheme="majorEastAsia" w:hAnsiTheme="majorEastAsia" w:eastAsiaTheme="majorEastAsia"/>
          <w:sz w:val="24"/>
          <w:szCs w:val="24"/>
          <w:lang w:eastAsia="zh-CN"/>
        </w:rPr>
        <w:t>1月</w:t>
      </w:r>
      <w:r>
        <w:rPr>
          <w:rFonts w:hint="eastAsia" w:asciiTheme="majorEastAsia" w:hAnsiTheme="majorEastAsia" w:eastAsiaTheme="majorEastAsia"/>
          <w:sz w:val="24"/>
          <w:szCs w:val="24"/>
          <w:lang w:eastAsia="zh-CN"/>
        </w:rPr>
        <w:t>0</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日（共</w:t>
      </w:r>
      <w:r>
        <w:rPr>
          <w:rFonts w:asciiTheme="majorEastAsia" w:hAnsiTheme="majorEastAsia" w:eastAsiaTheme="majorEastAsia"/>
          <w:sz w:val="24"/>
          <w:szCs w:val="24"/>
          <w:lang w:eastAsia="zh-CN"/>
        </w:rPr>
        <w:t>10</w:t>
      </w:r>
      <w:r>
        <w:rPr>
          <w:rFonts w:hint="eastAsia" w:asciiTheme="majorEastAsia" w:hAnsiTheme="majorEastAsia" w:eastAsiaTheme="majorEastAsia"/>
          <w:sz w:val="24"/>
          <w:szCs w:val="24"/>
          <w:lang w:eastAsia="zh-CN"/>
        </w:rPr>
        <w:t>天）</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5"/>
          <w:rFonts w:hint="eastAsia" w:asciiTheme="majorEastAsia" w:hAnsiTheme="majorEastAsia" w:eastAsiaTheme="majorEastAsia"/>
          <w:sz w:val="24"/>
          <w:szCs w:val="24"/>
          <w:lang w:eastAsia="zh-CN"/>
        </w:rPr>
        <w:t>hzji@fhcpec.com.cn</w:t>
      </w:r>
      <w:r>
        <w:rPr>
          <w:rStyle w:val="25"/>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ind w:firstLine="840" w:firstLineChars="350"/>
        <w:rPr>
          <w:b/>
          <w:snapToGrid w:val="0"/>
          <w:spacing w:val="8"/>
          <w:sz w:val="24"/>
          <w:szCs w:val="24"/>
          <w:lang w:eastAsia="zh-CN"/>
        </w:rPr>
      </w:pPr>
      <w:r>
        <w:rPr>
          <w:rFonts w:hint="eastAsia" w:asciiTheme="majorEastAsia" w:hAnsiTheme="majorEastAsia" w:eastAsiaTheme="majorEastAsia"/>
          <w:bCs/>
          <w:sz w:val="24"/>
          <w:szCs w:val="24"/>
          <w:lang w:eastAsia="zh-CN"/>
        </w:rPr>
        <w:t>2)需到达现场进行技术交流并勘察现场。</w:t>
      </w:r>
    </w:p>
    <w:p>
      <w:pPr>
        <w:pStyle w:val="35"/>
        <w:numPr>
          <w:ilvl w:val="0"/>
          <w:numId w:val="2"/>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w:t>
      </w:r>
      <w:r>
        <w:rPr>
          <w:rFonts w:asciiTheme="majorEastAsia" w:hAnsiTheme="majorEastAsia" w:eastAsiaTheme="majorEastAsia"/>
          <w:bCs/>
          <w:sz w:val="24"/>
          <w:szCs w:val="24"/>
          <w:lang w:eastAsia="zh-CN"/>
        </w:rPr>
        <w:t>2</w:t>
      </w:r>
      <w:r>
        <w:rPr>
          <w:rFonts w:hint="eastAsia" w:asciiTheme="majorEastAsia" w:hAnsiTheme="majorEastAsia" w:eastAsiaTheme="majorEastAsia"/>
          <w:bCs/>
          <w:sz w:val="24"/>
          <w:szCs w:val="24"/>
          <w:lang w:eastAsia="zh-CN"/>
        </w:rPr>
        <w:t>个工作日</w:t>
      </w:r>
    </w:p>
    <w:p>
      <w:pPr>
        <w:pStyle w:val="35"/>
        <w:numPr>
          <w:ilvl w:val="0"/>
          <w:numId w:val="2"/>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纪检监察室电话：0596-6311774  </w:t>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ind w:left="9"/>
        <w:jc w:val="center"/>
        <w:rPr>
          <w:sz w:val="24"/>
          <w:szCs w:val="24"/>
          <w:lang w:eastAsia="zh-CN"/>
        </w:rPr>
      </w:pPr>
      <w:r>
        <w:rPr>
          <w:rFonts w:hint="eastAsia"/>
          <w:sz w:val="24"/>
          <w:szCs w:val="24"/>
          <w:lang w:eastAsia="zh-CN"/>
        </w:rPr>
        <w:t>福建福海创石油化工有限公司</w:t>
      </w:r>
    </w:p>
    <w:p>
      <w:pPr>
        <w:spacing w:line="324" w:lineRule="auto"/>
        <w:ind w:firstLine="4200" w:firstLineChars="1750"/>
        <w:rPr>
          <w:rFonts w:hint="default"/>
          <w:sz w:val="24"/>
          <w:szCs w:val="24"/>
          <w:lang w:val="en-US" w:eastAsia="zh-CN"/>
        </w:rPr>
      </w:pPr>
      <w:r>
        <w:rPr>
          <w:rFonts w:hint="eastAsia"/>
          <w:sz w:val="24"/>
          <w:szCs w:val="24"/>
          <w:lang w:eastAsia="zh-CN"/>
        </w:rPr>
        <w:t>20</w:t>
      </w:r>
      <w:r>
        <w:rPr>
          <w:sz w:val="24"/>
          <w:szCs w:val="24"/>
          <w:lang w:eastAsia="zh-CN"/>
        </w:rPr>
        <w:t>22</w:t>
      </w:r>
      <w:r>
        <w:rPr>
          <w:rFonts w:hint="eastAsia"/>
          <w:sz w:val="24"/>
          <w:szCs w:val="24"/>
          <w:lang w:val="en-US" w:eastAsia="zh-CN"/>
        </w:rPr>
        <w:t>年</w:t>
      </w:r>
      <w:r>
        <w:rPr>
          <w:sz w:val="24"/>
          <w:szCs w:val="24"/>
          <w:lang w:eastAsia="zh-CN"/>
        </w:rPr>
        <w:t>12</w:t>
      </w:r>
      <w:r>
        <w:rPr>
          <w:rFonts w:hint="eastAsia"/>
          <w:sz w:val="24"/>
          <w:szCs w:val="24"/>
          <w:lang w:val="en-US" w:eastAsia="zh-CN"/>
        </w:rPr>
        <w:t>月</w:t>
      </w:r>
      <w:r>
        <w:rPr>
          <w:sz w:val="24"/>
          <w:szCs w:val="24"/>
          <w:lang w:eastAsia="zh-CN"/>
        </w:rPr>
        <w:t>2</w:t>
      </w:r>
      <w:r>
        <w:rPr>
          <w:rFonts w:hint="eastAsia"/>
          <w:sz w:val="24"/>
          <w:szCs w:val="24"/>
          <w:lang w:val="en-US" w:eastAsia="zh-CN"/>
        </w:rPr>
        <w:t>8日</w:t>
      </w:r>
    </w:p>
    <w:p>
      <w:pPr>
        <w:pStyle w:val="3"/>
        <w:tabs>
          <w:tab w:val="left" w:pos="1262"/>
        </w:tabs>
        <w:spacing w:line="355" w:lineRule="exact"/>
        <w:ind w:left="0" w:right="108"/>
        <w:jc w:val="center"/>
        <w:rPr>
          <w:lang w:eastAsia="zh-CN"/>
        </w:rPr>
      </w:pPr>
    </w:p>
    <w:p>
      <w:pPr>
        <w:pStyle w:val="3"/>
        <w:tabs>
          <w:tab w:val="left" w:pos="1262"/>
        </w:tabs>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rPr>
          <w:rFonts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asciiTheme="majorEastAsia" w:hAnsiTheme="majorEastAsia" w:eastAsiaTheme="majorEastAsia"/>
          <w:u w:val="single"/>
          <w:lang w:eastAsia="zh-CN"/>
        </w:rPr>
        <w:t>热电厂4×670t/h锅炉烟气脱硝</w:t>
      </w:r>
      <w:r>
        <w:rPr>
          <w:rFonts w:hint="eastAsia" w:asciiTheme="majorEastAsia" w:hAnsiTheme="majorEastAsia" w:eastAsiaTheme="majorEastAsia"/>
          <w:u w:val="single"/>
          <w:lang w:eastAsia="zh-CN"/>
        </w:rPr>
        <w:t>还原剂</w:t>
      </w:r>
      <w:r>
        <w:rPr>
          <w:rFonts w:asciiTheme="majorEastAsia" w:hAnsiTheme="majorEastAsia" w:eastAsiaTheme="majorEastAsia"/>
          <w:u w:val="single"/>
          <w:lang w:eastAsia="zh-CN"/>
        </w:rPr>
        <w:t>液氨改尿素项目可行性研究报告</w:t>
      </w:r>
    </w:p>
    <w:p>
      <w:pPr>
        <w:pStyle w:val="8"/>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u w:val="single"/>
          <w:lang w:eastAsia="zh-CN"/>
        </w:rPr>
        <w:t xml:space="preserve">漳州市漳浦县古雷开发区 </w:t>
      </w:r>
    </w:p>
    <w:p>
      <w:pPr>
        <w:pStyle w:val="8"/>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u w:val="single"/>
          <w:lang w:eastAsia="zh-CN"/>
        </w:rPr>
        <w:t>本项目采用包干总价的方式。</w:t>
      </w:r>
    </w:p>
    <w:p>
      <w:pPr>
        <w:pStyle w:val="8"/>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见附件“技术规范书”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2.比选范围及内容：</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本次比选范围内的可行性研究内容要求如下：</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1）将对</w:t>
      </w:r>
      <w:r>
        <w:rPr>
          <w:rFonts w:asciiTheme="majorEastAsia" w:hAnsiTheme="majorEastAsia" w:eastAsiaTheme="majorEastAsia"/>
          <w:sz w:val="24"/>
          <w:szCs w:val="24"/>
          <w:lang w:eastAsia="zh-CN"/>
        </w:rPr>
        <w:t>锅炉烟气脱硝</w:t>
      </w:r>
      <w:r>
        <w:rPr>
          <w:rFonts w:hint="eastAsia" w:asciiTheme="majorEastAsia" w:hAnsiTheme="majorEastAsia" w:eastAsiaTheme="majorEastAsia"/>
          <w:sz w:val="24"/>
          <w:szCs w:val="24"/>
          <w:lang w:eastAsia="zh-CN"/>
        </w:rPr>
        <w:t>还原剂</w:t>
      </w:r>
      <w:r>
        <w:rPr>
          <w:rFonts w:asciiTheme="majorEastAsia" w:hAnsiTheme="majorEastAsia" w:eastAsiaTheme="majorEastAsia"/>
          <w:sz w:val="24"/>
          <w:szCs w:val="24"/>
          <w:lang w:eastAsia="zh-CN"/>
        </w:rPr>
        <w:t>液氨改尿素项目</w:t>
      </w:r>
      <w:r>
        <w:rPr>
          <w:rFonts w:hint="eastAsia" w:asciiTheme="majorEastAsia" w:hAnsiTheme="majorEastAsia" w:eastAsiaTheme="majorEastAsia"/>
          <w:sz w:val="24"/>
          <w:szCs w:val="24"/>
          <w:lang w:eastAsia="zh-CN"/>
        </w:rPr>
        <w:t>进行可行性研究报告编写服务。</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inorEastAsia" w:hAnsiTheme="minorEastAsia" w:eastAsiaTheme="minorEastAsia"/>
          <w:color w:val="000000"/>
          <w:sz w:val="24"/>
          <w:lang w:eastAsia="zh-CN"/>
        </w:rPr>
        <w:t>通过对现有脱硝系统及设备资料的收集及现场实地勘查，编制</w:t>
      </w:r>
      <w:r>
        <w:rPr>
          <w:rFonts w:asciiTheme="minorEastAsia" w:hAnsiTheme="minorEastAsia" w:eastAsiaTheme="minorEastAsia"/>
          <w:color w:val="000000"/>
          <w:sz w:val="24"/>
          <w:lang w:eastAsia="zh-CN"/>
        </w:rPr>
        <w:t>热电厂4×670t/h锅炉烟气脱硝</w:t>
      </w:r>
      <w:r>
        <w:rPr>
          <w:rFonts w:hint="eastAsia" w:asciiTheme="minorEastAsia" w:hAnsiTheme="minorEastAsia" w:eastAsiaTheme="minorEastAsia"/>
          <w:color w:val="000000"/>
          <w:sz w:val="24"/>
          <w:lang w:eastAsia="zh-CN"/>
        </w:rPr>
        <w:t>还原剂液氨改尿素工程可行性研究报告、项目申请报告、工程招标技术规范书修编</w:t>
      </w:r>
      <w:r>
        <w:rPr>
          <w:rFonts w:hint="eastAsia" w:ascii="Times New Roman" w:hAnsi="Times New Roman"/>
          <w:sz w:val="24"/>
          <w:szCs w:val="24"/>
          <w:lang w:eastAsia="zh-CN"/>
        </w:rPr>
        <w:t>工作。</w:t>
      </w:r>
    </w:p>
    <w:p>
      <w:pPr>
        <w:ind w:firstLine="480" w:firstLineChars="200"/>
        <w:rPr>
          <w:sz w:val="24"/>
          <w:lang w:eastAsia="zh-CN"/>
        </w:rPr>
      </w:pPr>
      <w:r>
        <w:rPr>
          <w:rFonts w:hint="eastAsia" w:asciiTheme="majorEastAsia" w:hAnsiTheme="majorEastAsia" w:eastAsiaTheme="majorEastAsia"/>
          <w:sz w:val="24"/>
          <w:szCs w:val="24"/>
          <w:lang w:eastAsia="zh-CN"/>
        </w:rPr>
        <w:t>3.</w:t>
      </w:r>
      <w:r>
        <w:rPr>
          <w:rFonts w:hint="eastAsia"/>
          <w:sz w:val="24"/>
          <w:lang w:eastAsia="zh-CN"/>
        </w:rPr>
        <w:t xml:space="preserve"> 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成果提交要求：</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见附件“技术规范书”</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5.工期要求</w:t>
      </w:r>
      <w:r>
        <w:rPr>
          <w:rFonts w:asciiTheme="majorEastAsia" w:hAnsiTheme="majorEastAsia" w:eastAsiaTheme="majorEastAsia"/>
          <w:sz w:val="24"/>
          <w:szCs w:val="24"/>
          <w:lang w:eastAsia="zh-CN"/>
        </w:rPr>
        <w:t>：</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5.1、合同签订后</w:t>
      </w:r>
      <w:r>
        <w:rPr>
          <w:rFonts w:asciiTheme="majorEastAsia" w:hAnsiTheme="majorEastAsia" w:eastAsiaTheme="majorEastAsia"/>
          <w:sz w:val="24"/>
          <w:szCs w:val="24"/>
          <w:lang w:eastAsia="zh-CN"/>
        </w:rPr>
        <w:t>3</w:t>
      </w:r>
      <w:r>
        <w:rPr>
          <w:rFonts w:hint="eastAsia" w:asciiTheme="majorEastAsia" w:hAnsiTheme="majorEastAsia" w:eastAsiaTheme="majorEastAsia"/>
          <w:sz w:val="24"/>
          <w:szCs w:val="24"/>
          <w:lang w:eastAsia="zh-CN"/>
        </w:rPr>
        <w:t xml:space="preserve">0天完成可研报告并通过专家评审；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5.2、资料提供齐全后</w:t>
      </w:r>
      <w:r>
        <w:rPr>
          <w:rFonts w:asciiTheme="majorEastAsia" w:hAnsiTheme="majorEastAsia" w:eastAsiaTheme="majorEastAsia"/>
          <w:sz w:val="24"/>
          <w:szCs w:val="24"/>
          <w:lang w:eastAsia="zh-CN"/>
        </w:rPr>
        <w:t>3</w:t>
      </w:r>
      <w:r>
        <w:rPr>
          <w:rFonts w:hint="eastAsia" w:asciiTheme="majorEastAsia" w:hAnsiTheme="majorEastAsia" w:eastAsiaTheme="majorEastAsia"/>
          <w:sz w:val="24"/>
          <w:szCs w:val="24"/>
          <w:lang w:eastAsia="zh-CN"/>
        </w:rPr>
        <w:t>0天内完成项目申请报告。</w:t>
      </w:r>
    </w:p>
    <w:p>
      <w:pPr>
        <w:widowControl/>
        <w:tabs>
          <w:tab w:val="left" w:pos="0"/>
          <w:tab w:val="left" w:pos="993"/>
          <w:tab w:val="left" w:pos="1134"/>
        </w:tabs>
        <w:autoSpaceDE/>
        <w:autoSpaceDN/>
        <w:ind w:firstLine="480" w:firstLineChars="200"/>
        <w:jc w:val="both"/>
        <w:rPr>
          <w:rFonts w:asciiTheme="majorEastAsia" w:hAnsiTheme="majorEastAsia" w:eastAsiaTheme="majorEastAsia"/>
          <w:spacing w:val="-10"/>
          <w:sz w:val="24"/>
          <w:szCs w:val="24"/>
          <w:lang w:eastAsia="zh-CN"/>
        </w:rPr>
      </w:pPr>
      <w:r>
        <w:rPr>
          <w:rFonts w:hint="eastAsia" w:asciiTheme="majorEastAsia" w:hAnsiTheme="majorEastAsia" w:eastAsiaTheme="majorEastAsia"/>
          <w:sz w:val="24"/>
          <w:szCs w:val="24"/>
          <w:lang w:eastAsia="zh-CN"/>
        </w:rPr>
        <w:t>6.控制价：</w:t>
      </w:r>
      <w:r>
        <w:rPr>
          <w:rFonts w:hint="eastAsia" w:asciiTheme="majorEastAsia" w:hAnsiTheme="majorEastAsia" w:eastAsiaTheme="majorEastAsia"/>
          <w:b/>
          <w:spacing w:val="-10"/>
          <w:sz w:val="24"/>
          <w:szCs w:val="24"/>
          <w:lang w:eastAsia="zh-CN"/>
        </w:rPr>
        <w:t>本项目最高限价为人民币</w:t>
      </w:r>
      <w:r>
        <w:rPr>
          <w:rFonts w:asciiTheme="majorEastAsia" w:hAnsiTheme="majorEastAsia" w:eastAsiaTheme="majorEastAsia"/>
          <w:b/>
          <w:color w:val="FF0000"/>
          <w:spacing w:val="-10"/>
          <w:sz w:val="24"/>
          <w:szCs w:val="24"/>
          <w:lang w:eastAsia="zh-CN"/>
        </w:rPr>
        <w:t>25</w:t>
      </w:r>
      <w:r>
        <w:rPr>
          <w:rFonts w:hint="eastAsia" w:asciiTheme="majorEastAsia" w:hAnsiTheme="majorEastAsia" w:eastAsiaTheme="majorEastAsia"/>
          <w:b/>
          <w:color w:val="FF0000"/>
          <w:spacing w:val="-10"/>
          <w:sz w:val="24"/>
          <w:szCs w:val="24"/>
          <w:lang w:eastAsia="zh-CN"/>
        </w:rPr>
        <w:t>万元</w:t>
      </w:r>
      <w:r>
        <w:rPr>
          <w:rFonts w:hint="eastAsia" w:asciiTheme="majorEastAsia" w:hAnsiTheme="majorEastAsia" w:eastAsiaTheme="majorEastAsia"/>
          <w:spacing w:val="-10"/>
          <w:sz w:val="24"/>
          <w:szCs w:val="24"/>
          <w:lang w:eastAsia="zh-CN"/>
        </w:rPr>
        <w:t>。参选人在比选文件中填报的投标总价高于最高限价的，视为未实质性响应招标文件要求，其报价将被视为无效报价。</w:t>
      </w:r>
    </w:p>
    <w:p>
      <w:pPr>
        <w:pStyle w:val="3"/>
        <w:spacing w:before="18"/>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before="26"/>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8"/>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8"/>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ind w:left="118" w:right="92" w:firstLine="480"/>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ind w:left="118"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before="27"/>
        <w:ind w:left="118"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before="27"/>
        <w:ind w:left="598"/>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before="27"/>
        <w:ind w:left="598"/>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w:t>
      </w:r>
      <w:r>
        <w:rPr>
          <w:rFonts w:hint="eastAsia" w:asciiTheme="minorEastAsia" w:hAnsiTheme="minorEastAsia" w:eastAsiaTheme="minorEastAsia"/>
          <w:sz w:val="24"/>
          <w:lang w:eastAsia="zh-CN"/>
        </w:rPr>
        <w:t>具备工程咨询单位乙级及以上资信资质</w:t>
      </w:r>
      <w:r>
        <w:rPr>
          <w:rFonts w:hint="eastAsia" w:asciiTheme="minorEastAsia" w:hAnsiTheme="minorEastAsia" w:eastAsiaTheme="minorEastAsia"/>
          <w:sz w:val="24"/>
          <w:szCs w:val="24"/>
          <w:lang w:eastAsia="zh-CN"/>
        </w:rPr>
        <w:t>，业务范围包括电力行业或者包括生态建设和环境工程</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 xml:space="preserve">3. </w:t>
      </w:r>
      <w:r>
        <w:rPr>
          <w:rFonts w:hint="eastAsia" w:asciiTheme="minorEastAsia" w:hAnsiTheme="minorEastAsia" w:eastAsiaTheme="minorEastAsia"/>
          <w:sz w:val="24"/>
          <w:lang w:eastAsia="zh-CN"/>
        </w:rPr>
        <w:t>近3年内具备至少</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个同等及以上级别机组脱硝还原剂液氨改尿素可行性研究报告编制业绩记录</w:t>
      </w:r>
      <w:r>
        <w:rPr>
          <w:rFonts w:hint="eastAsia"/>
          <w:sz w:val="24"/>
          <w:szCs w:val="24"/>
          <w:lang w:eastAsia="zh-CN"/>
        </w:rPr>
        <w:t>；</w:t>
      </w:r>
    </w:p>
    <w:p>
      <w:pPr>
        <w:pStyle w:val="2"/>
        <w:spacing w:line="360" w:lineRule="auto"/>
        <w:ind w:firstLine="465"/>
        <w:rPr>
          <w:sz w:val="24"/>
          <w:szCs w:val="24"/>
        </w:rPr>
      </w:pPr>
      <w:r>
        <w:rPr>
          <w:rFonts w:hint="eastAsia"/>
          <w:sz w:val="24"/>
          <w:szCs w:val="24"/>
        </w:rPr>
        <w:t xml:space="preserve">4. </w:t>
      </w:r>
      <w:r>
        <w:rPr>
          <w:rFonts w:hint="eastAsia" w:hAnsi="宋体"/>
          <w:sz w:val="24"/>
        </w:rPr>
        <w:t>近三年内无</w:t>
      </w:r>
      <w:r>
        <w:rPr>
          <w:rFonts w:hint="eastAsia" w:asciiTheme="minorEastAsia" w:hAnsiTheme="minorEastAsia" w:eastAsiaTheme="minorEastAsia"/>
          <w:sz w:val="24"/>
        </w:rPr>
        <w:t>可行性研究</w:t>
      </w:r>
      <w:r>
        <w:rPr>
          <w:rFonts w:hint="eastAsia" w:hAnsi="宋体"/>
          <w:sz w:val="24"/>
        </w:rPr>
        <w:t>质量事故，无被相关行政部门处罚记录</w:t>
      </w:r>
      <w:r>
        <w:rPr>
          <w:rFonts w:hint="eastAsia"/>
          <w:sz w:val="24"/>
          <w:szCs w:val="24"/>
        </w:rPr>
        <w:t>；</w:t>
      </w:r>
    </w:p>
    <w:p>
      <w:pPr>
        <w:pStyle w:val="2"/>
        <w:spacing w:line="360" w:lineRule="auto"/>
        <w:ind w:firstLine="465"/>
        <w:rPr>
          <w:sz w:val="24"/>
          <w:szCs w:val="24"/>
        </w:rPr>
      </w:pPr>
      <w:r>
        <w:rPr>
          <w:rFonts w:hint="eastAsia"/>
          <w:sz w:val="24"/>
          <w:szCs w:val="24"/>
        </w:rPr>
        <w:t xml:space="preserve">5. </w:t>
      </w:r>
      <w:r>
        <w:rPr>
          <w:rFonts w:hint="eastAsia" w:hAnsi="宋体"/>
          <w:sz w:val="24"/>
        </w:rPr>
        <w:t>参选方应</w:t>
      </w:r>
      <w:r>
        <w:rPr>
          <w:rFonts w:hint="eastAsia" w:asciiTheme="minorEastAsia" w:hAnsiTheme="minorEastAsia" w:eastAsiaTheme="minorEastAsia"/>
          <w:sz w:val="24"/>
        </w:rPr>
        <w:t>提供相关可行性研究业绩</w:t>
      </w:r>
      <w:r>
        <w:rPr>
          <w:rFonts w:hint="eastAsia" w:hAnsi="宋体"/>
          <w:sz w:val="24"/>
        </w:rPr>
        <w:t>；</w:t>
      </w:r>
    </w:p>
    <w:p>
      <w:pPr>
        <w:pStyle w:val="2"/>
        <w:spacing w:line="360" w:lineRule="auto"/>
        <w:ind w:firstLine="465"/>
        <w:rPr>
          <w:sz w:val="24"/>
          <w:szCs w:val="24"/>
        </w:rPr>
      </w:pPr>
      <w:r>
        <w:rPr>
          <w:rFonts w:hint="eastAsia"/>
          <w:sz w:val="24"/>
          <w:szCs w:val="24"/>
        </w:rPr>
        <w:t xml:space="preserve">6. </w:t>
      </w:r>
      <w:r>
        <w:rPr>
          <w:rFonts w:asciiTheme="majorEastAsia" w:hAnsiTheme="majorEastAsia" w:eastAsiaTheme="majorEastAsia"/>
          <w:sz w:val="24"/>
          <w:szCs w:val="24"/>
        </w:rPr>
        <w:t>没有失信黑名单记录（以最高院失信被执行人系统发布信息为准）</w:t>
      </w:r>
    </w:p>
    <w:p>
      <w:pPr>
        <w:widowControl/>
        <w:autoSpaceDE/>
        <w:autoSpaceDN/>
        <w:ind w:firstLine="480" w:firstLineChars="200"/>
        <w:jc w:val="both"/>
        <w:rPr>
          <w:rFonts w:asciiTheme="majorEastAsia" w:hAnsiTheme="majorEastAsia" w:eastAsiaTheme="majorEastAsia"/>
          <w:sz w:val="24"/>
          <w:szCs w:val="24"/>
          <w:lang w:eastAsia="zh-CN"/>
        </w:rPr>
      </w:pPr>
      <w:r>
        <w:rPr>
          <w:rFonts w:hint="eastAsia"/>
          <w:sz w:val="24"/>
          <w:szCs w:val="24"/>
          <w:lang w:eastAsia="zh-CN"/>
        </w:rPr>
        <w:t>7.</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ind w:left="0" w:firstLine="480"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b w:val="0"/>
          <w:sz w:val="24"/>
          <w:szCs w:val="24"/>
          <w:lang w:eastAsia="zh-CN"/>
        </w:rPr>
        <w:t xml:space="preserve">8. </w:t>
      </w:r>
      <w:r>
        <w:rPr>
          <w:rFonts w:hint="eastAsia"/>
          <w:b w:val="0"/>
          <w:sz w:val="24"/>
          <w:szCs w:val="24"/>
          <w:lang w:eastAsia="zh-CN"/>
        </w:rPr>
        <w:t>本项目不接受联合体参选，不允许分包。</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1、参选保证金的金额为：人民币伍仟元整（</w:t>
      </w:r>
      <w:r>
        <w:rPr>
          <w:rFonts w:cs="Arial" w:asciiTheme="majorEastAsia" w:hAnsiTheme="majorEastAsia" w:eastAsiaTheme="majorEastAsia"/>
          <w:color w:val="333333"/>
          <w:sz w:val="24"/>
          <w:szCs w:val="24"/>
          <w:lang w:eastAsia="zh-CN"/>
        </w:rPr>
        <w:t>5</w:t>
      </w:r>
      <w:r>
        <w:rPr>
          <w:rFonts w:hint="eastAsia" w:cs="Arial" w:asciiTheme="majorEastAsia" w:hAnsiTheme="majorEastAsia" w:eastAsiaTheme="majorEastAsia"/>
          <w:color w:val="333333"/>
          <w:sz w:val="24"/>
          <w:szCs w:val="24"/>
          <w:lang w:eastAsia="zh-CN"/>
        </w:rPr>
        <w:t>000.00元）；</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4"/>
          <w:szCs w:val="24"/>
          <w:lang w:eastAsia="zh-CN"/>
        </w:rPr>
        <w:t>可行性研究及</w:t>
      </w:r>
      <w:r>
        <w:rPr>
          <w:rFonts w:hint="eastAsia" w:asciiTheme="majorEastAsia" w:hAnsiTheme="majorEastAsia" w:eastAsiaTheme="majorEastAsia"/>
          <w:b/>
          <w:sz w:val="24"/>
          <w:szCs w:val="24"/>
          <w:lang w:eastAsia="zh-CN"/>
        </w:rPr>
        <w:t>项目申请</w:t>
      </w:r>
      <w:r>
        <w:rPr>
          <w:rFonts w:hint="eastAsia" w:cs="Arial" w:asciiTheme="majorEastAsia" w:hAnsiTheme="majorEastAsia" w:eastAsiaTheme="majorEastAsia"/>
          <w:b/>
          <w:color w:val="333333"/>
          <w:sz w:val="24"/>
          <w:szCs w:val="24"/>
          <w:lang w:eastAsia="zh-CN"/>
        </w:rPr>
        <w:t>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8"/>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8"/>
        <w:ind w:right="121" w:firstLine="480" w:firstLineChars="200"/>
        <w:jc w:val="both"/>
        <w:rPr>
          <w:color w:val="000000" w:themeColor="text1"/>
          <w:lang w:eastAsia="zh-CN"/>
          <w14:textFill>
            <w14:solidFill>
              <w14:schemeClr w14:val="tx1"/>
            </w14:solidFill>
          </w14:textFill>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8"/>
        <w:ind w:right="121" w:firstLine="480" w:firstLineChars="200"/>
        <w:jc w:val="both"/>
        <w:rPr>
          <w:lang w:eastAsia="zh-CN"/>
        </w:rPr>
      </w:pPr>
      <w:r>
        <w:rPr>
          <w:rFonts w:hint="eastAsia"/>
          <w:lang w:eastAsia="zh-CN"/>
        </w:rPr>
        <w:t>8.如有下列情况发生，将被没收参选保证金：</w:t>
      </w:r>
    </w:p>
    <w:p>
      <w:pPr>
        <w:pStyle w:val="8"/>
        <w:ind w:right="121"/>
        <w:jc w:val="both"/>
        <w:rPr>
          <w:lang w:eastAsia="zh-CN"/>
        </w:rPr>
      </w:pPr>
      <w:r>
        <w:rPr>
          <w:rFonts w:hint="eastAsia"/>
          <w:lang w:eastAsia="zh-CN"/>
        </w:rPr>
        <w:t xml:space="preserve">   （1）参选单位在参选有效期内撤回参选文件；</w:t>
      </w:r>
    </w:p>
    <w:p>
      <w:pPr>
        <w:pStyle w:val="8"/>
        <w:ind w:right="-49" w:firstLine="360" w:firstLineChars="150"/>
        <w:rPr>
          <w:rFonts w:asciiTheme="majorEastAsia" w:hAnsiTheme="majorEastAsia" w:eastAsiaTheme="majorEastAsia"/>
          <w:lang w:eastAsia="zh-CN"/>
        </w:rPr>
      </w:pPr>
      <w:r>
        <w:rPr>
          <w:rFonts w:hint="eastAsia"/>
          <w:lang w:eastAsia="zh-CN"/>
        </w:rPr>
        <w:t>（2）参选单位未能按接到中标通知书后规定的时间内签定合同。</w:t>
      </w:r>
    </w:p>
    <w:p>
      <w:pPr>
        <w:pStyle w:val="8"/>
        <w:ind w:right="-49" w:firstLine="458" w:firstLineChars="200"/>
        <w:rPr>
          <w:rFonts w:asciiTheme="majorEastAsia" w:hAnsiTheme="majorEastAsia" w:eastAsiaTheme="majorEastAsia"/>
          <w:b/>
          <w:w w:val="95"/>
          <w:lang w:eastAsia="zh-CN"/>
        </w:rPr>
      </w:pPr>
      <w:r>
        <w:rPr>
          <w:rFonts w:asciiTheme="majorEastAsia" w:hAnsiTheme="majorEastAsia" w:eastAsiaTheme="majorEastAsia"/>
          <w:b/>
          <w:w w:val="95"/>
          <w:lang w:eastAsia="zh-CN"/>
        </w:rPr>
        <w:t>八、参选文件的递交</w:t>
      </w:r>
    </w:p>
    <w:p>
      <w:pPr>
        <w:pStyle w:val="4"/>
        <w:tabs>
          <w:tab w:val="left" w:pos="6879"/>
        </w:tabs>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ind w:left="119" w:leftChars="54" w:right="106" w:firstLine="806" w:firstLineChars="346"/>
        <w:rPr>
          <w:spacing w:val="-6"/>
          <w:lang w:eastAsia="zh-CN"/>
        </w:rPr>
      </w:pPr>
      <w:r>
        <w:rPr>
          <w:rFonts w:hint="eastAsia"/>
          <w:spacing w:val="-4"/>
          <w:lang w:eastAsia="zh-CN"/>
        </w:rPr>
        <w:t>技术联系人：睢忠平     电话：0596-631</w:t>
      </w:r>
      <w:r>
        <w:rPr>
          <w:spacing w:val="-4"/>
          <w:lang w:eastAsia="zh-CN"/>
        </w:rPr>
        <w:t>2096</w:t>
      </w:r>
      <w:r>
        <w:rPr>
          <w:rFonts w:hint="eastAsia"/>
          <w:spacing w:val="-4"/>
          <w:lang w:eastAsia="zh-CN"/>
        </w:rPr>
        <w:t xml:space="preserve"> </w:t>
      </w:r>
    </w:p>
    <w:p>
      <w:pPr>
        <w:ind w:left="598" w:leftChars="272" w:firstLine="236" w:firstLineChars="98"/>
        <w:rPr>
          <w:b/>
          <w:sz w:val="24"/>
          <w:lang w:eastAsia="zh-CN"/>
        </w:rPr>
      </w:pPr>
      <w:r>
        <w:rPr>
          <w:b/>
          <w:sz w:val="24"/>
          <w:lang w:eastAsia="zh-CN"/>
        </w:rPr>
        <w:t>注：请使用顺丰快递或中国邮政 EMS 快递，其他快递不能保证送达目的地。</w:t>
      </w:r>
    </w:p>
    <w:p>
      <w:pPr>
        <w:pStyle w:val="8"/>
        <w:ind w:firstLine="480" w:firstLineChars="200"/>
        <w:rPr>
          <w:lang w:eastAsia="zh-CN"/>
        </w:rPr>
      </w:pPr>
      <w:r>
        <w:rPr>
          <w:lang w:eastAsia="zh-CN"/>
        </w:rPr>
        <w:t>3.只允许参选人有一个参选方案，否则将被视为无效参选。</w:t>
      </w:r>
    </w:p>
    <w:p>
      <w:pPr>
        <w:pStyle w:val="8"/>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8"/>
        <w:spacing w:before="21"/>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8"/>
        <w:ind w:right="-49" w:firstLine="480" w:firstLineChars="200"/>
        <w:rPr>
          <w:rFonts w:asciiTheme="majorEastAsia" w:hAnsiTheme="majorEastAsia" w:eastAsia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对比选结果有异议的异议人不是本项目的参与者，或与本项目无任何利害关系；</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pStyle w:val="8"/>
        <w:ind w:firstLine="600" w:firstLineChars="250"/>
        <w:rPr>
          <w:rFonts w:asciiTheme="majorEastAsia" w:hAnsiTheme="majorEastAsia" w:eastAsiaTheme="majorEastAsia"/>
          <w:spacing w:val="-9"/>
          <w:lang w:eastAsia="zh-CN"/>
        </w:rPr>
      </w:pPr>
      <w:r>
        <w:rPr>
          <w:rFonts w:hint="eastAsia" w:asciiTheme="majorEastAsia" w:hAnsiTheme="majorEastAsia" w:eastAsiaTheme="majorEastAsia"/>
          <w:bCs/>
          <w:color w:val="000000"/>
          <w:lang w:eastAsia="zh-CN"/>
        </w:rPr>
        <w:t>（4）</w:t>
      </w:r>
      <w:r>
        <w:rPr>
          <w:rFonts w:hint="eastAsia" w:asciiTheme="majorEastAsia" w:hAnsiTheme="majorEastAsia" w:eastAsiaTheme="majorEastAsia"/>
          <w:bCs/>
          <w:lang w:eastAsia="zh-CN"/>
        </w:rPr>
        <w:t>超过异议时效的。</w:t>
      </w:r>
    </w:p>
    <w:p>
      <w:pPr>
        <w:pStyle w:val="4"/>
        <w:ind w:left="0" w:firstLine="458" w:firstLineChars="200"/>
        <w:rPr>
          <w:rFonts w:asciiTheme="majorEastAsia" w:hAnsiTheme="majorEastAsia" w:eastAsiaTheme="majorEastAsia"/>
          <w:lang w:eastAsia="zh-CN"/>
        </w:rPr>
      </w:pPr>
      <w:r>
        <w:rPr>
          <w:rFonts w:hint="eastAsia" w:asciiTheme="majorEastAsia" w:hAnsiTheme="majorEastAsia" w:eastAsiaTheme="majorEastAsia"/>
          <w:w w:val="95"/>
          <w:lang w:eastAsia="zh-CN"/>
        </w:rPr>
        <w:t>十</w:t>
      </w:r>
      <w:r>
        <w:rPr>
          <w:rFonts w:asciiTheme="majorEastAsia" w:hAnsiTheme="majorEastAsia" w:eastAsiaTheme="majorEastAsia"/>
          <w:w w:val="95"/>
          <w:lang w:eastAsia="zh-CN"/>
        </w:rPr>
        <w:t>、</w:t>
      </w:r>
      <w:r>
        <w:rPr>
          <w:rFonts w:hint="eastAsia" w:asciiTheme="majorEastAsia" w:hAnsiTheme="majorEastAsia" w:eastAsiaTheme="majorEastAsia"/>
          <w:lang w:eastAsia="zh-CN"/>
        </w:rPr>
        <w:t>最高控制价及投标报价要求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asciiTheme="majorEastAsia" w:hAnsiTheme="majorEastAsia" w:eastAsiaTheme="majorEastAsia"/>
          <w:bCs/>
          <w:sz w:val="24"/>
          <w:szCs w:val="24"/>
          <w:lang w:eastAsia="zh-CN"/>
        </w:rPr>
        <w:t>25</w:t>
      </w:r>
      <w:r>
        <w:rPr>
          <w:rFonts w:hint="eastAsia" w:asciiTheme="majorEastAsia" w:hAnsiTheme="majorEastAsia" w:eastAsiaTheme="majorEastAsia"/>
          <w:bCs/>
          <w:sz w:val="24"/>
          <w:szCs w:val="24"/>
          <w:lang w:eastAsia="zh-CN"/>
        </w:rPr>
        <w:t>万元。参选人所填报的参选总价高于本项目最高限价的，其参选将被评标委员会予以否决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人应以完成本比选文件“技术规范书”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55" w:lineRule="exact"/>
        <w:ind w:left="3363"/>
        <w:rPr>
          <w:lang w:eastAsia="zh-CN"/>
        </w:rPr>
      </w:pPr>
    </w:p>
    <w:p>
      <w:pPr>
        <w:pStyle w:val="3"/>
        <w:tabs>
          <w:tab w:val="left" w:pos="4627"/>
        </w:tabs>
        <w:ind w:left="0"/>
        <w:jc w:val="center"/>
        <w:rPr>
          <w:lang w:eastAsia="zh-CN"/>
        </w:rPr>
      </w:pPr>
      <w:r>
        <w:rPr>
          <w:lang w:eastAsia="zh-CN"/>
        </w:rPr>
        <w:t>第三章</w:t>
      </w:r>
      <w:r>
        <w:rPr>
          <w:spacing w:val="-1"/>
          <w:w w:val="95"/>
          <w:lang w:eastAsia="zh-CN"/>
        </w:rPr>
        <w:t>参选文</w:t>
      </w:r>
      <w:r>
        <w:rPr>
          <w:w w:val="95"/>
          <w:lang w:eastAsia="zh-CN"/>
        </w:rPr>
        <w:t>件的编制</w:t>
      </w:r>
    </w:p>
    <w:p>
      <w:pPr>
        <w:rPr>
          <w:b/>
          <w:sz w:val="24"/>
          <w:szCs w:val="24"/>
          <w:lang w:eastAsia="zh-CN"/>
        </w:rPr>
      </w:pPr>
      <w:r>
        <w:rPr>
          <w:b/>
          <w:w w:val="95"/>
          <w:sz w:val="24"/>
          <w:szCs w:val="24"/>
          <w:lang w:eastAsia="zh-CN"/>
        </w:rPr>
        <w:t>一、参选文件的组成：</w:t>
      </w:r>
    </w:p>
    <w:p>
      <w:pPr>
        <w:pStyle w:val="8"/>
        <w:ind w:firstLine="480"/>
        <w:rPr>
          <w:lang w:eastAsia="zh-CN"/>
        </w:rPr>
      </w:pPr>
      <w:r>
        <w:rPr>
          <w:lang w:eastAsia="zh-CN"/>
        </w:rPr>
        <w:t>①参选单位企业概况（企业简介、经营状况</w:t>
      </w:r>
      <w:r>
        <w:rPr>
          <w:rFonts w:hint="eastAsia"/>
          <w:lang w:eastAsia="zh-CN"/>
        </w:rPr>
        <w:t>、业绩情况（如有相关业绩需提供相应合同盖章页）</w:t>
      </w:r>
      <w:r>
        <w:rPr>
          <w:lang w:eastAsia="zh-CN"/>
        </w:rPr>
        <w:t>）、营业执照、资质证书、组织机构代码证、税务登记证（经年检或年审合格的）等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pPr>
        <w:pStyle w:val="8"/>
        <w:ind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参选人需根据发包说明编制相关方案，以及工作计划安排等内容。</w:t>
      </w:r>
      <w:r>
        <w:rPr>
          <w:rFonts w:hint="eastAsia"/>
          <w:spacing w:val="-7"/>
          <w:lang w:eastAsia="zh-CN"/>
        </w:rPr>
        <w:t>）</w:t>
      </w:r>
    </w:p>
    <w:p>
      <w:pPr>
        <w:pStyle w:val="8"/>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8"/>
        <w:ind w:left="595"/>
        <w:rPr>
          <w:lang w:eastAsia="zh-CN"/>
        </w:rPr>
      </w:pPr>
      <w:r>
        <w:rPr>
          <w:lang w:eastAsia="zh-CN"/>
        </w:rPr>
        <w:t>④提供参选报价表(详见附件)。</w:t>
      </w:r>
    </w:p>
    <w:p>
      <w:pPr>
        <w:pStyle w:val="8"/>
        <w:spacing w:before="26"/>
        <w:ind w:firstLine="480" w:firstLineChars="200"/>
        <w:rPr>
          <w:b/>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ind w:firstLine="602" w:firstLineChars="250"/>
        <w:rPr>
          <w:lang w:eastAsia="zh-CN"/>
        </w:rPr>
      </w:pPr>
      <w:r>
        <w:rPr>
          <w:rFonts w:hint="eastAsia"/>
          <w:b/>
          <w:lang w:eastAsia="zh-CN"/>
        </w:rPr>
        <w:t>注：需提供参选文件及报价表电子版一份（盖章PDF版），报价表须独立盖章密封</w:t>
      </w:r>
    </w:p>
    <w:p>
      <w:pPr>
        <w:pStyle w:val="3"/>
        <w:ind w:left="0"/>
        <w:rPr>
          <w:sz w:val="24"/>
          <w:szCs w:val="24"/>
          <w:lang w:eastAsia="zh-CN"/>
        </w:rPr>
      </w:pPr>
      <w:r>
        <w:rPr>
          <w:w w:val="95"/>
          <w:sz w:val="24"/>
          <w:szCs w:val="24"/>
          <w:lang w:eastAsia="zh-CN"/>
        </w:rPr>
        <w:t>二、参选书格式内容</w:t>
      </w:r>
    </w:p>
    <w:p>
      <w:pPr>
        <w:pStyle w:val="8"/>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ind w:left="598"/>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rPr>
          <w:sz w:val="24"/>
          <w:szCs w:val="24"/>
          <w:lang w:eastAsia="zh-CN"/>
        </w:rPr>
      </w:pPr>
      <w:r>
        <w:rPr>
          <w:w w:val="95"/>
          <w:sz w:val="24"/>
          <w:szCs w:val="24"/>
          <w:lang w:eastAsia="zh-CN"/>
        </w:rPr>
        <w:t>三、参选报价</w:t>
      </w:r>
    </w:p>
    <w:p>
      <w:pPr>
        <w:pStyle w:val="8"/>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rPr>
          <w:sz w:val="24"/>
          <w:szCs w:val="24"/>
          <w:lang w:eastAsia="zh-CN"/>
        </w:rPr>
      </w:pPr>
      <w:r>
        <w:rPr>
          <w:w w:val="95"/>
          <w:sz w:val="24"/>
          <w:szCs w:val="24"/>
          <w:lang w:eastAsia="zh-CN"/>
        </w:rPr>
        <w:t>四、特别说明</w:t>
      </w:r>
    </w:p>
    <w:p>
      <w:pPr>
        <w:pStyle w:val="8"/>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177186249"/>
      <w:bookmarkStart w:id="2" w:name="_Toc304357904"/>
      <w:bookmarkStart w:id="3" w:name="_Toc430489126"/>
      <w:bookmarkStart w:id="4" w:name="_Toc430490619"/>
      <w:bookmarkStart w:id="5" w:name="_Toc430492133"/>
      <w:bookmarkStart w:id="6" w:name="_Toc430422420"/>
      <w:bookmarkStart w:id="7" w:name="_Toc430488858"/>
      <w:bookmarkStart w:id="8" w:name="_Toc415567504"/>
    </w:p>
    <w:p>
      <w:pPr>
        <w:pStyle w:val="8"/>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ind w:firstLine="480" w:firstLineChars="200"/>
        <w:rPr>
          <w:rFonts w:cs="黑体"/>
          <w:b/>
          <w:sz w:val="24"/>
          <w:szCs w:val="24"/>
          <w:lang w:eastAsia="zh-CN"/>
        </w:rPr>
      </w:pPr>
      <w:r>
        <w:rPr>
          <w:rFonts w:hint="eastAsia"/>
          <w:sz w:val="24"/>
          <w:szCs w:val="24"/>
          <w:lang w:eastAsia="zh-CN"/>
        </w:rPr>
        <w:t>7.1 参选人应在参选文件所附的参选报价表上写明参选项目的参选总价。</w:t>
      </w:r>
    </w:p>
    <w:p>
      <w:pPr>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参选人对项目内容只允许有一个报价，比选人不接受有任何选择的报价。</w:t>
      </w:r>
    </w:p>
    <w:p>
      <w:pPr>
        <w:pStyle w:val="8"/>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8"/>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lang w:eastAsia="zh-CN"/>
        </w:rPr>
      </w:pPr>
    </w:p>
    <w:p>
      <w:pPr>
        <w:pStyle w:val="3"/>
        <w:tabs>
          <w:tab w:val="left" w:pos="1488"/>
        </w:tabs>
        <w:ind w:left="0"/>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ind w:left="0"/>
        <w:rPr>
          <w:sz w:val="24"/>
          <w:szCs w:val="24"/>
          <w:lang w:eastAsia="zh-CN"/>
        </w:rPr>
      </w:pPr>
      <w:r>
        <w:rPr>
          <w:rFonts w:hint="eastAsia"/>
          <w:w w:val="95"/>
          <w:sz w:val="24"/>
          <w:szCs w:val="24"/>
          <w:lang w:eastAsia="zh-CN"/>
        </w:rPr>
        <w:t>一、</w:t>
      </w:r>
      <w:r>
        <w:rPr>
          <w:w w:val="95"/>
          <w:sz w:val="24"/>
          <w:szCs w:val="24"/>
          <w:lang w:eastAsia="zh-CN"/>
        </w:rPr>
        <w:t>评选</w:t>
      </w:r>
    </w:p>
    <w:p>
      <w:pPr>
        <w:pStyle w:val="8"/>
        <w:ind w:firstLine="480" w:firstLineChars="20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pPr>
        <w:pStyle w:val="8"/>
        <w:ind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8"/>
        <w:ind w:firstLine="480" w:firstLineChars="200"/>
        <w:rPr>
          <w:lang w:eastAsia="zh-CN"/>
        </w:rPr>
      </w:pPr>
      <w:r>
        <w:rPr>
          <w:lang w:eastAsia="zh-CN"/>
        </w:rPr>
        <w:t>3.比选人将做开选记录</w:t>
      </w:r>
    </w:p>
    <w:p>
      <w:pPr>
        <w:rPr>
          <w:b/>
          <w:sz w:val="24"/>
          <w:szCs w:val="24"/>
          <w:lang w:eastAsia="zh-CN"/>
        </w:rPr>
      </w:pPr>
      <w:r>
        <w:rPr>
          <w:rFonts w:hint="eastAsia"/>
          <w:b/>
          <w:w w:val="95"/>
          <w:sz w:val="24"/>
          <w:szCs w:val="24"/>
          <w:lang w:eastAsia="zh-CN"/>
        </w:rPr>
        <w:t>二</w:t>
      </w:r>
      <w:r>
        <w:rPr>
          <w:b/>
          <w:w w:val="95"/>
          <w:sz w:val="24"/>
          <w:szCs w:val="24"/>
          <w:lang w:eastAsia="zh-CN"/>
        </w:rPr>
        <w:t>、规则：</w:t>
      </w:r>
    </w:p>
    <w:p>
      <w:pPr>
        <w:ind w:firstLine="660" w:firstLineChars="300"/>
        <w:rPr>
          <w:spacing w:val="-2"/>
          <w:sz w:val="24"/>
          <w:szCs w:val="24"/>
          <w:lang w:eastAsia="zh-CN"/>
        </w:rPr>
      </w:pPr>
      <w:r>
        <w:rPr>
          <w:lang w:eastAsia="zh-CN"/>
        </w:rPr>
        <w:t>1.</w:t>
      </w:r>
      <w:r>
        <w:rPr>
          <w:rFonts w:hint="eastAsia"/>
          <w:spacing w:val="-2"/>
          <w:sz w:val="24"/>
          <w:szCs w:val="24"/>
          <w:lang w:eastAsia="zh-CN"/>
        </w:rPr>
        <w:t xml:space="preserve"> 本项目评标采用综合评分法，评标小组将对通过资格及实质响应性审查的各合格参选人，根据以下标准和方法进行评议和评分，最低报价不作为中选的保证。</w:t>
      </w:r>
    </w:p>
    <w:p>
      <w:pPr>
        <w:tabs>
          <w:tab w:val="left" w:pos="825"/>
        </w:tabs>
        <w:ind w:firstLine="439" w:firstLineChars="182"/>
        <w:rPr>
          <w:b/>
          <w:sz w:val="24"/>
          <w:szCs w:val="24"/>
          <w:u w:val="single"/>
          <w:lang w:eastAsia="zh-CN"/>
        </w:rPr>
      </w:pPr>
      <w:r>
        <w:rPr>
          <w:rFonts w:hint="eastAsia"/>
          <w:b/>
          <w:sz w:val="24"/>
          <w:szCs w:val="24"/>
          <w:u w:val="single"/>
          <w:lang w:eastAsia="zh-CN"/>
        </w:rPr>
        <w:t>评标小组按照先技术，后商务报价的顺序进行评议并评分，权重比为5:5。</w:t>
      </w:r>
    </w:p>
    <w:p>
      <w:pPr>
        <w:tabs>
          <w:tab w:val="left" w:pos="8205"/>
        </w:tabs>
        <w:ind w:firstLine="708" w:firstLineChars="300"/>
        <w:rPr>
          <w:spacing w:val="-2"/>
          <w:sz w:val="24"/>
          <w:szCs w:val="24"/>
          <w:lang w:eastAsia="zh-CN"/>
        </w:rPr>
      </w:pPr>
      <w:r>
        <w:rPr>
          <w:rFonts w:hint="eastAsia"/>
          <w:spacing w:val="-2"/>
          <w:sz w:val="24"/>
          <w:szCs w:val="24"/>
          <w:lang w:eastAsia="zh-CN"/>
        </w:rPr>
        <w:t>1.3 评分办法</w:t>
      </w:r>
      <w:r>
        <w:rPr>
          <w:spacing w:val="-2"/>
          <w:sz w:val="24"/>
          <w:szCs w:val="24"/>
          <w:lang w:eastAsia="zh-CN"/>
        </w:rPr>
        <w:tab/>
      </w:r>
    </w:p>
    <w:p>
      <w:pPr>
        <w:ind w:firstLine="708" w:firstLineChars="300"/>
        <w:rPr>
          <w:spacing w:val="-2"/>
          <w:sz w:val="24"/>
          <w:szCs w:val="24"/>
          <w:lang w:eastAsia="zh-CN"/>
        </w:rPr>
      </w:pPr>
      <w:r>
        <w:rPr>
          <w:rFonts w:hint="eastAsia"/>
          <w:spacing w:val="-2"/>
          <w:sz w:val="24"/>
          <w:szCs w:val="24"/>
          <w:lang w:eastAsia="zh-CN"/>
        </w:rPr>
        <w:t xml:space="preserve">1.1.1评分采用百分制，各专项所占分值见下表： </w:t>
      </w:r>
    </w:p>
    <w:tbl>
      <w:tblPr>
        <w:tblStyle w:val="19"/>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sz w:val="21"/>
                <w:szCs w:val="21"/>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sz w:val="21"/>
                <w:szCs w:val="21"/>
                <w:lang w:eastAsia="zh-CN"/>
              </w:rPr>
              <w:t>85</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19"/>
        <w:tblW w:w="9418" w:type="dxa"/>
        <w:tblInd w:w="392" w:type="dxa"/>
        <w:tblLayout w:type="autofit"/>
        <w:tblCellMar>
          <w:top w:w="0" w:type="dxa"/>
          <w:left w:w="108" w:type="dxa"/>
          <w:bottom w:w="0" w:type="dxa"/>
          <w:right w:w="108" w:type="dxa"/>
        </w:tblCellMar>
      </w:tblPr>
      <w:tblGrid>
        <w:gridCol w:w="709"/>
        <w:gridCol w:w="708"/>
        <w:gridCol w:w="1418"/>
        <w:gridCol w:w="567"/>
        <w:gridCol w:w="6016"/>
      </w:tblGrid>
      <w:tr>
        <w:tblPrEx>
          <w:tblCellMar>
            <w:top w:w="0" w:type="dxa"/>
            <w:left w:w="108" w:type="dxa"/>
            <w:bottom w:w="0" w:type="dxa"/>
            <w:right w:w="108" w:type="dxa"/>
          </w:tblCellMar>
        </w:tblPrEx>
        <w:trPr>
          <w:trHeight w:val="46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序号</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分值</w:t>
            </w:r>
          </w:p>
        </w:tc>
        <w:tc>
          <w:tcPr>
            <w:tcW w:w="601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评分细则</w:t>
            </w:r>
          </w:p>
        </w:tc>
      </w:tr>
      <w:tr>
        <w:tblPrEx>
          <w:tblCellMar>
            <w:top w:w="0" w:type="dxa"/>
            <w:left w:w="108" w:type="dxa"/>
            <w:bottom w:w="0" w:type="dxa"/>
            <w:right w:w="108" w:type="dxa"/>
          </w:tblCellMar>
        </w:tblPrEx>
        <w:trPr>
          <w:trHeight w:val="1152" w:hRule="atLeast"/>
        </w:trPr>
        <w:tc>
          <w:tcPr>
            <w:tcW w:w="709" w:type="dxa"/>
            <w:tcBorders>
              <w:top w:val="nil"/>
              <w:left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w:t>
            </w:r>
          </w:p>
        </w:tc>
        <w:tc>
          <w:tcPr>
            <w:tcW w:w="708" w:type="dxa"/>
            <w:tcBorders>
              <w:top w:val="nil"/>
              <w:left w:val="single" w:color="auto" w:sz="4" w:space="0"/>
              <w:right w:val="single" w:color="auto" w:sz="4" w:space="0"/>
            </w:tcBorders>
            <w:shd w:val="clear" w:color="auto" w:fill="auto"/>
            <w:noWrap/>
            <w:vAlign w:val="center"/>
          </w:tcPr>
          <w:p>
            <w:pPr>
              <w:spacing w:line="240" w:lineRule="atLeast"/>
              <w:jc w:val="center"/>
              <w:rPr>
                <w:color w:val="000000"/>
                <w:sz w:val="21"/>
                <w:szCs w:val="21"/>
                <w:lang w:eastAsia="zh-CN"/>
              </w:rPr>
            </w:pPr>
            <w:r>
              <w:rPr>
                <w:rFonts w:hint="eastAsia"/>
                <w:color w:val="000000"/>
                <w:sz w:val="21"/>
                <w:szCs w:val="21"/>
                <w:lang w:eastAsia="zh-CN"/>
              </w:rPr>
              <w:t>商务部分</w:t>
            </w:r>
          </w:p>
        </w:tc>
        <w:tc>
          <w:tcPr>
            <w:tcW w:w="1418" w:type="dxa"/>
            <w:tcBorders>
              <w:top w:val="nil"/>
              <w:left w:val="nil"/>
              <w:right w:val="single" w:color="auto" w:sz="4" w:space="0"/>
            </w:tcBorders>
            <w:shd w:val="clear" w:color="auto" w:fill="auto"/>
            <w:noWrap/>
            <w:vAlign w:val="center"/>
          </w:tcPr>
          <w:p>
            <w:pPr>
              <w:spacing w:line="240" w:lineRule="atLeast"/>
              <w:rPr>
                <w:color w:val="000000"/>
                <w:sz w:val="21"/>
                <w:szCs w:val="21"/>
                <w:lang w:eastAsia="zh-CN"/>
              </w:rPr>
            </w:pPr>
            <w:r>
              <w:rPr>
                <w:rFonts w:hint="eastAsia"/>
                <w:color w:val="000000"/>
                <w:sz w:val="21"/>
                <w:szCs w:val="21"/>
                <w:lang w:eastAsia="zh-CN"/>
              </w:rPr>
              <w:t>可行性研究报告编制业绩</w:t>
            </w:r>
          </w:p>
        </w:tc>
        <w:tc>
          <w:tcPr>
            <w:tcW w:w="567" w:type="dxa"/>
            <w:tcBorders>
              <w:top w:val="nil"/>
              <w:left w:val="nil"/>
              <w:right w:val="single" w:color="auto" w:sz="4" w:space="0"/>
            </w:tcBorders>
            <w:shd w:val="clear" w:color="auto" w:fill="auto"/>
            <w:noWrap/>
            <w:vAlign w:val="center"/>
          </w:tcPr>
          <w:p>
            <w:pPr>
              <w:jc w:val="center"/>
              <w:rPr>
                <w:color w:val="000000"/>
                <w:sz w:val="21"/>
                <w:szCs w:val="21"/>
                <w:lang w:eastAsia="zh-CN"/>
              </w:rPr>
            </w:pPr>
            <w:r>
              <w:rPr>
                <w:color w:val="000000"/>
                <w:sz w:val="21"/>
                <w:szCs w:val="21"/>
                <w:lang w:eastAsia="zh-CN"/>
              </w:rPr>
              <w:t>5</w:t>
            </w:r>
          </w:p>
        </w:tc>
        <w:tc>
          <w:tcPr>
            <w:tcW w:w="6016" w:type="dxa"/>
            <w:tcBorders>
              <w:top w:val="nil"/>
              <w:left w:val="nil"/>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对响应人近</w:t>
            </w:r>
            <w:r>
              <w:rPr>
                <w:color w:val="000000"/>
                <w:sz w:val="21"/>
                <w:szCs w:val="21"/>
                <w:lang w:eastAsia="zh-CN"/>
              </w:rPr>
              <w:t>3年具有烟气脱硝还原剂液氨改尿素可行性研究业绩进行评价，最少1个，最低分1分，每多一项加1分，满分5分。</w:t>
            </w:r>
          </w:p>
          <w:p>
            <w:pPr>
              <w:spacing w:line="240" w:lineRule="atLeast"/>
              <w:rPr>
                <w:color w:val="000000"/>
                <w:sz w:val="21"/>
                <w:szCs w:val="21"/>
                <w:lang w:eastAsia="zh-CN"/>
              </w:rPr>
            </w:pPr>
            <w:r>
              <w:rPr>
                <w:rFonts w:hint="eastAsia"/>
                <w:color w:val="000000"/>
                <w:sz w:val="21"/>
                <w:szCs w:val="21"/>
                <w:lang w:eastAsia="zh-CN"/>
              </w:rPr>
              <w:t>证明材料：相关证明材料复印件。</w:t>
            </w:r>
          </w:p>
        </w:tc>
      </w:tr>
      <w:tr>
        <w:tblPrEx>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lang w:eastAsia="zh-CN"/>
              </w:rPr>
            </w:pPr>
            <w:r>
              <w:rPr>
                <w:rFonts w:hint="eastAsia"/>
                <w:color w:val="000000"/>
                <w:sz w:val="21"/>
                <w:szCs w:val="21"/>
                <w:lang w:eastAsia="zh-CN"/>
              </w:rPr>
              <w:t>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color w:val="000000"/>
                <w:sz w:val="21"/>
                <w:szCs w:val="21"/>
                <w:lang w:eastAsia="zh-CN"/>
              </w:rPr>
            </w:pPr>
            <w:r>
              <w:rPr>
                <w:color w:val="000000"/>
                <w:sz w:val="21"/>
                <w:szCs w:val="21"/>
                <w:lang w:eastAsia="zh-CN"/>
              </w:rPr>
              <w:t>技术部分</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color w:val="000000"/>
                <w:sz w:val="21"/>
                <w:szCs w:val="21"/>
                <w:lang w:eastAsia="zh-CN"/>
              </w:rPr>
            </w:pPr>
            <w:r>
              <w:rPr>
                <w:rFonts w:hint="eastAsia"/>
                <w:color w:val="000000"/>
                <w:sz w:val="21"/>
                <w:szCs w:val="21"/>
                <w:lang w:eastAsia="zh-CN"/>
              </w:rPr>
              <w:t>技术方案</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color w:val="000000"/>
                <w:sz w:val="21"/>
                <w:szCs w:val="21"/>
                <w:lang w:eastAsia="zh-CN"/>
              </w:rPr>
              <w:t>15</w:t>
            </w:r>
          </w:p>
        </w:tc>
        <w:tc>
          <w:tcPr>
            <w:tcW w:w="60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rFonts w:hint="eastAsia"/>
                <w:color w:val="000000"/>
                <w:sz w:val="21"/>
                <w:szCs w:val="21"/>
                <w:lang w:eastAsia="zh-CN"/>
              </w:rPr>
              <w:t>根据响应人的技术方案横向比较综合评审。</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方案要求：针对本工程的建设条件进行初步分析和论证，提出建设设想及方案，并进行工程的投资估算及经济效益分析、风险分析等。</w:t>
            </w:r>
          </w:p>
        </w:tc>
      </w:tr>
      <w:tr>
        <w:tblPrEx>
          <w:tblCellMar>
            <w:top w:w="0" w:type="dxa"/>
            <w:left w:w="108" w:type="dxa"/>
            <w:bottom w:w="0" w:type="dxa"/>
            <w:right w:w="108" w:type="dxa"/>
          </w:tblCellMar>
        </w:tblPrEx>
        <w:trPr>
          <w:trHeight w:val="848"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color w:val="000000"/>
                <w:sz w:val="21"/>
                <w:szCs w:val="21"/>
                <w:lang w:eastAsia="zh-CN"/>
              </w:rPr>
              <w:t>3</w:t>
            </w:r>
          </w:p>
        </w:tc>
        <w:tc>
          <w:tcPr>
            <w:tcW w:w="708" w:type="dxa"/>
            <w:tcBorders>
              <w:top w:val="nil"/>
              <w:left w:val="nil"/>
              <w:bottom w:val="single" w:color="auto" w:sz="4" w:space="0"/>
              <w:right w:val="single" w:color="auto" w:sz="4" w:space="0"/>
            </w:tcBorders>
            <w:shd w:val="clear" w:color="auto" w:fill="auto"/>
            <w:noWrap/>
            <w:vAlign w:val="center"/>
          </w:tcPr>
          <w:p>
            <w:pPr>
              <w:widowControl/>
              <w:autoSpaceDE/>
              <w:autoSpaceDN/>
              <w:spacing w:line="240" w:lineRule="atLeast"/>
              <w:jc w:val="center"/>
              <w:rPr>
                <w:color w:val="000000"/>
                <w:sz w:val="21"/>
                <w:szCs w:val="21"/>
                <w:lang w:eastAsia="zh-CN"/>
              </w:rPr>
            </w:pPr>
            <w:r>
              <w:rPr>
                <w:rFonts w:hint="eastAsia"/>
                <w:color w:val="000000"/>
                <w:sz w:val="21"/>
                <w:szCs w:val="21"/>
                <w:lang w:eastAsia="zh-CN"/>
              </w:rPr>
              <w:t>商务报价部分</w:t>
            </w: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报价</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color w:val="000000"/>
                <w:sz w:val="21"/>
                <w:szCs w:val="21"/>
                <w:lang w:eastAsia="zh-CN"/>
              </w:rPr>
              <w:t>80</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color w:val="000000"/>
                <w:sz w:val="21"/>
                <w:szCs w:val="21"/>
                <w:lang w:eastAsia="zh-CN"/>
              </w:rPr>
              <w:t>1：价格得分满分M=80分，价格得分计算规则为：</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投标报价为固定总价，最高限价为：</w:t>
            </w:r>
            <w:r>
              <w:rPr>
                <w:color w:val="000000"/>
                <w:sz w:val="21"/>
                <w:szCs w:val="21"/>
                <w:lang w:eastAsia="zh-CN"/>
              </w:rPr>
              <w:t>25万元</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投标人的报价应控制在招标人设定的最高限价（含）以下，高于最高限价的报价，作无效处理；</w:t>
            </w:r>
            <w:r>
              <w:rPr>
                <w:color w:val="000000"/>
                <w:sz w:val="21"/>
                <w:szCs w:val="21"/>
                <w:lang w:eastAsia="zh-CN"/>
              </w:rPr>
              <w:t xml:space="preserve"> </w:t>
            </w:r>
          </w:p>
          <w:p>
            <w:pPr>
              <w:widowControl/>
              <w:autoSpaceDE/>
              <w:autoSpaceDN/>
              <w:spacing w:line="240" w:lineRule="atLeast"/>
              <w:jc w:val="both"/>
              <w:rPr>
                <w:color w:val="000000"/>
                <w:sz w:val="21"/>
                <w:szCs w:val="21"/>
                <w:lang w:eastAsia="zh-CN"/>
              </w:rPr>
            </w:pPr>
            <w:r>
              <w:rPr>
                <w:color w:val="000000"/>
                <w:sz w:val="21"/>
                <w:szCs w:val="21"/>
                <w:lang w:eastAsia="zh-CN"/>
              </w:rPr>
              <w:t>2：</w:t>
            </w:r>
            <w:r>
              <w:rPr>
                <w:rFonts w:hint="eastAsia"/>
                <w:color w:val="000000"/>
                <w:sz w:val="21"/>
                <w:szCs w:val="21"/>
                <w:lang w:eastAsia="zh-CN"/>
              </w:rPr>
              <w:t>投标价格得分</w:t>
            </w:r>
            <w:r>
              <w:rPr>
                <w:color w:val="000000"/>
                <w:sz w:val="21"/>
                <w:szCs w:val="21"/>
                <w:lang w:eastAsia="zh-CN"/>
              </w:rPr>
              <w:t>=( F</w:t>
            </w:r>
            <w:r>
              <w:rPr>
                <w:color w:val="000000"/>
                <w:sz w:val="21"/>
                <w:szCs w:val="21"/>
                <w:vertAlign w:val="subscript"/>
                <w:lang w:eastAsia="zh-CN"/>
              </w:rPr>
              <w:t>低</w:t>
            </w:r>
            <w:r>
              <w:rPr>
                <w:color w:val="000000"/>
                <w:sz w:val="21"/>
                <w:szCs w:val="21"/>
                <w:lang w:eastAsia="zh-CN"/>
              </w:rPr>
              <w:t>/ Fn)×80</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式中：①</w:t>
            </w:r>
            <w:r>
              <w:rPr>
                <w:color w:val="000000"/>
                <w:sz w:val="21"/>
                <w:szCs w:val="21"/>
                <w:lang w:eastAsia="zh-CN"/>
              </w:rPr>
              <w:t>F</w:t>
            </w:r>
            <w:r>
              <w:rPr>
                <w:color w:val="000000"/>
                <w:sz w:val="21"/>
                <w:szCs w:val="21"/>
                <w:vertAlign w:val="subscript"/>
                <w:lang w:eastAsia="zh-CN"/>
              </w:rPr>
              <w:t>低</w:t>
            </w:r>
            <w:r>
              <w:rPr>
                <w:color w:val="000000"/>
                <w:sz w:val="21"/>
                <w:szCs w:val="21"/>
                <w:lang w:eastAsia="zh-CN"/>
              </w:rPr>
              <w:t>为评标基准价=进入报价部分评分的各合格投标人中最低的报价评标价。</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②</w:t>
            </w:r>
            <w:r>
              <w:rPr>
                <w:color w:val="000000"/>
                <w:sz w:val="21"/>
                <w:szCs w:val="21"/>
                <w:lang w:eastAsia="zh-CN"/>
              </w:rPr>
              <w:t>Fn为进入报价部分评分的各合格投标人的报价评标价。</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3：</w:t>
            </w:r>
            <w:r>
              <w:rPr>
                <w:color w:val="000000"/>
                <w:sz w:val="21"/>
                <w:szCs w:val="21"/>
                <w:lang w:eastAsia="zh-CN"/>
              </w:rPr>
              <w:t>投标报价得分小数点后保留两位，小数点后第三位四舍五入</w:t>
            </w:r>
          </w:p>
        </w:tc>
      </w:tr>
    </w:tbl>
    <w:p>
      <w:pPr>
        <w:pStyle w:val="8"/>
        <w:ind w:firstLine="480" w:firstLineChars="200"/>
        <w:rPr>
          <w:lang w:eastAsia="zh-CN"/>
        </w:rPr>
      </w:pPr>
      <w:r>
        <w:rPr>
          <w:lang w:eastAsia="zh-CN"/>
        </w:rPr>
        <w:t>2.参选人串选、相互勾结故意压低标价以排挤竞争对手的公平竞争的，其参选无效。</w:t>
      </w:r>
    </w:p>
    <w:p>
      <w:pPr>
        <w:pStyle w:val="8"/>
        <w:ind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pPr>
        <w:pStyle w:val="3"/>
        <w:ind w:left="0"/>
        <w:rPr>
          <w:sz w:val="24"/>
          <w:szCs w:val="24"/>
          <w:lang w:eastAsia="zh-CN"/>
        </w:rPr>
      </w:pPr>
      <w:r>
        <w:rPr>
          <w:rFonts w:hint="eastAsia"/>
          <w:w w:val="95"/>
          <w:sz w:val="24"/>
          <w:szCs w:val="24"/>
          <w:lang w:eastAsia="zh-CN"/>
        </w:rPr>
        <w:t>三</w:t>
      </w:r>
      <w:r>
        <w:rPr>
          <w:w w:val="95"/>
          <w:sz w:val="24"/>
          <w:szCs w:val="24"/>
          <w:lang w:eastAsia="zh-CN"/>
        </w:rPr>
        <w:t>、资格审查：</w:t>
      </w:r>
    </w:p>
    <w:p>
      <w:pPr>
        <w:pStyle w:val="8"/>
        <w:ind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8"/>
        <w:ind w:firstLine="52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的综合评分，综合得分最高者作为第一候选人。</w:t>
      </w:r>
    </w:p>
    <w:p>
      <w:pPr>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8"/>
        <w:rPr>
          <w:lang w:eastAsia="zh-CN"/>
        </w:rPr>
      </w:pPr>
      <w:r>
        <w:rPr>
          <w:lang w:eastAsia="zh-CN"/>
        </w:rPr>
        <w:t>1.对比选文件提出的实质性要求和条件，参选文件未能在实质上响应的。</w:t>
      </w:r>
    </w:p>
    <w:p>
      <w:pPr>
        <w:pStyle w:val="8"/>
        <w:rPr>
          <w:lang w:eastAsia="zh-CN"/>
        </w:rPr>
      </w:pPr>
      <w:r>
        <w:rPr>
          <w:lang w:eastAsia="zh-CN"/>
        </w:rPr>
        <w:t>2.参选文件存在重大偏差的。</w:t>
      </w:r>
    </w:p>
    <w:p>
      <w:pPr>
        <w:pStyle w:val="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ind w:left="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ind w:left="0" w:firstLine="3373" w:firstLineChars="1200"/>
        <w:jc w:val="both"/>
        <w:rPr>
          <w:lang w:eastAsia="zh-CN"/>
        </w:rPr>
      </w:pPr>
    </w:p>
    <w:p>
      <w:pPr>
        <w:pStyle w:val="3"/>
        <w:tabs>
          <w:tab w:val="left" w:pos="1632"/>
        </w:tabs>
        <w:ind w:left="0"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ind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ind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ind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adjustRightInd/>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adjustRightInd/>
        <w:spacing w:line="360" w:lineRule="auto"/>
        <w:ind w:firstLine="437"/>
        <w:rPr>
          <w:sz w:val="24"/>
          <w:szCs w:val="24"/>
        </w:rPr>
      </w:pPr>
      <w:r>
        <w:rPr>
          <w:rFonts w:hint="eastAsia"/>
          <w:sz w:val="24"/>
          <w:szCs w:val="24"/>
        </w:rPr>
        <w:t>9.</w:t>
      </w:r>
      <w:r>
        <w:rPr>
          <w:rFonts w:hint="eastAsia"/>
        </w:rPr>
        <w:t xml:space="preserve"> </w:t>
      </w:r>
      <w:r>
        <w:rPr>
          <w:rStyle w:val="22"/>
          <w:rFonts w:hint="eastAsia"/>
          <w:sz w:val="24"/>
          <w:szCs w:val="24"/>
        </w:rPr>
        <w:t>福建福海创石油化工有限公司的权属子公司“腾龙芳烃（漳州）有限公司”作为合同执行主体，将于中选通知书发出之日起20日内与中选人完成合同签订事宜。</w:t>
      </w:r>
    </w:p>
    <w:p>
      <w:pPr>
        <w:spacing w:line="321" w:lineRule="auto"/>
        <w:jc w:val="both"/>
        <w:rPr>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ind w:left="0"/>
        <w:jc w:val="center"/>
        <w:rPr>
          <w:lang w:eastAsia="zh-CN"/>
        </w:rPr>
      </w:pPr>
      <w:r>
        <w:rPr>
          <w:lang w:eastAsia="zh-CN"/>
        </w:rPr>
        <w:t>第六章</w:t>
      </w:r>
      <w:r>
        <w:rPr>
          <w:rFonts w:hint="eastAsia"/>
          <w:lang w:eastAsia="zh-CN"/>
        </w:rPr>
        <w:t xml:space="preserve"> </w:t>
      </w:r>
      <w:r>
        <w:rPr>
          <w:lang w:eastAsia="zh-CN"/>
        </w:rPr>
        <w:t xml:space="preserve">  </w:t>
      </w:r>
      <w:r>
        <w:rPr>
          <w:spacing w:val="-1"/>
          <w:w w:val="95"/>
          <w:lang w:eastAsia="zh-CN"/>
        </w:rPr>
        <w:t>中选后相关</w:t>
      </w:r>
      <w:r>
        <w:rPr>
          <w:w w:val="95"/>
          <w:lang w:eastAsia="zh-CN"/>
        </w:rPr>
        <w:t>履约要求</w:t>
      </w:r>
    </w:p>
    <w:p>
      <w:pPr>
        <w:pStyle w:val="8"/>
        <w:ind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8"/>
        <w:ind w:firstLine="480" w:firstLineChars="200"/>
        <w:jc w:val="both"/>
        <w:rPr>
          <w:lang w:eastAsia="zh-CN"/>
        </w:rPr>
      </w:pPr>
      <w:r>
        <w:rPr>
          <w:lang w:eastAsia="zh-CN"/>
        </w:rPr>
        <w:t>2.</w:t>
      </w:r>
      <w:r>
        <w:rPr>
          <w:spacing w:val="-2"/>
          <w:lang w:eastAsia="zh-CN"/>
        </w:rPr>
        <w:t>中选单位必须严格执行</w:t>
      </w:r>
      <w:r>
        <w:rPr>
          <w:rFonts w:ascii="微软雅黑" w:eastAsia="微软雅黑"/>
          <w:u w:val="single"/>
          <w:lang w:eastAsia="zh-CN"/>
        </w:rPr>
        <w:t>热电厂4×670t/h锅炉烟气脱硝</w:t>
      </w:r>
      <w:r>
        <w:rPr>
          <w:rFonts w:hint="eastAsia" w:ascii="微软雅黑" w:eastAsia="微软雅黑"/>
          <w:u w:val="single"/>
          <w:lang w:eastAsia="zh-CN"/>
        </w:rPr>
        <w:t>还原剂</w:t>
      </w:r>
      <w:r>
        <w:rPr>
          <w:rFonts w:ascii="微软雅黑" w:eastAsia="微软雅黑"/>
          <w:u w:val="single"/>
          <w:lang w:eastAsia="zh-CN"/>
        </w:rPr>
        <w:t>液氨改尿素项目可行性研究报告</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80" w:firstLineChars="1100"/>
        <w:jc w:val="both"/>
        <w:rPr>
          <w:lang w:eastAsia="zh-CN"/>
        </w:rPr>
      </w:pPr>
    </w:p>
    <w:p>
      <w:pPr>
        <w:pStyle w:val="3"/>
        <w:tabs>
          <w:tab w:val="left" w:pos="1912"/>
        </w:tabs>
        <w:spacing w:line="355" w:lineRule="exact"/>
        <w:ind w:left="647" w:firstLine="3080"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spacing w:before="12"/>
        <w:rPr>
          <w:b/>
          <w:sz w:val="33"/>
          <w:lang w:eastAsia="zh-CN"/>
        </w:rPr>
      </w:pPr>
    </w:p>
    <w:p>
      <w:pPr>
        <w:pStyle w:val="8"/>
        <w:ind w:left="218"/>
        <w:rPr>
          <w:lang w:eastAsia="zh-CN"/>
        </w:rPr>
      </w:pPr>
      <w:r>
        <w:rPr>
          <w:lang w:eastAsia="zh-CN"/>
        </w:rPr>
        <w:t>1.参选人的参选文件无论其是否中选，均不退回。</w:t>
      </w:r>
    </w:p>
    <w:p>
      <w:pPr>
        <w:pStyle w:val="8"/>
        <w:spacing w:before="108"/>
        <w:ind w:left="218"/>
        <w:rPr>
          <w:lang w:eastAsia="zh-CN"/>
        </w:rPr>
      </w:pPr>
      <w:r>
        <w:rPr>
          <w:lang w:eastAsia="zh-CN"/>
        </w:rPr>
        <w:t>2.比选人郑重承诺：参选人所提交的参选文件及相关资料不向第三方泄露。</w:t>
      </w:r>
    </w:p>
    <w:p>
      <w:pPr>
        <w:pStyle w:val="8"/>
        <w:spacing w:before="106"/>
        <w:ind w:left="218"/>
        <w:rPr>
          <w:lang w:eastAsia="zh-CN"/>
        </w:rPr>
      </w:pPr>
      <w:r>
        <w:rPr>
          <w:lang w:eastAsia="zh-CN"/>
        </w:rPr>
        <w:t>3.本比选文件的解释权归福建福海创石油化工有限公司。</w:t>
      </w:r>
    </w:p>
    <w:p>
      <w:pPr>
        <w:pStyle w:val="8"/>
        <w:spacing w:before="106"/>
        <w:ind w:left="218"/>
        <w:rPr>
          <w:lang w:eastAsia="zh-CN"/>
        </w:rPr>
      </w:pPr>
      <w:r>
        <w:rPr>
          <w:lang w:eastAsia="zh-CN"/>
        </w:rPr>
        <w:br w:type="page"/>
      </w:r>
    </w:p>
    <w:p>
      <w:pPr>
        <w:pStyle w:val="8"/>
        <w:rPr>
          <w:rFonts w:ascii="Times New Roman"/>
          <w:b/>
          <w:bCs/>
          <w:lang w:eastAsia="zh-CN"/>
        </w:rPr>
      </w:pPr>
      <w:bookmarkStart w:id="9" w:name="_Toc251742852"/>
      <w:r>
        <w:rPr>
          <w:rFonts w:hint="eastAsia" w:ascii="Times New Roman"/>
          <w:b/>
          <w:bCs/>
          <w:lang w:eastAsia="zh-CN"/>
        </w:rPr>
        <w:t>附件一</w:t>
      </w:r>
    </w:p>
    <w:p>
      <w:pPr>
        <w:pStyle w:val="10"/>
        <w:spacing w:line="400" w:lineRule="exact"/>
        <w:jc w:val="center"/>
        <w:rPr>
          <w:rFonts w:hAnsi="宋体"/>
          <w:b/>
          <w:sz w:val="32"/>
          <w:szCs w:val="32"/>
          <w:lang w:eastAsia="zh-CN"/>
        </w:rPr>
      </w:pPr>
      <w:r>
        <w:rPr>
          <w:rFonts w:hAnsi="宋体"/>
          <w:b/>
          <w:sz w:val="32"/>
          <w:szCs w:val="32"/>
          <w:lang w:eastAsia="zh-CN"/>
        </w:rPr>
        <w:t>腾龙芳烃</w:t>
      </w:r>
      <w:r>
        <w:rPr>
          <w:rFonts w:hint="eastAsia" w:hAnsi="宋体"/>
          <w:b/>
          <w:sz w:val="32"/>
          <w:szCs w:val="32"/>
          <w:lang w:eastAsia="zh-CN"/>
        </w:rPr>
        <w:t>（漳州）有限公司</w:t>
      </w:r>
    </w:p>
    <w:p>
      <w:pPr>
        <w:pStyle w:val="10"/>
        <w:spacing w:line="400" w:lineRule="exact"/>
        <w:jc w:val="center"/>
        <w:rPr>
          <w:rFonts w:asciiTheme="majorEastAsia" w:hAnsiTheme="majorEastAsia" w:eastAsiaTheme="majorEastAsia"/>
          <w:b/>
          <w:sz w:val="30"/>
          <w:szCs w:val="30"/>
          <w:lang w:eastAsia="zh-CN"/>
        </w:rPr>
      </w:pPr>
      <w:r>
        <w:rPr>
          <w:rFonts w:asciiTheme="majorEastAsia" w:hAnsiTheme="majorEastAsia" w:eastAsiaTheme="majorEastAsia"/>
          <w:b/>
          <w:sz w:val="30"/>
          <w:szCs w:val="30"/>
          <w:lang w:eastAsia="zh-CN"/>
        </w:rPr>
        <w:t>热电厂4×670t/h锅炉烟气脱硝</w:t>
      </w:r>
      <w:r>
        <w:rPr>
          <w:rFonts w:hint="eastAsia" w:asciiTheme="majorEastAsia" w:hAnsiTheme="majorEastAsia" w:eastAsiaTheme="majorEastAsia"/>
          <w:b/>
          <w:sz w:val="30"/>
          <w:szCs w:val="30"/>
          <w:lang w:eastAsia="zh-CN"/>
        </w:rPr>
        <w:t>还原剂</w:t>
      </w:r>
      <w:r>
        <w:rPr>
          <w:rFonts w:asciiTheme="majorEastAsia" w:hAnsiTheme="majorEastAsia" w:eastAsiaTheme="majorEastAsia"/>
          <w:b/>
          <w:sz w:val="30"/>
          <w:szCs w:val="30"/>
          <w:lang w:eastAsia="zh-CN"/>
        </w:rPr>
        <w:t>液氨改尿素</w:t>
      </w:r>
    </w:p>
    <w:p>
      <w:pPr>
        <w:pStyle w:val="10"/>
        <w:spacing w:line="400" w:lineRule="exact"/>
        <w:jc w:val="center"/>
        <w:rPr>
          <w:rFonts w:asciiTheme="majorEastAsia" w:hAnsiTheme="majorEastAsia" w:eastAsiaTheme="majorEastAsia"/>
          <w:b/>
          <w:sz w:val="30"/>
          <w:szCs w:val="30"/>
          <w:lang w:eastAsia="zh-CN"/>
        </w:rPr>
      </w:pPr>
      <w:r>
        <w:rPr>
          <w:rFonts w:asciiTheme="majorEastAsia" w:hAnsiTheme="majorEastAsia" w:eastAsiaTheme="majorEastAsia"/>
          <w:b/>
          <w:sz w:val="30"/>
          <w:szCs w:val="30"/>
          <w:lang w:eastAsia="zh-CN"/>
        </w:rPr>
        <w:t>可行性研究</w:t>
      </w:r>
      <w:r>
        <w:rPr>
          <w:rFonts w:hint="eastAsia" w:asciiTheme="majorEastAsia" w:hAnsiTheme="majorEastAsia" w:eastAsiaTheme="majorEastAsia"/>
          <w:b/>
          <w:sz w:val="30"/>
          <w:szCs w:val="30"/>
          <w:lang w:eastAsia="zh-CN"/>
        </w:rPr>
        <w:t>项目技术服务合同</w:t>
      </w:r>
    </w:p>
    <w:p>
      <w:pPr>
        <w:pStyle w:val="10"/>
        <w:spacing w:line="400" w:lineRule="exact"/>
        <w:jc w:val="center"/>
        <w:rPr>
          <w:rFonts w:hAnsi="宋体"/>
          <w:sz w:val="24"/>
          <w:szCs w:val="24"/>
          <w:lang w:eastAsia="zh-CN"/>
        </w:rPr>
      </w:pPr>
    </w:p>
    <w:p>
      <w:pPr>
        <w:pStyle w:val="10"/>
        <w:jc w:val="center"/>
        <w:rPr>
          <w:rFonts w:hAnsi="宋体"/>
          <w:sz w:val="24"/>
          <w:szCs w:val="24"/>
          <w:lang w:eastAsia="zh-CN"/>
        </w:rPr>
      </w:pPr>
      <w:r>
        <w:rPr>
          <w:rFonts w:hAnsi="宋体"/>
          <w:sz w:val="24"/>
          <w:szCs w:val="24"/>
          <w:lang w:eastAsia="zh-CN"/>
        </w:rPr>
        <w:t xml:space="preserve">                             </w:t>
      </w:r>
      <w:r>
        <w:rPr>
          <w:rFonts w:hint="eastAsia" w:hAnsi="宋体"/>
          <w:sz w:val="24"/>
          <w:szCs w:val="24"/>
          <w:lang w:eastAsia="zh-CN"/>
        </w:rPr>
        <w:t>合同编号：</w:t>
      </w:r>
    </w:p>
    <w:p>
      <w:pPr>
        <w:pStyle w:val="10"/>
        <w:jc w:val="center"/>
        <w:rPr>
          <w:rFonts w:hAnsi="宋体"/>
          <w:sz w:val="24"/>
          <w:szCs w:val="24"/>
          <w:lang w:eastAsia="zh-CN"/>
        </w:rPr>
      </w:pPr>
      <w:r>
        <w:rPr>
          <w:rFonts w:hint="eastAsia" w:hAnsi="宋体"/>
          <w:sz w:val="24"/>
          <w:szCs w:val="24"/>
          <w:lang w:eastAsia="zh-CN"/>
        </w:rPr>
        <w:t xml:space="preserve"> </w:t>
      </w:r>
      <w:r>
        <w:rPr>
          <w:rFonts w:hAnsi="宋体"/>
          <w:sz w:val="24"/>
          <w:szCs w:val="24"/>
          <w:lang w:eastAsia="zh-CN"/>
        </w:rPr>
        <w:t xml:space="preserve">                             </w:t>
      </w:r>
      <w:r>
        <w:rPr>
          <w:rFonts w:hint="eastAsia" w:hAnsi="宋体"/>
          <w:sz w:val="24"/>
          <w:szCs w:val="24"/>
          <w:lang w:eastAsia="zh-CN"/>
        </w:rPr>
        <w:t>签订时间：</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：腾龙芳烃（漳州）有限公司</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福建省漳州市古雷开发区腾龙路86号</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：睢忠平</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：福建省漳州市漳浦县古雷经济开发区腾龙路86号</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r>
        <w:rPr>
          <w:rFonts w:hint="eastAsia"/>
          <w:spacing w:val="-4"/>
          <w:sz w:val="24"/>
          <w:szCs w:val="24"/>
          <w:lang w:eastAsia="zh-CN"/>
        </w:rPr>
        <w:t>0596-631</w:t>
      </w:r>
      <w:r>
        <w:rPr>
          <w:spacing w:val="-4"/>
          <w:sz w:val="24"/>
          <w:szCs w:val="24"/>
          <w:lang w:eastAsia="zh-CN"/>
        </w:rPr>
        <w:t>2096</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：yxqiu@fhcpec.com.cn</w:t>
      </w:r>
    </w:p>
    <w:p>
      <w:pPr>
        <w:pStyle w:val="10"/>
        <w:rPr>
          <w:rFonts w:asciiTheme="minorEastAsia" w:hAnsiTheme="minorEastAsia" w:eastAsiaTheme="minorEastAsia"/>
          <w:sz w:val="24"/>
          <w:szCs w:val="24"/>
          <w:lang w:eastAsia="zh-CN"/>
        </w:rPr>
      </w:pP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项目联系人：</w:t>
      </w:r>
      <w:r>
        <w:rPr>
          <w:rFonts w:asciiTheme="minorEastAsia" w:hAnsiTheme="minorEastAsia" w:eastAsiaTheme="minorEastAsia"/>
          <w:sz w:val="24"/>
          <w:szCs w:val="24"/>
          <w:lang w:eastAsia="zh-CN"/>
        </w:rPr>
        <w:t xml:space="preserve"> </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10"/>
        <w:rPr>
          <w:rFonts w:cs="黑体" w:asciiTheme="majorEastAsia" w:hAnsiTheme="majorEastAsia" w:eastAsiaTheme="majorEastAsia"/>
          <w:sz w:val="24"/>
          <w:u w:val="single"/>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lang w:eastAsia="zh-CN"/>
        </w:rPr>
        <w:t>本合同由甲方委托乙方就</w:t>
      </w:r>
      <w:r>
        <w:rPr>
          <w:rFonts w:asciiTheme="majorEastAsia" w:hAnsiTheme="majorEastAsia" w:eastAsiaTheme="majorEastAsia"/>
          <w:b/>
          <w:sz w:val="24"/>
          <w:szCs w:val="24"/>
          <w:lang w:eastAsia="zh-CN"/>
        </w:rPr>
        <w:t>热电厂4×670t/h锅炉烟气脱硝</w:t>
      </w:r>
      <w:r>
        <w:rPr>
          <w:rFonts w:hint="eastAsia" w:asciiTheme="majorEastAsia" w:hAnsiTheme="majorEastAsia" w:eastAsiaTheme="majorEastAsia"/>
          <w:b/>
          <w:sz w:val="24"/>
          <w:szCs w:val="24"/>
          <w:lang w:eastAsia="zh-CN"/>
        </w:rPr>
        <w:t>还原剂</w:t>
      </w:r>
      <w:r>
        <w:rPr>
          <w:rFonts w:asciiTheme="majorEastAsia" w:hAnsiTheme="majorEastAsia" w:eastAsiaTheme="majorEastAsia"/>
          <w:b/>
          <w:sz w:val="24"/>
          <w:szCs w:val="24"/>
          <w:lang w:eastAsia="zh-CN"/>
        </w:rPr>
        <w:t>液氨改尿素可行性研究项目</w:t>
      </w:r>
      <w:r>
        <w:rPr>
          <w:rFonts w:hint="eastAsia" w:asciiTheme="minorEastAsia" w:hAnsiTheme="minorEastAsia" w:eastAsiaTheme="minorEastAsia"/>
          <w:sz w:val="24"/>
          <w:lang w:eastAsia="zh-CN"/>
        </w:rPr>
        <w:t>进行技术服务，并支付技术服务报酬。双方经过平等协商，在真实、充分地表达各自意愿的基础上，根据《中华人民共和国民法典》的规定，达成如下协议，并由双方共同恪守。</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乙方进行技术服务的内容、要求、方式：</w:t>
      </w:r>
    </w:p>
    <w:p>
      <w:pPr>
        <w:pStyle w:val="10"/>
        <w:ind w:left="2760" w:hanging="2760" w:hangingChars="1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1.技术服务内容：</w:t>
      </w:r>
      <w:r>
        <w:rPr>
          <w:rFonts w:asciiTheme="majorEastAsia" w:hAnsiTheme="majorEastAsia" w:eastAsiaTheme="majorEastAsia"/>
          <w:sz w:val="24"/>
          <w:szCs w:val="24"/>
          <w:u w:val="single"/>
          <w:lang w:eastAsia="zh-CN"/>
        </w:rPr>
        <w:t>热电厂4×670t/h锅炉烟气脱硝</w:t>
      </w:r>
      <w:r>
        <w:rPr>
          <w:rFonts w:hint="eastAsia" w:asciiTheme="majorEastAsia" w:hAnsiTheme="majorEastAsia" w:eastAsiaTheme="majorEastAsia"/>
          <w:sz w:val="24"/>
          <w:szCs w:val="24"/>
          <w:u w:val="single"/>
          <w:lang w:eastAsia="zh-CN"/>
        </w:rPr>
        <w:t>还原剂</w:t>
      </w:r>
      <w:r>
        <w:rPr>
          <w:rFonts w:asciiTheme="majorEastAsia" w:hAnsiTheme="majorEastAsia" w:eastAsiaTheme="majorEastAsia"/>
          <w:sz w:val="24"/>
          <w:szCs w:val="24"/>
          <w:u w:val="single"/>
          <w:lang w:eastAsia="zh-CN"/>
        </w:rPr>
        <w:t>液氨改尿素可行性研究</w:t>
      </w:r>
      <w:r>
        <w:rPr>
          <w:rFonts w:hint="eastAsia"/>
          <w:sz w:val="24"/>
          <w:szCs w:val="24"/>
          <w:u w:val="single"/>
          <w:lang w:eastAsia="zh-CN"/>
        </w:rPr>
        <w:t>及</w:t>
      </w:r>
      <w:r>
        <w:rPr>
          <w:rFonts w:hint="eastAsia" w:asciiTheme="minorEastAsia" w:hAnsiTheme="minorEastAsia" w:eastAsiaTheme="minorEastAsia"/>
          <w:sz w:val="24"/>
          <w:u w:val="single"/>
          <w:lang w:eastAsia="zh-CN"/>
        </w:rPr>
        <w:t>项目申请</w:t>
      </w:r>
      <w:r>
        <w:rPr>
          <w:rFonts w:hint="eastAsia" w:asciiTheme="minorEastAsia" w:hAnsiTheme="minorEastAsia" w:eastAsiaTheme="minorEastAsia"/>
          <w:sz w:val="24"/>
          <w:szCs w:val="24"/>
          <w:u w:val="single"/>
          <w:lang w:eastAsia="zh-CN"/>
        </w:rPr>
        <w:t xml:space="preserve">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2.技术服务要求：</w:t>
      </w:r>
      <w:r>
        <w:rPr>
          <w:rFonts w:hint="eastAsia" w:asciiTheme="minorEastAsia" w:hAnsiTheme="minorEastAsia" w:eastAsiaTheme="minorEastAsia"/>
          <w:sz w:val="24"/>
          <w:szCs w:val="24"/>
          <w:u w:val="single"/>
          <w:lang w:eastAsia="zh-CN"/>
        </w:rPr>
        <w:t xml:space="preserve"> 详见附件“技术规范书”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乙方按照下列要求进行本合同项目的技术咨询工作：</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1.技术服务地点：</w:t>
      </w:r>
      <w:r>
        <w:rPr>
          <w:rFonts w:hint="eastAsia" w:asciiTheme="minorEastAsia" w:hAnsiTheme="minorEastAsia" w:eastAsiaTheme="minorEastAsia"/>
          <w:sz w:val="24"/>
          <w:szCs w:val="24"/>
          <w:u w:val="single"/>
          <w:lang w:eastAsia="zh-CN"/>
        </w:rPr>
        <w:t xml:space="preserve"> 腾龙芳烃（漳州）有限公司  </w:t>
      </w:r>
    </w:p>
    <w:p>
      <w:pPr>
        <w:rPr>
          <w:rFonts w:asciiTheme="majorEastAsia" w:hAnsiTheme="majorEastAsia" w:eastAsiaTheme="majorEastAsia"/>
          <w:sz w:val="24"/>
          <w:szCs w:val="24"/>
          <w:lang w:eastAsia="zh-CN"/>
        </w:rPr>
      </w:pPr>
      <w:r>
        <w:rPr>
          <w:rFonts w:hint="eastAsia" w:asciiTheme="minorEastAsia" w:hAnsiTheme="minorEastAsia" w:eastAsiaTheme="minorEastAsia"/>
          <w:sz w:val="24"/>
          <w:szCs w:val="24"/>
          <w:lang w:eastAsia="zh-CN"/>
        </w:rPr>
        <w:t>2.技术服务期限：</w:t>
      </w:r>
      <w:r>
        <w:rPr>
          <w:rFonts w:hint="eastAsia" w:asciiTheme="majorEastAsia" w:hAnsiTheme="majorEastAsia" w:eastAsiaTheme="majorEastAsia"/>
          <w:sz w:val="24"/>
          <w:szCs w:val="24"/>
          <w:lang w:eastAsia="zh-CN"/>
        </w:rPr>
        <w:t xml:space="preserve">1）合同签订后60天完成可研报告并通过专家评审； </w:t>
      </w:r>
    </w:p>
    <w:p>
      <w:pPr>
        <w:pStyle w:val="10"/>
        <w:ind w:firstLine="1920" w:firstLineChars="800"/>
        <w:rPr>
          <w:rFonts w:asciiTheme="minorEastAsia" w:hAnsiTheme="minorEastAsia" w:eastAsiaTheme="minorEastAsia"/>
          <w:sz w:val="24"/>
          <w:szCs w:val="24"/>
          <w:lang w:eastAsia="zh-CN"/>
        </w:rPr>
      </w:pPr>
      <w:r>
        <w:rPr>
          <w:rFonts w:hint="eastAsia" w:asciiTheme="majorEastAsia" w:hAnsiTheme="majorEastAsia" w:eastAsiaTheme="majorEastAsia"/>
          <w:sz w:val="24"/>
          <w:szCs w:val="24"/>
          <w:lang w:eastAsia="zh-CN"/>
        </w:rPr>
        <w:t>2）资料提供齐全后20天内完成项目申请报告。</w:t>
      </w:r>
      <w:r>
        <w:rPr>
          <w:rFonts w:hint="eastAsia"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3.技术服务进度：</w:t>
      </w:r>
    </w:p>
    <w:p>
      <w:pPr>
        <w:rPr>
          <w:sz w:val="24"/>
          <w:szCs w:val="28"/>
          <w:lang w:eastAsia="zh-CN"/>
        </w:rPr>
      </w:pPr>
      <w:r>
        <w:rPr>
          <w:rFonts w:hint="eastAsia"/>
          <w:sz w:val="24"/>
          <w:szCs w:val="28"/>
          <w:lang w:eastAsia="zh-CN"/>
        </w:rPr>
        <w:t>1）合同签订后</w:t>
      </w:r>
      <w:r>
        <w:rPr>
          <w:sz w:val="24"/>
          <w:szCs w:val="28"/>
          <w:lang w:eastAsia="zh-CN"/>
        </w:rPr>
        <w:t>2</w:t>
      </w:r>
      <w:r>
        <w:rPr>
          <w:rFonts w:hint="eastAsia"/>
          <w:sz w:val="24"/>
          <w:szCs w:val="28"/>
          <w:lang w:eastAsia="zh-CN"/>
        </w:rPr>
        <w:t xml:space="preserve">5天内提供可行性研究设计初稿； </w:t>
      </w:r>
    </w:p>
    <w:p>
      <w:pPr>
        <w:rPr>
          <w:sz w:val="24"/>
          <w:szCs w:val="28"/>
          <w:lang w:eastAsia="zh-CN"/>
        </w:rPr>
      </w:pPr>
      <w:r>
        <w:rPr>
          <w:rFonts w:hint="eastAsia"/>
          <w:sz w:val="24"/>
          <w:szCs w:val="28"/>
          <w:lang w:eastAsia="zh-CN"/>
        </w:rPr>
        <w:t>2）专家评审后1</w:t>
      </w:r>
      <w:r>
        <w:rPr>
          <w:sz w:val="24"/>
          <w:szCs w:val="28"/>
          <w:lang w:eastAsia="zh-CN"/>
        </w:rPr>
        <w:t>0</w:t>
      </w:r>
      <w:r>
        <w:rPr>
          <w:rFonts w:hint="eastAsia"/>
          <w:sz w:val="24"/>
          <w:szCs w:val="28"/>
          <w:lang w:eastAsia="zh-CN"/>
        </w:rPr>
        <w:t>天内提供可行性研究文件正式文件。</w:t>
      </w:r>
    </w:p>
    <w:p>
      <w:pPr>
        <w:rPr>
          <w:sz w:val="24"/>
          <w:lang w:eastAsia="zh-CN"/>
        </w:rPr>
      </w:pPr>
      <w:r>
        <w:rPr>
          <w:rFonts w:hint="eastAsia" w:asciiTheme="minorEastAsia" w:hAnsiTheme="minorEastAsia" w:eastAsiaTheme="minorEastAsia"/>
          <w:sz w:val="24"/>
          <w:szCs w:val="24"/>
          <w:lang w:eastAsia="zh-CN"/>
        </w:rPr>
        <w:t>4、技术服务质量要求：</w:t>
      </w:r>
      <w:r>
        <w:rPr>
          <w:rFonts w:hint="eastAsia"/>
          <w:sz w:val="24"/>
          <w:lang w:eastAsia="zh-CN"/>
        </w:rPr>
        <w:t>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ind w:firstLine="360" w:firstLineChars="150"/>
        <w:rPr>
          <w:rFonts w:asciiTheme="minorEastAsia" w:hAnsiTheme="minorEastAsia" w:eastAsiaTheme="minorEastAsia"/>
          <w:sz w:val="24"/>
          <w:szCs w:val="24"/>
          <w:u w:val="single"/>
          <w:lang w:eastAsia="zh-CN"/>
        </w:rPr>
      </w:pPr>
      <w:r>
        <w:rPr>
          <w:rFonts w:asciiTheme="minorEastAsia" w:hAnsiTheme="minorEastAsia" w:eastAsiaTheme="minorEastAsia"/>
          <w:sz w:val="24"/>
          <w:szCs w:val="24"/>
          <w:u w:val="single"/>
          <w:lang w:eastAsia="zh-CN"/>
        </w:rPr>
        <w:t>具体要求见</w:t>
      </w:r>
      <w:r>
        <w:rPr>
          <w:rFonts w:hint="eastAsia" w:asciiTheme="minorEastAsia" w:hAnsiTheme="minorEastAsia" w:eastAsiaTheme="minorEastAsia"/>
          <w:sz w:val="24"/>
          <w:szCs w:val="24"/>
          <w:u w:val="single"/>
          <w:lang w:eastAsia="zh-CN"/>
        </w:rPr>
        <w:t>“技术规范书”</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为保证乙方有效进行技术咨询工作，甲方应当向乙方提供下列协作事项：</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详见附件技术规范书要求   </w:t>
      </w:r>
      <w:r>
        <w:rPr>
          <w:rFonts w:hint="eastAsia" w:asciiTheme="minorEastAsia" w:hAnsiTheme="minorEastAsia" w:eastAsiaTheme="minorEastAsia"/>
          <w:sz w:val="24"/>
          <w:szCs w:val="24"/>
          <w:lang w:eastAsia="zh-CN"/>
        </w:rPr>
        <w:t xml:space="preserve">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详见附件技术规范书要求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甲方负责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甲方向乙方支付技术服务报酬及支付方式为：</w:t>
      </w:r>
    </w:p>
    <w:p>
      <w:pPr>
        <w:pStyle w:val="10"/>
        <w:autoSpaceDE/>
        <w:autoSpaceDN/>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1、技术服务报酬总价款为：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元）税率</w:t>
      </w:r>
      <w:r>
        <w:rPr>
          <w:rFonts w:hint="eastAsia" w:asciiTheme="minorEastAsia" w:hAnsiTheme="minorEastAsia" w:eastAsiaTheme="minorEastAsia"/>
          <w:sz w:val="24"/>
          <w:szCs w:val="24"/>
          <w:u w:val="single"/>
          <w:lang w:eastAsia="zh-CN"/>
        </w:rPr>
        <w:t xml:space="preserve">    %</w:t>
      </w:r>
    </w:p>
    <w:p>
      <w:pPr>
        <w:pStyle w:val="35"/>
        <w:widowControl/>
        <w:spacing w:before="0"/>
        <w:ind w:left="0" w:firstLine="48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本合同的技术服务费为包干制，</w:t>
      </w:r>
      <w:r>
        <w:rPr>
          <w:rFonts w:hint="eastAsia" w:asciiTheme="minorEastAsia" w:hAnsiTheme="minorEastAsia" w:eastAsiaTheme="minor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hint="eastAsia" w:asciiTheme="minorEastAsia" w:hAnsiTheme="minorEastAsia" w:eastAsiaTheme="minorEastAsia"/>
          <w:color w:val="000000"/>
          <w:sz w:val="24"/>
          <w:lang w:eastAsia="zh-CN"/>
        </w:rPr>
        <w:t>。乙方根据实际需要增加或者减少工程人员数量，本合同总价不变。</w:t>
      </w:r>
    </w:p>
    <w:p>
      <w:pPr>
        <w:pStyle w:val="35"/>
        <w:widowControl/>
        <w:spacing w:before="0"/>
        <w:ind w:left="0" w:firstLine="0"/>
        <w:rPr>
          <w:rFonts w:asciiTheme="minorEastAsia" w:hAnsiTheme="minorEastAsia" w:eastAsiaTheme="minorEastAsia"/>
          <w:color w:val="000000"/>
          <w:sz w:val="24"/>
          <w:szCs w:val="24"/>
          <w:lang w:eastAsia="zh-CN"/>
        </w:rPr>
      </w:pPr>
      <w:r>
        <w:rPr>
          <w:rFonts w:hint="eastAsia"/>
          <w:sz w:val="24"/>
          <w:szCs w:val="24"/>
          <w:lang w:eastAsia="zh-CN"/>
        </w:rPr>
        <w:t>2、</w:t>
      </w:r>
      <w:r>
        <w:rPr>
          <w:rFonts w:hint="eastAsia" w:asciiTheme="minorEastAsia" w:hAnsiTheme="minorEastAsia" w:eastAsiaTheme="minorEastAsia"/>
          <w:sz w:val="24"/>
          <w:szCs w:val="24"/>
          <w:lang w:eastAsia="zh-CN"/>
        </w:rPr>
        <w:t>具体支付方式和时间分配如下：</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1）预付款：无；</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2）进度款：工作完成提交</w:t>
      </w:r>
      <w:r>
        <w:rPr>
          <w:rFonts w:hint="eastAsia"/>
          <w:sz w:val="24"/>
          <w:szCs w:val="28"/>
          <w:lang w:eastAsia="zh-CN"/>
        </w:rPr>
        <w:t>可行性研究初稿</w:t>
      </w:r>
      <w:r>
        <w:rPr>
          <w:rFonts w:hint="eastAsia" w:asciiTheme="minorEastAsia" w:hAnsiTheme="minorEastAsia" w:eastAsiaTheme="minorEastAsia"/>
          <w:sz w:val="24"/>
          <w:szCs w:val="24"/>
          <w:lang w:eastAsia="zh-CN"/>
        </w:rPr>
        <w:t>，并经甲方验收合格后，甲方收到乙方全额增值税专用发票</w:t>
      </w:r>
      <w:r>
        <w:rPr>
          <w:rFonts w:asciiTheme="minorEastAsia" w:hAnsiTheme="minorEastAsia" w:eastAsiaTheme="minorEastAsia"/>
          <w:sz w:val="24"/>
          <w:szCs w:val="24"/>
          <w:lang w:eastAsia="zh-CN"/>
        </w:rPr>
        <w:t>30</w:t>
      </w:r>
      <w:r>
        <w:rPr>
          <w:rFonts w:hint="eastAsia" w:asciiTheme="minorEastAsia" w:hAnsiTheme="minorEastAsia" w:eastAsiaTheme="minorEastAsia"/>
          <w:sz w:val="24"/>
          <w:szCs w:val="24"/>
          <w:lang w:eastAsia="zh-CN"/>
        </w:rPr>
        <w:t>个工作日内，支付合同总价的80%作为进度款。</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3）验收款：</w:t>
      </w:r>
      <w:r>
        <w:rPr>
          <w:rFonts w:hint="eastAsia"/>
          <w:sz w:val="24"/>
          <w:szCs w:val="28"/>
          <w:lang w:eastAsia="zh-CN"/>
        </w:rPr>
        <w:t>专家评审后1</w:t>
      </w:r>
      <w:r>
        <w:rPr>
          <w:sz w:val="24"/>
          <w:szCs w:val="28"/>
          <w:lang w:eastAsia="zh-CN"/>
        </w:rPr>
        <w:t>0</w:t>
      </w:r>
      <w:r>
        <w:rPr>
          <w:rFonts w:hint="eastAsia"/>
          <w:sz w:val="24"/>
          <w:szCs w:val="28"/>
          <w:lang w:eastAsia="zh-CN"/>
        </w:rPr>
        <w:t>天内提供可行性研究文件正式文件及申请报告书，甲方验收合格后3</w:t>
      </w:r>
      <w:r>
        <w:rPr>
          <w:sz w:val="24"/>
          <w:szCs w:val="28"/>
          <w:lang w:eastAsia="zh-CN"/>
        </w:rPr>
        <w:t>0个工作日内</w:t>
      </w:r>
      <w:r>
        <w:rPr>
          <w:rFonts w:hint="eastAsia"/>
          <w:sz w:val="24"/>
          <w:szCs w:val="28"/>
          <w:lang w:eastAsia="zh-CN"/>
        </w:rPr>
        <w:t>支付合同总价的20%作为验收款；</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4）乙方应在甲方付款期限届满前3</w:t>
      </w:r>
      <w:r>
        <w:rPr>
          <w:rFonts w:asciiTheme="minorEastAsia" w:hAnsiTheme="minorEastAsia" w:eastAsiaTheme="minorEastAsia"/>
          <w:sz w:val="24"/>
          <w:szCs w:val="24"/>
          <w:lang w:eastAsia="zh-CN"/>
        </w:rPr>
        <w:t>0个工作日</w:t>
      </w:r>
      <w:r>
        <w:rPr>
          <w:rFonts w:hint="eastAsia" w:asciiTheme="minorEastAsia" w:hAnsiTheme="minorEastAsia" w:eastAsiaTheme="minorEastAsia"/>
          <w:sz w:val="24"/>
          <w:szCs w:val="24"/>
          <w:lang w:eastAsia="zh-CN"/>
        </w:rPr>
        <w:t>提供相应的</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乙方开户银行：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 司  名 称：</w:t>
      </w:r>
      <w:r>
        <w:rPr>
          <w:rFonts w:hint="eastAsia" w:asciiTheme="minorEastAsia" w:hAnsiTheme="minorEastAsia" w:eastAsiaTheme="minorEastAsia"/>
          <w:sz w:val="24"/>
          <w:szCs w:val="24"/>
          <w:u w:val="single"/>
          <w:lang w:eastAsia="zh-CN"/>
        </w:rPr>
        <w:t xml:space="preserve">                     </w:t>
      </w:r>
    </w:p>
    <w:p>
      <w:pPr>
        <w:pStyle w:val="10"/>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账        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1.保密内容：甲方提供的资料以及乙方在提供本合同约定服务过程中知悉的甲方技术信息、经营信息、生产工艺、操作流程等。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双方确定，按以下标准和方式对乙方提交的技术服务工作成果进行验收：</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1、乙方提交技术服务工作成果的形式：</w:t>
      </w:r>
      <w:r>
        <w:rPr>
          <w:rFonts w:asciiTheme="majorEastAsia" w:hAnsiTheme="majorEastAsia" w:eastAsiaTheme="majorEastAsia"/>
          <w:sz w:val="24"/>
          <w:szCs w:val="24"/>
          <w:u w:val="single"/>
          <w:lang w:eastAsia="zh-CN"/>
        </w:rPr>
        <w:t>热电厂4×670t/h锅炉烟气脱硝</w:t>
      </w:r>
      <w:r>
        <w:rPr>
          <w:rFonts w:hint="eastAsia" w:asciiTheme="majorEastAsia" w:hAnsiTheme="majorEastAsia" w:eastAsiaTheme="majorEastAsia"/>
          <w:sz w:val="24"/>
          <w:szCs w:val="24"/>
          <w:u w:val="single"/>
          <w:lang w:eastAsia="zh-CN"/>
        </w:rPr>
        <w:t>还原剂</w:t>
      </w:r>
      <w:r>
        <w:rPr>
          <w:rFonts w:asciiTheme="majorEastAsia" w:hAnsiTheme="majorEastAsia" w:eastAsiaTheme="majorEastAsia"/>
          <w:sz w:val="24"/>
          <w:szCs w:val="24"/>
          <w:u w:val="single"/>
          <w:lang w:eastAsia="zh-CN"/>
        </w:rPr>
        <w:t>液氨改尿素可行性研究</w:t>
      </w:r>
      <w:r>
        <w:rPr>
          <w:rFonts w:hint="eastAsia"/>
          <w:sz w:val="24"/>
          <w:szCs w:val="28"/>
          <w:u w:val="single"/>
          <w:lang w:eastAsia="zh-CN"/>
        </w:rPr>
        <w:t>报告及项目申请报告</w:t>
      </w:r>
      <w:r>
        <w:rPr>
          <w:rFonts w:asciiTheme="minorEastAsia" w:hAnsiTheme="minorEastAsia" w:eastAsiaTheme="minorEastAsia"/>
          <w:sz w:val="24"/>
          <w:szCs w:val="24"/>
          <w:u w:val="single"/>
          <w:lang w:eastAsia="zh-CN"/>
        </w:rPr>
        <w:t xml:space="preserve">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2、技术服务工作成果的验收标准：</w:t>
      </w:r>
    </w:p>
    <w:p>
      <w:pPr>
        <w:rPr>
          <w:sz w:val="24"/>
          <w:szCs w:val="24"/>
          <w:lang w:eastAsia="zh-CN"/>
        </w:rPr>
      </w:pPr>
      <w:r>
        <w:rPr>
          <w:rFonts w:hint="eastAsia"/>
          <w:sz w:val="24"/>
          <w:szCs w:val="24"/>
          <w:lang w:eastAsia="zh-CN"/>
        </w:rPr>
        <w:t>按现行国家标准（GB）、行业标准（DL）要求的规范、规程等执行。</w:t>
      </w:r>
    </w:p>
    <w:p>
      <w:pPr>
        <w:ind w:left="605" w:leftChars="275"/>
        <w:rPr>
          <w:sz w:val="24"/>
          <w:lang w:eastAsia="zh-CN"/>
        </w:rPr>
      </w:pPr>
      <w:r>
        <w:rPr>
          <w:sz w:val="24"/>
          <w:lang w:eastAsia="zh-CN"/>
        </w:rPr>
        <w:t>见</w:t>
      </w:r>
      <w:r>
        <w:rPr>
          <w:rFonts w:hint="eastAsia"/>
          <w:sz w:val="24"/>
          <w:lang w:eastAsia="zh-CN"/>
        </w:rPr>
        <w:t>“技术规范书”</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 xml:space="preserve">  腾龙芳烃（漳州）有限公司</w:t>
      </w:r>
      <w:r>
        <w:rPr>
          <w:rFonts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失和法律后果。</w:t>
      </w:r>
    </w:p>
    <w:p>
      <w:pPr>
        <w:tabs>
          <w:tab w:val="left" w:pos="2010"/>
        </w:tabs>
        <w:rPr>
          <w:sz w:val="24"/>
          <w:lang w:eastAsia="zh-CN"/>
        </w:rPr>
      </w:pPr>
      <w:r>
        <w:rPr>
          <w:rFonts w:hint="eastAsia"/>
          <w:sz w:val="24"/>
          <w:lang w:eastAsia="zh-CN"/>
        </w:rPr>
        <w:t>5. 乙方在本合同签订之日，交纳的参选保证金自动转为履约保证金</w:t>
      </w:r>
      <w:r>
        <w:rPr>
          <w:sz w:val="24"/>
          <w:lang w:eastAsia="zh-CN"/>
        </w:rPr>
        <w:t>。乙方违约或发生本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pPr>
        <w:pStyle w:val="2"/>
        <w:spacing w:line="360" w:lineRule="auto"/>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睢忠平</w:t>
      </w:r>
      <w:r>
        <w:rPr>
          <w:rFonts w:hint="eastAsia"/>
          <w:sz w:val="24"/>
          <w:szCs w:val="24"/>
          <w:u w:val="single"/>
          <w:shd w:val="clear" w:color="auto" w:fill="FFFFFF"/>
          <w:lang w:eastAsia="zh-CN"/>
        </w:rPr>
        <w:t>13859247654</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10"/>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hAnsi="宋体" w:cs="宋体"/>
          <w:sz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甲乙方的责任和义务</w:t>
      </w:r>
    </w:p>
    <w:p>
      <w:pPr>
        <w:pStyle w:val="10"/>
        <w:autoSpaceDE/>
        <w:autoSpaceDN/>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详见附件“技术规范书”</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第十条</w:t>
      </w:r>
      <w:r>
        <w:rPr>
          <w:rFonts w:hint="eastAsia" w:asciiTheme="minorEastAsia" w:hAnsiTheme="minorEastAsia" w:eastAsiaTheme="minorEastAsia"/>
          <w:sz w:val="24"/>
          <w:szCs w:val="24"/>
          <w:lang w:eastAsia="zh-CN"/>
        </w:rPr>
        <w:t xml:space="preserve">  保险</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违约责任</w:t>
      </w:r>
    </w:p>
    <w:p>
      <w:pPr>
        <w:rPr>
          <w:rStyle w:val="59"/>
          <w:rFonts w:asciiTheme="minorEastAsia" w:hAnsiTheme="minorEastAsia" w:eastAsiaTheme="minorEastAsia"/>
          <w:sz w:val="24"/>
          <w:lang w:eastAsia="zh-CN"/>
        </w:rPr>
      </w:pPr>
      <w:r>
        <w:rPr>
          <w:rStyle w:val="59"/>
          <w:rFonts w:hint="eastAsia" w:asciiTheme="minorEastAsia" w:hAnsiTheme="minorEastAsia" w:eastAsiaTheme="minorEastAsia"/>
          <w:color w:val="000000"/>
          <w:sz w:val="24"/>
          <w:lang w:eastAsia="zh-CN"/>
        </w:rPr>
        <w:t>1．乙方逾期提交可研报告的，每日应向甲方支付违约金为合同价格的</w:t>
      </w:r>
      <w:r>
        <w:rPr>
          <w:rStyle w:val="59"/>
          <w:rFonts w:hint="eastAsia" w:asciiTheme="minorEastAsia" w:hAnsiTheme="minorEastAsia" w:eastAsiaTheme="minorEastAsia"/>
          <w:color w:val="000000"/>
          <w:sz w:val="24"/>
          <w:u w:val="single"/>
          <w:lang w:eastAsia="zh-CN"/>
        </w:rPr>
        <w:t>1‰</w:t>
      </w:r>
      <w:r>
        <w:rPr>
          <w:rStyle w:val="59"/>
          <w:rFonts w:hint="eastAsia" w:asciiTheme="minorEastAsia" w:hAnsiTheme="minorEastAsia" w:eastAsiaTheme="minorEastAsia"/>
          <w:color w:val="000000"/>
          <w:sz w:val="24"/>
          <w:lang w:eastAsia="zh-CN"/>
        </w:rPr>
        <w:t>，逾期超过</w:t>
      </w:r>
      <w:r>
        <w:rPr>
          <w:rFonts w:hint="eastAsia" w:asciiTheme="minorEastAsia" w:hAnsiTheme="minorEastAsia" w:eastAsiaTheme="minorEastAsia"/>
          <w:sz w:val="24"/>
          <w:u w:val="single"/>
          <w:lang w:eastAsia="zh-CN"/>
        </w:rPr>
        <w:t xml:space="preserve"> 15</w:t>
      </w:r>
      <w:r>
        <w:rPr>
          <w:rFonts w:asciiTheme="minorEastAsia" w:hAnsiTheme="minorEastAsia" w:eastAsiaTheme="minorEastAsia"/>
          <w:sz w:val="24"/>
          <w:u w:val="single"/>
          <w:lang w:eastAsia="zh-CN"/>
        </w:rPr>
        <w:t xml:space="preserve"> </w:t>
      </w:r>
      <w:r>
        <w:rPr>
          <w:rStyle w:val="59"/>
          <w:rFonts w:hint="eastAsia" w:asciiTheme="minorEastAsia" w:hAnsiTheme="minorEastAsia" w:eastAsiaTheme="minorEastAsia"/>
          <w:color w:val="000000"/>
          <w:sz w:val="24"/>
          <w:lang w:eastAsia="zh-CN"/>
        </w:rPr>
        <w:t>日的，甲方还有权解除本合同，乙方还需支付甲方合同总</w:t>
      </w:r>
      <w:r>
        <w:rPr>
          <w:rStyle w:val="59"/>
          <w:rFonts w:hint="eastAsia" w:asciiTheme="minorEastAsia" w:hAnsiTheme="minorEastAsia" w:eastAsiaTheme="minorEastAsia"/>
          <w:sz w:val="24"/>
          <w:lang w:eastAsia="zh-CN"/>
        </w:rPr>
        <w:t>额</w:t>
      </w:r>
      <w:r>
        <w:rPr>
          <w:rStyle w:val="59"/>
          <w:rFonts w:asciiTheme="minorEastAsia" w:hAnsiTheme="minorEastAsia" w:eastAsiaTheme="minorEastAsia"/>
          <w:sz w:val="24"/>
          <w:u w:val="single"/>
          <w:lang w:eastAsia="zh-CN"/>
        </w:rPr>
        <w:t>5</w:t>
      </w:r>
      <w:r>
        <w:rPr>
          <w:rStyle w:val="59"/>
          <w:rFonts w:hint="eastAsia" w:asciiTheme="minorEastAsia" w:hAnsiTheme="minorEastAsia" w:eastAsiaTheme="minorEastAsia"/>
          <w:sz w:val="24"/>
          <w:u w:val="single"/>
          <w:lang w:eastAsia="zh-CN"/>
        </w:rPr>
        <w:t>%</w:t>
      </w:r>
      <w:r>
        <w:rPr>
          <w:rStyle w:val="59"/>
          <w:rFonts w:hint="eastAsia" w:asciiTheme="minorEastAsia" w:hAnsiTheme="minorEastAsia" w:eastAsiaTheme="minorEastAsia"/>
          <w:sz w:val="24"/>
          <w:lang w:eastAsia="zh-CN"/>
        </w:rPr>
        <w:t>的违约金。</w:t>
      </w:r>
    </w:p>
    <w:p>
      <w:pPr>
        <w:pStyle w:val="10"/>
        <w:rPr>
          <w:rStyle w:val="59"/>
          <w:rFonts w:asciiTheme="minorEastAsia" w:hAnsiTheme="minorEastAsia" w:eastAsiaTheme="minorEastAsia"/>
          <w:sz w:val="24"/>
          <w:szCs w:val="24"/>
          <w:lang w:eastAsia="zh-CN"/>
        </w:rPr>
      </w:pPr>
      <w:r>
        <w:rPr>
          <w:rStyle w:val="59"/>
          <w:rFonts w:hint="eastAsia" w:asciiTheme="minorEastAsia" w:hAnsiTheme="minorEastAsia" w:eastAsiaTheme="minorEastAsia"/>
          <w:sz w:val="24"/>
          <w:szCs w:val="24"/>
          <w:lang w:eastAsia="zh-CN"/>
        </w:rPr>
        <w:t>2．乙方提交的试验报告不符合合同约定的，应在甲方指定期限内修改完善直至符合合同约定为止，由此造成逾期提交的，按照第1款约定执行。</w:t>
      </w:r>
    </w:p>
    <w:p>
      <w:pPr>
        <w:pStyle w:val="10"/>
        <w:rPr>
          <w:rStyle w:val="59"/>
          <w:rFonts w:asciiTheme="minorEastAsia" w:hAnsiTheme="minorEastAsia" w:eastAsiaTheme="minorEastAsia"/>
          <w:sz w:val="24"/>
          <w:szCs w:val="24"/>
          <w:lang w:eastAsia="zh-CN"/>
        </w:rPr>
      </w:pPr>
      <w:r>
        <w:rPr>
          <w:rStyle w:val="59"/>
          <w:rFonts w:hint="eastAsia" w:asciiTheme="minorEastAsia" w:hAnsiTheme="minorEastAsia" w:eastAsiaTheme="minorEastAsia"/>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壹万</w:t>
      </w:r>
      <w:r>
        <w:rPr>
          <w:rFonts w:asciiTheme="minorEastAsia" w:hAnsiTheme="minorEastAsia" w:eastAsiaTheme="minorEastAsia"/>
          <w:sz w:val="24"/>
          <w:szCs w:val="24"/>
          <w:u w:val="single"/>
          <w:lang w:eastAsia="zh-CN"/>
        </w:rPr>
        <w:t xml:space="preserve"> </w:t>
      </w:r>
      <w:r>
        <w:rPr>
          <w:rStyle w:val="59"/>
          <w:rFonts w:hint="eastAsia" w:asciiTheme="minorEastAsia" w:hAnsiTheme="minorEastAsia" w:eastAsiaTheme="minorEastAsia"/>
          <w:sz w:val="24"/>
          <w:szCs w:val="24"/>
          <w:lang w:eastAsia="zh-CN"/>
        </w:rPr>
        <w:t>元；并赔偿由此给对方造成的损失。</w:t>
      </w:r>
    </w:p>
    <w:p>
      <w:pPr>
        <w:pStyle w:val="10"/>
        <w:rPr>
          <w:rStyle w:val="59"/>
          <w:rFonts w:asciiTheme="minorEastAsia" w:hAnsiTheme="minorEastAsia" w:eastAsiaTheme="minorEastAsia"/>
          <w:sz w:val="24"/>
          <w:szCs w:val="24"/>
          <w:lang w:eastAsia="zh-CN"/>
        </w:rPr>
      </w:pPr>
      <w:r>
        <w:rPr>
          <w:rStyle w:val="59"/>
          <w:rFonts w:hint="eastAsia" w:asciiTheme="minorEastAsia" w:hAnsiTheme="minorEastAsia" w:eastAsiaTheme="minorEastAsia"/>
          <w:sz w:val="24"/>
          <w:szCs w:val="24"/>
          <w:lang w:eastAsia="zh-CN"/>
        </w:rPr>
        <w:t>4、任何一方无正当理由单方解除合同的，应向对方支付合同总额</w:t>
      </w:r>
      <w:r>
        <w:rPr>
          <w:rStyle w:val="59"/>
          <w:rFonts w:hint="eastAsia" w:asciiTheme="minorEastAsia" w:hAnsiTheme="minorEastAsia" w:eastAsiaTheme="minorEastAsia"/>
          <w:sz w:val="24"/>
          <w:szCs w:val="24"/>
          <w:u w:val="single"/>
          <w:lang w:eastAsia="zh-CN"/>
        </w:rPr>
        <w:t>5%</w:t>
      </w:r>
      <w:r>
        <w:rPr>
          <w:rStyle w:val="59"/>
          <w:rFonts w:hint="eastAsia" w:asciiTheme="minorEastAsia" w:hAnsiTheme="minorEastAsia" w:eastAsiaTheme="minorEastAsia"/>
          <w:sz w:val="24"/>
          <w:szCs w:val="24"/>
          <w:lang w:eastAsia="zh-CN"/>
        </w:rPr>
        <w:t>的违约金，并赔偿对方的损失。</w:t>
      </w:r>
    </w:p>
    <w:p>
      <w:pPr>
        <w:pStyle w:val="10"/>
        <w:rPr>
          <w:rStyle w:val="59"/>
          <w:rFonts w:asciiTheme="minorEastAsia" w:hAnsiTheme="minorEastAsia" w:eastAsiaTheme="minorEastAsia"/>
          <w:sz w:val="24"/>
          <w:szCs w:val="24"/>
          <w:lang w:eastAsia="zh-CN"/>
        </w:rPr>
      </w:pPr>
      <w:r>
        <w:rPr>
          <w:rStyle w:val="59"/>
          <w:rFonts w:hint="eastAsia" w:asciiTheme="minorEastAsia" w:hAnsiTheme="minorEastAsia" w:eastAsiaTheme="minorEastAsia"/>
          <w:sz w:val="24"/>
          <w:szCs w:val="24"/>
          <w:lang w:eastAsia="zh-CN"/>
        </w:rPr>
        <w:t>5、若乙方在履行合同过程中存在弄虚作假的情形，甲方有权单方解除合同，乙方支付甲方合同总额</w:t>
      </w:r>
      <w:r>
        <w:rPr>
          <w:rStyle w:val="59"/>
          <w:rFonts w:hint="eastAsia" w:asciiTheme="minorEastAsia" w:hAnsiTheme="minorEastAsia" w:eastAsiaTheme="minorEastAsia"/>
          <w:sz w:val="24"/>
          <w:szCs w:val="24"/>
          <w:u w:val="single"/>
          <w:lang w:eastAsia="zh-CN"/>
        </w:rPr>
        <w:t>5%</w:t>
      </w:r>
      <w:r>
        <w:rPr>
          <w:rStyle w:val="59"/>
          <w:rFonts w:hint="eastAsia" w:asciiTheme="minorEastAsia" w:hAnsiTheme="minorEastAsia" w:eastAsiaTheme="minorEastAsia"/>
          <w:sz w:val="24"/>
          <w:szCs w:val="24"/>
          <w:lang w:eastAsia="zh-CN"/>
        </w:rPr>
        <w:t>的违约金。</w:t>
      </w:r>
    </w:p>
    <w:p>
      <w:pPr>
        <w:pStyle w:val="10"/>
        <w:rPr>
          <w:rStyle w:val="59"/>
          <w:rFonts w:asciiTheme="minorEastAsia" w:hAnsiTheme="minorEastAsia" w:eastAsiaTheme="minorEastAsia"/>
          <w:color w:val="000000"/>
          <w:sz w:val="24"/>
          <w:szCs w:val="24"/>
          <w:lang w:eastAsia="zh-CN"/>
        </w:rPr>
      </w:pPr>
      <w:r>
        <w:rPr>
          <w:rStyle w:val="59"/>
          <w:rFonts w:hint="eastAsia" w:asciiTheme="minorEastAsia" w:hAnsiTheme="minorEastAsia" w:eastAsiaTheme="minorEastAsia"/>
          <w:sz w:val="24"/>
          <w:szCs w:val="24"/>
          <w:lang w:eastAsia="zh-CN"/>
        </w:rPr>
        <w:t>6、乙方进入甲方现场服务期间，因不可归责于甲方的原因造成甲方、</w:t>
      </w:r>
      <w:r>
        <w:rPr>
          <w:rStyle w:val="59"/>
          <w:rFonts w:hint="eastAsia" w:asciiTheme="minorEastAsia" w:hAnsiTheme="minorEastAsia" w:eastAsiaTheme="minorEastAsia"/>
          <w:color w:val="000000"/>
          <w:sz w:val="24"/>
          <w:szCs w:val="24"/>
          <w:lang w:eastAsia="zh-CN"/>
        </w:rPr>
        <w:t>乙方或任何第三方人身财产损失的，由乙方承担全部责任。</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双方因履行本合同而发生的争议，可协商、调解解决，也可直接采取下列第</w:t>
      </w:r>
      <w:r>
        <w:rPr>
          <w:rFonts w:hint="eastAsia" w:asciiTheme="minorEastAsia" w:hAnsiTheme="minorEastAsia" w:eastAsiaTheme="minorEastAsia"/>
          <w:sz w:val="24"/>
          <w:szCs w:val="24"/>
          <w:u w:val="single"/>
          <w:lang w:eastAsia="zh-CN"/>
        </w:rPr>
        <w:t xml:space="preserve">  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种方式解决：</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仲裁委员会申请仲裁；</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其他</w:t>
      </w:r>
    </w:p>
    <w:p>
      <w:pPr>
        <w:pStyle w:val="10"/>
        <w:ind w:firstLine="480" w:firstLineChars="200"/>
        <w:rPr>
          <w:rStyle w:val="59"/>
          <w:rFonts w:asciiTheme="minorEastAsia" w:hAnsiTheme="minorEastAsia" w:eastAsiaTheme="minorEastAsia"/>
          <w:color w:val="000000"/>
          <w:sz w:val="24"/>
          <w:szCs w:val="24"/>
          <w:lang w:eastAsia="zh-CN"/>
        </w:rPr>
      </w:pPr>
      <w:r>
        <w:rPr>
          <w:rStyle w:val="59"/>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试验报告及其所包含的技术成果的所有权归甲方所有，甲方在此基础上可以进行技术创新和改进并对创新和改进的结果享有知识产权。乙方不得自用或将试验报告提供给第三方使用，如有违反按照泄密处理。</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第十四条</w:t>
      </w:r>
      <w:r>
        <w:rPr>
          <w:rFonts w:hint="eastAsia" w:asciiTheme="minorEastAsia" w:hAnsiTheme="minorEastAsia" w:eastAsiaTheme="minorEastAsia"/>
          <w:sz w:val="24"/>
          <w:szCs w:val="24"/>
          <w:lang w:eastAsia="zh-CN"/>
        </w:rPr>
        <w:t xml:space="preserve"> 本合同经双方盖章后生效。本合同一式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pPr>
        <w:tabs>
          <w:tab w:val="left" w:pos="2010"/>
        </w:tabs>
        <w:spacing w:line="520" w:lineRule="exact"/>
        <w:ind w:firstLine="360" w:firstLineChars="150"/>
        <w:rPr>
          <w:sz w:val="24"/>
          <w:lang w:eastAsia="zh-CN"/>
        </w:rPr>
      </w:pPr>
      <w:r>
        <w:rPr>
          <w:rFonts w:hint="eastAsia"/>
          <w:sz w:val="24"/>
          <w:lang w:eastAsia="zh-CN"/>
        </w:rPr>
        <w:t>本合同未尽事宜，如需更改经双方协商后可另签补充协议。</w:t>
      </w:r>
    </w:p>
    <w:p>
      <w:pPr>
        <w:tabs>
          <w:tab w:val="left" w:pos="2010"/>
        </w:tabs>
        <w:rPr>
          <w:sz w:val="24"/>
          <w:szCs w:val="24"/>
          <w:lang w:eastAsia="zh-CN"/>
        </w:rPr>
      </w:pPr>
      <w:r>
        <w:rPr>
          <w:rFonts w:hint="eastAsia"/>
          <w:sz w:val="24"/>
          <w:lang w:eastAsia="zh-CN"/>
        </w:rPr>
        <w:t>附件1、</w:t>
      </w:r>
      <w:r>
        <w:rPr>
          <w:rFonts w:hint="eastAsia"/>
          <w:sz w:val="24"/>
          <w:szCs w:val="24"/>
          <w:lang w:eastAsia="zh-CN"/>
        </w:rPr>
        <w:t>技术规范书</w:t>
      </w:r>
    </w:p>
    <w:p>
      <w:pPr>
        <w:tabs>
          <w:tab w:val="left" w:pos="2010"/>
        </w:tabs>
        <w:rPr>
          <w:sz w:val="24"/>
          <w:lang w:eastAsia="zh-CN"/>
        </w:rPr>
      </w:pPr>
      <w:r>
        <w:rPr>
          <w:rFonts w:hint="eastAsia"/>
          <w:sz w:val="24"/>
          <w:lang w:eastAsia="zh-CN"/>
        </w:rPr>
        <w:t>附件2、价格清单</w:t>
      </w:r>
    </w:p>
    <w:p>
      <w:pPr>
        <w:tabs>
          <w:tab w:val="left" w:pos="2010"/>
        </w:tabs>
        <w:rPr>
          <w:sz w:val="24"/>
          <w:lang w:eastAsia="zh-CN"/>
        </w:rPr>
      </w:pPr>
      <w:r>
        <w:rPr>
          <w:rFonts w:hint="eastAsia"/>
          <w:sz w:val="24"/>
          <w:lang w:eastAsia="zh-CN"/>
        </w:rPr>
        <w:t>附件3、安全环保协议</w:t>
      </w:r>
    </w:p>
    <w:p>
      <w:pPr>
        <w:tabs>
          <w:tab w:val="left" w:pos="2010"/>
        </w:tabs>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tabs>
          <w:tab w:val="left" w:pos="2010"/>
        </w:tabs>
        <w:ind w:firstLine="960" w:firstLineChars="400"/>
        <w:rPr>
          <w:sz w:val="24"/>
          <w:lang w:eastAsia="zh-CN"/>
        </w:rPr>
      </w:pPr>
      <w:r>
        <w:rPr>
          <w:rFonts w:hint="eastAsia" w:cs="Arial"/>
          <w:b/>
          <w:sz w:val="24"/>
          <w:lang w:eastAsia="zh-CN"/>
        </w:rPr>
        <w:t>（以下为签署栏，无正文）</w:t>
      </w:r>
    </w:p>
    <w:p>
      <w:pPr>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ind w:right="-147" w:rightChars="-67"/>
        <w:rPr>
          <w:b/>
          <w:sz w:val="24"/>
          <w:lang w:eastAsia="zh-CN"/>
        </w:rPr>
      </w:pPr>
      <w:r>
        <w:rPr>
          <w:rFonts w:hint="eastAsia"/>
          <w:b/>
          <w:spacing w:val="20"/>
          <w:sz w:val="24"/>
          <w:lang w:eastAsia="zh-CN"/>
        </w:rPr>
        <w:t xml:space="preserve">腾龙芳烃（漳州）有限公司          </w:t>
      </w:r>
    </w:p>
    <w:p>
      <w:pPr>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ind w:left="1038" w:right="-147" w:rightChars="-67" w:hanging="1038" w:hangingChars="472"/>
        <w:rPr>
          <w:szCs w:val="21"/>
          <w:lang w:eastAsia="zh-CN"/>
        </w:rPr>
      </w:pPr>
      <w:r>
        <w:rPr>
          <w:rFonts w:hint="eastAsia"/>
          <w:szCs w:val="21"/>
          <w:lang w:eastAsia="zh-CN"/>
        </w:rPr>
        <w:t xml:space="preserve">开户行：兴业银行漳州古雷支行                 开户行：                                </w:t>
      </w:r>
    </w:p>
    <w:p>
      <w:pPr>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sz w:val="28"/>
          <w:szCs w:val="28"/>
        </w:rPr>
      </w:pPr>
      <w:r>
        <w:rPr>
          <w:rFonts w:hint="eastAsia"/>
          <w:b/>
          <w:sz w:val="28"/>
          <w:szCs w:val="28"/>
        </w:rPr>
        <w:t>附件1：</w:t>
      </w:r>
    </w:p>
    <w:p>
      <w:pPr>
        <w:jc w:val="center"/>
        <w:rPr>
          <w:rFonts w:asciiTheme="minorEastAsia" w:hAnsiTheme="minorEastAsia" w:eastAsiaTheme="minorEastAsia"/>
          <w:b/>
          <w:sz w:val="32"/>
          <w:szCs w:val="32"/>
          <w:lang w:eastAsia="zh-CN"/>
        </w:rPr>
      </w:pPr>
      <w:r>
        <w:rPr>
          <w:rFonts w:asciiTheme="minorEastAsia" w:hAnsiTheme="minorEastAsia" w:eastAsiaTheme="minorEastAsia"/>
          <w:b/>
          <w:sz w:val="32"/>
          <w:szCs w:val="32"/>
          <w:lang w:eastAsia="zh-CN"/>
        </w:rPr>
        <w:t>腾龙芳烃（漳州）</w:t>
      </w:r>
      <w:r>
        <w:rPr>
          <w:rFonts w:asciiTheme="minorEastAsia" w:hAnsiTheme="minorEastAsia" w:eastAsiaTheme="minorEastAsia"/>
          <w:b/>
          <w:bCs/>
          <w:sz w:val="32"/>
          <w:szCs w:val="32"/>
          <w:lang w:eastAsia="zh-CN"/>
        </w:rPr>
        <w:t>有限公司</w:t>
      </w:r>
    </w:p>
    <w:p>
      <w:pPr>
        <w:jc w:val="center"/>
        <w:rPr>
          <w:rFonts w:asciiTheme="minorEastAsia" w:hAnsiTheme="minorEastAsia" w:eastAsiaTheme="minorEastAsia"/>
          <w:b/>
          <w:sz w:val="32"/>
          <w:szCs w:val="32"/>
          <w:lang w:eastAsia="zh-CN"/>
        </w:rPr>
      </w:pPr>
    </w:p>
    <w:p>
      <w:pPr>
        <w:jc w:val="center"/>
        <w:rPr>
          <w:rFonts w:asciiTheme="minorEastAsia" w:hAnsiTheme="minorEastAsia" w:eastAsiaTheme="minorEastAsia"/>
          <w:b/>
          <w:sz w:val="32"/>
          <w:szCs w:val="32"/>
          <w:lang w:eastAsia="zh-CN"/>
        </w:rPr>
      </w:pPr>
      <w:r>
        <w:rPr>
          <w:rFonts w:asciiTheme="minorEastAsia" w:hAnsiTheme="minorEastAsia" w:eastAsiaTheme="minorEastAsia"/>
          <w:b/>
          <w:sz w:val="32"/>
          <w:szCs w:val="32"/>
          <w:lang w:eastAsia="zh-CN"/>
        </w:rPr>
        <w:t>热电厂4×670t/h锅炉烟气脱硝</w:t>
      </w:r>
    </w:p>
    <w:p>
      <w:pPr>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还原剂</w:t>
      </w:r>
      <w:r>
        <w:rPr>
          <w:rFonts w:asciiTheme="minorEastAsia" w:hAnsiTheme="minorEastAsia" w:eastAsiaTheme="minorEastAsia"/>
          <w:b/>
          <w:sz w:val="32"/>
          <w:szCs w:val="32"/>
          <w:lang w:eastAsia="zh-CN"/>
        </w:rPr>
        <w:t>液氨改尿素项目可行性研究报告</w:t>
      </w:r>
    </w:p>
    <w:p>
      <w:pPr>
        <w:jc w:val="center"/>
        <w:rPr>
          <w:rFonts w:asciiTheme="minorEastAsia" w:hAnsiTheme="minorEastAsia" w:eastAsiaTheme="minorEastAsia"/>
          <w:b/>
          <w:sz w:val="44"/>
          <w:szCs w:val="44"/>
          <w:lang w:eastAsia="zh-CN"/>
        </w:rPr>
      </w:pPr>
      <w:r>
        <w:rPr>
          <w:rFonts w:asciiTheme="minorEastAsia" w:hAnsiTheme="minorEastAsia" w:eastAsiaTheme="minorEastAsia"/>
          <w:b/>
          <w:sz w:val="32"/>
          <w:szCs w:val="32"/>
          <w:lang w:eastAsia="zh-CN"/>
        </w:rPr>
        <w:t>技术</w:t>
      </w:r>
      <w:r>
        <w:rPr>
          <w:rFonts w:hint="eastAsia" w:asciiTheme="minorEastAsia" w:hAnsiTheme="minorEastAsia" w:eastAsiaTheme="minorEastAsia"/>
          <w:b/>
          <w:sz w:val="32"/>
          <w:szCs w:val="32"/>
          <w:lang w:eastAsia="zh-CN"/>
        </w:rPr>
        <w:t>规范书</w:t>
      </w:r>
    </w:p>
    <w:p>
      <w:pPr>
        <w:rPr>
          <w:rFonts w:asciiTheme="minorEastAsia" w:hAnsiTheme="minorEastAsia" w:eastAsiaTheme="minorEastAsia"/>
          <w:b/>
          <w:sz w:val="44"/>
          <w:szCs w:val="44"/>
          <w:lang w:eastAsia="zh-CN"/>
        </w:rPr>
      </w:pPr>
    </w:p>
    <w:p>
      <w:pPr>
        <w:rPr>
          <w:rFonts w:asciiTheme="minorEastAsia" w:hAnsiTheme="minorEastAsia" w:eastAsiaTheme="minorEastAsia"/>
          <w:b/>
          <w:sz w:val="44"/>
          <w:szCs w:val="44"/>
          <w:lang w:eastAsia="zh-CN"/>
        </w:rPr>
      </w:pPr>
    </w:p>
    <w:p>
      <w:pPr>
        <w:ind w:firstLine="1920" w:firstLineChars="600"/>
        <w:rPr>
          <w:rFonts w:asciiTheme="minorEastAsia" w:hAnsiTheme="minorEastAsia" w:eastAsiaTheme="minorEastAsia"/>
          <w:b/>
          <w:sz w:val="32"/>
          <w:szCs w:val="32"/>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rPr>
          <w:rFonts w:asciiTheme="minorEastAsia" w:hAnsiTheme="minorEastAsia" w:eastAsiaTheme="minorEastAsia"/>
          <w:b/>
          <w:sz w:val="44"/>
          <w:szCs w:val="44"/>
          <w:lang w:eastAsia="zh-CN"/>
        </w:rPr>
      </w:pPr>
    </w:p>
    <w:p>
      <w:pPr>
        <w:jc w:val="center"/>
        <w:rPr>
          <w:rFonts w:asciiTheme="minorEastAsia" w:hAnsiTheme="minorEastAsia" w:eastAsiaTheme="minorEastAsia"/>
          <w:b/>
          <w:sz w:val="32"/>
          <w:szCs w:val="32"/>
          <w:lang w:eastAsia="zh-CN"/>
        </w:rPr>
      </w:pPr>
      <w:r>
        <w:rPr>
          <w:rFonts w:asciiTheme="minorEastAsia" w:hAnsiTheme="minorEastAsia" w:eastAsiaTheme="minorEastAsia"/>
          <w:b/>
          <w:sz w:val="32"/>
          <w:szCs w:val="32"/>
          <w:lang w:eastAsia="zh-CN"/>
        </w:rPr>
        <w:t>腾龙芳烃（漳州）</w:t>
      </w:r>
      <w:r>
        <w:rPr>
          <w:rFonts w:asciiTheme="minorEastAsia" w:hAnsiTheme="minorEastAsia" w:eastAsiaTheme="minorEastAsia"/>
          <w:b/>
          <w:bCs/>
          <w:sz w:val="32"/>
          <w:szCs w:val="32"/>
          <w:lang w:eastAsia="zh-CN"/>
        </w:rPr>
        <w:t>有限公司</w:t>
      </w:r>
    </w:p>
    <w:p>
      <w:pPr>
        <w:jc w:val="center"/>
        <w:rPr>
          <w:rFonts w:asciiTheme="minorEastAsia" w:hAnsiTheme="minorEastAsia" w:eastAsiaTheme="minorEastAsia"/>
          <w:b/>
          <w:sz w:val="32"/>
          <w:szCs w:val="32"/>
          <w:lang w:eastAsia="zh-CN"/>
        </w:rPr>
        <w:sectPr>
          <w:footerReference r:id="rId7" w:type="default"/>
          <w:footerReference r:id="rId8" w:type="even"/>
          <w:pgSz w:w="11906" w:h="16838"/>
          <w:pgMar w:top="1418" w:right="1418" w:bottom="1418" w:left="1418" w:header="851" w:footer="850" w:gutter="0"/>
          <w:pgNumType w:start="1"/>
          <w:cols w:space="720" w:num="1"/>
          <w:docGrid w:type="linesAndChars" w:linePitch="326" w:charSpace="0"/>
        </w:sectPr>
      </w:pPr>
      <w:r>
        <w:rPr>
          <w:rFonts w:asciiTheme="minorEastAsia" w:hAnsiTheme="minorEastAsia" w:eastAsiaTheme="minorEastAsia"/>
          <w:b/>
          <w:sz w:val="32"/>
          <w:szCs w:val="32"/>
          <w:lang w:eastAsia="zh-CN"/>
        </w:rPr>
        <w:t>202</w:t>
      </w:r>
      <w:r>
        <w:rPr>
          <w:rFonts w:hint="eastAsia" w:asciiTheme="minorEastAsia" w:hAnsiTheme="minorEastAsia" w:eastAsiaTheme="minorEastAsia"/>
          <w:b/>
          <w:sz w:val="32"/>
          <w:szCs w:val="32"/>
          <w:lang w:eastAsia="zh-CN"/>
        </w:rPr>
        <w:t>2</w:t>
      </w:r>
      <w:r>
        <w:rPr>
          <w:rFonts w:asciiTheme="minorEastAsia" w:hAnsiTheme="minorEastAsia" w:eastAsiaTheme="minorEastAsia"/>
          <w:b/>
          <w:sz w:val="32"/>
          <w:szCs w:val="32"/>
          <w:lang w:eastAsia="zh-CN"/>
        </w:rPr>
        <w:t>年12月09日</w:t>
      </w:r>
    </w:p>
    <w:p>
      <w:pPr>
        <w:pStyle w:val="3"/>
        <w:spacing w:before="120" w:after="120"/>
        <w:rPr>
          <w:rFonts w:asciiTheme="minorEastAsia" w:hAnsiTheme="minorEastAsia" w:eastAsiaTheme="minorEastAsia"/>
          <w:lang w:eastAsia="zh-CN"/>
        </w:rPr>
      </w:pPr>
      <w:r>
        <w:rPr>
          <w:rFonts w:hint="eastAsia" w:asciiTheme="minorEastAsia" w:hAnsiTheme="minorEastAsia" w:eastAsiaTheme="minorEastAsia"/>
          <w:lang w:eastAsia="zh-CN"/>
        </w:rPr>
        <w:t>一、总则</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1本技术</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书适用</w:t>
      </w:r>
      <w:r>
        <w:rPr>
          <w:rFonts w:hint="eastAsia" w:asciiTheme="minorEastAsia" w:hAnsiTheme="minorEastAsia" w:eastAsiaTheme="minorEastAsia"/>
          <w:sz w:val="24"/>
          <w:lang w:eastAsia="zh-CN"/>
        </w:rPr>
        <w:t>腾龙芳烃（漳州）有限公司</w:t>
      </w:r>
      <w:r>
        <w:rPr>
          <w:rFonts w:asciiTheme="minorEastAsia" w:hAnsiTheme="minorEastAsia" w:eastAsiaTheme="minorEastAsia"/>
          <w:sz w:val="24"/>
          <w:lang w:eastAsia="zh-CN"/>
        </w:rPr>
        <w:t>热电厂4×670t/h锅炉烟气脱硝</w:t>
      </w:r>
      <w:r>
        <w:rPr>
          <w:rFonts w:hint="eastAsia" w:asciiTheme="minorEastAsia" w:hAnsiTheme="minorEastAsia" w:eastAsiaTheme="minorEastAsia"/>
          <w:sz w:val="24"/>
          <w:lang w:eastAsia="zh-CN"/>
        </w:rPr>
        <w:t>还原剂液氨改尿素项目可行性研究报告编制（含可行性研究评审、项目建议书、工程招标技术规范书及二期2</w:t>
      </w:r>
      <w:r>
        <w:rPr>
          <w:rFonts w:asciiTheme="minorEastAsia" w:hAnsiTheme="minorEastAsia" w:eastAsiaTheme="minorEastAsia"/>
          <w:sz w:val="24"/>
          <w:lang w:eastAsia="zh-CN"/>
        </w:rPr>
        <w:t>×830t/h锅炉脱硝预留口设计</w:t>
      </w:r>
      <w:r>
        <w:rPr>
          <w:rFonts w:hint="eastAsia" w:asciiTheme="minorEastAsia" w:hAnsiTheme="minorEastAsia" w:eastAsiaTheme="minorEastAsia"/>
          <w:sz w:val="24"/>
          <w:lang w:eastAsia="zh-CN"/>
        </w:rPr>
        <w:t>）的技术要求。</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1.2</w:t>
      </w:r>
      <w:r>
        <w:rPr>
          <w:rFonts w:hint="eastAsia" w:asciiTheme="minorEastAsia" w:hAnsiTheme="minorEastAsia" w:eastAsiaTheme="minorEastAsia"/>
          <w:sz w:val="24"/>
          <w:lang w:eastAsia="zh-CN"/>
        </w:rPr>
        <w:t>本技术规范书规定的是最低限度的技术协议，并未对一切技术细节作出规定，也未充分引述有关标准和规范的条文，投标方应提供符合本技术协议要求和有关工业标准的服务。</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1.3</w:t>
      </w:r>
      <w:r>
        <w:rPr>
          <w:rFonts w:hint="eastAsia" w:asciiTheme="minorEastAsia" w:hAnsiTheme="minorEastAsia" w:eastAsiaTheme="minorEastAsia"/>
          <w:sz w:val="24"/>
          <w:lang w:eastAsia="zh-CN"/>
        </w:rPr>
        <w:t>本技术规范书投标方若有异议，则以差异表方式在投标文件中一并提出。</w:t>
      </w:r>
      <w:r>
        <w:rPr>
          <w:rFonts w:asciiTheme="minorEastAsia" w:hAnsiTheme="minorEastAsia" w:eastAsiaTheme="minorEastAsia"/>
          <w:sz w:val="24"/>
          <w:lang w:eastAsia="zh-CN"/>
        </w:rPr>
        <w:t>如</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没有以书面形式对本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的条文提出异议，那么招标方可以认为</w:t>
      </w:r>
      <w:r>
        <w:rPr>
          <w:rFonts w:hint="eastAsia" w:asciiTheme="minorEastAsia" w:hAnsiTheme="minorEastAsia" w:eastAsiaTheme="minorEastAsia"/>
          <w:sz w:val="24"/>
          <w:lang w:eastAsia="zh-CN"/>
        </w:rPr>
        <w:t>投标方提供</w:t>
      </w:r>
      <w:r>
        <w:rPr>
          <w:rFonts w:asciiTheme="minorEastAsia" w:hAnsiTheme="minorEastAsia" w:eastAsiaTheme="minorEastAsia"/>
          <w:sz w:val="24"/>
          <w:lang w:eastAsia="zh-CN"/>
        </w:rPr>
        <w:t>的服务完全满足本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的要求</w:t>
      </w:r>
      <w:r>
        <w:rPr>
          <w:rFonts w:hint="eastAsia" w:asciiTheme="minorEastAsia" w:hAnsiTheme="minorEastAsia" w:eastAsiaTheme="minorEastAsia"/>
          <w:sz w:val="24"/>
          <w:lang w:eastAsia="zh-CN"/>
        </w:rPr>
        <w:t>。</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1.4如</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有除本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书以外的其他要求，应以书面形式提出，经甲乙双方讨论、确认后，载于本</w:t>
      </w:r>
      <w:r>
        <w:rPr>
          <w:rFonts w:hint="eastAsia" w:asciiTheme="minorEastAsia" w:hAnsiTheme="minorEastAsia" w:eastAsiaTheme="minorEastAsia"/>
          <w:sz w:val="24"/>
          <w:lang w:eastAsia="zh-CN"/>
        </w:rPr>
        <w:t>规范书。</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1.5</w:t>
      </w:r>
      <w:r>
        <w:rPr>
          <w:rFonts w:hint="eastAsia" w:asciiTheme="minorEastAsia" w:hAnsiTheme="minorEastAsia" w:eastAsiaTheme="minorEastAsia"/>
          <w:sz w:val="24"/>
          <w:lang w:eastAsia="zh-CN"/>
        </w:rPr>
        <w:t>在合同签订后，招标方有权提出因设计、标准、规程、规范和现场实际发生变化而产生的修订要求。投标方应承诺予以配合，具体项目和条件由双方共同商定。</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1.6</w:t>
      </w:r>
      <w:r>
        <w:rPr>
          <w:rFonts w:hint="eastAsia" w:asciiTheme="minorEastAsia" w:hAnsiTheme="minorEastAsia" w:eastAsiaTheme="minorEastAsia"/>
          <w:sz w:val="24"/>
          <w:lang w:eastAsia="zh-CN"/>
        </w:rPr>
        <w:t>本技术规范书经招标方、投标方双方确认后作为合同的技术附件，与合同正文具有同等效力。</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1.7本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所使用标准如与</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所执行标准发生矛盾时，按较严格现行标准执行</w:t>
      </w:r>
      <w:r>
        <w:rPr>
          <w:rFonts w:hint="eastAsia" w:asciiTheme="minorEastAsia" w:hAnsiTheme="minorEastAsia" w:eastAsiaTheme="minorEastAsia"/>
          <w:sz w:val="24"/>
          <w:lang w:eastAsia="zh-CN"/>
        </w:rPr>
        <w:t>。</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1.8</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对可行性研究及评审的内容负有全部责任</w:t>
      </w:r>
      <w:r>
        <w:rPr>
          <w:rFonts w:hint="eastAsia" w:asciiTheme="minorEastAsia" w:hAnsiTheme="minorEastAsia" w:eastAsiaTheme="minorEastAsia"/>
          <w:sz w:val="24"/>
          <w:lang w:eastAsia="zh-CN"/>
        </w:rPr>
        <w:t>。</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1.9在签订合同之后，</w:t>
      </w:r>
      <w:r>
        <w:rPr>
          <w:rFonts w:hint="eastAsia" w:asciiTheme="minorEastAsia" w:hAnsiTheme="minorEastAsia" w:eastAsiaTheme="minorEastAsia"/>
          <w:sz w:val="24"/>
          <w:lang w:eastAsia="zh-CN"/>
        </w:rPr>
        <w:t>招标方</w:t>
      </w:r>
      <w:r>
        <w:rPr>
          <w:rFonts w:asciiTheme="minorEastAsia" w:hAnsiTheme="minorEastAsia" w:eastAsiaTheme="minorEastAsia"/>
          <w:sz w:val="24"/>
          <w:lang w:eastAsia="zh-CN"/>
        </w:rPr>
        <w:t>有权提出因规范标准和规程发生变化而产生的一些补充要求，具体项目由双方共同商定</w:t>
      </w:r>
      <w:r>
        <w:rPr>
          <w:rFonts w:hint="eastAsia" w:asciiTheme="minorEastAsia" w:hAnsiTheme="minorEastAsia" w:eastAsiaTheme="minorEastAsia"/>
          <w:sz w:val="24"/>
          <w:lang w:eastAsia="zh-CN"/>
        </w:rPr>
        <w:t>。</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1.10本项目要求采用国家最新实行的或将要实行的有关标准、规范和规定</w:t>
      </w:r>
      <w:r>
        <w:rPr>
          <w:rFonts w:hint="eastAsia" w:asciiTheme="minorEastAsia" w:hAnsiTheme="minorEastAsia" w:eastAsiaTheme="minorEastAsia"/>
          <w:sz w:val="24"/>
          <w:lang w:eastAsia="zh-CN"/>
        </w:rPr>
        <w:t>。</w:t>
      </w:r>
    </w:p>
    <w:p>
      <w:pPr>
        <w:rPr>
          <w:rFonts w:asciiTheme="minorEastAsia" w:hAnsiTheme="minorEastAsia" w:eastAsiaTheme="minorEastAsia"/>
          <w:sz w:val="24"/>
          <w:lang w:eastAsia="zh-CN"/>
        </w:rPr>
      </w:pPr>
      <w:r>
        <w:rPr>
          <w:rFonts w:asciiTheme="minorEastAsia" w:hAnsiTheme="minorEastAsia" w:eastAsiaTheme="minorEastAsia"/>
          <w:sz w:val="24"/>
          <w:lang w:eastAsia="zh-CN"/>
        </w:rPr>
        <w:t>1.11为便于评标工作，投标方提交的所有投标文件的电子版应采用可编辑电子文件</w:t>
      </w:r>
      <w:r>
        <w:rPr>
          <w:rFonts w:hint="eastAsia" w:asciiTheme="minorEastAsia" w:hAnsiTheme="minorEastAsia" w:eastAsiaTheme="minorEastAsia"/>
          <w:sz w:val="24"/>
          <w:lang w:eastAsia="zh-CN"/>
        </w:rPr>
        <w:t>，使用语言为中文，</w:t>
      </w:r>
      <w:r>
        <w:rPr>
          <w:rFonts w:asciiTheme="minorEastAsia" w:hAnsiTheme="minorEastAsia" w:eastAsiaTheme="minorEastAsia"/>
          <w:sz w:val="24"/>
          <w:lang w:eastAsia="zh-CN"/>
        </w:rPr>
        <w:t>投标方在投标文件中所提的技术数据应以表格的形式列出。</w:t>
      </w:r>
      <w:r>
        <w:rPr>
          <w:rFonts w:hint="eastAsia" w:asciiTheme="minorEastAsia" w:hAnsiTheme="minorEastAsia" w:eastAsiaTheme="minorEastAsia"/>
          <w:sz w:val="24"/>
          <w:lang w:eastAsia="zh-CN"/>
        </w:rPr>
        <w:t>工程联系文件、技术资料、图纸、计算、仪表刻度和文件中的计量单位均采用法定计量单位。</w:t>
      </w:r>
    </w:p>
    <w:p>
      <w:pPr>
        <w:pStyle w:val="3"/>
        <w:spacing w:before="120" w:after="120"/>
        <w:rPr>
          <w:rFonts w:asciiTheme="minorEastAsia" w:hAnsiTheme="minorEastAsia" w:eastAsiaTheme="minorEastAsia"/>
          <w:lang w:eastAsia="zh-CN"/>
        </w:rPr>
      </w:pPr>
      <w:r>
        <w:rPr>
          <w:rFonts w:hint="eastAsia" w:asciiTheme="minorEastAsia" w:hAnsiTheme="minorEastAsia" w:eastAsiaTheme="minorEastAsia"/>
          <w:lang w:eastAsia="zh-CN"/>
        </w:rPr>
        <w:t>二、工程概况及设备运行环境条件</w:t>
      </w:r>
    </w:p>
    <w:p>
      <w:pPr>
        <w:snapToGrid w:val="0"/>
        <w:rPr>
          <w:rFonts w:asciiTheme="minorEastAsia" w:hAnsiTheme="minorEastAsia" w:eastAsiaTheme="minorEastAsia"/>
          <w:b/>
          <w:sz w:val="28"/>
          <w:szCs w:val="28"/>
          <w:lang w:eastAsia="zh-CN"/>
        </w:rPr>
      </w:pPr>
      <w:bookmarkStart w:id="10" w:name="_Toc104345445"/>
      <w:r>
        <w:rPr>
          <w:rFonts w:asciiTheme="minorEastAsia" w:hAnsiTheme="minorEastAsia" w:eastAsiaTheme="minorEastAsia"/>
          <w:b/>
          <w:sz w:val="28"/>
          <w:szCs w:val="28"/>
          <w:lang w:eastAsia="zh-CN"/>
        </w:rPr>
        <w:t>2.1厂址概况</w:t>
      </w:r>
    </w:p>
    <w:p>
      <w:pPr>
        <w:snapToGrid w:val="0"/>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热电厂位于漳州古雷港口经济区（位于福建省南端，东经117°30′～117°45′，北纬23°25′～24°），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pPr>
        <w:snapToGrid w:val="0"/>
        <w:rPr>
          <w:rFonts w:asciiTheme="minorEastAsia" w:hAnsiTheme="minorEastAsia" w:eastAsiaTheme="minorEastAsia"/>
          <w:b/>
          <w:sz w:val="28"/>
          <w:szCs w:val="28"/>
          <w:lang w:eastAsia="zh-CN"/>
        </w:rPr>
      </w:pPr>
      <w:bookmarkStart w:id="11" w:name="baidusnap4"/>
      <w:bookmarkEnd w:id="11"/>
      <w:r>
        <w:rPr>
          <w:rFonts w:asciiTheme="minorEastAsia" w:hAnsiTheme="minorEastAsia" w:eastAsiaTheme="minorEastAsia"/>
          <w:b/>
          <w:sz w:val="28"/>
          <w:szCs w:val="28"/>
          <w:lang w:eastAsia="zh-CN"/>
        </w:rPr>
        <w:t>2.2设计条件</w:t>
      </w:r>
    </w:p>
    <w:bookmarkEnd w:id="10"/>
    <w:p>
      <w:pPr>
        <w:snapToGrid w:val="0"/>
        <w:rPr>
          <w:rFonts w:asciiTheme="minorEastAsia" w:hAnsiTheme="minorEastAsia" w:eastAsiaTheme="minorEastAsia"/>
          <w:b/>
          <w:sz w:val="24"/>
          <w:lang w:eastAsia="zh-CN"/>
        </w:rPr>
      </w:pPr>
      <w:r>
        <w:rPr>
          <w:rFonts w:asciiTheme="minorEastAsia" w:hAnsiTheme="minorEastAsia" w:eastAsiaTheme="minorEastAsia"/>
          <w:b/>
          <w:sz w:val="24"/>
          <w:lang w:eastAsia="zh-CN"/>
        </w:rPr>
        <w:t>1</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工程简介</w:t>
      </w:r>
    </w:p>
    <w:p>
      <w:pPr>
        <w:snapToGrid w:val="0"/>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腾龙芳烃</w:t>
      </w:r>
      <w:r>
        <w:rPr>
          <w:rFonts w:asciiTheme="minorEastAsia" w:hAnsiTheme="minorEastAsia" w:eastAsiaTheme="minorEastAsia"/>
          <w:sz w:val="24"/>
          <w:lang w:eastAsia="zh-CN"/>
        </w:rPr>
        <w:t>热电厂装设4台670t/h超高压煤粉锅炉（670t/h、13.7MPa、540℃）。锅炉采用自然循环、四角切向燃烧方式，单炉膛，无再热，平衡通风，露天布置，固态排渣，全钢架悬吊结构∏型汽包锅炉。</w:t>
      </w:r>
    </w:p>
    <w:p>
      <w:pPr>
        <w:snapToGrid w:val="0"/>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SCR反应器直接布置在锅炉房与除尘器之间，垂直布置，不设置SCR烟气旁路。每个SCR总共设置了3个催化剂床层，</w:t>
      </w: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层催化剂</w:t>
      </w:r>
      <w:r>
        <w:rPr>
          <w:rFonts w:hint="eastAsia" w:asciiTheme="minorEastAsia" w:hAnsiTheme="minorEastAsia" w:eastAsiaTheme="minorEastAsia"/>
          <w:sz w:val="24"/>
          <w:lang w:eastAsia="zh-CN"/>
        </w:rPr>
        <w:t>全部更换</w:t>
      </w:r>
      <w:r>
        <w:rPr>
          <w:rFonts w:asciiTheme="minorEastAsia" w:hAnsiTheme="minorEastAsia" w:eastAsiaTheme="minorEastAsia"/>
          <w:sz w:val="24"/>
          <w:lang w:eastAsia="zh-CN"/>
        </w:rPr>
        <w:t>以确保不小于8</w:t>
      </w:r>
      <w:r>
        <w:rPr>
          <w:rFonts w:hint="eastAsia" w:asciiTheme="minorEastAsia" w:hAnsiTheme="minorEastAsia" w:eastAsiaTheme="minorEastAsia"/>
          <w:sz w:val="24"/>
          <w:lang w:eastAsia="zh-CN"/>
        </w:rPr>
        <w:t>2.5</w:t>
      </w:r>
      <w:r>
        <w:rPr>
          <w:rFonts w:asciiTheme="minorEastAsia" w:hAnsiTheme="minorEastAsia" w:eastAsiaTheme="minorEastAsia"/>
          <w:sz w:val="24"/>
          <w:lang w:eastAsia="zh-CN"/>
        </w:rPr>
        <w:t>%的氮氧化物脱除率。</w:t>
      </w:r>
    </w:p>
    <w:p>
      <w:pPr>
        <w:snapToGrid w:val="0"/>
        <w:ind w:firstLine="480" w:firstLineChars="200"/>
        <w:rPr>
          <w:rFonts w:asciiTheme="minorEastAsia" w:hAnsiTheme="minorEastAsia" w:eastAsiaTheme="minorEastAsia"/>
          <w:dstrike/>
          <w:sz w:val="24"/>
          <w:lang w:eastAsia="zh-CN"/>
        </w:rPr>
      </w:pPr>
      <w:r>
        <w:rPr>
          <w:rFonts w:asciiTheme="minorEastAsia" w:hAnsiTheme="minorEastAsia" w:eastAsiaTheme="minorEastAsia"/>
          <w:sz w:val="24"/>
          <w:lang w:eastAsia="zh-CN"/>
        </w:rPr>
        <w:t>选用液氨作为氮氧化物脱除剂，当其纯度≥99%时，乙方保证不会对催化剂的寿命和性能产生危害。</w:t>
      </w:r>
    </w:p>
    <w:p>
      <w:pPr>
        <w:snapToGrid w:val="0"/>
        <w:ind w:firstLine="520" w:firstLineChars="200"/>
        <w:rPr>
          <w:rFonts w:asciiTheme="minorEastAsia" w:hAnsiTheme="minorEastAsia" w:eastAsiaTheme="minorEastAsia"/>
          <w:sz w:val="24"/>
        </w:rPr>
      </w:pPr>
      <w:r>
        <w:rPr>
          <w:rFonts w:asciiTheme="minorEastAsia" w:hAnsiTheme="minorEastAsia" w:eastAsiaTheme="minorEastAsia"/>
          <w:snapToGrid w:val="0"/>
          <w:spacing w:val="10"/>
          <w:sz w:val="24"/>
        </w:rPr>
        <w:t>煤质资料</w:t>
      </w:r>
    </w:p>
    <w:tbl>
      <w:tblPr>
        <w:tblStyle w:val="19"/>
        <w:tblW w:w="4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1334"/>
        <w:gridCol w:w="1105"/>
        <w:gridCol w:w="1756"/>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61" w:type="pct"/>
            <w:gridSpan w:val="3"/>
            <w:shd w:val="clear" w:color="auto" w:fill="auto"/>
            <w:vAlign w:val="center"/>
          </w:tcPr>
          <w:p>
            <w:pPr>
              <w:jc w:val="center"/>
              <w:rPr>
                <w:rFonts w:asciiTheme="majorEastAsia" w:hAnsiTheme="majorEastAsia" w:eastAsiaTheme="majorEastAsia"/>
                <w:b/>
                <w:sz w:val="21"/>
                <w:szCs w:val="21"/>
              </w:rPr>
            </w:pPr>
            <w:r>
              <w:rPr>
                <w:rFonts w:asciiTheme="majorEastAsia" w:hAnsiTheme="majorEastAsia" w:eastAsiaTheme="majorEastAsia"/>
                <w:b/>
                <w:sz w:val="21"/>
                <w:szCs w:val="21"/>
              </w:rPr>
              <w:t>煤种</w:t>
            </w:r>
          </w:p>
        </w:tc>
        <w:tc>
          <w:tcPr>
            <w:tcW w:w="1003" w:type="pct"/>
            <w:shd w:val="clear" w:color="auto" w:fill="auto"/>
            <w:vAlign w:val="center"/>
          </w:tcPr>
          <w:p>
            <w:pPr>
              <w:jc w:val="center"/>
              <w:rPr>
                <w:rFonts w:asciiTheme="majorEastAsia" w:hAnsiTheme="majorEastAsia" w:eastAsiaTheme="majorEastAsia"/>
                <w:b/>
                <w:sz w:val="21"/>
                <w:szCs w:val="21"/>
              </w:rPr>
            </w:pPr>
            <w:r>
              <w:rPr>
                <w:rFonts w:asciiTheme="majorEastAsia" w:hAnsiTheme="majorEastAsia" w:eastAsiaTheme="majorEastAsia"/>
                <w:b/>
                <w:sz w:val="21"/>
                <w:szCs w:val="21"/>
              </w:rPr>
              <w:t>设计煤种</w:t>
            </w:r>
          </w:p>
        </w:tc>
        <w:tc>
          <w:tcPr>
            <w:tcW w:w="1036" w:type="pct"/>
            <w:shd w:val="clear" w:color="auto" w:fill="auto"/>
            <w:vAlign w:val="center"/>
          </w:tcPr>
          <w:p>
            <w:pPr>
              <w:jc w:val="center"/>
              <w:rPr>
                <w:rFonts w:asciiTheme="majorEastAsia" w:hAnsiTheme="majorEastAsia" w:eastAsiaTheme="majorEastAsia"/>
                <w:b/>
                <w:sz w:val="21"/>
                <w:szCs w:val="21"/>
              </w:rPr>
            </w:pPr>
            <w:r>
              <w:rPr>
                <w:rFonts w:asciiTheme="majorEastAsia" w:hAnsiTheme="majorEastAsia" w:eastAsiaTheme="majorEastAsia"/>
                <w:b/>
                <w:sz w:val="21"/>
                <w:szCs w:val="21"/>
              </w:rPr>
              <w:t>校核煤种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应用基碳含量</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Car</w:t>
            </w:r>
          </w:p>
        </w:tc>
        <w:tc>
          <w:tcPr>
            <w:tcW w:w="631"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54.21</w:t>
            </w:r>
          </w:p>
        </w:tc>
        <w:tc>
          <w:tcPr>
            <w:tcW w:w="1036"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49.90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应用基氢含量</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Har</w:t>
            </w:r>
          </w:p>
        </w:tc>
        <w:tc>
          <w:tcPr>
            <w:tcW w:w="631"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2.94</w:t>
            </w:r>
          </w:p>
        </w:tc>
        <w:tc>
          <w:tcPr>
            <w:tcW w:w="1036"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应用基氧含量</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Oar</w:t>
            </w:r>
          </w:p>
        </w:tc>
        <w:tc>
          <w:tcPr>
            <w:tcW w:w="631"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6.2</w:t>
            </w:r>
          </w:p>
        </w:tc>
        <w:tc>
          <w:tcPr>
            <w:tcW w:w="1036" w:type="pct"/>
            <w:shd w:val="clear" w:color="auto" w:fill="auto"/>
            <w:vAlign w:val="center"/>
          </w:tcPr>
          <w:p>
            <w:pPr>
              <w:pStyle w:val="69"/>
              <w:jc w:val="center"/>
              <w:rPr>
                <w:rFonts w:asciiTheme="majorEastAsia" w:hAnsiTheme="majorEastAsia" w:eastAsiaTheme="majorEastAsia"/>
                <w:color w:val="auto"/>
                <w:sz w:val="21"/>
                <w:szCs w:val="21"/>
              </w:rPr>
            </w:pPr>
            <w:r>
              <w:rPr>
                <w:rFonts w:asciiTheme="majorEastAsia" w:hAnsiTheme="majorEastAsia" w:eastAsiaTheme="majorEastAsia"/>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应用基氮含量</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Nar</w:t>
            </w:r>
          </w:p>
        </w:tc>
        <w:tc>
          <w:tcPr>
            <w:tcW w:w="631"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1.45</w:t>
            </w:r>
          </w:p>
        </w:tc>
        <w:tc>
          <w:tcPr>
            <w:tcW w:w="1036" w:type="pct"/>
            <w:shd w:val="clear" w:color="auto" w:fill="auto"/>
            <w:vAlign w:val="center"/>
          </w:tcPr>
          <w:p>
            <w:pPr>
              <w:pStyle w:val="69"/>
              <w:jc w:val="center"/>
              <w:rPr>
                <w:rFonts w:asciiTheme="majorEastAsia" w:hAnsiTheme="majorEastAsia" w:eastAsiaTheme="majorEastAsia"/>
                <w:color w:val="auto"/>
                <w:sz w:val="21"/>
                <w:szCs w:val="21"/>
              </w:rPr>
            </w:pPr>
            <w:r>
              <w:rPr>
                <w:rFonts w:asciiTheme="majorEastAsia" w:hAnsiTheme="majorEastAsia" w:eastAsiaTheme="majorEastAsia"/>
                <w:color w:val="auto"/>
                <w:sz w:val="21"/>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应用基硫含量</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Sar</w:t>
            </w:r>
          </w:p>
        </w:tc>
        <w:tc>
          <w:tcPr>
            <w:tcW w:w="631"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1.2</w:t>
            </w:r>
          </w:p>
        </w:tc>
        <w:tc>
          <w:tcPr>
            <w:tcW w:w="1036" w:type="pct"/>
            <w:shd w:val="clear" w:color="auto" w:fill="auto"/>
            <w:vAlign w:val="center"/>
          </w:tcPr>
          <w:p>
            <w:pPr>
              <w:pStyle w:val="69"/>
              <w:jc w:val="center"/>
              <w:rPr>
                <w:rFonts w:asciiTheme="majorEastAsia" w:hAnsiTheme="majorEastAsia" w:eastAsiaTheme="majorEastAsia"/>
                <w:color w:val="auto"/>
                <w:sz w:val="21"/>
                <w:szCs w:val="21"/>
              </w:rPr>
            </w:pPr>
            <w:r>
              <w:rPr>
                <w:rFonts w:asciiTheme="majorEastAsia" w:hAnsiTheme="majorEastAsia" w:eastAsiaTheme="majorEastAsia"/>
                <w:color w:val="auto"/>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应用基水分</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Mar</w:t>
            </w:r>
          </w:p>
        </w:tc>
        <w:tc>
          <w:tcPr>
            <w:tcW w:w="631"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12</w:t>
            </w:r>
          </w:p>
        </w:tc>
        <w:tc>
          <w:tcPr>
            <w:tcW w:w="1036"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应用基灰分</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Aar</w:t>
            </w:r>
          </w:p>
        </w:tc>
        <w:tc>
          <w:tcPr>
            <w:tcW w:w="631"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22</w:t>
            </w:r>
          </w:p>
        </w:tc>
        <w:tc>
          <w:tcPr>
            <w:tcW w:w="1036"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应用基低位发热量</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Qnet.ar</w:t>
            </w:r>
          </w:p>
        </w:tc>
        <w:tc>
          <w:tcPr>
            <w:tcW w:w="631"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kJ/kg</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20097</w:t>
            </w:r>
          </w:p>
        </w:tc>
        <w:tc>
          <w:tcPr>
            <w:tcW w:w="1036"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19050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干燥基挥发分</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Vdaf</w:t>
            </w:r>
          </w:p>
        </w:tc>
        <w:tc>
          <w:tcPr>
            <w:tcW w:w="631"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35.71</w:t>
            </w:r>
          </w:p>
        </w:tc>
        <w:tc>
          <w:tcPr>
            <w:tcW w:w="1036"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哈氏可磨性系数</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HGI</w:t>
            </w:r>
          </w:p>
        </w:tc>
        <w:tc>
          <w:tcPr>
            <w:tcW w:w="631" w:type="pct"/>
            <w:shd w:val="clear" w:color="auto" w:fill="auto"/>
            <w:vAlign w:val="center"/>
          </w:tcPr>
          <w:p>
            <w:pPr>
              <w:jc w:val="center"/>
              <w:rPr>
                <w:rFonts w:asciiTheme="majorEastAsia" w:hAnsiTheme="majorEastAsia" w:eastAsiaTheme="majorEastAsia"/>
                <w:sz w:val="21"/>
                <w:szCs w:val="21"/>
              </w:rPr>
            </w:pP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55</w:t>
            </w:r>
          </w:p>
        </w:tc>
        <w:tc>
          <w:tcPr>
            <w:tcW w:w="1036"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tcBorders>
              <w:bottom w:val="single" w:color="auto" w:sz="4" w:space="0"/>
            </w:tcBorders>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煤粉细度</w:t>
            </w:r>
          </w:p>
        </w:tc>
        <w:tc>
          <w:tcPr>
            <w:tcW w:w="762" w:type="pct"/>
            <w:tcBorders>
              <w:bottom w:val="single" w:color="auto" w:sz="4" w:space="0"/>
            </w:tcBorders>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R</w:t>
            </w:r>
            <w:r>
              <w:rPr>
                <w:rFonts w:asciiTheme="majorEastAsia" w:hAnsiTheme="majorEastAsia" w:eastAsiaTheme="majorEastAsia"/>
                <w:sz w:val="21"/>
                <w:szCs w:val="21"/>
                <w:vertAlign w:val="subscript"/>
              </w:rPr>
              <w:t>90</w:t>
            </w:r>
          </w:p>
        </w:tc>
        <w:tc>
          <w:tcPr>
            <w:tcW w:w="631" w:type="pct"/>
            <w:tcBorders>
              <w:bottom w:val="single" w:color="auto" w:sz="4" w:space="0"/>
            </w:tcBorders>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w:t>
            </w:r>
          </w:p>
        </w:tc>
        <w:tc>
          <w:tcPr>
            <w:tcW w:w="1003" w:type="pct"/>
            <w:tcBorders>
              <w:bottom w:val="single" w:color="auto" w:sz="4" w:space="0"/>
            </w:tcBorders>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20</w:t>
            </w:r>
          </w:p>
        </w:tc>
        <w:tc>
          <w:tcPr>
            <w:tcW w:w="1036" w:type="pct"/>
            <w:tcBorders>
              <w:bottom w:val="single" w:color="auto" w:sz="4" w:space="0"/>
            </w:tcBorders>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C0C0C0"/>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灰的特性：</w:t>
            </w:r>
          </w:p>
        </w:tc>
        <w:tc>
          <w:tcPr>
            <w:tcW w:w="762" w:type="pct"/>
            <w:shd w:val="clear" w:color="auto" w:fill="C0C0C0"/>
            <w:vAlign w:val="center"/>
          </w:tcPr>
          <w:p>
            <w:pPr>
              <w:jc w:val="center"/>
              <w:rPr>
                <w:rFonts w:asciiTheme="majorEastAsia" w:hAnsiTheme="majorEastAsia" w:eastAsiaTheme="majorEastAsia"/>
                <w:sz w:val="21"/>
                <w:szCs w:val="21"/>
              </w:rPr>
            </w:pPr>
          </w:p>
        </w:tc>
        <w:tc>
          <w:tcPr>
            <w:tcW w:w="631" w:type="pct"/>
            <w:shd w:val="clear" w:color="auto" w:fill="C0C0C0"/>
            <w:vAlign w:val="center"/>
          </w:tcPr>
          <w:p>
            <w:pPr>
              <w:jc w:val="center"/>
              <w:rPr>
                <w:rFonts w:asciiTheme="majorEastAsia" w:hAnsiTheme="majorEastAsia" w:eastAsiaTheme="majorEastAsia"/>
                <w:sz w:val="21"/>
                <w:szCs w:val="21"/>
              </w:rPr>
            </w:pPr>
          </w:p>
        </w:tc>
        <w:tc>
          <w:tcPr>
            <w:tcW w:w="1003" w:type="pct"/>
            <w:shd w:val="clear" w:color="auto" w:fill="C0C0C0"/>
            <w:vAlign w:val="center"/>
          </w:tcPr>
          <w:p>
            <w:pPr>
              <w:jc w:val="center"/>
              <w:rPr>
                <w:rFonts w:asciiTheme="majorEastAsia" w:hAnsiTheme="majorEastAsia" w:eastAsiaTheme="majorEastAsia"/>
                <w:sz w:val="21"/>
                <w:szCs w:val="21"/>
              </w:rPr>
            </w:pPr>
          </w:p>
        </w:tc>
        <w:tc>
          <w:tcPr>
            <w:tcW w:w="1036" w:type="pct"/>
            <w:shd w:val="clear" w:color="auto" w:fill="C0C0C0"/>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变形温度</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DT</w:t>
            </w:r>
          </w:p>
        </w:tc>
        <w:tc>
          <w:tcPr>
            <w:tcW w:w="631" w:type="pct"/>
            <w:shd w:val="clear" w:color="auto" w:fill="auto"/>
            <w:vAlign w:val="center"/>
          </w:tcPr>
          <w:p>
            <w:pPr>
              <w:jc w:val="center"/>
              <w:rPr>
                <w:rFonts w:cs="Calibri"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1280</w:t>
            </w:r>
          </w:p>
        </w:tc>
        <w:tc>
          <w:tcPr>
            <w:tcW w:w="1036" w:type="pct"/>
            <w:shd w:val="clear" w:color="auto" w:fill="auto"/>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软化温度</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ST</w:t>
            </w:r>
          </w:p>
        </w:tc>
        <w:tc>
          <w:tcPr>
            <w:tcW w:w="631" w:type="pct"/>
            <w:shd w:val="clear" w:color="auto" w:fill="auto"/>
            <w:vAlign w:val="center"/>
          </w:tcPr>
          <w:p>
            <w:pPr>
              <w:jc w:val="center"/>
              <w:rPr>
                <w:rFonts w:cs="Calibri"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1310</w:t>
            </w:r>
          </w:p>
        </w:tc>
        <w:tc>
          <w:tcPr>
            <w:tcW w:w="1036" w:type="pct"/>
            <w:shd w:val="clear" w:color="auto" w:fill="auto"/>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9"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熔化温度</w:t>
            </w:r>
          </w:p>
        </w:tc>
        <w:tc>
          <w:tcPr>
            <w:tcW w:w="762"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FT</w:t>
            </w:r>
          </w:p>
        </w:tc>
        <w:tc>
          <w:tcPr>
            <w:tcW w:w="631" w:type="pct"/>
            <w:shd w:val="clear" w:color="auto" w:fill="auto"/>
            <w:vAlign w:val="center"/>
          </w:tcPr>
          <w:p>
            <w:pPr>
              <w:jc w:val="center"/>
              <w:rPr>
                <w:rFonts w:cs="Calibri"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1003" w:type="pct"/>
            <w:shd w:val="clear" w:color="auto" w:fill="auto"/>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1390</w:t>
            </w:r>
          </w:p>
        </w:tc>
        <w:tc>
          <w:tcPr>
            <w:tcW w:w="1036" w:type="pct"/>
            <w:shd w:val="clear" w:color="auto" w:fill="auto"/>
            <w:vAlign w:val="center"/>
          </w:tcPr>
          <w:p>
            <w:pPr>
              <w:jc w:val="center"/>
              <w:rPr>
                <w:rFonts w:asciiTheme="majorEastAsia" w:hAnsiTheme="majorEastAsia" w:eastAsiaTheme="majorEastAsia"/>
                <w:sz w:val="21"/>
                <w:szCs w:val="21"/>
              </w:rPr>
            </w:pPr>
          </w:p>
        </w:tc>
      </w:tr>
    </w:tbl>
    <w:p>
      <w:pPr>
        <w:widowControl/>
        <w:snapToGrid w:val="0"/>
        <w:ind w:firstLine="200" w:firstLineChars="200"/>
        <w:rPr>
          <w:rFonts w:asciiTheme="minorEastAsia" w:hAnsiTheme="minorEastAsia" w:eastAsiaTheme="minorEastAsia"/>
          <w:sz w:val="10"/>
        </w:rPr>
      </w:pPr>
    </w:p>
    <w:p>
      <w:pPr>
        <w:widowControl/>
        <w:snapToGrid w:val="0"/>
        <w:ind w:firstLine="480" w:firstLineChars="200"/>
        <w:rPr>
          <w:rFonts w:asciiTheme="minorEastAsia" w:hAnsiTheme="minorEastAsia" w:eastAsiaTheme="minorEastAsia"/>
          <w:sz w:val="24"/>
        </w:rPr>
      </w:pPr>
      <w:r>
        <w:rPr>
          <w:rFonts w:asciiTheme="minorEastAsia" w:hAnsiTheme="minorEastAsia" w:eastAsiaTheme="minorEastAsia"/>
          <w:sz w:val="24"/>
        </w:rPr>
        <w:t>热电厂主要设备参数</w:t>
      </w:r>
    </w:p>
    <w:tbl>
      <w:tblPr>
        <w:tblStyle w:val="19"/>
        <w:tblW w:w="4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775"/>
        <w:gridCol w:w="1030"/>
        <w:gridCol w:w="183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设备名称</w:t>
            </w:r>
          </w:p>
        </w:tc>
        <w:tc>
          <w:tcPr>
            <w:tcW w:w="2111" w:type="pct"/>
            <w:vMerge w:val="restart"/>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参数名称</w:t>
            </w:r>
          </w:p>
        </w:tc>
        <w:tc>
          <w:tcPr>
            <w:tcW w:w="576" w:type="pct"/>
            <w:vMerge w:val="restart"/>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单位</w:t>
            </w:r>
          </w:p>
        </w:tc>
        <w:tc>
          <w:tcPr>
            <w:tcW w:w="1837" w:type="pct"/>
            <w:gridSpan w:val="2"/>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Merge w:val="continue"/>
            <w:vAlign w:val="center"/>
          </w:tcPr>
          <w:p>
            <w:pPr>
              <w:pStyle w:val="69"/>
              <w:jc w:val="center"/>
              <w:rPr>
                <w:rFonts w:asciiTheme="minorEastAsia" w:hAnsiTheme="minorEastAsia" w:eastAsiaTheme="minorEastAsia"/>
                <w:color w:val="auto"/>
                <w:sz w:val="21"/>
                <w:szCs w:val="21"/>
              </w:rPr>
            </w:pPr>
          </w:p>
        </w:tc>
        <w:tc>
          <w:tcPr>
            <w:tcW w:w="576" w:type="pct"/>
            <w:vMerge w:val="continue"/>
            <w:vAlign w:val="center"/>
          </w:tcPr>
          <w:p>
            <w:pPr>
              <w:pStyle w:val="69"/>
              <w:jc w:val="center"/>
              <w:rPr>
                <w:rFonts w:asciiTheme="minorEastAsia" w:hAnsiTheme="minorEastAsia" w:eastAsiaTheme="minorEastAsia"/>
                <w:color w:val="auto"/>
                <w:sz w:val="21"/>
                <w:szCs w:val="21"/>
              </w:rPr>
            </w:pPr>
          </w:p>
        </w:tc>
        <w:tc>
          <w:tcPr>
            <w:tcW w:w="1027" w:type="pct"/>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设计煤种</w:t>
            </w:r>
          </w:p>
        </w:tc>
        <w:tc>
          <w:tcPr>
            <w:tcW w:w="810" w:type="pct"/>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校核煤种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vAlign w:val="center"/>
          </w:tcPr>
          <w:p>
            <w:pPr>
              <w:pStyle w:val="69"/>
              <w:ind w:left="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锅炉</w:t>
            </w:r>
          </w:p>
        </w:tc>
        <w:tc>
          <w:tcPr>
            <w:tcW w:w="2111" w:type="pct"/>
            <w:vAlign w:val="center"/>
          </w:tcPr>
          <w:p>
            <w:pPr>
              <w:pStyle w:val="69"/>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制造厂</w:t>
            </w:r>
          </w:p>
        </w:tc>
        <w:tc>
          <w:tcPr>
            <w:tcW w:w="576" w:type="pct"/>
            <w:vAlign w:val="center"/>
          </w:tcPr>
          <w:p>
            <w:pPr>
              <w:pStyle w:val="69"/>
              <w:jc w:val="center"/>
              <w:rPr>
                <w:rFonts w:asciiTheme="minorEastAsia" w:hAnsiTheme="minorEastAsia" w:eastAsiaTheme="minorEastAsia"/>
                <w:color w:val="auto"/>
                <w:sz w:val="21"/>
                <w:szCs w:val="21"/>
              </w:rPr>
            </w:pP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上海锅炉厂有限公司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型式</w:t>
            </w:r>
          </w:p>
        </w:tc>
        <w:tc>
          <w:tcPr>
            <w:tcW w:w="576" w:type="pct"/>
            <w:vAlign w:val="center"/>
          </w:tcPr>
          <w:p>
            <w:pPr>
              <w:jc w:val="center"/>
              <w:rPr>
                <w:rFonts w:asciiTheme="minorEastAsia" w:hAnsiTheme="minorEastAsia" w:eastAsiaTheme="minorEastAsia"/>
                <w:sz w:val="21"/>
                <w:szCs w:val="21"/>
              </w:rPr>
            </w:pPr>
          </w:p>
        </w:tc>
        <w:tc>
          <w:tcPr>
            <w:tcW w:w="1837" w:type="pct"/>
            <w:gridSpan w:val="2"/>
            <w:vAlign w:val="center"/>
          </w:tcPr>
          <w:p>
            <w:pPr>
              <w:spacing w:line="240" w:lineRule="atLeast"/>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超高压参数自然循环、四角切向燃烧方式，单炉膛，无再热，平衡通风，露天布置，固态排渣，全钢构架，全悬吊结构，回转式空气预热器，“</w:t>
            </w:r>
            <w:r>
              <w:rPr>
                <w:rFonts w:asciiTheme="minorEastAsia" w:hAnsiTheme="minorEastAsia" w:eastAsiaTheme="minorEastAsia"/>
                <w:sz w:val="21"/>
                <w:szCs w:val="21"/>
              </w:rPr>
              <w:sym w:font="Symbol" w:char="F050"/>
            </w:r>
            <w:r>
              <w:rPr>
                <w:rFonts w:asciiTheme="minorEastAsia" w:hAnsiTheme="minorEastAsia" w:eastAsiaTheme="minorEastAsia"/>
                <w:sz w:val="21"/>
                <w:szCs w:val="21"/>
                <w:lang w:eastAsia="zh-CN"/>
              </w:rPr>
              <w:t>”型布置汽包锅炉。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过热器蒸发量</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BMCR</w:t>
            </w:r>
            <w:r>
              <w:rPr>
                <w:rFonts w:hint="eastAsia" w:asciiTheme="minorEastAsia" w:hAnsiTheme="minorEastAsia" w:eastAsiaTheme="minorEastAsia"/>
                <w:sz w:val="21"/>
                <w:szCs w:val="21"/>
                <w:lang w:eastAsia="zh-CN"/>
              </w:rPr>
              <w:t>）</w:t>
            </w:r>
          </w:p>
        </w:tc>
        <w:tc>
          <w:tcPr>
            <w:tcW w:w="576" w:type="pct"/>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t/h</w:t>
            </w: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过热器出口蒸汽压力</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BMCR</w:t>
            </w:r>
            <w:r>
              <w:rPr>
                <w:rFonts w:hint="eastAsia" w:asciiTheme="minorEastAsia" w:hAnsiTheme="minorEastAsia" w:eastAsiaTheme="minorEastAsia"/>
                <w:sz w:val="21"/>
                <w:szCs w:val="21"/>
                <w:lang w:eastAsia="zh-CN"/>
              </w:rPr>
              <w:t>）</w:t>
            </w:r>
          </w:p>
        </w:tc>
        <w:tc>
          <w:tcPr>
            <w:tcW w:w="576" w:type="pct"/>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MPa.g</w:t>
            </w: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过热器出口蒸汽温度</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BMCR</w:t>
            </w:r>
            <w:r>
              <w:rPr>
                <w:rFonts w:hint="eastAsia" w:asciiTheme="minorEastAsia" w:hAnsiTheme="minorEastAsia" w:eastAsiaTheme="minorEastAsia"/>
                <w:sz w:val="21"/>
                <w:szCs w:val="21"/>
                <w:lang w:eastAsia="zh-CN"/>
              </w:rPr>
              <w:t>）</w:t>
            </w:r>
          </w:p>
        </w:tc>
        <w:tc>
          <w:tcPr>
            <w:tcW w:w="576" w:type="pct"/>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省煤器出口标态湿烟气量（BMCR）</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Nm3/h</w:t>
            </w:r>
          </w:p>
        </w:tc>
        <w:tc>
          <w:tcPr>
            <w:tcW w:w="1027"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633105</w:t>
            </w:r>
          </w:p>
        </w:tc>
        <w:tc>
          <w:tcPr>
            <w:tcW w:w="810" w:type="pct"/>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jc w:val="center"/>
              <w:rPr>
                <w:rFonts w:asciiTheme="minorEastAsia" w:hAnsiTheme="minorEastAsia" w:eastAsiaTheme="minorEastAsia"/>
                <w:sz w:val="21"/>
                <w:szCs w:val="21"/>
              </w:rPr>
            </w:pPr>
          </w:p>
        </w:tc>
        <w:tc>
          <w:tcPr>
            <w:tcW w:w="2111" w:type="pct"/>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省煤器出口烟气温度（BMCR）</w:t>
            </w:r>
          </w:p>
        </w:tc>
        <w:tc>
          <w:tcPr>
            <w:tcW w:w="576" w:type="pct"/>
            <w:vAlign w:val="center"/>
          </w:tcPr>
          <w:p>
            <w:pPr>
              <w:jc w:val="center"/>
              <w:rPr>
                <w:rFonts w:cs="Calibri"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27"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354</w:t>
            </w:r>
          </w:p>
        </w:tc>
        <w:tc>
          <w:tcPr>
            <w:tcW w:w="810" w:type="pct"/>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锅炉排烟温度（BMCR）</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27"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129.4</w:t>
            </w:r>
          </w:p>
        </w:tc>
        <w:tc>
          <w:tcPr>
            <w:tcW w:w="810"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锅炉实际耗煤量（BMCR）</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t/h</w:t>
            </w:r>
          </w:p>
        </w:tc>
        <w:tc>
          <w:tcPr>
            <w:tcW w:w="1027"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88.69</w:t>
            </w:r>
          </w:p>
        </w:tc>
        <w:tc>
          <w:tcPr>
            <w:tcW w:w="810"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94.07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vAlign w:val="center"/>
          </w:tcPr>
          <w:p>
            <w:pPr>
              <w:pStyle w:val="69"/>
              <w:ind w:left="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空预器</w:t>
            </w: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数量（每台炉）</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台</w:t>
            </w: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jc w:val="center"/>
              <w:rPr>
                <w:rFonts w:asciiTheme="minorEastAsia" w:hAnsiTheme="minorEastAsia" w:eastAsiaTheme="minorEastAsia"/>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型式</w:t>
            </w:r>
          </w:p>
        </w:tc>
        <w:tc>
          <w:tcPr>
            <w:tcW w:w="576" w:type="pct"/>
            <w:vAlign w:val="center"/>
          </w:tcPr>
          <w:p>
            <w:pPr>
              <w:jc w:val="center"/>
              <w:rPr>
                <w:rFonts w:asciiTheme="minorEastAsia" w:hAnsiTheme="minorEastAsia" w:eastAsiaTheme="minorEastAsia"/>
                <w:sz w:val="21"/>
                <w:szCs w:val="21"/>
              </w:rPr>
            </w:pP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回转式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jc w:val="center"/>
              <w:rPr>
                <w:rFonts w:asciiTheme="minorEastAsia" w:hAnsiTheme="minorEastAsia" w:eastAsiaTheme="minorEastAsia"/>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漏风率（一年后）</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vAlign w:val="center"/>
          </w:tcPr>
          <w:p>
            <w:pPr>
              <w:pStyle w:val="69"/>
              <w:ind w:left="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除尘器</w:t>
            </w: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数量（每台炉）</w:t>
            </w:r>
          </w:p>
        </w:tc>
        <w:tc>
          <w:tcPr>
            <w:tcW w:w="576" w:type="pct"/>
            <w:vAlign w:val="center"/>
          </w:tcPr>
          <w:p>
            <w:pPr>
              <w:jc w:val="center"/>
              <w:rPr>
                <w:rFonts w:asciiTheme="minorEastAsia" w:hAnsiTheme="minorEastAsia" w:eastAsiaTheme="minorEastAsia"/>
                <w:sz w:val="21"/>
                <w:szCs w:val="21"/>
              </w:rPr>
            </w:pP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型式</w:t>
            </w:r>
          </w:p>
        </w:tc>
        <w:tc>
          <w:tcPr>
            <w:tcW w:w="576" w:type="pct"/>
            <w:vAlign w:val="center"/>
          </w:tcPr>
          <w:p>
            <w:pPr>
              <w:jc w:val="center"/>
              <w:rPr>
                <w:rFonts w:asciiTheme="minorEastAsia" w:hAnsiTheme="minorEastAsia" w:eastAsiaTheme="minorEastAsia"/>
                <w:sz w:val="21"/>
                <w:szCs w:val="21"/>
              </w:rPr>
            </w:pPr>
          </w:p>
        </w:tc>
        <w:tc>
          <w:tcPr>
            <w:tcW w:w="1837" w:type="pct"/>
            <w:gridSpan w:val="2"/>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电袋复合式（二电场/二袋场）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除尘效率</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引风机出口灰尘浓度</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mg/Nm</w:t>
            </w:r>
            <w:r>
              <w:rPr>
                <w:rFonts w:asciiTheme="minorEastAsia" w:hAnsiTheme="minorEastAsia" w:eastAsiaTheme="minorEastAsia"/>
                <w:sz w:val="21"/>
                <w:szCs w:val="21"/>
                <w:vertAlign w:val="superscript"/>
              </w:rPr>
              <w:t>3</w:t>
            </w: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vAlign w:val="center"/>
          </w:tcPr>
          <w:p>
            <w:pPr>
              <w:pStyle w:val="69"/>
              <w:ind w:left="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引风机</w:t>
            </w: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型式及配置（BMCR）</w:t>
            </w:r>
          </w:p>
        </w:tc>
        <w:tc>
          <w:tcPr>
            <w:tcW w:w="576" w:type="pct"/>
            <w:vAlign w:val="center"/>
          </w:tcPr>
          <w:p>
            <w:pPr>
              <w:jc w:val="center"/>
              <w:rPr>
                <w:rFonts w:asciiTheme="minorEastAsia" w:hAnsiTheme="minorEastAsia" w:eastAsiaTheme="minorEastAsia"/>
                <w:sz w:val="21"/>
                <w:szCs w:val="21"/>
              </w:rPr>
            </w:pP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pacing w:val="-10"/>
                <w:sz w:val="21"/>
                <w:szCs w:val="21"/>
              </w:rPr>
              <w:t>风机入口</w:t>
            </w:r>
            <w:r>
              <w:rPr>
                <w:rFonts w:asciiTheme="minorEastAsia" w:hAnsiTheme="minorEastAsia" w:eastAsiaTheme="minorEastAsia"/>
                <w:sz w:val="21"/>
                <w:szCs w:val="21"/>
              </w:rPr>
              <w:t>流量</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t/h</w:t>
            </w:r>
          </w:p>
        </w:tc>
        <w:tc>
          <w:tcPr>
            <w:tcW w:w="1027" w:type="pct"/>
            <w:vAlign w:val="center"/>
          </w:tcPr>
          <w:p>
            <w:pPr>
              <w:jc w:val="center"/>
              <w:rPr>
                <w:rFonts w:asciiTheme="minorEastAsia" w:hAnsiTheme="minorEastAsia" w:eastAsiaTheme="minorEastAsia"/>
                <w:sz w:val="21"/>
                <w:szCs w:val="21"/>
              </w:rPr>
            </w:pPr>
            <w:r>
              <w:rPr>
                <w:rFonts w:asciiTheme="minorEastAsia" w:hAnsiTheme="minorEastAsia" w:eastAsiaTheme="minorEastAsia"/>
                <w:spacing w:val="-10"/>
                <w:sz w:val="21"/>
                <w:szCs w:val="21"/>
              </w:rPr>
              <w:t>618.18</w:t>
            </w:r>
          </w:p>
        </w:tc>
        <w:tc>
          <w:tcPr>
            <w:tcW w:w="810" w:type="pct"/>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pacing w:val="-10"/>
                <w:sz w:val="21"/>
                <w:szCs w:val="21"/>
              </w:rPr>
              <w:t>风机全压</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Pa</w:t>
            </w:r>
          </w:p>
        </w:tc>
        <w:tc>
          <w:tcPr>
            <w:tcW w:w="1027" w:type="pct"/>
            <w:vAlign w:val="center"/>
          </w:tcPr>
          <w:p>
            <w:pPr>
              <w:jc w:val="center"/>
              <w:rPr>
                <w:rFonts w:asciiTheme="minorEastAsia" w:hAnsiTheme="minorEastAsia" w:eastAsiaTheme="minorEastAsia"/>
                <w:sz w:val="21"/>
                <w:szCs w:val="21"/>
              </w:rPr>
            </w:pPr>
            <w:r>
              <w:rPr>
                <w:rFonts w:asciiTheme="minorEastAsia" w:hAnsiTheme="minorEastAsia" w:eastAsiaTheme="minorEastAsia"/>
                <w:spacing w:val="-10"/>
                <w:sz w:val="21"/>
                <w:szCs w:val="21"/>
              </w:rPr>
              <w:t>6488</w:t>
            </w:r>
          </w:p>
        </w:tc>
        <w:tc>
          <w:tcPr>
            <w:tcW w:w="810" w:type="pct"/>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pacing w:val="-10"/>
                <w:sz w:val="21"/>
                <w:szCs w:val="21"/>
              </w:rPr>
            </w:pPr>
            <w:r>
              <w:rPr>
                <w:rFonts w:asciiTheme="minorEastAsia" w:hAnsiTheme="minorEastAsia" w:eastAsiaTheme="minorEastAsia"/>
                <w:spacing w:val="-10"/>
                <w:sz w:val="21"/>
                <w:szCs w:val="21"/>
              </w:rPr>
              <w:t>风机入口温度</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27" w:type="pct"/>
            <w:vAlign w:val="center"/>
          </w:tcPr>
          <w:p>
            <w:pPr>
              <w:jc w:val="center"/>
              <w:rPr>
                <w:rFonts w:asciiTheme="minorEastAsia" w:hAnsiTheme="minorEastAsia" w:eastAsiaTheme="minorEastAsia"/>
                <w:spacing w:val="-10"/>
                <w:sz w:val="21"/>
                <w:szCs w:val="21"/>
              </w:rPr>
            </w:pPr>
            <w:r>
              <w:rPr>
                <w:rFonts w:asciiTheme="minorEastAsia" w:hAnsiTheme="minorEastAsia" w:eastAsiaTheme="minorEastAsia"/>
                <w:spacing w:val="-10"/>
                <w:sz w:val="21"/>
                <w:szCs w:val="21"/>
              </w:rPr>
              <w:t>121</w:t>
            </w:r>
          </w:p>
        </w:tc>
        <w:tc>
          <w:tcPr>
            <w:tcW w:w="810"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电动机功率</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kW</w:t>
            </w:r>
          </w:p>
        </w:tc>
        <w:tc>
          <w:tcPr>
            <w:tcW w:w="1837" w:type="pct"/>
            <w:gridSpan w:val="2"/>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vAlign w:val="center"/>
          </w:tcPr>
          <w:p>
            <w:pPr>
              <w:pStyle w:val="69"/>
              <w:ind w:left="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烟囱</w:t>
            </w: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高度</w:t>
            </w:r>
          </w:p>
        </w:tc>
        <w:tc>
          <w:tcPr>
            <w:tcW w:w="576"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m</w:t>
            </w:r>
          </w:p>
        </w:tc>
        <w:tc>
          <w:tcPr>
            <w:tcW w:w="1837" w:type="pct"/>
            <w:gridSpan w:val="2"/>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vAlign w:val="center"/>
          </w:tcPr>
          <w:p>
            <w:pPr>
              <w:pStyle w:val="69"/>
              <w:jc w:val="center"/>
              <w:rPr>
                <w:rFonts w:asciiTheme="minorEastAsia" w:hAnsiTheme="minorEastAsia" w:eastAsiaTheme="minorEastAsia"/>
                <w:color w:val="auto"/>
                <w:sz w:val="21"/>
                <w:szCs w:val="21"/>
              </w:rPr>
            </w:pPr>
          </w:p>
        </w:tc>
        <w:tc>
          <w:tcPr>
            <w:tcW w:w="2111" w:type="pc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型式</w:t>
            </w:r>
          </w:p>
        </w:tc>
        <w:tc>
          <w:tcPr>
            <w:tcW w:w="576" w:type="pct"/>
            <w:vAlign w:val="center"/>
          </w:tcPr>
          <w:p>
            <w:pPr>
              <w:jc w:val="center"/>
              <w:rPr>
                <w:rFonts w:asciiTheme="minorEastAsia" w:hAnsiTheme="minorEastAsia" w:eastAsiaTheme="minorEastAsia"/>
                <w:sz w:val="21"/>
                <w:szCs w:val="21"/>
              </w:rPr>
            </w:pPr>
          </w:p>
        </w:tc>
        <w:tc>
          <w:tcPr>
            <w:tcW w:w="1837" w:type="pct"/>
            <w:gridSpan w:val="2"/>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2台锅炉共用一座内筒</w:t>
            </w:r>
          </w:p>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（4台锅炉，共2座内筒）</w:t>
            </w:r>
          </w:p>
        </w:tc>
      </w:tr>
    </w:tbl>
    <w:p>
      <w:pPr>
        <w:widowControl/>
        <w:snapToGrid w:val="0"/>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烟气脱硝系统入口烟气参数</w:t>
      </w:r>
    </w:p>
    <w:tbl>
      <w:tblPr>
        <w:tblStyle w:val="19"/>
        <w:tblW w:w="4555"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2534"/>
        <w:gridCol w:w="1252"/>
        <w:gridCol w:w="11"/>
        <w:gridCol w:w="2469"/>
        <w:gridCol w:w="25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tblHeader/>
          <w:jc w:val="center"/>
        </w:trPr>
        <w:tc>
          <w:tcPr>
            <w:tcW w:w="1437" w:type="pct"/>
            <w:vAlign w:val="center"/>
          </w:tcPr>
          <w:p>
            <w:pPr>
              <w:widowControl/>
              <w:snapToGrid w:val="0"/>
              <w:jc w:val="center"/>
              <w:rPr>
                <w:rFonts w:asciiTheme="minorEastAsia" w:hAnsiTheme="minorEastAsia" w:eastAsiaTheme="minorEastAsia"/>
                <w:b/>
                <w:sz w:val="21"/>
                <w:szCs w:val="21"/>
              </w:rPr>
            </w:pPr>
            <w:r>
              <w:rPr>
                <w:rFonts w:asciiTheme="minorEastAsia" w:hAnsiTheme="minorEastAsia" w:eastAsiaTheme="minorEastAsia"/>
                <w:b/>
                <w:sz w:val="21"/>
                <w:szCs w:val="21"/>
              </w:rPr>
              <w:t>项目</w:t>
            </w:r>
          </w:p>
        </w:tc>
        <w:tc>
          <w:tcPr>
            <w:tcW w:w="710" w:type="pct"/>
            <w:vAlign w:val="center"/>
          </w:tcPr>
          <w:p>
            <w:pPr>
              <w:widowControl/>
              <w:snapToGrid w:val="0"/>
              <w:jc w:val="center"/>
              <w:rPr>
                <w:rFonts w:asciiTheme="minorEastAsia" w:hAnsiTheme="minorEastAsia" w:eastAsiaTheme="minorEastAsia"/>
                <w:b/>
                <w:sz w:val="21"/>
                <w:szCs w:val="21"/>
              </w:rPr>
            </w:pPr>
            <w:r>
              <w:rPr>
                <w:rFonts w:asciiTheme="minorEastAsia" w:hAnsiTheme="minorEastAsia" w:eastAsiaTheme="minorEastAsia"/>
                <w:b/>
                <w:sz w:val="21"/>
                <w:szCs w:val="21"/>
              </w:rPr>
              <w:t>单位</w:t>
            </w:r>
          </w:p>
        </w:tc>
        <w:tc>
          <w:tcPr>
            <w:tcW w:w="1406" w:type="pct"/>
            <w:gridSpan w:val="2"/>
            <w:tcMar>
              <w:top w:w="0" w:type="dxa"/>
              <w:left w:w="28" w:type="dxa"/>
              <w:bottom w:w="0" w:type="dxa"/>
              <w:right w:w="28" w:type="dxa"/>
            </w:tcMar>
            <w:vAlign w:val="center"/>
          </w:tcPr>
          <w:p>
            <w:pPr>
              <w:spacing w:line="240" w:lineRule="atLeast"/>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数据（湿基）</w:t>
            </w:r>
          </w:p>
          <w:p>
            <w:pPr>
              <w:spacing w:line="240" w:lineRule="atLeast"/>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设计煤种</w:t>
            </w:r>
          </w:p>
        </w:tc>
        <w:tc>
          <w:tcPr>
            <w:tcW w:w="1447" w:type="pct"/>
            <w:tcMar>
              <w:top w:w="0" w:type="dxa"/>
              <w:left w:w="28" w:type="dxa"/>
              <w:bottom w:w="0" w:type="dxa"/>
              <w:right w:w="28" w:type="dxa"/>
            </w:tcMar>
            <w:vAlign w:val="center"/>
          </w:tcPr>
          <w:p>
            <w:pPr>
              <w:spacing w:line="240" w:lineRule="atLeast"/>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数据（干基）</w:t>
            </w:r>
          </w:p>
          <w:p>
            <w:pPr>
              <w:spacing w:line="240" w:lineRule="atLeast"/>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设计煤种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5000" w:type="pct"/>
            <w:gridSpan w:val="5"/>
            <w:tcMar>
              <w:top w:w="0" w:type="dxa"/>
              <w:left w:w="28" w:type="dxa"/>
              <w:bottom w:w="0" w:type="dxa"/>
              <w:right w:w="28" w:type="dxa"/>
            </w:tcMar>
            <w:vAlign w:val="center"/>
          </w:tcPr>
          <w:p>
            <w:pPr>
              <w:widowControl/>
              <w:snapToGrid w:val="0"/>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省煤器出口烟气成分（过量空气系数为</w:t>
            </w:r>
            <w:r>
              <w:rPr>
                <w:rFonts w:asciiTheme="minorEastAsia" w:hAnsiTheme="minorEastAsia" w:eastAsiaTheme="minorEastAsia"/>
                <w:b/>
                <w:sz w:val="21"/>
                <w:szCs w:val="21"/>
                <w:u w:val="single"/>
                <w:lang w:eastAsia="zh-CN"/>
              </w:rPr>
              <w:t>1.23</w:t>
            </w:r>
            <w:r>
              <w:rPr>
                <w:rFonts w:asciiTheme="minorEastAsia" w:hAnsiTheme="minorEastAsia" w:eastAsiaTheme="minorEastAsia"/>
                <w:b/>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437"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p>
        </w:tc>
        <w:tc>
          <w:tcPr>
            <w:tcW w:w="710"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Vol%</w:t>
            </w:r>
          </w:p>
        </w:tc>
        <w:tc>
          <w:tcPr>
            <w:tcW w:w="1406" w:type="pct"/>
            <w:gridSpan w:val="2"/>
            <w:tcMar>
              <w:top w:w="0" w:type="dxa"/>
              <w:left w:w="28" w:type="dxa"/>
              <w:bottom w:w="0" w:type="dxa"/>
              <w:right w:w="28" w:type="dxa"/>
            </w:tcMa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14.078</w:t>
            </w:r>
          </w:p>
        </w:tc>
        <w:tc>
          <w:tcPr>
            <w:tcW w:w="1447" w:type="pct"/>
            <w:tcMar>
              <w:top w:w="0" w:type="dxa"/>
              <w:left w:w="28" w:type="dxa"/>
              <w:bottom w:w="0" w:type="dxa"/>
              <w:right w:w="28" w:type="dxa"/>
            </w:tcMa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15.392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437"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O</w:t>
            </w:r>
            <w:r>
              <w:rPr>
                <w:rFonts w:asciiTheme="minorEastAsia" w:hAnsiTheme="minorEastAsia" w:eastAsiaTheme="minorEastAsia"/>
                <w:sz w:val="21"/>
                <w:szCs w:val="21"/>
                <w:vertAlign w:val="subscript"/>
              </w:rPr>
              <w:t>2</w:t>
            </w:r>
          </w:p>
        </w:tc>
        <w:tc>
          <w:tcPr>
            <w:tcW w:w="710"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Vol%</w:t>
            </w:r>
          </w:p>
        </w:tc>
        <w:tc>
          <w:tcPr>
            <w:tcW w:w="1406" w:type="pct"/>
            <w:gridSpan w:val="2"/>
            <w:tcMar>
              <w:top w:w="0" w:type="dxa"/>
              <w:left w:w="28" w:type="dxa"/>
              <w:bottom w:w="0" w:type="dxa"/>
              <w:right w:w="28" w:type="dxa"/>
            </w:tcMa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3.651</w:t>
            </w:r>
          </w:p>
        </w:tc>
        <w:tc>
          <w:tcPr>
            <w:tcW w:w="1447" w:type="pct"/>
            <w:tcMar>
              <w:top w:w="0" w:type="dxa"/>
              <w:left w:w="28" w:type="dxa"/>
              <w:bottom w:w="0" w:type="dxa"/>
              <w:right w:w="28" w:type="dxa"/>
            </w:tcMa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3.992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437"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N</w:t>
            </w:r>
            <w:r>
              <w:rPr>
                <w:rFonts w:asciiTheme="minorEastAsia" w:hAnsiTheme="minorEastAsia" w:eastAsiaTheme="minorEastAsia"/>
                <w:sz w:val="21"/>
                <w:szCs w:val="21"/>
                <w:vertAlign w:val="subscript"/>
              </w:rPr>
              <w:t>2</w:t>
            </w:r>
          </w:p>
        </w:tc>
        <w:tc>
          <w:tcPr>
            <w:tcW w:w="710"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Vol%</w:t>
            </w:r>
          </w:p>
        </w:tc>
        <w:tc>
          <w:tcPr>
            <w:tcW w:w="1406" w:type="pct"/>
            <w:gridSpan w:val="2"/>
            <w:tcMar>
              <w:top w:w="0" w:type="dxa"/>
              <w:left w:w="28" w:type="dxa"/>
              <w:bottom w:w="0" w:type="dxa"/>
              <w:right w:w="28" w:type="dxa"/>
            </w:tcMa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73.618</w:t>
            </w:r>
          </w:p>
        </w:tc>
        <w:tc>
          <w:tcPr>
            <w:tcW w:w="1447" w:type="pct"/>
            <w:tcMar>
              <w:top w:w="0" w:type="dxa"/>
              <w:left w:w="28" w:type="dxa"/>
              <w:bottom w:w="0" w:type="dxa"/>
              <w:right w:w="28" w:type="dxa"/>
            </w:tcMa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80.488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437"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SO</w:t>
            </w:r>
            <w:r>
              <w:rPr>
                <w:rFonts w:asciiTheme="minorEastAsia" w:hAnsiTheme="minorEastAsia" w:eastAsiaTheme="minorEastAsia"/>
                <w:sz w:val="21"/>
                <w:szCs w:val="21"/>
                <w:vertAlign w:val="subscript"/>
              </w:rPr>
              <w:t>2</w:t>
            </w:r>
          </w:p>
        </w:tc>
        <w:tc>
          <w:tcPr>
            <w:tcW w:w="710"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Vol%</w:t>
            </w:r>
          </w:p>
        </w:tc>
        <w:tc>
          <w:tcPr>
            <w:tcW w:w="1406" w:type="pct"/>
            <w:gridSpan w:val="2"/>
            <w:tcMar>
              <w:top w:w="0" w:type="dxa"/>
              <w:left w:w="28" w:type="dxa"/>
              <w:bottom w:w="0" w:type="dxa"/>
              <w:right w:w="28" w:type="dxa"/>
            </w:tcMa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0.117</w:t>
            </w:r>
          </w:p>
        </w:tc>
        <w:tc>
          <w:tcPr>
            <w:tcW w:w="1447" w:type="pct"/>
            <w:tcMar>
              <w:top w:w="0" w:type="dxa"/>
              <w:left w:w="28" w:type="dxa"/>
              <w:bottom w:w="0" w:type="dxa"/>
              <w:right w:w="28" w:type="dxa"/>
            </w:tcMa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0.128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437"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w:t>
            </w:r>
          </w:p>
        </w:tc>
        <w:tc>
          <w:tcPr>
            <w:tcW w:w="710" w:type="pct"/>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Vol%</w:t>
            </w:r>
          </w:p>
        </w:tc>
        <w:tc>
          <w:tcPr>
            <w:tcW w:w="1406" w:type="pct"/>
            <w:gridSpan w:val="2"/>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8.535</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5000" w:type="pct"/>
            <w:gridSpan w:val="5"/>
            <w:tcMar>
              <w:top w:w="0" w:type="dxa"/>
              <w:left w:w="28" w:type="dxa"/>
              <w:bottom w:w="0" w:type="dxa"/>
              <w:right w:w="28" w:type="dxa"/>
            </w:tcMar>
            <w:vAlign w:val="center"/>
          </w:tcPr>
          <w:p>
            <w:pPr>
              <w:widowControl/>
              <w:snapToGrid w:val="0"/>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锅炉不同负荷时的省煤器出口烟气量和温度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2153" w:type="pct"/>
            <w:gridSpan w:val="3"/>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工况</w:t>
            </w:r>
          </w:p>
        </w:tc>
        <w:tc>
          <w:tcPr>
            <w:tcW w:w="1400"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BMCR（设计工况）</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ECR（校核工况）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2153" w:type="pct"/>
            <w:gridSpan w:val="3"/>
            <w:tcMar>
              <w:top w:w="0" w:type="dxa"/>
              <w:left w:w="28" w:type="dxa"/>
              <w:bottom w:w="0" w:type="dxa"/>
              <w:right w:w="28" w:type="dxa"/>
            </w:tcMar>
            <w:vAlign w:val="center"/>
          </w:tcPr>
          <w:p>
            <w:pPr>
              <w:widowControl/>
              <w:snapToGrid w:val="0"/>
              <w:rPr>
                <w:rFonts w:asciiTheme="minorEastAsia" w:hAnsiTheme="minorEastAsia" w:eastAsiaTheme="minorEastAsia"/>
                <w:sz w:val="21"/>
                <w:szCs w:val="21"/>
              </w:rPr>
            </w:pPr>
            <w:r>
              <w:rPr>
                <w:rFonts w:asciiTheme="minorEastAsia" w:hAnsiTheme="minorEastAsia" w:eastAsiaTheme="minorEastAsia"/>
                <w:sz w:val="21"/>
                <w:szCs w:val="21"/>
              </w:rPr>
              <w:t>燃煤</w:t>
            </w:r>
          </w:p>
        </w:tc>
        <w:tc>
          <w:tcPr>
            <w:tcW w:w="1400" w:type="pct"/>
            <w:tcMar>
              <w:top w:w="0" w:type="dxa"/>
              <w:left w:w="28" w:type="dxa"/>
              <w:bottom w:w="0" w:type="dxa"/>
              <w:right w:w="28" w:type="dxa"/>
            </w:tcMar>
            <w:vAlign w:val="center"/>
          </w:tcPr>
          <w:p>
            <w:pPr>
              <w:widowControl/>
              <w:snapToGrid w:val="0"/>
              <w:ind w:left="-29" w:leftChars="-13"/>
              <w:jc w:val="center"/>
              <w:rPr>
                <w:rFonts w:asciiTheme="minorEastAsia" w:hAnsiTheme="minorEastAsia" w:eastAsiaTheme="minorEastAsia"/>
                <w:sz w:val="21"/>
                <w:szCs w:val="21"/>
              </w:rPr>
            </w:pPr>
            <w:r>
              <w:rPr>
                <w:rFonts w:asciiTheme="minorEastAsia" w:hAnsiTheme="minorEastAsia" w:eastAsiaTheme="minorEastAsia"/>
                <w:sz w:val="21"/>
                <w:szCs w:val="21"/>
              </w:rPr>
              <w:t>设计燃煤</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设计燃煤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2153" w:type="pct"/>
            <w:gridSpan w:val="3"/>
            <w:tcMar>
              <w:top w:w="0" w:type="dxa"/>
              <w:left w:w="28" w:type="dxa"/>
              <w:bottom w:w="0" w:type="dxa"/>
              <w:right w:w="28" w:type="dxa"/>
            </w:tcMar>
            <w:vAlign w:val="center"/>
          </w:tcPr>
          <w:p>
            <w:pPr>
              <w:widowControl/>
              <w:snapToGrid w:val="0"/>
              <w:rPr>
                <w:rFonts w:asciiTheme="minorEastAsia" w:hAnsiTheme="minorEastAsia" w:eastAsiaTheme="minorEastAsia"/>
                <w:sz w:val="21"/>
                <w:szCs w:val="21"/>
              </w:rPr>
            </w:pPr>
            <w:r>
              <w:rPr>
                <w:rFonts w:asciiTheme="minorEastAsia" w:hAnsiTheme="minorEastAsia" w:eastAsiaTheme="minorEastAsia"/>
                <w:sz w:val="21"/>
                <w:szCs w:val="21"/>
              </w:rPr>
              <w:t>燃煤量（t/h）</w:t>
            </w:r>
          </w:p>
        </w:tc>
        <w:tc>
          <w:tcPr>
            <w:tcW w:w="1400"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89</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81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2153" w:type="pct"/>
            <w:gridSpan w:val="3"/>
            <w:tcMar>
              <w:top w:w="0" w:type="dxa"/>
              <w:left w:w="28" w:type="dxa"/>
              <w:bottom w:w="0" w:type="dxa"/>
              <w:right w:w="28" w:type="dxa"/>
            </w:tcMar>
            <w:vAlign w:val="center"/>
          </w:tcPr>
          <w:p>
            <w:pPr>
              <w:widowControl/>
              <w:snapToGrid w:val="0"/>
              <w:rPr>
                <w:rFonts w:asciiTheme="minorEastAsia" w:hAnsiTheme="minorEastAsia" w:eastAsiaTheme="minorEastAsia"/>
                <w:sz w:val="21"/>
                <w:szCs w:val="21"/>
              </w:rPr>
            </w:pPr>
            <w:r>
              <w:rPr>
                <w:rFonts w:asciiTheme="minorEastAsia" w:hAnsiTheme="minorEastAsia" w:eastAsiaTheme="minorEastAsia"/>
                <w:sz w:val="21"/>
                <w:szCs w:val="21"/>
              </w:rPr>
              <w:t>烟气含氧量，Vol%</w:t>
            </w:r>
          </w:p>
        </w:tc>
        <w:tc>
          <w:tcPr>
            <w:tcW w:w="1400"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2153" w:type="pct"/>
            <w:gridSpan w:val="3"/>
            <w:tcMar>
              <w:top w:w="0" w:type="dxa"/>
              <w:left w:w="28" w:type="dxa"/>
              <w:bottom w:w="0" w:type="dxa"/>
              <w:right w:w="28" w:type="dxa"/>
            </w:tcMar>
            <w:vAlign w:val="center"/>
          </w:tcPr>
          <w:p>
            <w:pPr>
              <w:widowControl/>
              <w:snapToGrid w:val="0"/>
              <w:rPr>
                <w:rFonts w:asciiTheme="minorEastAsia" w:hAnsiTheme="minorEastAsia" w:eastAsiaTheme="minorEastAsia"/>
                <w:sz w:val="21"/>
                <w:szCs w:val="21"/>
              </w:rPr>
            </w:pPr>
            <w:r>
              <w:rPr>
                <w:rFonts w:asciiTheme="minorEastAsia" w:hAnsiTheme="minorEastAsia" w:eastAsiaTheme="minorEastAsia"/>
                <w:sz w:val="21"/>
                <w:szCs w:val="21"/>
              </w:rPr>
              <w:t>烟气压力，Pa</w:t>
            </w:r>
          </w:p>
        </w:tc>
        <w:tc>
          <w:tcPr>
            <w:tcW w:w="1400"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~-700</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2153" w:type="pct"/>
            <w:gridSpan w:val="3"/>
            <w:tcMar>
              <w:top w:w="0" w:type="dxa"/>
              <w:left w:w="28" w:type="dxa"/>
              <w:bottom w:w="0" w:type="dxa"/>
              <w:right w:w="28" w:type="dxa"/>
            </w:tcMar>
            <w:vAlign w:val="center"/>
          </w:tcPr>
          <w:p>
            <w:pPr>
              <w:widowControl/>
              <w:snapToGrid w:val="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实际湿烟气量（m</w:t>
            </w:r>
            <w:r>
              <w:rPr>
                <w:rFonts w:asciiTheme="minorEastAsia" w:hAnsiTheme="minorEastAsia" w:eastAsiaTheme="minorEastAsia"/>
                <w:sz w:val="21"/>
                <w:szCs w:val="21"/>
                <w:vertAlign w:val="superscript"/>
                <w:lang w:eastAsia="zh-CN"/>
              </w:rPr>
              <w:t>3</w:t>
            </w:r>
            <w:r>
              <w:rPr>
                <w:rFonts w:asciiTheme="minorEastAsia" w:hAnsiTheme="minorEastAsia" w:eastAsiaTheme="minorEastAsia"/>
                <w:sz w:val="21"/>
                <w:szCs w:val="21"/>
                <w:lang w:eastAsia="zh-CN"/>
              </w:rPr>
              <w:t>/h）</w:t>
            </w:r>
          </w:p>
        </w:tc>
        <w:tc>
          <w:tcPr>
            <w:tcW w:w="1400"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1600318</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1451307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2153" w:type="pct"/>
            <w:gridSpan w:val="3"/>
            <w:tcMar>
              <w:top w:w="0" w:type="dxa"/>
              <w:left w:w="28" w:type="dxa"/>
              <w:bottom w:w="0" w:type="dxa"/>
              <w:right w:w="28" w:type="dxa"/>
            </w:tcMar>
            <w:vAlign w:val="center"/>
          </w:tcPr>
          <w:p>
            <w:pPr>
              <w:widowControl/>
              <w:snapToGrid w:val="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标态湿烟气量（Nm</w:t>
            </w:r>
            <w:r>
              <w:rPr>
                <w:rFonts w:asciiTheme="minorEastAsia" w:hAnsiTheme="minorEastAsia" w:eastAsiaTheme="minorEastAsia"/>
                <w:sz w:val="21"/>
                <w:szCs w:val="21"/>
                <w:vertAlign w:val="superscript"/>
                <w:lang w:eastAsia="zh-CN"/>
              </w:rPr>
              <w:t>3</w:t>
            </w:r>
            <w:r>
              <w:rPr>
                <w:rFonts w:asciiTheme="minorEastAsia" w:hAnsiTheme="minorEastAsia" w:eastAsiaTheme="minorEastAsia"/>
                <w:sz w:val="21"/>
                <w:szCs w:val="21"/>
                <w:lang w:eastAsia="zh-CN"/>
              </w:rPr>
              <w:t>/h）</w:t>
            </w:r>
          </w:p>
        </w:tc>
        <w:tc>
          <w:tcPr>
            <w:tcW w:w="1400"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633105</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576196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2153" w:type="pct"/>
            <w:gridSpan w:val="3"/>
            <w:tcMar>
              <w:top w:w="0" w:type="dxa"/>
              <w:left w:w="28" w:type="dxa"/>
              <w:bottom w:w="0" w:type="dxa"/>
              <w:right w:w="28" w:type="dxa"/>
            </w:tcMar>
            <w:vAlign w:val="center"/>
          </w:tcPr>
          <w:p>
            <w:pPr>
              <w:widowControl/>
              <w:snapToGrid w:val="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烟气温度（设计煤种），℃</w:t>
            </w:r>
          </w:p>
        </w:tc>
        <w:tc>
          <w:tcPr>
            <w:tcW w:w="1400"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354</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350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2153" w:type="pct"/>
            <w:gridSpan w:val="3"/>
            <w:tcMar>
              <w:top w:w="0" w:type="dxa"/>
              <w:left w:w="28" w:type="dxa"/>
              <w:bottom w:w="0" w:type="dxa"/>
              <w:right w:w="28" w:type="dxa"/>
            </w:tcMar>
            <w:vAlign w:val="center"/>
          </w:tcPr>
          <w:p>
            <w:pPr>
              <w:widowControl/>
              <w:snapToGrid w:val="0"/>
              <w:rPr>
                <w:rFonts w:asciiTheme="minorEastAsia" w:hAnsiTheme="minorEastAsia" w:eastAsiaTheme="minorEastAsia"/>
                <w:sz w:val="21"/>
                <w:szCs w:val="21"/>
              </w:rPr>
            </w:pPr>
            <w:r>
              <w:rPr>
                <w:rFonts w:asciiTheme="minorEastAsia" w:hAnsiTheme="minorEastAsia" w:eastAsiaTheme="minorEastAsia"/>
                <w:sz w:val="21"/>
                <w:szCs w:val="21"/>
              </w:rPr>
              <w:t>干烟气密度，kg/Nm</w:t>
            </w:r>
            <w:r>
              <w:rPr>
                <w:rFonts w:asciiTheme="minorEastAsia" w:hAnsiTheme="minorEastAsia" w:eastAsiaTheme="minorEastAsia"/>
                <w:sz w:val="21"/>
                <w:szCs w:val="21"/>
                <w:vertAlign w:val="superscript"/>
              </w:rPr>
              <w:t>3</w:t>
            </w:r>
          </w:p>
        </w:tc>
        <w:tc>
          <w:tcPr>
            <w:tcW w:w="1400"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1.37</w:t>
            </w:r>
          </w:p>
        </w:tc>
        <w:tc>
          <w:tcPr>
            <w:tcW w:w="1447" w:type="pct"/>
            <w:tcMar>
              <w:top w:w="0" w:type="dxa"/>
              <w:left w:w="28" w:type="dxa"/>
              <w:bottom w:w="0" w:type="dxa"/>
              <w:right w:w="28" w:type="dxa"/>
            </w:tcMar>
            <w:vAlign w:val="center"/>
          </w:tcPr>
          <w:p>
            <w:pPr>
              <w:widowControl/>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1.37</w:t>
            </w:r>
          </w:p>
        </w:tc>
      </w:tr>
    </w:tbl>
    <w:p>
      <w:pPr>
        <w:widowControl/>
        <w:snapToGrid w:val="0"/>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锅炉BMCR工况脱硝入口烟气中污染物成分（标态，干基，6%含氧量）</w:t>
      </w:r>
    </w:p>
    <w:tbl>
      <w:tblPr>
        <w:tblStyle w:val="19"/>
        <w:tblW w:w="454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1869"/>
        <w:gridCol w:w="1699"/>
        <w:gridCol w:w="2549"/>
        <w:gridCol w:w="27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tblHeader/>
          <w:jc w:val="center"/>
        </w:trPr>
        <w:tc>
          <w:tcPr>
            <w:tcW w:w="1060" w:type="pct"/>
            <w:vMerge w:val="restart"/>
            <w:tcMar>
              <w:top w:w="0" w:type="dxa"/>
              <w:left w:w="28" w:type="dxa"/>
              <w:bottom w:w="0" w:type="dxa"/>
              <w:right w:w="28" w:type="dxa"/>
            </w:tcMar>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项目</w:t>
            </w:r>
          </w:p>
        </w:tc>
        <w:tc>
          <w:tcPr>
            <w:tcW w:w="963" w:type="pct"/>
            <w:vMerge w:val="restart"/>
            <w:tcMar>
              <w:top w:w="0" w:type="dxa"/>
              <w:left w:w="28" w:type="dxa"/>
              <w:bottom w:w="0" w:type="dxa"/>
              <w:right w:w="28" w:type="dxa"/>
            </w:tcMar>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单位</w:t>
            </w:r>
          </w:p>
        </w:tc>
        <w:tc>
          <w:tcPr>
            <w:tcW w:w="2977" w:type="pct"/>
            <w:gridSpan w:val="2"/>
            <w:tcMar>
              <w:top w:w="0" w:type="dxa"/>
              <w:left w:w="28" w:type="dxa"/>
              <w:bottom w:w="0" w:type="dxa"/>
              <w:right w:w="28" w:type="dxa"/>
            </w:tcMar>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tblHeader/>
          <w:jc w:val="center"/>
        </w:trPr>
        <w:tc>
          <w:tcPr>
            <w:tcW w:w="1060" w:type="pct"/>
            <w:vMerge w:val="continue"/>
            <w:vAlign w:val="center"/>
          </w:tcPr>
          <w:p>
            <w:pPr>
              <w:jc w:val="center"/>
              <w:rPr>
                <w:rFonts w:asciiTheme="minorEastAsia" w:hAnsiTheme="minorEastAsia" w:eastAsiaTheme="minorEastAsia"/>
                <w:b/>
                <w:sz w:val="21"/>
                <w:szCs w:val="21"/>
              </w:rPr>
            </w:pPr>
          </w:p>
        </w:tc>
        <w:tc>
          <w:tcPr>
            <w:tcW w:w="963" w:type="pct"/>
            <w:vMerge w:val="continue"/>
            <w:vAlign w:val="center"/>
          </w:tcPr>
          <w:p>
            <w:pPr>
              <w:jc w:val="center"/>
              <w:rPr>
                <w:rFonts w:asciiTheme="minorEastAsia" w:hAnsiTheme="minorEastAsia" w:eastAsiaTheme="minorEastAsia"/>
                <w:b/>
                <w:sz w:val="21"/>
                <w:szCs w:val="21"/>
              </w:rPr>
            </w:pPr>
          </w:p>
        </w:tc>
        <w:tc>
          <w:tcPr>
            <w:tcW w:w="1445" w:type="pct"/>
            <w:tcMar>
              <w:top w:w="0" w:type="dxa"/>
              <w:left w:w="28" w:type="dxa"/>
              <w:bottom w:w="0" w:type="dxa"/>
              <w:right w:w="28" w:type="dxa"/>
            </w:tcMar>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设计煤种</w:t>
            </w:r>
          </w:p>
        </w:tc>
        <w:tc>
          <w:tcPr>
            <w:tcW w:w="1532" w:type="pct"/>
            <w:tcMar>
              <w:top w:w="0" w:type="dxa"/>
              <w:left w:w="28" w:type="dxa"/>
              <w:bottom w:w="0" w:type="dxa"/>
              <w:right w:w="28" w:type="dxa"/>
            </w:tcMar>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设计值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060"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烟尘浓度</w:t>
            </w:r>
          </w:p>
        </w:tc>
        <w:tc>
          <w:tcPr>
            <w:tcW w:w="963"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g/Nm</w:t>
            </w:r>
            <w:r>
              <w:rPr>
                <w:rFonts w:asciiTheme="minorEastAsia" w:hAnsiTheme="minorEastAsia" w:eastAsiaTheme="minorEastAsia"/>
                <w:sz w:val="21"/>
                <w:szCs w:val="21"/>
                <w:vertAlign w:val="superscript"/>
              </w:rPr>
              <w:t>3</w:t>
            </w:r>
          </w:p>
        </w:tc>
        <w:tc>
          <w:tcPr>
            <w:tcW w:w="1445"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～27.4</w:t>
            </w:r>
          </w:p>
        </w:tc>
        <w:tc>
          <w:tcPr>
            <w:tcW w:w="1532"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060"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NOx</w:t>
            </w:r>
          </w:p>
        </w:tc>
        <w:tc>
          <w:tcPr>
            <w:tcW w:w="963"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mg/Nm</w:t>
            </w:r>
            <w:r>
              <w:rPr>
                <w:rFonts w:asciiTheme="minorEastAsia" w:hAnsiTheme="minorEastAsia" w:eastAsiaTheme="minorEastAsia"/>
                <w:sz w:val="21"/>
                <w:szCs w:val="21"/>
                <w:vertAlign w:val="superscript"/>
              </w:rPr>
              <w:t>3</w:t>
            </w:r>
          </w:p>
        </w:tc>
        <w:tc>
          <w:tcPr>
            <w:tcW w:w="1445" w:type="pct"/>
            <w:tcMar>
              <w:top w:w="0" w:type="dxa"/>
              <w:left w:w="28" w:type="dxa"/>
              <w:bottom w:w="0" w:type="dxa"/>
              <w:right w:w="28" w:type="dxa"/>
            </w:tcMar>
            <w:vAlign w:val="center"/>
          </w:tcPr>
          <w:p>
            <w:pPr>
              <w:jc w:val="center"/>
              <w:rPr>
                <w:rFonts w:asciiTheme="minorEastAsia" w:hAnsiTheme="minorEastAsia" w:eastAsiaTheme="minorEastAsia"/>
                <w:sz w:val="21"/>
                <w:szCs w:val="21"/>
              </w:rPr>
            </w:pPr>
          </w:p>
        </w:tc>
        <w:tc>
          <w:tcPr>
            <w:tcW w:w="1532"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060"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Cl（HCl）</w:t>
            </w:r>
          </w:p>
        </w:tc>
        <w:tc>
          <w:tcPr>
            <w:tcW w:w="963"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mg/Nm</w:t>
            </w:r>
            <w:r>
              <w:rPr>
                <w:rFonts w:asciiTheme="minorEastAsia" w:hAnsiTheme="minorEastAsia" w:eastAsiaTheme="minorEastAsia"/>
                <w:sz w:val="21"/>
                <w:szCs w:val="21"/>
                <w:vertAlign w:val="superscript"/>
              </w:rPr>
              <w:t>3</w:t>
            </w:r>
          </w:p>
        </w:tc>
        <w:tc>
          <w:tcPr>
            <w:tcW w:w="1445"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532"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060"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F（HF）</w:t>
            </w:r>
          </w:p>
        </w:tc>
        <w:tc>
          <w:tcPr>
            <w:tcW w:w="963"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mg/Nm</w:t>
            </w:r>
            <w:r>
              <w:rPr>
                <w:rFonts w:asciiTheme="minorEastAsia" w:hAnsiTheme="minorEastAsia" w:eastAsiaTheme="minorEastAsia"/>
                <w:sz w:val="21"/>
                <w:szCs w:val="21"/>
                <w:vertAlign w:val="superscript"/>
              </w:rPr>
              <w:t>3</w:t>
            </w:r>
          </w:p>
        </w:tc>
        <w:tc>
          <w:tcPr>
            <w:tcW w:w="1445"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532"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060"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SO</w:t>
            </w:r>
            <w:r>
              <w:rPr>
                <w:rFonts w:asciiTheme="minorEastAsia" w:hAnsiTheme="minorEastAsia" w:eastAsiaTheme="minorEastAsia"/>
                <w:sz w:val="21"/>
                <w:szCs w:val="21"/>
                <w:vertAlign w:val="subscript"/>
              </w:rPr>
              <w:t>2</w:t>
            </w:r>
          </w:p>
        </w:tc>
        <w:tc>
          <w:tcPr>
            <w:tcW w:w="963"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mg/Nm</w:t>
            </w:r>
            <w:r>
              <w:rPr>
                <w:rFonts w:asciiTheme="minorEastAsia" w:hAnsiTheme="minorEastAsia" w:eastAsiaTheme="minorEastAsia"/>
                <w:sz w:val="21"/>
                <w:szCs w:val="21"/>
                <w:vertAlign w:val="superscript"/>
              </w:rPr>
              <w:t>3</w:t>
            </w:r>
          </w:p>
        </w:tc>
        <w:tc>
          <w:tcPr>
            <w:tcW w:w="1445"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2900</w:t>
            </w:r>
          </w:p>
        </w:tc>
        <w:tc>
          <w:tcPr>
            <w:tcW w:w="1532"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060"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SO</w:t>
            </w:r>
            <w:r>
              <w:rPr>
                <w:rFonts w:asciiTheme="minorEastAsia" w:hAnsiTheme="minorEastAsia" w:eastAsiaTheme="minorEastAsia"/>
                <w:sz w:val="21"/>
                <w:szCs w:val="21"/>
                <w:vertAlign w:val="subscript"/>
              </w:rPr>
              <w:t>3</w:t>
            </w:r>
          </w:p>
        </w:tc>
        <w:tc>
          <w:tcPr>
            <w:tcW w:w="963"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mg/Nm</w:t>
            </w:r>
            <w:r>
              <w:rPr>
                <w:rFonts w:asciiTheme="minorEastAsia" w:hAnsiTheme="minorEastAsia" w:eastAsiaTheme="minorEastAsia"/>
                <w:sz w:val="21"/>
                <w:szCs w:val="21"/>
                <w:vertAlign w:val="superscript"/>
              </w:rPr>
              <w:t>3</w:t>
            </w:r>
          </w:p>
        </w:tc>
        <w:tc>
          <w:tcPr>
            <w:tcW w:w="1445"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30</w:t>
            </w:r>
          </w:p>
        </w:tc>
        <w:tc>
          <w:tcPr>
            <w:tcW w:w="1532" w:type="pct"/>
            <w:tcMar>
              <w:top w:w="0" w:type="dxa"/>
              <w:left w:w="28" w:type="dxa"/>
              <w:bottom w:w="0" w:type="dxa"/>
              <w:right w:w="2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bl>
    <w:p>
      <w:pPr>
        <w:snapToGrid w:val="0"/>
        <w:ind w:firstLine="201" w:firstLineChars="200"/>
        <w:rPr>
          <w:rFonts w:asciiTheme="minorEastAsia" w:hAnsiTheme="minorEastAsia" w:eastAsiaTheme="minorEastAsia"/>
          <w:b/>
          <w:sz w:val="10"/>
        </w:rPr>
      </w:pPr>
      <w:bookmarkStart w:id="12" w:name="_Toc508202964"/>
      <w:bookmarkStart w:id="13" w:name="_Toc259708452"/>
    </w:p>
    <w:p>
      <w:pPr>
        <w:widowControl/>
        <w:snapToGrid w:val="0"/>
        <w:rPr>
          <w:rFonts w:asciiTheme="minorEastAsia" w:hAnsiTheme="minorEastAsia" w:eastAsiaTheme="minorEastAsia"/>
          <w:b/>
          <w:sz w:val="24"/>
        </w:rPr>
      </w:pPr>
      <w:bookmarkStart w:id="14" w:name="_Toc162615116"/>
      <w:r>
        <w:rPr>
          <w:rFonts w:asciiTheme="minorEastAsia" w:hAnsiTheme="minorEastAsia" w:eastAsiaTheme="minorEastAsia"/>
          <w:b/>
          <w:sz w:val="24"/>
        </w:rPr>
        <w:t>2</w:t>
      </w:r>
      <w:r>
        <w:rPr>
          <w:rFonts w:hint="eastAsia" w:asciiTheme="minorEastAsia" w:hAnsiTheme="minorEastAsia" w:eastAsiaTheme="minorEastAsia"/>
          <w:b/>
          <w:sz w:val="24"/>
        </w:rPr>
        <w:t>）</w:t>
      </w:r>
      <w:r>
        <w:rPr>
          <w:rFonts w:asciiTheme="minorEastAsia" w:hAnsiTheme="minorEastAsia" w:eastAsiaTheme="minorEastAsia"/>
          <w:b/>
          <w:sz w:val="24"/>
        </w:rPr>
        <w:t>气象条件</w:t>
      </w:r>
      <w:bookmarkEnd w:id="14"/>
    </w:p>
    <w:p>
      <w:pPr>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本项目所在地属南亚热带季风性气候，冬无严寒，夏无酷暑。年平均气温为21.3℃；年平均降水1327.4mm，雨季集中在5~8月；多年平均湿度为80%；常年主导风向为东北风；7~9月受台风影响频率最高。</w:t>
      </w:r>
    </w:p>
    <w:p>
      <w:pPr>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气象台位置：东山县（“城关建国楼”117°30’，E；23°47’，N），1952～1980年实测统计资料：</w:t>
      </w:r>
    </w:p>
    <w:p>
      <w:pPr>
        <w:pStyle w:val="35"/>
        <w:numPr>
          <w:ilvl w:val="0"/>
          <w:numId w:val="3"/>
        </w:numPr>
        <w:autoSpaceDE/>
        <w:autoSpaceDN/>
        <w:spacing w:before="0"/>
        <w:jc w:val="both"/>
        <w:rPr>
          <w:rFonts w:asciiTheme="minorEastAsia" w:hAnsiTheme="minorEastAsia" w:eastAsiaTheme="minorEastAsia"/>
          <w:sz w:val="24"/>
        </w:rPr>
      </w:pPr>
      <w:r>
        <w:rPr>
          <w:rFonts w:asciiTheme="minorEastAsia" w:hAnsiTheme="minorEastAsia" w:eastAsiaTheme="minorEastAsia"/>
          <w:sz w:val="24"/>
        </w:rPr>
        <w:t>气温</w:t>
      </w:r>
    </w:p>
    <w:tbl>
      <w:tblPr>
        <w:tblStyle w:val="19"/>
        <w:tblW w:w="8438" w:type="dxa"/>
        <w:tblInd w:w="468" w:type="dxa"/>
        <w:tblLayout w:type="fixed"/>
        <w:tblCellMar>
          <w:top w:w="0" w:type="dxa"/>
          <w:left w:w="108" w:type="dxa"/>
          <w:bottom w:w="0" w:type="dxa"/>
          <w:right w:w="108" w:type="dxa"/>
        </w:tblCellMar>
      </w:tblPr>
      <w:tblGrid>
        <w:gridCol w:w="3874"/>
        <w:gridCol w:w="4564"/>
      </w:tblGrid>
      <w:tr>
        <w:tblPrEx>
          <w:tblCellMar>
            <w:top w:w="0" w:type="dxa"/>
            <w:left w:w="108" w:type="dxa"/>
            <w:bottom w:w="0" w:type="dxa"/>
            <w:right w:w="108" w:type="dxa"/>
          </w:tblCellMar>
        </w:tblPrEx>
        <w:tc>
          <w:tcPr>
            <w:tcW w:w="3874"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年平均大气温度</w:t>
            </w:r>
          </w:p>
        </w:tc>
        <w:tc>
          <w:tcPr>
            <w:tcW w:w="45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21.3</w:t>
            </w:r>
            <w:r>
              <w:rPr>
                <w:rFonts w:hint="eastAsia" w:asciiTheme="minorEastAsia" w:hAnsiTheme="minorEastAsia" w:eastAsiaTheme="minorEastAsia"/>
                <w:sz w:val="24"/>
                <w:szCs w:val="20"/>
              </w:rPr>
              <w:t>℃</w:t>
            </w:r>
          </w:p>
        </w:tc>
      </w:tr>
      <w:tr>
        <w:tblPrEx>
          <w:tblCellMar>
            <w:top w:w="0" w:type="dxa"/>
            <w:left w:w="108" w:type="dxa"/>
            <w:bottom w:w="0" w:type="dxa"/>
            <w:right w:w="108" w:type="dxa"/>
          </w:tblCellMar>
        </w:tblPrEx>
        <w:tc>
          <w:tcPr>
            <w:tcW w:w="3874"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最高月平均气温</w:t>
            </w:r>
          </w:p>
        </w:tc>
        <w:tc>
          <w:tcPr>
            <w:tcW w:w="45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28.8</w:t>
            </w:r>
            <w:r>
              <w:rPr>
                <w:rFonts w:hint="eastAsia" w:asciiTheme="minorEastAsia" w:hAnsiTheme="minorEastAsia" w:eastAsiaTheme="minorEastAsia"/>
                <w:sz w:val="24"/>
                <w:szCs w:val="20"/>
              </w:rPr>
              <w:t>℃</w:t>
            </w:r>
          </w:p>
        </w:tc>
      </w:tr>
      <w:tr>
        <w:tblPrEx>
          <w:tblCellMar>
            <w:top w:w="0" w:type="dxa"/>
            <w:left w:w="108" w:type="dxa"/>
            <w:bottom w:w="0" w:type="dxa"/>
            <w:right w:w="108" w:type="dxa"/>
          </w:tblCellMar>
        </w:tblPrEx>
        <w:tc>
          <w:tcPr>
            <w:tcW w:w="3874"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极端最高气温</w:t>
            </w:r>
          </w:p>
        </w:tc>
        <w:tc>
          <w:tcPr>
            <w:tcW w:w="45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38.2</w:t>
            </w:r>
            <w:r>
              <w:rPr>
                <w:rFonts w:hint="eastAsia" w:asciiTheme="minorEastAsia" w:hAnsiTheme="minorEastAsia" w:eastAsiaTheme="minorEastAsia"/>
                <w:sz w:val="24"/>
                <w:szCs w:val="20"/>
              </w:rPr>
              <w:t>℃</w:t>
            </w:r>
          </w:p>
        </w:tc>
      </w:tr>
      <w:tr>
        <w:tblPrEx>
          <w:tblCellMar>
            <w:top w:w="0" w:type="dxa"/>
            <w:left w:w="108" w:type="dxa"/>
            <w:bottom w:w="0" w:type="dxa"/>
            <w:right w:w="108" w:type="dxa"/>
          </w:tblCellMar>
        </w:tblPrEx>
        <w:tc>
          <w:tcPr>
            <w:tcW w:w="3874"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最低月平均气温</w:t>
            </w:r>
          </w:p>
        </w:tc>
        <w:tc>
          <w:tcPr>
            <w:tcW w:w="45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12.1</w:t>
            </w:r>
            <w:r>
              <w:rPr>
                <w:rFonts w:hint="eastAsia" w:asciiTheme="minorEastAsia" w:hAnsiTheme="minorEastAsia" w:eastAsiaTheme="minorEastAsia"/>
                <w:sz w:val="24"/>
                <w:szCs w:val="20"/>
              </w:rPr>
              <w:t>℃</w:t>
            </w:r>
          </w:p>
        </w:tc>
      </w:tr>
      <w:tr>
        <w:tblPrEx>
          <w:tblCellMar>
            <w:top w:w="0" w:type="dxa"/>
            <w:left w:w="108" w:type="dxa"/>
            <w:bottom w:w="0" w:type="dxa"/>
            <w:right w:w="108" w:type="dxa"/>
          </w:tblCellMar>
        </w:tblPrEx>
        <w:tc>
          <w:tcPr>
            <w:tcW w:w="3874"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极端最低气温</w:t>
            </w:r>
          </w:p>
        </w:tc>
        <w:tc>
          <w:tcPr>
            <w:tcW w:w="45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4.7</w:t>
            </w:r>
            <w:r>
              <w:rPr>
                <w:rFonts w:hint="eastAsia" w:asciiTheme="minorEastAsia" w:hAnsiTheme="minorEastAsia" w:eastAsiaTheme="minorEastAsia"/>
                <w:sz w:val="24"/>
                <w:szCs w:val="20"/>
              </w:rPr>
              <w:t>℃</w:t>
            </w:r>
          </w:p>
        </w:tc>
      </w:tr>
      <w:tr>
        <w:tblPrEx>
          <w:tblCellMar>
            <w:top w:w="0" w:type="dxa"/>
            <w:left w:w="108" w:type="dxa"/>
            <w:bottom w:w="0" w:type="dxa"/>
            <w:right w:w="108" w:type="dxa"/>
          </w:tblCellMar>
        </w:tblPrEx>
        <w:tc>
          <w:tcPr>
            <w:tcW w:w="3874" w:type="dxa"/>
            <w:vAlign w:val="center"/>
          </w:tcPr>
          <w:p>
            <w:pPr>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最热月的日最高大气温度的平均值</w:t>
            </w:r>
          </w:p>
        </w:tc>
        <w:tc>
          <w:tcPr>
            <w:tcW w:w="45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31.6</w:t>
            </w:r>
            <w:r>
              <w:rPr>
                <w:rFonts w:hint="eastAsia" w:asciiTheme="minorEastAsia" w:hAnsiTheme="minorEastAsia" w:eastAsiaTheme="minorEastAsia"/>
                <w:sz w:val="24"/>
                <w:szCs w:val="20"/>
              </w:rPr>
              <w:t>℃</w:t>
            </w:r>
          </w:p>
        </w:tc>
      </w:tr>
      <w:tr>
        <w:tblPrEx>
          <w:tblCellMar>
            <w:top w:w="0" w:type="dxa"/>
            <w:left w:w="108" w:type="dxa"/>
            <w:bottom w:w="0" w:type="dxa"/>
            <w:right w:w="108" w:type="dxa"/>
          </w:tblCellMar>
        </w:tblPrEx>
        <w:tc>
          <w:tcPr>
            <w:tcW w:w="3874"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年最高气温日数</w:t>
            </w:r>
          </w:p>
        </w:tc>
        <w:tc>
          <w:tcPr>
            <w:tcW w:w="45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≥30</w:t>
            </w:r>
            <w:r>
              <w:rPr>
                <w:rFonts w:hint="eastAsia" w:asciiTheme="minorEastAsia" w:hAnsiTheme="minorEastAsia" w:eastAsiaTheme="minorEastAsia"/>
                <w:sz w:val="24"/>
                <w:szCs w:val="20"/>
              </w:rPr>
              <w:t>℃，平均每年</w:t>
            </w:r>
            <w:r>
              <w:rPr>
                <w:rFonts w:asciiTheme="minorEastAsia" w:hAnsiTheme="minorEastAsia" w:eastAsiaTheme="minorEastAsia"/>
                <w:sz w:val="24"/>
                <w:szCs w:val="20"/>
              </w:rPr>
              <w:t>81d</w:t>
            </w:r>
          </w:p>
        </w:tc>
      </w:tr>
      <w:tr>
        <w:tblPrEx>
          <w:tblCellMar>
            <w:top w:w="0" w:type="dxa"/>
            <w:left w:w="108" w:type="dxa"/>
            <w:bottom w:w="0" w:type="dxa"/>
            <w:right w:w="108" w:type="dxa"/>
          </w:tblCellMar>
        </w:tblPrEx>
        <w:tc>
          <w:tcPr>
            <w:tcW w:w="3874" w:type="dxa"/>
            <w:vAlign w:val="center"/>
          </w:tcPr>
          <w:p>
            <w:pPr>
              <w:rPr>
                <w:rFonts w:asciiTheme="minorEastAsia" w:hAnsiTheme="minorEastAsia" w:eastAsiaTheme="minorEastAsia"/>
                <w:sz w:val="24"/>
                <w:szCs w:val="20"/>
              </w:rPr>
            </w:pPr>
          </w:p>
        </w:tc>
        <w:tc>
          <w:tcPr>
            <w:tcW w:w="45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≥35</w:t>
            </w:r>
            <w:r>
              <w:rPr>
                <w:rFonts w:hint="eastAsia" w:asciiTheme="minorEastAsia" w:hAnsiTheme="minorEastAsia" w:eastAsiaTheme="minorEastAsia"/>
                <w:sz w:val="24"/>
                <w:szCs w:val="20"/>
              </w:rPr>
              <w:t>℃，平均每年</w:t>
            </w:r>
            <w:r>
              <w:rPr>
                <w:rFonts w:asciiTheme="minorEastAsia" w:hAnsiTheme="minorEastAsia" w:eastAsiaTheme="minorEastAsia"/>
                <w:sz w:val="24"/>
                <w:szCs w:val="20"/>
              </w:rPr>
              <w:t>0.65d</w:t>
            </w:r>
          </w:p>
        </w:tc>
      </w:tr>
      <w:tr>
        <w:tblPrEx>
          <w:tblCellMar>
            <w:top w:w="0" w:type="dxa"/>
            <w:left w:w="108" w:type="dxa"/>
            <w:bottom w:w="0" w:type="dxa"/>
            <w:right w:w="108" w:type="dxa"/>
          </w:tblCellMar>
        </w:tblPrEx>
        <w:tc>
          <w:tcPr>
            <w:tcW w:w="3874"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无霜期</w:t>
            </w:r>
          </w:p>
        </w:tc>
        <w:tc>
          <w:tcPr>
            <w:tcW w:w="45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365</w:t>
            </w:r>
            <w:r>
              <w:rPr>
                <w:rFonts w:hint="eastAsia" w:asciiTheme="minorEastAsia" w:hAnsiTheme="minorEastAsia" w:eastAsiaTheme="minorEastAsia"/>
                <w:sz w:val="24"/>
                <w:szCs w:val="20"/>
              </w:rPr>
              <w:t>天</w:t>
            </w:r>
            <w:r>
              <w:rPr>
                <w:rFonts w:asciiTheme="minorEastAsia" w:hAnsiTheme="minorEastAsia" w:eastAsiaTheme="minorEastAsia"/>
                <w:sz w:val="24"/>
                <w:szCs w:val="20"/>
              </w:rPr>
              <w:t>/</w:t>
            </w:r>
            <w:r>
              <w:rPr>
                <w:rFonts w:hint="eastAsia" w:asciiTheme="minorEastAsia" w:hAnsiTheme="minorEastAsia" w:eastAsiaTheme="minorEastAsia"/>
                <w:sz w:val="24"/>
                <w:szCs w:val="20"/>
              </w:rPr>
              <w:t>年</w:t>
            </w:r>
          </w:p>
        </w:tc>
      </w:tr>
    </w:tbl>
    <w:p>
      <w:pPr>
        <w:pStyle w:val="35"/>
        <w:numPr>
          <w:ilvl w:val="0"/>
          <w:numId w:val="4"/>
        </w:numPr>
        <w:autoSpaceDE/>
        <w:autoSpaceDN/>
        <w:spacing w:before="0"/>
        <w:jc w:val="both"/>
        <w:rPr>
          <w:rFonts w:asciiTheme="minorEastAsia" w:hAnsiTheme="minorEastAsia" w:eastAsiaTheme="minorEastAsia"/>
          <w:sz w:val="24"/>
        </w:rPr>
      </w:pPr>
      <w:r>
        <w:rPr>
          <w:rFonts w:asciiTheme="minorEastAsia" w:hAnsiTheme="minorEastAsia" w:eastAsiaTheme="minorEastAsia"/>
          <w:sz w:val="24"/>
        </w:rPr>
        <w:t>降水</w:t>
      </w:r>
    </w:p>
    <w:tbl>
      <w:tblPr>
        <w:tblStyle w:val="19"/>
        <w:tblW w:w="8438" w:type="dxa"/>
        <w:tblInd w:w="468" w:type="dxa"/>
        <w:tblLayout w:type="fixed"/>
        <w:tblCellMar>
          <w:top w:w="0" w:type="dxa"/>
          <w:left w:w="108" w:type="dxa"/>
          <w:bottom w:w="0" w:type="dxa"/>
          <w:right w:w="108" w:type="dxa"/>
        </w:tblCellMar>
      </w:tblPr>
      <w:tblGrid>
        <w:gridCol w:w="3877"/>
        <w:gridCol w:w="4561"/>
      </w:tblGrid>
      <w:tr>
        <w:tblPrEx>
          <w:tblCellMar>
            <w:top w:w="0" w:type="dxa"/>
            <w:left w:w="108" w:type="dxa"/>
            <w:bottom w:w="0" w:type="dxa"/>
            <w:right w:w="108" w:type="dxa"/>
          </w:tblCellMar>
        </w:tblPrEx>
        <w:tc>
          <w:tcPr>
            <w:tcW w:w="387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多年平均年降水量</w:t>
            </w:r>
          </w:p>
        </w:tc>
        <w:tc>
          <w:tcPr>
            <w:tcW w:w="4561"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1327.4</w:t>
            </w:r>
            <w:r>
              <w:rPr>
                <w:rFonts w:hint="eastAsia" w:asciiTheme="minorEastAsia" w:hAnsiTheme="minorEastAsia" w:eastAsiaTheme="minorEastAsia"/>
                <w:sz w:val="24"/>
                <w:szCs w:val="20"/>
              </w:rPr>
              <w:t>毫米</w:t>
            </w:r>
          </w:p>
        </w:tc>
      </w:tr>
      <w:tr>
        <w:tblPrEx>
          <w:tblCellMar>
            <w:top w:w="0" w:type="dxa"/>
            <w:left w:w="108" w:type="dxa"/>
            <w:bottom w:w="0" w:type="dxa"/>
            <w:right w:w="108" w:type="dxa"/>
          </w:tblCellMar>
        </w:tblPrEx>
        <w:tc>
          <w:tcPr>
            <w:tcW w:w="387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历年最多年降水量</w:t>
            </w:r>
          </w:p>
        </w:tc>
        <w:tc>
          <w:tcPr>
            <w:tcW w:w="4561"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2125.6</w:t>
            </w:r>
            <w:r>
              <w:rPr>
                <w:rFonts w:hint="eastAsia" w:asciiTheme="minorEastAsia" w:hAnsiTheme="minorEastAsia" w:eastAsiaTheme="minorEastAsia"/>
                <w:sz w:val="24"/>
                <w:szCs w:val="20"/>
              </w:rPr>
              <w:t>毫米</w:t>
            </w:r>
          </w:p>
        </w:tc>
      </w:tr>
      <w:tr>
        <w:tblPrEx>
          <w:tblCellMar>
            <w:top w:w="0" w:type="dxa"/>
            <w:left w:w="108" w:type="dxa"/>
            <w:bottom w:w="0" w:type="dxa"/>
            <w:right w:w="108" w:type="dxa"/>
          </w:tblCellMar>
        </w:tblPrEx>
        <w:tc>
          <w:tcPr>
            <w:tcW w:w="387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历年最少年降水量</w:t>
            </w:r>
          </w:p>
        </w:tc>
        <w:tc>
          <w:tcPr>
            <w:tcW w:w="4561"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788.8</w:t>
            </w:r>
            <w:r>
              <w:rPr>
                <w:rFonts w:hint="eastAsia" w:asciiTheme="minorEastAsia" w:hAnsiTheme="minorEastAsia" w:eastAsiaTheme="minorEastAsia"/>
                <w:sz w:val="24"/>
                <w:szCs w:val="20"/>
              </w:rPr>
              <w:t>毫米</w:t>
            </w:r>
          </w:p>
        </w:tc>
      </w:tr>
      <w:tr>
        <w:tblPrEx>
          <w:tblCellMar>
            <w:top w:w="0" w:type="dxa"/>
            <w:left w:w="108" w:type="dxa"/>
            <w:bottom w:w="0" w:type="dxa"/>
            <w:right w:w="108" w:type="dxa"/>
          </w:tblCellMar>
        </w:tblPrEx>
        <w:tc>
          <w:tcPr>
            <w:tcW w:w="387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历年最多月降水量</w:t>
            </w:r>
          </w:p>
        </w:tc>
        <w:tc>
          <w:tcPr>
            <w:tcW w:w="4561"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676.2</w:t>
            </w:r>
            <w:r>
              <w:rPr>
                <w:rFonts w:hint="eastAsia" w:asciiTheme="minorEastAsia" w:hAnsiTheme="minorEastAsia" w:eastAsiaTheme="minorEastAsia"/>
                <w:sz w:val="24"/>
                <w:szCs w:val="20"/>
              </w:rPr>
              <w:t>毫米</w:t>
            </w:r>
          </w:p>
        </w:tc>
      </w:tr>
      <w:tr>
        <w:tblPrEx>
          <w:tblCellMar>
            <w:top w:w="0" w:type="dxa"/>
            <w:left w:w="108" w:type="dxa"/>
            <w:bottom w:w="0" w:type="dxa"/>
            <w:right w:w="108" w:type="dxa"/>
          </w:tblCellMar>
        </w:tblPrEx>
        <w:tc>
          <w:tcPr>
            <w:tcW w:w="387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历年最多日降水量</w:t>
            </w:r>
          </w:p>
        </w:tc>
        <w:tc>
          <w:tcPr>
            <w:tcW w:w="4561"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310.5</w:t>
            </w:r>
            <w:r>
              <w:rPr>
                <w:rFonts w:hint="eastAsia" w:asciiTheme="minorEastAsia" w:hAnsiTheme="minorEastAsia" w:eastAsiaTheme="minorEastAsia"/>
                <w:sz w:val="24"/>
                <w:szCs w:val="20"/>
              </w:rPr>
              <w:t>毫米</w:t>
            </w:r>
          </w:p>
        </w:tc>
      </w:tr>
      <w:tr>
        <w:tblPrEx>
          <w:tblCellMar>
            <w:top w:w="0" w:type="dxa"/>
            <w:left w:w="108" w:type="dxa"/>
            <w:bottom w:w="0" w:type="dxa"/>
            <w:right w:w="108" w:type="dxa"/>
          </w:tblCellMar>
        </w:tblPrEx>
        <w:tc>
          <w:tcPr>
            <w:tcW w:w="387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年平均降水日数</w:t>
            </w:r>
          </w:p>
        </w:tc>
        <w:tc>
          <w:tcPr>
            <w:tcW w:w="4561"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103.7</w:t>
            </w:r>
            <w:r>
              <w:rPr>
                <w:rFonts w:hint="eastAsia" w:asciiTheme="minorEastAsia" w:hAnsiTheme="minorEastAsia" w:eastAsiaTheme="minorEastAsia"/>
                <w:sz w:val="24"/>
                <w:szCs w:val="20"/>
              </w:rPr>
              <w:t>天</w:t>
            </w:r>
          </w:p>
        </w:tc>
      </w:tr>
      <w:tr>
        <w:tblPrEx>
          <w:tblCellMar>
            <w:top w:w="0" w:type="dxa"/>
            <w:left w:w="108" w:type="dxa"/>
            <w:bottom w:w="0" w:type="dxa"/>
            <w:right w:w="108" w:type="dxa"/>
          </w:tblCellMar>
        </w:tblPrEx>
        <w:tc>
          <w:tcPr>
            <w:tcW w:w="387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全年</w:t>
            </w:r>
            <w:r>
              <w:rPr>
                <w:rFonts w:asciiTheme="minorEastAsia" w:hAnsiTheme="minorEastAsia" w:eastAsiaTheme="minorEastAsia"/>
                <w:sz w:val="24"/>
                <w:szCs w:val="20"/>
              </w:rPr>
              <w:t>≥25</w:t>
            </w:r>
            <w:r>
              <w:rPr>
                <w:rFonts w:hint="eastAsia" w:asciiTheme="minorEastAsia" w:hAnsiTheme="minorEastAsia" w:eastAsiaTheme="minorEastAsia"/>
                <w:sz w:val="24"/>
                <w:szCs w:val="20"/>
              </w:rPr>
              <w:t>毫米降水日数</w:t>
            </w:r>
          </w:p>
        </w:tc>
        <w:tc>
          <w:tcPr>
            <w:tcW w:w="4561"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平均为</w:t>
            </w:r>
            <w:r>
              <w:rPr>
                <w:rFonts w:asciiTheme="minorEastAsia" w:hAnsiTheme="minorEastAsia" w:eastAsiaTheme="minorEastAsia"/>
                <w:sz w:val="24"/>
                <w:szCs w:val="20"/>
              </w:rPr>
              <w:t>18</w:t>
            </w:r>
            <w:r>
              <w:rPr>
                <w:rFonts w:hint="eastAsia" w:asciiTheme="minorEastAsia" w:hAnsiTheme="minorEastAsia" w:eastAsiaTheme="minorEastAsia"/>
                <w:sz w:val="24"/>
                <w:szCs w:val="20"/>
              </w:rPr>
              <w:t>天</w:t>
            </w:r>
            <w:r>
              <w:rPr>
                <w:rFonts w:asciiTheme="minorEastAsia" w:hAnsiTheme="minorEastAsia" w:eastAsiaTheme="minorEastAsia"/>
                <w:sz w:val="24"/>
                <w:szCs w:val="20"/>
              </w:rPr>
              <w:t>(2003</w:t>
            </w:r>
            <w:r>
              <w:rPr>
                <w:rFonts w:hint="eastAsia" w:asciiTheme="minorEastAsia" w:hAnsiTheme="minorEastAsia" w:eastAsiaTheme="minorEastAsia"/>
                <w:sz w:val="24"/>
                <w:szCs w:val="20"/>
              </w:rPr>
              <w:t>年</w:t>
            </w:r>
            <w:r>
              <w:rPr>
                <w:rFonts w:asciiTheme="minorEastAsia" w:hAnsiTheme="minorEastAsia" w:eastAsiaTheme="minorEastAsia"/>
                <w:sz w:val="24"/>
                <w:szCs w:val="20"/>
              </w:rPr>
              <w:t>~2007</w:t>
            </w:r>
            <w:r>
              <w:rPr>
                <w:rFonts w:hint="eastAsia" w:asciiTheme="minorEastAsia" w:hAnsiTheme="minorEastAsia" w:eastAsiaTheme="minorEastAsia"/>
                <w:sz w:val="24"/>
                <w:szCs w:val="20"/>
              </w:rPr>
              <w:t>年</w:t>
            </w:r>
            <w:r>
              <w:rPr>
                <w:rFonts w:asciiTheme="minorEastAsia" w:hAnsiTheme="minorEastAsia" w:eastAsiaTheme="minorEastAsia"/>
                <w:sz w:val="24"/>
                <w:szCs w:val="20"/>
              </w:rPr>
              <w:t>)</w:t>
            </w:r>
          </w:p>
        </w:tc>
      </w:tr>
    </w:tbl>
    <w:p>
      <w:pPr>
        <w:pStyle w:val="35"/>
        <w:numPr>
          <w:ilvl w:val="0"/>
          <w:numId w:val="5"/>
        </w:numPr>
        <w:autoSpaceDE/>
        <w:autoSpaceDN/>
        <w:spacing w:before="0"/>
        <w:jc w:val="both"/>
        <w:rPr>
          <w:rFonts w:asciiTheme="minorEastAsia" w:hAnsiTheme="minorEastAsia" w:eastAsiaTheme="minorEastAsia"/>
          <w:sz w:val="24"/>
        </w:rPr>
      </w:pPr>
      <w:r>
        <w:rPr>
          <w:rFonts w:asciiTheme="minorEastAsia" w:hAnsiTheme="minorEastAsia" w:eastAsiaTheme="minorEastAsia"/>
          <w:sz w:val="24"/>
        </w:rPr>
        <w:t>风</w:t>
      </w:r>
    </w:p>
    <w:tbl>
      <w:tblPr>
        <w:tblStyle w:val="19"/>
        <w:tblW w:w="8438" w:type="dxa"/>
        <w:tblInd w:w="468" w:type="dxa"/>
        <w:tblLayout w:type="fixed"/>
        <w:tblCellMar>
          <w:top w:w="0" w:type="dxa"/>
          <w:left w:w="108" w:type="dxa"/>
          <w:bottom w:w="0" w:type="dxa"/>
          <w:right w:w="108" w:type="dxa"/>
        </w:tblCellMar>
      </w:tblPr>
      <w:tblGrid>
        <w:gridCol w:w="3852"/>
        <w:gridCol w:w="4586"/>
      </w:tblGrid>
      <w:tr>
        <w:tblPrEx>
          <w:tblCellMar>
            <w:top w:w="0" w:type="dxa"/>
            <w:left w:w="108" w:type="dxa"/>
            <w:bottom w:w="0" w:type="dxa"/>
            <w:right w:w="108" w:type="dxa"/>
          </w:tblCellMar>
        </w:tblPrEx>
        <w:tc>
          <w:tcPr>
            <w:tcW w:w="3852"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多年平均风速</w:t>
            </w:r>
          </w:p>
        </w:tc>
        <w:tc>
          <w:tcPr>
            <w:tcW w:w="4586"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5.5</w:t>
            </w:r>
            <w:r>
              <w:rPr>
                <w:rFonts w:hint="eastAsia" w:asciiTheme="minorEastAsia" w:hAnsiTheme="minorEastAsia" w:eastAsiaTheme="minorEastAsia"/>
                <w:sz w:val="24"/>
                <w:szCs w:val="20"/>
              </w:rPr>
              <w:t>米</w:t>
            </w:r>
            <w:r>
              <w:rPr>
                <w:rFonts w:asciiTheme="minorEastAsia" w:hAnsiTheme="minorEastAsia" w:eastAsiaTheme="minorEastAsia"/>
                <w:sz w:val="24"/>
                <w:szCs w:val="20"/>
              </w:rPr>
              <w:t>/</w:t>
            </w:r>
            <w:r>
              <w:rPr>
                <w:rFonts w:hint="eastAsia" w:asciiTheme="minorEastAsia" w:hAnsiTheme="minorEastAsia" w:eastAsiaTheme="minorEastAsia"/>
                <w:sz w:val="24"/>
                <w:szCs w:val="20"/>
              </w:rPr>
              <w:t>秒</w:t>
            </w:r>
          </w:p>
        </w:tc>
      </w:tr>
      <w:tr>
        <w:tblPrEx>
          <w:tblCellMar>
            <w:top w:w="0" w:type="dxa"/>
            <w:left w:w="108" w:type="dxa"/>
            <w:bottom w:w="0" w:type="dxa"/>
            <w:right w:w="108" w:type="dxa"/>
          </w:tblCellMar>
        </w:tblPrEx>
        <w:tc>
          <w:tcPr>
            <w:tcW w:w="3852"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夏季平均风速</w:t>
            </w:r>
          </w:p>
        </w:tc>
        <w:tc>
          <w:tcPr>
            <w:tcW w:w="4586" w:type="dxa"/>
            <w:vAlign w:val="center"/>
          </w:tcPr>
          <w:p>
            <w:pPr>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3.9</w:t>
            </w:r>
            <w:r>
              <w:rPr>
                <w:rFonts w:hint="eastAsia" w:asciiTheme="minorEastAsia" w:hAnsiTheme="minorEastAsia" w:eastAsiaTheme="minorEastAsia"/>
                <w:sz w:val="24"/>
                <w:szCs w:val="20"/>
                <w:lang w:eastAsia="zh-CN"/>
              </w:rPr>
              <w:t>米</w:t>
            </w:r>
            <w:r>
              <w:rPr>
                <w:rFonts w:asciiTheme="minorEastAsia" w:hAnsiTheme="minorEastAsia" w:eastAsiaTheme="minorEastAsia"/>
                <w:sz w:val="24"/>
                <w:szCs w:val="20"/>
                <w:lang w:eastAsia="zh-CN"/>
              </w:rPr>
              <w:t>/</w:t>
            </w:r>
            <w:r>
              <w:rPr>
                <w:rFonts w:hint="eastAsia" w:asciiTheme="minorEastAsia" w:hAnsiTheme="minorEastAsia" w:eastAsiaTheme="minorEastAsia"/>
                <w:sz w:val="24"/>
                <w:szCs w:val="20"/>
                <w:lang w:eastAsia="zh-CN"/>
              </w:rPr>
              <w:t>秒（</w:t>
            </w:r>
            <w:r>
              <w:rPr>
                <w:rFonts w:asciiTheme="minorEastAsia" w:hAnsiTheme="minorEastAsia" w:eastAsiaTheme="minorEastAsia"/>
                <w:sz w:val="24"/>
                <w:szCs w:val="20"/>
                <w:lang w:eastAsia="zh-CN"/>
              </w:rPr>
              <w:t>10m</w:t>
            </w:r>
            <w:r>
              <w:rPr>
                <w:rFonts w:hint="eastAsia" w:asciiTheme="minorEastAsia" w:hAnsiTheme="minorEastAsia" w:eastAsiaTheme="minorEastAsia"/>
                <w:sz w:val="24"/>
                <w:szCs w:val="20"/>
                <w:lang w:eastAsia="zh-CN"/>
              </w:rPr>
              <w:t>高处平均风速）</w:t>
            </w:r>
          </w:p>
        </w:tc>
      </w:tr>
      <w:tr>
        <w:tblPrEx>
          <w:tblCellMar>
            <w:top w:w="0" w:type="dxa"/>
            <w:left w:w="108" w:type="dxa"/>
            <w:bottom w:w="0" w:type="dxa"/>
            <w:right w:w="108" w:type="dxa"/>
          </w:tblCellMar>
        </w:tblPrEx>
        <w:tc>
          <w:tcPr>
            <w:tcW w:w="3852"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冬季平均风速</w:t>
            </w:r>
          </w:p>
        </w:tc>
        <w:tc>
          <w:tcPr>
            <w:tcW w:w="4586" w:type="dxa"/>
            <w:vAlign w:val="center"/>
          </w:tcPr>
          <w:p>
            <w:pPr>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6.9</w:t>
            </w:r>
            <w:r>
              <w:rPr>
                <w:rFonts w:hint="eastAsia" w:asciiTheme="minorEastAsia" w:hAnsiTheme="minorEastAsia" w:eastAsiaTheme="minorEastAsia"/>
                <w:sz w:val="24"/>
                <w:szCs w:val="20"/>
                <w:lang w:eastAsia="zh-CN"/>
              </w:rPr>
              <w:t>米</w:t>
            </w:r>
            <w:r>
              <w:rPr>
                <w:rFonts w:asciiTheme="minorEastAsia" w:hAnsiTheme="minorEastAsia" w:eastAsiaTheme="minorEastAsia"/>
                <w:sz w:val="24"/>
                <w:szCs w:val="20"/>
                <w:lang w:eastAsia="zh-CN"/>
              </w:rPr>
              <w:t>/</w:t>
            </w:r>
            <w:r>
              <w:rPr>
                <w:rFonts w:hint="eastAsia" w:asciiTheme="minorEastAsia" w:hAnsiTheme="minorEastAsia" w:eastAsiaTheme="minorEastAsia"/>
                <w:sz w:val="24"/>
                <w:szCs w:val="20"/>
                <w:lang w:eastAsia="zh-CN"/>
              </w:rPr>
              <w:t>秒（</w:t>
            </w:r>
            <w:r>
              <w:rPr>
                <w:rFonts w:asciiTheme="minorEastAsia" w:hAnsiTheme="minorEastAsia" w:eastAsiaTheme="minorEastAsia"/>
                <w:sz w:val="24"/>
                <w:szCs w:val="20"/>
                <w:lang w:eastAsia="zh-CN"/>
              </w:rPr>
              <w:t>10m</w:t>
            </w:r>
            <w:r>
              <w:rPr>
                <w:rFonts w:hint="eastAsia" w:asciiTheme="minorEastAsia" w:hAnsiTheme="minorEastAsia" w:eastAsiaTheme="minorEastAsia"/>
                <w:sz w:val="24"/>
                <w:szCs w:val="20"/>
                <w:lang w:eastAsia="zh-CN"/>
              </w:rPr>
              <w:t>高处平均风速）</w:t>
            </w:r>
          </w:p>
        </w:tc>
      </w:tr>
      <w:tr>
        <w:tblPrEx>
          <w:tblCellMar>
            <w:top w:w="0" w:type="dxa"/>
            <w:left w:w="108" w:type="dxa"/>
            <w:bottom w:w="0" w:type="dxa"/>
            <w:right w:w="108" w:type="dxa"/>
          </w:tblCellMar>
        </w:tblPrEx>
        <w:tc>
          <w:tcPr>
            <w:tcW w:w="3852"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基本风压值</w:t>
            </w:r>
          </w:p>
        </w:tc>
        <w:tc>
          <w:tcPr>
            <w:tcW w:w="4586"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不小于</w:t>
            </w:r>
            <w:r>
              <w:rPr>
                <w:rFonts w:asciiTheme="minorEastAsia" w:hAnsiTheme="minorEastAsia" w:eastAsiaTheme="minorEastAsia"/>
                <w:sz w:val="24"/>
                <w:szCs w:val="20"/>
              </w:rPr>
              <w:t>1.2kN/m2</w:t>
            </w:r>
          </w:p>
        </w:tc>
      </w:tr>
      <w:tr>
        <w:tblPrEx>
          <w:tblCellMar>
            <w:top w:w="0" w:type="dxa"/>
            <w:left w:w="108" w:type="dxa"/>
            <w:bottom w:w="0" w:type="dxa"/>
            <w:right w:w="108" w:type="dxa"/>
          </w:tblCellMar>
        </w:tblPrEx>
        <w:trPr>
          <w:trHeight w:val="920" w:hRule="atLeast"/>
        </w:trPr>
        <w:tc>
          <w:tcPr>
            <w:tcW w:w="3852" w:type="dxa"/>
            <w:vAlign w:val="center"/>
          </w:tcPr>
          <w:p>
            <w:pPr>
              <w:rPr>
                <w:rFonts w:asciiTheme="minorEastAsia" w:hAnsiTheme="minorEastAsia" w:eastAsiaTheme="minorEastAsia"/>
                <w:sz w:val="24"/>
                <w:szCs w:val="20"/>
              </w:rPr>
            </w:pPr>
          </w:p>
        </w:tc>
        <w:tc>
          <w:tcPr>
            <w:tcW w:w="4586" w:type="dxa"/>
            <w:vAlign w:val="center"/>
          </w:tcPr>
          <w:p>
            <w:pPr>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注：设计单位可按1.2</w:t>
            </w:r>
            <w:r>
              <w:rPr>
                <w:rFonts w:asciiTheme="minorEastAsia" w:hAnsiTheme="minorEastAsia" w:eastAsiaTheme="minorEastAsia"/>
                <w:sz w:val="24"/>
                <w:szCs w:val="20"/>
                <w:lang w:eastAsia="zh-CN"/>
              </w:rPr>
              <w:t>kN/m2</w:t>
            </w:r>
            <w:r>
              <w:rPr>
                <w:rFonts w:hint="eastAsia" w:asciiTheme="minorEastAsia" w:hAnsiTheme="minorEastAsia" w:eastAsiaTheme="minorEastAsia"/>
                <w:sz w:val="24"/>
                <w:szCs w:val="20"/>
                <w:lang w:eastAsia="zh-CN"/>
              </w:rPr>
              <w:t>设计，但需考虑建设项目实际情况和建筑结构荷载规范</w:t>
            </w:r>
            <w:r>
              <w:rPr>
                <w:rFonts w:asciiTheme="minorEastAsia" w:hAnsiTheme="minorEastAsia" w:eastAsiaTheme="minorEastAsia"/>
                <w:sz w:val="24"/>
                <w:szCs w:val="20"/>
                <w:lang w:eastAsia="zh-CN"/>
              </w:rPr>
              <w:t>GB50009-2001</w:t>
            </w:r>
            <w:r>
              <w:rPr>
                <w:rFonts w:hint="eastAsia" w:asciiTheme="minorEastAsia" w:hAnsiTheme="minorEastAsia" w:eastAsiaTheme="minorEastAsia"/>
                <w:sz w:val="24"/>
                <w:szCs w:val="20"/>
                <w:lang w:eastAsia="zh-CN"/>
              </w:rPr>
              <w:t>（</w:t>
            </w:r>
            <w:r>
              <w:rPr>
                <w:rFonts w:asciiTheme="minorEastAsia" w:hAnsiTheme="minorEastAsia" w:eastAsiaTheme="minorEastAsia"/>
                <w:sz w:val="24"/>
                <w:szCs w:val="20"/>
                <w:lang w:eastAsia="zh-CN"/>
              </w:rPr>
              <w:t>2006</w:t>
            </w:r>
            <w:r>
              <w:rPr>
                <w:rFonts w:hint="eastAsia" w:asciiTheme="minorEastAsia" w:hAnsiTheme="minorEastAsia" w:eastAsiaTheme="minorEastAsia"/>
                <w:sz w:val="24"/>
                <w:szCs w:val="20"/>
                <w:lang w:eastAsia="zh-CN"/>
              </w:rPr>
              <w:t>版）等有关设计规范适当调整</w:t>
            </w:r>
          </w:p>
        </w:tc>
      </w:tr>
      <w:tr>
        <w:tblPrEx>
          <w:tblCellMar>
            <w:top w:w="0" w:type="dxa"/>
            <w:left w:w="108" w:type="dxa"/>
            <w:bottom w:w="0" w:type="dxa"/>
            <w:right w:w="108" w:type="dxa"/>
          </w:tblCellMar>
        </w:tblPrEx>
        <w:tc>
          <w:tcPr>
            <w:tcW w:w="3852"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主导风向</w:t>
            </w:r>
          </w:p>
        </w:tc>
        <w:tc>
          <w:tcPr>
            <w:tcW w:w="4586"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东北，北北东</w:t>
            </w:r>
          </w:p>
        </w:tc>
      </w:tr>
    </w:tbl>
    <w:p>
      <w:pPr>
        <w:pStyle w:val="35"/>
        <w:numPr>
          <w:ilvl w:val="0"/>
          <w:numId w:val="5"/>
        </w:numPr>
        <w:autoSpaceDE/>
        <w:autoSpaceDN/>
        <w:spacing w:before="0"/>
        <w:jc w:val="both"/>
        <w:rPr>
          <w:rFonts w:asciiTheme="minorEastAsia" w:hAnsiTheme="minorEastAsia" w:eastAsiaTheme="minorEastAsia"/>
          <w:sz w:val="24"/>
        </w:rPr>
      </w:pPr>
      <w:r>
        <w:rPr>
          <w:rFonts w:asciiTheme="minorEastAsia" w:hAnsiTheme="minorEastAsia" w:eastAsiaTheme="minorEastAsia"/>
          <w:sz w:val="24"/>
        </w:rPr>
        <w:t>台风</w:t>
      </w:r>
    </w:p>
    <w:tbl>
      <w:tblPr>
        <w:tblStyle w:val="19"/>
        <w:tblW w:w="8438" w:type="dxa"/>
        <w:tblInd w:w="468" w:type="dxa"/>
        <w:tblLayout w:type="fixed"/>
        <w:tblCellMar>
          <w:top w:w="0" w:type="dxa"/>
          <w:left w:w="108" w:type="dxa"/>
          <w:bottom w:w="0" w:type="dxa"/>
          <w:right w:w="108" w:type="dxa"/>
        </w:tblCellMar>
      </w:tblPr>
      <w:tblGrid>
        <w:gridCol w:w="3878"/>
        <w:gridCol w:w="4560"/>
      </w:tblGrid>
      <w:tr>
        <w:tblPrEx>
          <w:tblCellMar>
            <w:top w:w="0" w:type="dxa"/>
            <w:left w:w="108" w:type="dxa"/>
            <w:bottom w:w="0" w:type="dxa"/>
            <w:right w:w="108" w:type="dxa"/>
          </w:tblCellMar>
        </w:tblPrEx>
        <w:tc>
          <w:tcPr>
            <w:tcW w:w="3878"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年台风次数</w:t>
            </w:r>
          </w:p>
        </w:tc>
        <w:tc>
          <w:tcPr>
            <w:tcW w:w="4560"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5.9</w:t>
            </w:r>
            <w:r>
              <w:rPr>
                <w:rFonts w:hint="eastAsia" w:asciiTheme="minorEastAsia" w:hAnsiTheme="minorEastAsia" w:eastAsiaTheme="minorEastAsia"/>
                <w:sz w:val="24"/>
                <w:szCs w:val="20"/>
              </w:rPr>
              <w:t>次</w:t>
            </w:r>
            <w:r>
              <w:rPr>
                <w:rFonts w:asciiTheme="minorEastAsia" w:hAnsiTheme="minorEastAsia" w:eastAsiaTheme="minorEastAsia"/>
                <w:sz w:val="24"/>
                <w:szCs w:val="20"/>
              </w:rPr>
              <w:t>/</w:t>
            </w:r>
            <w:r>
              <w:rPr>
                <w:rFonts w:hint="eastAsia" w:asciiTheme="minorEastAsia" w:hAnsiTheme="minorEastAsia" w:eastAsiaTheme="minorEastAsia"/>
                <w:sz w:val="24"/>
                <w:szCs w:val="20"/>
              </w:rPr>
              <w:t>年平均（</w:t>
            </w:r>
            <w:r>
              <w:rPr>
                <w:rFonts w:asciiTheme="minorEastAsia" w:hAnsiTheme="minorEastAsia" w:eastAsiaTheme="minorEastAsia"/>
                <w:sz w:val="24"/>
                <w:szCs w:val="20"/>
              </w:rPr>
              <w:t>1951</w:t>
            </w:r>
            <w:r>
              <w:rPr>
                <w:rFonts w:hint="eastAsia" w:asciiTheme="minorEastAsia" w:hAnsiTheme="minorEastAsia" w:eastAsiaTheme="minorEastAsia"/>
                <w:sz w:val="24"/>
                <w:szCs w:val="20"/>
              </w:rPr>
              <w:t>年</w:t>
            </w:r>
            <w:r>
              <w:rPr>
                <w:rFonts w:asciiTheme="minorEastAsia" w:hAnsiTheme="minorEastAsia" w:eastAsiaTheme="minorEastAsia"/>
                <w:sz w:val="24"/>
                <w:szCs w:val="20"/>
              </w:rPr>
              <w:t>~2000</w:t>
            </w:r>
            <w:r>
              <w:rPr>
                <w:rFonts w:hint="eastAsia" w:asciiTheme="minorEastAsia" w:hAnsiTheme="minorEastAsia" w:eastAsiaTheme="minorEastAsia"/>
                <w:sz w:val="24"/>
                <w:szCs w:val="20"/>
              </w:rPr>
              <w:t>年）</w:t>
            </w:r>
          </w:p>
        </w:tc>
      </w:tr>
      <w:tr>
        <w:tblPrEx>
          <w:tblCellMar>
            <w:top w:w="0" w:type="dxa"/>
            <w:left w:w="108" w:type="dxa"/>
            <w:bottom w:w="0" w:type="dxa"/>
            <w:right w:w="108" w:type="dxa"/>
          </w:tblCellMar>
        </w:tblPrEx>
        <w:tc>
          <w:tcPr>
            <w:tcW w:w="3878" w:type="dxa"/>
            <w:vAlign w:val="center"/>
          </w:tcPr>
          <w:p>
            <w:pPr>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最大瞬间风速（东山近</w:t>
            </w:r>
            <w:r>
              <w:rPr>
                <w:rFonts w:asciiTheme="minorEastAsia" w:hAnsiTheme="minorEastAsia" w:eastAsiaTheme="minorEastAsia"/>
                <w:sz w:val="24"/>
                <w:szCs w:val="20"/>
                <w:lang w:eastAsia="zh-CN"/>
              </w:rPr>
              <w:t>20</w:t>
            </w:r>
            <w:r>
              <w:rPr>
                <w:rFonts w:hint="eastAsia" w:asciiTheme="minorEastAsia" w:hAnsiTheme="minorEastAsia" w:eastAsiaTheme="minorEastAsia"/>
                <w:sz w:val="24"/>
                <w:szCs w:val="20"/>
                <w:lang w:eastAsia="zh-CN"/>
              </w:rPr>
              <w:t>年资料）</w:t>
            </w:r>
          </w:p>
        </w:tc>
        <w:tc>
          <w:tcPr>
            <w:tcW w:w="4560"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48m/s</w:t>
            </w:r>
            <w:r>
              <w:rPr>
                <w:rFonts w:hint="eastAsia" w:asciiTheme="minorEastAsia" w:hAnsiTheme="minorEastAsia" w:eastAsiaTheme="minorEastAsia"/>
                <w:sz w:val="24"/>
                <w:szCs w:val="20"/>
              </w:rPr>
              <w:t>（</w:t>
            </w:r>
            <w:r>
              <w:rPr>
                <w:rFonts w:asciiTheme="minorEastAsia" w:hAnsiTheme="minorEastAsia" w:eastAsiaTheme="minorEastAsia"/>
                <w:sz w:val="24"/>
                <w:szCs w:val="20"/>
              </w:rPr>
              <w:t>1980</w:t>
            </w:r>
            <w:r>
              <w:rPr>
                <w:rFonts w:hint="eastAsia" w:asciiTheme="minorEastAsia" w:hAnsiTheme="minorEastAsia" w:eastAsiaTheme="minorEastAsia"/>
                <w:sz w:val="24"/>
                <w:szCs w:val="20"/>
              </w:rPr>
              <w:t>年</w:t>
            </w:r>
            <w:r>
              <w:rPr>
                <w:rFonts w:asciiTheme="minorEastAsia" w:hAnsiTheme="minorEastAsia" w:eastAsiaTheme="minorEastAsia"/>
                <w:sz w:val="24"/>
                <w:szCs w:val="20"/>
              </w:rPr>
              <w:t>9</w:t>
            </w:r>
            <w:r>
              <w:rPr>
                <w:rFonts w:hint="eastAsia" w:asciiTheme="minorEastAsia" w:hAnsiTheme="minorEastAsia" w:eastAsiaTheme="minorEastAsia"/>
                <w:sz w:val="24"/>
                <w:szCs w:val="20"/>
              </w:rPr>
              <w:t>月</w:t>
            </w:r>
            <w:r>
              <w:rPr>
                <w:rFonts w:asciiTheme="minorEastAsia" w:hAnsiTheme="minorEastAsia" w:eastAsiaTheme="minorEastAsia"/>
                <w:sz w:val="24"/>
                <w:szCs w:val="20"/>
              </w:rPr>
              <w:t>19</w:t>
            </w:r>
            <w:r>
              <w:rPr>
                <w:rFonts w:hint="eastAsia" w:asciiTheme="minorEastAsia" w:hAnsiTheme="minorEastAsia" w:eastAsiaTheme="minorEastAsia"/>
                <w:sz w:val="24"/>
                <w:szCs w:val="20"/>
              </w:rPr>
              <w:t>日）</w:t>
            </w:r>
          </w:p>
        </w:tc>
      </w:tr>
      <w:tr>
        <w:tblPrEx>
          <w:tblCellMar>
            <w:top w:w="0" w:type="dxa"/>
            <w:left w:w="108" w:type="dxa"/>
            <w:bottom w:w="0" w:type="dxa"/>
            <w:right w:w="108" w:type="dxa"/>
          </w:tblCellMar>
        </w:tblPrEx>
        <w:tc>
          <w:tcPr>
            <w:tcW w:w="3878" w:type="dxa"/>
            <w:vAlign w:val="center"/>
          </w:tcPr>
          <w:p>
            <w:pPr>
              <w:rPr>
                <w:rFonts w:asciiTheme="minorEastAsia" w:hAnsiTheme="minorEastAsia" w:eastAsiaTheme="minorEastAsia"/>
                <w:sz w:val="24"/>
                <w:szCs w:val="20"/>
              </w:rPr>
            </w:pPr>
          </w:p>
        </w:tc>
        <w:tc>
          <w:tcPr>
            <w:tcW w:w="4560"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37.6m/s</w:t>
            </w:r>
            <w:r>
              <w:rPr>
                <w:rFonts w:hint="eastAsia" w:asciiTheme="minorEastAsia" w:hAnsiTheme="minorEastAsia" w:eastAsiaTheme="minorEastAsia"/>
                <w:sz w:val="24"/>
                <w:szCs w:val="20"/>
              </w:rPr>
              <w:t>（</w:t>
            </w:r>
            <w:r>
              <w:rPr>
                <w:rFonts w:asciiTheme="minorEastAsia" w:hAnsiTheme="minorEastAsia" w:eastAsiaTheme="minorEastAsia"/>
                <w:sz w:val="24"/>
                <w:szCs w:val="20"/>
              </w:rPr>
              <w:t>2006</w:t>
            </w:r>
            <w:r>
              <w:rPr>
                <w:rFonts w:hint="eastAsia" w:asciiTheme="minorEastAsia" w:hAnsiTheme="minorEastAsia" w:eastAsiaTheme="minorEastAsia"/>
                <w:sz w:val="24"/>
                <w:szCs w:val="20"/>
              </w:rPr>
              <w:t>年</w:t>
            </w:r>
            <w:r>
              <w:rPr>
                <w:rFonts w:asciiTheme="minorEastAsia" w:hAnsiTheme="minorEastAsia" w:eastAsiaTheme="minorEastAsia"/>
                <w:sz w:val="24"/>
                <w:szCs w:val="20"/>
              </w:rPr>
              <w:t>5</w:t>
            </w:r>
            <w:r>
              <w:rPr>
                <w:rFonts w:hint="eastAsia" w:asciiTheme="minorEastAsia" w:hAnsiTheme="minorEastAsia" w:eastAsiaTheme="minorEastAsia"/>
                <w:sz w:val="24"/>
                <w:szCs w:val="20"/>
              </w:rPr>
              <w:t>月</w:t>
            </w:r>
            <w:r>
              <w:rPr>
                <w:rFonts w:asciiTheme="minorEastAsia" w:hAnsiTheme="minorEastAsia" w:eastAsiaTheme="minorEastAsia"/>
                <w:sz w:val="24"/>
                <w:szCs w:val="20"/>
              </w:rPr>
              <w:t>17</w:t>
            </w:r>
            <w:r>
              <w:rPr>
                <w:rFonts w:hint="eastAsia" w:asciiTheme="minorEastAsia" w:hAnsiTheme="minorEastAsia" w:eastAsiaTheme="minorEastAsia"/>
                <w:sz w:val="24"/>
                <w:szCs w:val="20"/>
              </w:rPr>
              <w:t>日）</w:t>
            </w:r>
          </w:p>
        </w:tc>
      </w:tr>
    </w:tbl>
    <w:p>
      <w:pPr>
        <w:pStyle w:val="35"/>
        <w:numPr>
          <w:ilvl w:val="0"/>
          <w:numId w:val="5"/>
        </w:numPr>
        <w:autoSpaceDE/>
        <w:autoSpaceDN/>
        <w:spacing w:before="0"/>
        <w:jc w:val="both"/>
        <w:rPr>
          <w:rFonts w:asciiTheme="minorEastAsia" w:hAnsiTheme="minorEastAsia" w:eastAsiaTheme="minorEastAsia"/>
          <w:sz w:val="24"/>
        </w:rPr>
      </w:pPr>
      <w:r>
        <w:rPr>
          <w:rFonts w:asciiTheme="minorEastAsia" w:hAnsiTheme="minorEastAsia" w:eastAsiaTheme="minorEastAsia"/>
          <w:sz w:val="24"/>
        </w:rPr>
        <w:t>雾</w:t>
      </w:r>
    </w:p>
    <w:tbl>
      <w:tblPr>
        <w:tblStyle w:val="19"/>
        <w:tblW w:w="8438" w:type="dxa"/>
        <w:tblInd w:w="468" w:type="dxa"/>
        <w:tblLayout w:type="fixed"/>
        <w:tblCellMar>
          <w:top w:w="0" w:type="dxa"/>
          <w:left w:w="108" w:type="dxa"/>
          <w:bottom w:w="0" w:type="dxa"/>
          <w:right w:w="108" w:type="dxa"/>
        </w:tblCellMar>
      </w:tblPr>
      <w:tblGrid>
        <w:gridCol w:w="3878"/>
        <w:gridCol w:w="4560"/>
      </w:tblGrid>
      <w:tr>
        <w:tblPrEx>
          <w:tblCellMar>
            <w:top w:w="0" w:type="dxa"/>
            <w:left w:w="108" w:type="dxa"/>
            <w:bottom w:w="0" w:type="dxa"/>
            <w:right w:w="108" w:type="dxa"/>
          </w:tblCellMar>
        </w:tblPrEx>
        <w:tc>
          <w:tcPr>
            <w:tcW w:w="3878"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多年平均雾日数</w:t>
            </w:r>
          </w:p>
        </w:tc>
        <w:tc>
          <w:tcPr>
            <w:tcW w:w="4560"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22.5</w:t>
            </w:r>
            <w:r>
              <w:rPr>
                <w:rFonts w:hint="eastAsia" w:asciiTheme="minorEastAsia" w:hAnsiTheme="minorEastAsia" w:eastAsiaTheme="minorEastAsia"/>
                <w:sz w:val="24"/>
                <w:szCs w:val="20"/>
              </w:rPr>
              <w:t>天</w:t>
            </w:r>
          </w:p>
        </w:tc>
      </w:tr>
      <w:tr>
        <w:tblPrEx>
          <w:tblCellMar>
            <w:top w:w="0" w:type="dxa"/>
            <w:left w:w="108" w:type="dxa"/>
            <w:bottom w:w="0" w:type="dxa"/>
            <w:right w:w="108" w:type="dxa"/>
          </w:tblCellMar>
        </w:tblPrEx>
        <w:tc>
          <w:tcPr>
            <w:tcW w:w="3878"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最多年雾日数</w:t>
            </w:r>
          </w:p>
        </w:tc>
        <w:tc>
          <w:tcPr>
            <w:tcW w:w="4560"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39</w:t>
            </w:r>
            <w:r>
              <w:rPr>
                <w:rFonts w:hint="eastAsia" w:asciiTheme="minorEastAsia" w:hAnsiTheme="minorEastAsia" w:eastAsiaTheme="minorEastAsia"/>
                <w:sz w:val="24"/>
                <w:szCs w:val="20"/>
              </w:rPr>
              <w:t>天</w:t>
            </w:r>
          </w:p>
        </w:tc>
      </w:tr>
      <w:tr>
        <w:tblPrEx>
          <w:tblCellMar>
            <w:top w:w="0" w:type="dxa"/>
            <w:left w:w="108" w:type="dxa"/>
            <w:bottom w:w="0" w:type="dxa"/>
            <w:right w:w="108" w:type="dxa"/>
          </w:tblCellMar>
        </w:tblPrEx>
        <w:tc>
          <w:tcPr>
            <w:tcW w:w="3878"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多雾月份</w:t>
            </w:r>
          </w:p>
        </w:tc>
        <w:tc>
          <w:tcPr>
            <w:tcW w:w="4560"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2~4</w:t>
            </w:r>
            <w:r>
              <w:rPr>
                <w:rFonts w:hint="eastAsia" w:asciiTheme="minorEastAsia" w:hAnsiTheme="minorEastAsia" w:eastAsiaTheme="minorEastAsia"/>
                <w:sz w:val="24"/>
                <w:szCs w:val="20"/>
              </w:rPr>
              <w:t>月</w:t>
            </w:r>
          </w:p>
        </w:tc>
      </w:tr>
    </w:tbl>
    <w:p>
      <w:pPr>
        <w:pStyle w:val="35"/>
        <w:numPr>
          <w:ilvl w:val="0"/>
          <w:numId w:val="5"/>
        </w:numPr>
        <w:autoSpaceDE/>
        <w:autoSpaceDN/>
        <w:spacing w:before="0"/>
        <w:jc w:val="both"/>
        <w:rPr>
          <w:rFonts w:asciiTheme="minorEastAsia" w:hAnsiTheme="minorEastAsia" w:eastAsiaTheme="minorEastAsia"/>
          <w:sz w:val="24"/>
        </w:rPr>
      </w:pPr>
      <w:r>
        <w:rPr>
          <w:rFonts w:asciiTheme="minorEastAsia" w:hAnsiTheme="minorEastAsia" w:eastAsiaTheme="minorEastAsia"/>
          <w:sz w:val="24"/>
        </w:rPr>
        <w:t>相对湿度</w:t>
      </w:r>
    </w:p>
    <w:tbl>
      <w:tblPr>
        <w:tblStyle w:val="19"/>
        <w:tblW w:w="8438" w:type="dxa"/>
        <w:tblInd w:w="468" w:type="dxa"/>
        <w:tblLayout w:type="fixed"/>
        <w:tblCellMar>
          <w:top w:w="0" w:type="dxa"/>
          <w:left w:w="108" w:type="dxa"/>
          <w:bottom w:w="0" w:type="dxa"/>
          <w:right w:w="108" w:type="dxa"/>
        </w:tblCellMar>
      </w:tblPr>
      <w:tblGrid>
        <w:gridCol w:w="3887"/>
        <w:gridCol w:w="1087"/>
        <w:gridCol w:w="3464"/>
      </w:tblGrid>
      <w:tr>
        <w:tblPrEx>
          <w:tblCellMar>
            <w:top w:w="0" w:type="dxa"/>
            <w:left w:w="108" w:type="dxa"/>
            <w:bottom w:w="0" w:type="dxa"/>
            <w:right w:w="108" w:type="dxa"/>
          </w:tblCellMar>
        </w:tblPrEx>
        <w:tc>
          <w:tcPr>
            <w:tcW w:w="388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多年平均相对湿度</w:t>
            </w:r>
          </w:p>
        </w:tc>
        <w:tc>
          <w:tcPr>
            <w:tcW w:w="4551" w:type="dxa"/>
            <w:gridSpan w:val="2"/>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80</w:t>
            </w:r>
            <w:r>
              <w:rPr>
                <w:rFonts w:hint="eastAsia" w:asciiTheme="minorEastAsia" w:hAnsiTheme="minorEastAsia" w:eastAsiaTheme="minorEastAsia"/>
                <w:sz w:val="24"/>
                <w:szCs w:val="20"/>
              </w:rPr>
              <w:t>％</w:t>
            </w:r>
          </w:p>
        </w:tc>
      </w:tr>
      <w:tr>
        <w:tblPrEx>
          <w:tblCellMar>
            <w:top w:w="0" w:type="dxa"/>
            <w:left w:w="108" w:type="dxa"/>
            <w:bottom w:w="0" w:type="dxa"/>
            <w:right w:w="108" w:type="dxa"/>
          </w:tblCellMar>
        </w:tblPrEx>
        <w:tc>
          <w:tcPr>
            <w:tcW w:w="388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夏季相对湿度</w:t>
            </w:r>
          </w:p>
        </w:tc>
        <w:tc>
          <w:tcPr>
            <w:tcW w:w="4551" w:type="dxa"/>
            <w:gridSpan w:val="2"/>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85.7</w:t>
            </w:r>
            <w:r>
              <w:rPr>
                <w:rFonts w:hint="eastAsia" w:asciiTheme="minorEastAsia" w:hAnsiTheme="minorEastAsia" w:eastAsiaTheme="minorEastAsia"/>
                <w:sz w:val="24"/>
                <w:szCs w:val="20"/>
              </w:rPr>
              <w:t>％</w:t>
            </w:r>
          </w:p>
        </w:tc>
      </w:tr>
      <w:tr>
        <w:tblPrEx>
          <w:tblCellMar>
            <w:top w:w="0" w:type="dxa"/>
            <w:left w:w="108" w:type="dxa"/>
            <w:bottom w:w="0" w:type="dxa"/>
            <w:right w:w="108" w:type="dxa"/>
          </w:tblCellMar>
        </w:tblPrEx>
        <w:tc>
          <w:tcPr>
            <w:tcW w:w="388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冬季相对湿度</w:t>
            </w:r>
          </w:p>
        </w:tc>
        <w:tc>
          <w:tcPr>
            <w:tcW w:w="4551" w:type="dxa"/>
            <w:gridSpan w:val="2"/>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77.3</w:t>
            </w:r>
            <w:r>
              <w:rPr>
                <w:rFonts w:hint="eastAsia" w:asciiTheme="minorEastAsia" w:hAnsiTheme="minorEastAsia" w:eastAsiaTheme="minorEastAsia"/>
                <w:sz w:val="24"/>
                <w:szCs w:val="20"/>
              </w:rPr>
              <w:t>％</w:t>
            </w:r>
          </w:p>
        </w:tc>
      </w:tr>
      <w:tr>
        <w:tblPrEx>
          <w:tblCellMar>
            <w:top w:w="0" w:type="dxa"/>
            <w:left w:w="108" w:type="dxa"/>
            <w:bottom w:w="0" w:type="dxa"/>
            <w:right w:w="108" w:type="dxa"/>
          </w:tblCellMar>
        </w:tblPrEx>
        <w:tc>
          <w:tcPr>
            <w:tcW w:w="3887" w:type="dxa"/>
            <w:vAlign w:val="center"/>
          </w:tcPr>
          <w:p>
            <w:pPr>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夏天最热时间相对湿度</w:t>
            </w:r>
          </w:p>
        </w:tc>
        <w:tc>
          <w:tcPr>
            <w:tcW w:w="4551" w:type="dxa"/>
            <w:gridSpan w:val="2"/>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75</w:t>
            </w:r>
            <w:r>
              <w:rPr>
                <w:rFonts w:hint="eastAsia" w:asciiTheme="minorEastAsia" w:hAnsiTheme="minorEastAsia" w:eastAsiaTheme="minorEastAsia"/>
                <w:sz w:val="24"/>
                <w:szCs w:val="20"/>
              </w:rPr>
              <w:t>％</w:t>
            </w:r>
            <w:r>
              <w:rPr>
                <w:rFonts w:asciiTheme="minorEastAsia" w:hAnsiTheme="minorEastAsia" w:eastAsiaTheme="minorEastAsia"/>
                <w:sz w:val="24"/>
                <w:szCs w:val="20"/>
              </w:rPr>
              <w:t>(13</w:t>
            </w:r>
            <w:r>
              <w:rPr>
                <w:rFonts w:hint="eastAsia" w:asciiTheme="minorEastAsia" w:hAnsiTheme="minorEastAsia" w:eastAsiaTheme="minorEastAsia"/>
                <w:sz w:val="24"/>
                <w:szCs w:val="20"/>
              </w:rPr>
              <w:t>～</w:t>
            </w:r>
            <w:r>
              <w:rPr>
                <w:rFonts w:asciiTheme="minorEastAsia" w:hAnsiTheme="minorEastAsia" w:eastAsiaTheme="minorEastAsia"/>
                <w:sz w:val="24"/>
                <w:szCs w:val="20"/>
              </w:rPr>
              <w:t>14</w:t>
            </w:r>
            <w:r>
              <w:rPr>
                <w:rFonts w:hint="eastAsia" w:asciiTheme="minorEastAsia" w:hAnsiTheme="minorEastAsia" w:eastAsiaTheme="minorEastAsia"/>
                <w:sz w:val="24"/>
                <w:szCs w:val="20"/>
              </w:rPr>
              <w:t>时</w:t>
            </w:r>
            <w:r>
              <w:rPr>
                <w:rFonts w:asciiTheme="minorEastAsia" w:hAnsiTheme="minorEastAsia" w:eastAsiaTheme="minorEastAsia"/>
                <w:sz w:val="24"/>
                <w:szCs w:val="20"/>
              </w:rPr>
              <w:t>)</w:t>
            </w:r>
          </w:p>
        </w:tc>
      </w:tr>
      <w:tr>
        <w:tblPrEx>
          <w:tblCellMar>
            <w:top w:w="0" w:type="dxa"/>
            <w:left w:w="108" w:type="dxa"/>
            <w:bottom w:w="0" w:type="dxa"/>
            <w:right w:w="108" w:type="dxa"/>
          </w:tblCellMar>
        </w:tblPrEx>
        <w:tc>
          <w:tcPr>
            <w:tcW w:w="388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最大相对湿度</w:t>
            </w:r>
          </w:p>
        </w:tc>
        <w:tc>
          <w:tcPr>
            <w:tcW w:w="4551" w:type="dxa"/>
            <w:gridSpan w:val="2"/>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100%</w:t>
            </w:r>
          </w:p>
        </w:tc>
      </w:tr>
      <w:tr>
        <w:tblPrEx>
          <w:tblCellMar>
            <w:top w:w="0" w:type="dxa"/>
            <w:left w:w="108" w:type="dxa"/>
            <w:bottom w:w="0" w:type="dxa"/>
            <w:right w:w="108" w:type="dxa"/>
          </w:tblCellMar>
        </w:tblPrEx>
        <w:tc>
          <w:tcPr>
            <w:tcW w:w="3887"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最热月平均相对湿度</w:t>
            </w:r>
          </w:p>
        </w:tc>
        <w:tc>
          <w:tcPr>
            <w:tcW w:w="4551" w:type="dxa"/>
            <w:gridSpan w:val="2"/>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98% / 26.8%</w:t>
            </w:r>
          </w:p>
        </w:tc>
      </w:tr>
      <w:tr>
        <w:tblPrEx>
          <w:tblCellMar>
            <w:top w:w="0" w:type="dxa"/>
            <w:left w:w="108" w:type="dxa"/>
            <w:bottom w:w="0" w:type="dxa"/>
            <w:right w:w="108" w:type="dxa"/>
          </w:tblCellMar>
        </w:tblPrEx>
        <w:tc>
          <w:tcPr>
            <w:tcW w:w="4974" w:type="dxa"/>
            <w:gridSpan w:val="2"/>
            <w:vAlign w:val="center"/>
          </w:tcPr>
          <w:p>
            <w:pPr>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2003~2007</w:t>
            </w:r>
            <w:r>
              <w:rPr>
                <w:rFonts w:hint="eastAsia" w:asciiTheme="minorEastAsia" w:hAnsiTheme="minorEastAsia" w:eastAsiaTheme="minorEastAsia"/>
                <w:sz w:val="24"/>
                <w:szCs w:val="20"/>
                <w:lang w:eastAsia="zh-CN"/>
              </w:rPr>
              <w:t>年最热月</w:t>
            </w:r>
            <w:r>
              <w:rPr>
                <w:rFonts w:asciiTheme="minorEastAsia" w:hAnsiTheme="minorEastAsia" w:eastAsiaTheme="minorEastAsia"/>
                <w:sz w:val="24"/>
                <w:szCs w:val="20"/>
                <w:lang w:eastAsia="zh-CN"/>
              </w:rPr>
              <w:t>(7~9</w:t>
            </w:r>
            <w:r>
              <w:rPr>
                <w:rFonts w:hint="eastAsia" w:asciiTheme="minorEastAsia" w:hAnsiTheme="minorEastAsia" w:eastAsiaTheme="minorEastAsia"/>
                <w:sz w:val="24"/>
                <w:szCs w:val="20"/>
                <w:lang w:eastAsia="zh-CN"/>
              </w:rPr>
              <w:t>月</w:t>
            </w:r>
            <w:r>
              <w:rPr>
                <w:rFonts w:asciiTheme="minorEastAsia" w:hAnsiTheme="minorEastAsia" w:eastAsiaTheme="minorEastAsia"/>
                <w:sz w:val="24"/>
                <w:szCs w:val="20"/>
                <w:lang w:eastAsia="zh-CN"/>
              </w:rPr>
              <w:t>)</w:t>
            </w:r>
            <w:r>
              <w:rPr>
                <w:rFonts w:hint="eastAsia" w:asciiTheme="minorEastAsia" w:hAnsiTheme="minorEastAsia" w:eastAsiaTheme="minorEastAsia"/>
                <w:sz w:val="24"/>
                <w:szCs w:val="20"/>
                <w:lang w:eastAsia="zh-CN"/>
              </w:rPr>
              <w:t>的平均相对湿度</w:t>
            </w:r>
          </w:p>
        </w:tc>
        <w:tc>
          <w:tcPr>
            <w:tcW w:w="3464"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79%</w:t>
            </w:r>
          </w:p>
        </w:tc>
      </w:tr>
    </w:tbl>
    <w:p>
      <w:pPr>
        <w:pStyle w:val="35"/>
        <w:numPr>
          <w:ilvl w:val="0"/>
          <w:numId w:val="6"/>
        </w:numPr>
        <w:autoSpaceDE/>
        <w:autoSpaceDN/>
        <w:spacing w:before="0"/>
        <w:jc w:val="both"/>
        <w:rPr>
          <w:rFonts w:asciiTheme="minorEastAsia" w:hAnsiTheme="minorEastAsia" w:eastAsiaTheme="minorEastAsia"/>
          <w:sz w:val="24"/>
        </w:rPr>
      </w:pPr>
      <w:r>
        <w:rPr>
          <w:rFonts w:asciiTheme="minorEastAsia" w:hAnsiTheme="minorEastAsia" w:eastAsiaTheme="minorEastAsia"/>
          <w:sz w:val="24"/>
        </w:rPr>
        <w:t>气压</w:t>
      </w:r>
    </w:p>
    <w:tbl>
      <w:tblPr>
        <w:tblStyle w:val="19"/>
        <w:tblW w:w="8438" w:type="dxa"/>
        <w:tblInd w:w="468" w:type="dxa"/>
        <w:tblLayout w:type="fixed"/>
        <w:tblCellMar>
          <w:top w:w="0" w:type="dxa"/>
          <w:left w:w="108" w:type="dxa"/>
          <w:bottom w:w="0" w:type="dxa"/>
          <w:right w:w="108" w:type="dxa"/>
        </w:tblCellMar>
      </w:tblPr>
      <w:tblGrid>
        <w:gridCol w:w="3865"/>
        <w:gridCol w:w="4573"/>
      </w:tblGrid>
      <w:tr>
        <w:tblPrEx>
          <w:tblCellMar>
            <w:top w:w="0" w:type="dxa"/>
            <w:left w:w="108" w:type="dxa"/>
            <w:bottom w:w="0" w:type="dxa"/>
            <w:right w:w="108" w:type="dxa"/>
          </w:tblCellMar>
        </w:tblPrEx>
        <w:tc>
          <w:tcPr>
            <w:tcW w:w="3865"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年平均气压</w:t>
            </w:r>
          </w:p>
        </w:tc>
        <w:tc>
          <w:tcPr>
            <w:tcW w:w="4573"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1007.6hPa</w:t>
            </w:r>
          </w:p>
        </w:tc>
      </w:tr>
    </w:tbl>
    <w:p>
      <w:pPr>
        <w:pStyle w:val="35"/>
        <w:numPr>
          <w:ilvl w:val="0"/>
          <w:numId w:val="7"/>
        </w:numPr>
        <w:autoSpaceDE/>
        <w:autoSpaceDN/>
        <w:spacing w:before="0"/>
        <w:jc w:val="both"/>
        <w:rPr>
          <w:rFonts w:asciiTheme="minorEastAsia" w:hAnsiTheme="minorEastAsia" w:eastAsiaTheme="minorEastAsia"/>
          <w:sz w:val="24"/>
        </w:rPr>
      </w:pPr>
      <w:r>
        <w:rPr>
          <w:rFonts w:asciiTheme="minorEastAsia" w:hAnsiTheme="minorEastAsia" w:eastAsiaTheme="minorEastAsia"/>
          <w:sz w:val="24"/>
        </w:rPr>
        <w:t>蒸发量</w:t>
      </w:r>
    </w:p>
    <w:tbl>
      <w:tblPr>
        <w:tblStyle w:val="19"/>
        <w:tblW w:w="8438" w:type="dxa"/>
        <w:tblInd w:w="468" w:type="dxa"/>
        <w:tblLayout w:type="fixed"/>
        <w:tblCellMar>
          <w:top w:w="0" w:type="dxa"/>
          <w:left w:w="108" w:type="dxa"/>
          <w:bottom w:w="0" w:type="dxa"/>
          <w:right w:w="108" w:type="dxa"/>
        </w:tblCellMar>
      </w:tblPr>
      <w:tblGrid>
        <w:gridCol w:w="3873"/>
        <w:gridCol w:w="4565"/>
      </w:tblGrid>
      <w:tr>
        <w:tblPrEx>
          <w:tblCellMar>
            <w:top w:w="0" w:type="dxa"/>
            <w:left w:w="108" w:type="dxa"/>
            <w:bottom w:w="0" w:type="dxa"/>
            <w:right w:w="108" w:type="dxa"/>
          </w:tblCellMar>
        </w:tblPrEx>
        <w:tc>
          <w:tcPr>
            <w:tcW w:w="3873"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年平均蒸发量</w:t>
            </w:r>
          </w:p>
        </w:tc>
        <w:tc>
          <w:tcPr>
            <w:tcW w:w="4565"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1658.2</w:t>
            </w:r>
            <w:r>
              <w:rPr>
                <w:rFonts w:hint="eastAsia" w:asciiTheme="minorEastAsia" w:hAnsiTheme="minorEastAsia" w:eastAsiaTheme="minorEastAsia"/>
                <w:sz w:val="24"/>
                <w:szCs w:val="20"/>
              </w:rPr>
              <w:t>毫米</w:t>
            </w:r>
          </w:p>
        </w:tc>
      </w:tr>
    </w:tbl>
    <w:p>
      <w:pPr>
        <w:pStyle w:val="35"/>
        <w:numPr>
          <w:ilvl w:val="0"/>
          <w:numId w:val="8"/>
        </w:numPr>
        <w:autoSpaceDE/>
        <w:autoSpaceDN/>
        <w:spacing w:before="0"/>
        <w:jc w:val="both"/>
        <w:rPr>
          <w:rFonts w:asciiTheme="minorEastAsia" w:hAnsiTheme="minorEastAsia" w:eastAsiaTheme="minorEastAsia"/>
          <w:sz w:val="24"/>
        </w:rPr>
      </w:pPr>
      <w:r>
        <w:rPr>
          <w:rFonts w:asciiTheme="minorEastAsia" w:hAnsiTheme="minorEastAsia" w:eastAsiaTheme="minorEastAsia"/>
          <w:sz w:val="24"/>
        </w:rPr>
        <w:t>地震</w:t>
      </w:r>
    </w:p>
    <w:tbl>
      <w:tblPr>
        <w:tblStyle w:val="19"/>
        <w:tblW w:w="8438" w:type="dxa"/>
        <w:tblInd w:w="468" w:type="dxa"/>
        <w:tblLayout w:type="fixed"/>
        <w:tblCellMar>
          <w:top w:w="0" w:type="dxa"/>
          <w:left w:w="108" w:type="dxa"/>
          <w:bottom w:w="0" w:type="dxa"/>
          <w:right w:w="108" w:type="dxa"/>
        </w:tblCellMar>
      </w:tblPr>
      <w:tblGrid>
        <w:gridCol w:w="3876"/>
        <w:gridCol w:w="4562"/>
      </w:tblGrid>
      <w:tr>
        <w:tblPrEx>
          <w:tblCellMar>
            <w:top w:w="0" w:type="dxa"/>
            <w:left w:w="108" w:type="dxa"/>
            <w:bottom w:w="0" w:type="dxa"/>
            <w:right w:w="108" w:type="dxa"/>
          </w:tblCellMar>
        </w:tblPrEx>
        <w:tc>
          <w:tcPr>
            <w:tcW w:w="3876"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地震设防烈度</w:t>
            </w:r>
          </w:p>
        </w:tc>
        <w:tc>
          <w:tcPr>
            <w:tcW w:w="4562"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7</w:t>
            </w:r>
            <w:r>
              <w:rPr>
                <w:rFonts w:hint="eastAsia" w:asciiTheme="minorEastAsia" w:hAnsiTheme="minorEastAsia" w:eastAsiaTheme="minorEastAsia"/>
                <w:sz w:val="24"/>
                <w:szCs w:val="20"/>
              </w:rPr>
              <w:t>级</w:t>
            </w:r>
          </w:p>
        </w:tc>
      </w:tr>
      <w:tr>
        <w:tblPrEx>
          <w:tblCellMar>
            <w:top w:w="0" w:type="dxa"/>
            <w:left w:w="108" w:type="dxa"/>
            <w:bottom w:w="0" w:type="dxa"/>
            <w:right w:w="108" w:type="dxa"/>
          </w:tblCellMar>
        </w:tblPrEx>
        <w:tc>
          <w:tcPr>
            <w:tcW w:w="3876" w:type="dxa"/>
            <w:vAlign w:val="center"/>
          </w:tcPr>
          <w:p>
            <w:pPr>
              <w:rPr>
                <w:rFonts w:asciiTheme="minorEastAsia" w:hAnsiTheme="minorEastAsia" w:eastAsiaTheme="minorEastAsia"/>
                <w:sz w:val="24"/>
                <w:szCs w:val="20"/>
              </w:rPr>
            </w:pPr>
            <w:r>
              <w:rPr>
                <w:rFonts w:hint="eastAsia" w:asciiTheme="minorEastAsia" w:hAnsiTheme="minorEastAsia" w:eastAsiaTheme="minorEastAsia"/>
                <w:sz w:val="24"/>
                <w:szCs w:val="20"/>
              </w:rPr>
              <w:t>地震基本加速度</w:t>
            </w:r>
          </w:p>
        </w:tc>
        <w:tc>
          <w:tcPr>
            <w:tcW w:w="4562" w:type="dxa"/>
            <w:vAlign w:val="center"/>
          </w:tcPr>
          <w:p>
            <w:pPr>
              <w:rPr>
                <w:rFonts w:asciiTheme="minorEastAsia" w:hAnsiTheme="minorEastAsia" w:eastAsiaTheme="minorEastAsia"/>
                <w:sz w:val="24"/>
                <w:szCs w:val="20"/>
              </w:rPr>
            </w:pPr>
            <w:r>
              <w:rPr>
                <w:rFonts w:asciiTheme="minorEastAsia" w:hAnsiTheme="minorEastAsia" w:eastAsiaTheme="minorEastAsia"/>
                <w:sz w:val="24"/>
                <w:szCs w:val="20"/>
              </w:rPr>
              <w:t>0.15g</w:t>
            </w:r>
          </w:p>
        </w:tc>
      </w:tr>
    </w:tbl>
    <w:p>
      <w:pPr>
        <w:pStyle w:val="35"/>
        <w:numPr>
          <w:ilvl w:val="0"/>
          <w:numId w:val="9"/>
        </w:numPr>
        <w:spacing w:before="0"/>
        <w:jc w:val="both"/>
        <w:rPr>
          <w:rFonts w:asciiTheme="minorEastAsia" w:hAnsiTheme="minorEastAsia" w:eastAsiaTheme="minorEastAsia"/>
          <w:sz w:val="24"/>
        </w:rPr>
      </w:pPr>
      <w:r>
        <w:rPr>
          <w:rFonts w:asciiTheme="minorEastAsia" w:hAnsiTheme="minorEastAsia" w:eastAsiaTheme="minorEastAsia"/>
          <w:sz w:val="24"/>
        </w:rPr>
        <w:t>暴雨强度公式：</w:t>
      </w:r>
    </w:p>
    <w:tbl>
      <w:tblPr>
        <w:tblStyle w:val="19"/>
        <w:tblW w:w="8438" w:type="dxa"/>
        <w:tblInd w:w="468" w:type="dxa"/>
        <w:tblLayout w:type="fixed"/>
        <w:tblCellMar>
          <w:top w:w="0" w:type="dxa"/>
          <w:left w:w="108" w:type="dxa"/>
          <w:bottom w:w="0" w:type="dxa"/>
          <w:right w:w="108" w:type="dxa"/>
        </w:tblCellMar>
      </w:tblPr>
      <w:tblGrid>
        <w:gridCol w:w="3895"/>
        <w:gridCol w:w="4543"/>
      </w:tblGrid>
      <w:tr>
        <w:tc>
          <w:tcPr>
            <w:tcW w:w="8438" w:type="dxa"/>
            <w:gridSpan w:val="2"/>
            <w:vAlign w:val="center"/>
          </w:tcPr>
          <w:p>
            <w:pPr>
              <w:jc w:val="center"/>
              <w:rPr>
                <w:rFonts w:asciiTheme="minorEastAsia" w:hAnsiTheme="minorEastAsia" w:eastAsiaTheme="minorEastAsia"/>
                <w:sz w:val="24"/>
                <w:szCs w:val="20"/>
              </w:rPr>
            </w:pPr>
            <w:r>
              <w:rPr>
                <w:rFonts w:asciiTheme="minorEastAsia" w:hAnsiTheme="minorEastAsia" w:eastAsiaTheme="minorEastAsia"/>
                <w:sz w:val="24"/>
                <w:szCs w:val="20"/>
              </w:rPr>
              <w:t>q = 2003.515×(1 + 0.568lgTe)/ (t + 6.187) 0.659（L/S·ha）</w:t>
            </w:r>
          </w:p>
        </w:tc>
      </w:tr>
      <w:tr>
        <w:tblPrEx>
          <w:tblCellMar>
            <w:top w:w="0" w:type="dxa"/>
            <w:left w:w="108" w:type="dxa"/>
            <w:bottom w:w="0" w:type="dxa"/>
            <w:right w:w="108" w:type="dxa"/>
          </w:tblCellMar>
        </w:tblPrEx>
        <w:tc>
          <w:tcPr>
            <w:tcW w:w="3895" w:type="dxa"/>
            <w:vAlign w:val="center"/>
          </w:tcPr>
          <w:p>
            <w:pPr>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其中：Te-设计重现期（a）</w:t>
            </w:r>
          </w:p>
        </w:tc>
        <w:tc>
          <w:tcPr>
            <w:tcW w:w="4543" w:type="dxa"/>
            <w:vAlign w:val="center"/>
          </w:tcPr>
          <w:p>
            <w:pPr>
              <w:rPr>
                <w:rFonts w:asciiTheme="minorEastAsia" w:hAnsiTheme="minorEastAsia" w:eastAsiaTheme="minorEastAsia"/>
                <w:sz w:val="24"/>
                <w:szCs w:val="20"/>
                <w:lang w:eastAsia="zh-CN"/>
              </w:rPr>
            </w:pPr>
          </w:p>
        </w:tc>
      </w:tr>
    </w:tbl>
    <w:p>
      <w:pPr>
        <w:snapToGrid w:val="0"/>
        <w:rPr>
          <w:rFonts w:asciiTheme="minorEastAsia" w:hAnsiTheme="minorEastAsia" w:eastAsiaTheme="minorEastAsia"/>
          <w:b/>
          <w:sz w:val="24"/>
          <w:lang w:eastAsia="zh-CN"/>
        </w:rPr>
      </w:pPr>
      <w:r>
        <w:rPr>
          <w:rFonts w:asciiTheme="minorEastAsia" w:hAnsiTheme="minorEastAsia" w:eastAsiaTheme="minorEastAsia"/>
          <w:b/>
          <w:sz w:val="24"/>
          <w:lang w:eastAsia="zh-CN"/>
        </w:rPr>
        <w:t>3</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现有系统说明</w:t>
      </w:r>
      <w:bookmarkEnd w:id="12"/>
      <w:bookmarkEnd w:id="13"/>
    </w:p>
    <w:p>
      <w:pPr>
        <w:adjustRightInd w:val="0"/>
        <w:snapToGrid w:val="0"/>
        <w:ind w:firstLine="480" w:firstLineChars="200"/>
        <w:textAlignment w:val="baseline"/>
        <w:rPr>
          <w:rFonts w:asciiTheme="minorEastAsia" w:hAnsiTheme="minorEastAsia" w:eastAsiaTheme="minorEastAsia"/>
          <w:sz w:val="24"/>
          <w:lang w:eastAsia="zh-CN"/>
        </w:rPr>
      </w:pPr>
      <w:r>
        <w:rPr>
          <w:rFonts w:asciiTheme="minorEastAsia" w:hAnsiTheme="minorEastAsia" w:eastAsiaTheme="minorEastAsia"/>
          <w:sz w:val="24"/>
          <w:lang w:eastAsia="zh-CN"/>
        </w:rPr>
        <w:t>工程采用选择性催化还原脱硝（SCR）工艺，采用单炉双体SCR结构体布置，SCR本体三层布置，每层结构高度不小于3米。采用高灰型SCR布置方式，即SCR反应器烟气引出在锅炉高温省煤器出口和高温空气预热器之间。</w:t>
      </w:r>
    </w:p>
    <w:p>
      <w:pPr>
        <w:snapToGrid w:val="0"/>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催化剂层数采取</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2＋1</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模式布置（目前已安装3层）。在设计煤种及校核煤种、锅炉最大连续出力工况（BMCR）、处理100%烟气量、在布置2层催化剂条件下脱硝效率不小于60%。</w:t>
      </w:r>
      <w:r>
        <w:rPr>
          <w:rFonts w:asciiTheme="minorEastAsia" w:hAnsiTheme="minorEastAsia" w:eastAsiaTheme="minorEastAsia"/>
          <w:sz w:val="24"/>
          <w:lang w:val="zh-CN" w:eastAsia="zh-CN"/>
        </w:rPr>
        <w:t>当备用层催化剂投运时，脱硝装置在性能考核试验时的NOx脱除率不小于8</w:t>
      </w:r>
      <w:r>
        <w:rPr>
          <w:rFonts w:hint="eastAsia" w:asciiTheme="minorEastAsia" w:hAnsiTheme="minorEastAsia" w:eastAsiaTheme="minorEastAsia"/>
          <w:sz w:val="24"/>
          <w:lang w:val="zh-CN" w:eastAsia="zh-CN"/>
        </w:rPr>
        <w:t>2.5</w:t>
      </w:r>
      <w:r>
        <w:rPr>
          <w:rFonts w:asciiTheme="minorEastAsia" w:hAnsiTheme="minorEastAsia" w:eastAsiaTheme="minorEastAsia"/>
          <w:sz w:val="24"/>
          <w:lang w:val="zh-CN" w:eastAsia="zh-CN"/>
        </w:rPr>
        <w:t>%</w:t>
      </w:r>
      <w:r>
        <w:rPr>
          <w:rFonts w:asciiTheme="minorEastAsia" w:hAnsiTheme="minorEastAsia" w:eastAsiaTheme="minorEastAsia"/>
          <w:sz w:val="24"/>
          <w:lang w:eastAsia="zh-CN"/>
        </w:rPr>
        <w:t>。</w:t>
      </w:r>
    </w:p>
    <w:p>
      <w:pPr>
        <w:snapToGrid w:val="0"/>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选用液氨作为氮氧化物脱除剂，当其纯度≥99%时，</w:t>
      </w:r>
      <w:r>
        <w:rPr>
          <w:rFonts w:hint="eastAsia" w:asciiTheme="minorEastAsia" w:hAnsiTheme="minorEastAsia" w:eastAsiaTheme="minorEastAsia"/>
          <w:sz w:val="24"/>
          <w:lang w:eastAsia="zh-CN"/>
        </w:rPr>
        <w:t>乙方</w:t>
      </w:r>
      <w:r>
        <w:rPr>
          <w:rFonts w:asciiTheme="minorEastAsia" w:hAnsiTheme="minorEastAsia" w:eastAsiaTheme="minorEastAsia"/>
          <w:sz w:val="24"/>
          <w:lang w:eastAsia="zh-CN"/>
        </w:rPr>
        <w:t>保证不会对催化剂的寿命和性能产生危害。投标方氨耗量的保证是基于氨纯度99.6%。</w:t>
      </w:r>
    </w:p>
    <w:p>
      <w:pPr>
        <w:adjustRightInd w:val="0"/>
        <w:snapToGrid w:val="0"/>
        <w:ind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脱硝氨区根据电厂总平面布置在脱硫装置与1号圆形煤场之间，东西向长度约为44米，南北向长度约为70米。利用厂区主厂房的环行道路解决本项目设施的运输联系，氨系统所需设备2台卸料压缩机、2台液氨罐、2台氨气蒸发器、氨气缓冲罐、氨气稀释罐、废水池、废水泵及各四周设备的连接管道等，氨区氨罐区设有顶棚，防雨防晒，四周为敞开式。</w:t>
      </w:r>
    </w:p>
    <w:p>
      <w:pPr>
        <w:adjustRightInd w:val="0"/>
        <w:snapToGrid w:val="0"/>
        <w:ind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此套系统提供氨气供脱硝反应使用。液氨由槽车运送</w:t>
      </w:r>
      <w:r>
        <w:rPr>
          <w:rFonts w:asciiTheme="minorEastAsia" w:hAnsiTheme="minorEastAsia" w:eastAsiaTheme="minorEastAsia"/>
          <w:sz w:val="24"/>
          <w:lang w:eastAsia="zh-CN"/>
        </w:rPr>
        <w:t>,</w:t>
      </w:r>
      <w:r>
        <w:rPr>
          <w:rFonts w:hint="eastAsia" w:asciiTheme="minorEastAsia" w:hAnsiTheme="minorEastAsia" w:eastAsiaTheme="minorEastAsia"/>
          <w:sz w:val="24"/>
          <w:lang w:eastAsia="zh-CN"/>
        </w:rPr>
        <w:t>利用卸氨压缩机将液氨由槽车输入液氨储槽内</w:t>
      </w:r>
      <w:r>
        <w:rPr>
          <w:rFonts w:asciiTheme="minorEastAsia" w:hAnsiTheme="minorEastAsia" w:eastAsiaTheme="minorEastAsia"/>
          <w:sz w:val="24"/>
          <w:lang w:eastAsia="zh-CN"/>
        </w:rPr>
        <w:t>,</w:t>
      </w:r>
      <w:r>
        <w:rPr>
          <w:rFonts w:hint="eastAsia" w:asciiTheme="minorEastAsia" w:hAnsiTheme="minorEastAsia" w:eastAsiaTheme="minorEastAsia"/>
          <w:sz w:val="24"/>
          <w:lang w:eastAsia="zh-CN"/>
        </w:rPr>
        <w:t>储罐输出的液氨于液氨蒸发器内蒸发为氨气</w:t>
      </w:r>
      <w:r>
        <w:rPr>
          <w:rFonts w:asciiTheme="minorEastAsia" w:hAnsiTheme="minorEastAsia" w:eastAsiaTheme="minorEastAsia"/>
          <w:sz w:val="24"/>
          <w:lang w:eastAsia="zh-CN"/>
        </w:rPr>
        <w:t>,</w:t>
      </w:r>
      <w:r>
        <w:rPr>
          <w:rFonts w:hint="eastAsia" w:asciiTheme="minorEastAsia" w:hAnsiTheme="minorEastAsia" w:eastAsiaTheme="minorEastAsia"/>
          <w:sz w:val="24"/>
          <w:lang w:eastAsia="zh-CN"/>
        </w:rPr>
        <w:t>经氨气缓冲罐送达脱硝反应系统。氨气系统紧急排放的氨气则排放氨气稀释罐中</w:t>
      </w:r>
      <w:r>
        <w:rPr>
          <w:rFonts w:asciiTheme="minorEastAsia" w:hAnsiTheme="minorEastAsia" w:eastAsiaTheme="minorEastAsia"/>
          <w:sz w:val="24"/>
          <w:lang w:eastAsia="zh-CN"/>
        </w:rPr>
        <w:t>,</w:t>
      </w:r>
      <w:r>
        <w:rPr>
          <w:rFonts w:hint="eastAsia" w:asciiTheme="minorEastAsia" w:hAnsiTheme="minorEastAsia" w:eastAsiaTheme="minorEastAsia"/>
          <w:sz w:val="24"/>
          <w:lang w:eastAsia="zh-CN"/>
        </w:rPr>
        <w:t>经水的吸收排入废水池</w:t>
      </w:r>
      <w:r>
        <w:rPr>
          <w:rFonts w:asciiTheme="minorEastAsia" w:hAnsiTheme="minorEastAsia" w:eastAsiaTheme="minorEastAsia"/>
          <w:sz w:val="24"/>
          <w:lang w:eastAsia="zh-CN"/>
        </w:rPr>
        <w:t>,</w:t>
      </w:r>
      <w:r>
        <w:rPr>
          <w:rFonts w:hint="eastAsia" w:asciiTheme="minorEastAsia" w:hAnsiTheme="minorEastAsia" w:eastAsiaTheme="minorEastAsia"/>
          <w:sz w:val="24"/>
          <w:lang w:eastAsia="zh-CN"/>
        </w:rPr>
        <w:t>再经由废水泵送至电厂废水处理。</w:t>
      </w:r>
    </w:p>
    <w:p>
      <w:pPr>
        <w:adjustRightInd w:val="0"/>
        <w:snapToGrid w:val="0"/>
        <w:textAlignment w:val="baseline"/>
        <w:outlineLvl w:val="0"/>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三、技术标准（不限于此）</w:t>
      </w:r>
    </w:p>
    <w:p>
      <w:pPr>
        <w:adjustRightInd w:val="0"/>
        <w:snapToGrid w:val="0"/>
        <w:ind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设计文件及文件中所涉及的附件和设备应符合相应的标准规范或法规的最新版本或其修正本的要求</w:t>
      </w:r>
      <w:r>
        <w:rPr>
          <w:rFonts w:asciiTheme="minorEastAsia" w:hAnsiTheme="minorEastAsia" w:eastAsiaTheme="minorEastAsia"/>
          <w:sz w:val="24"/>
          <w:lang w:eastAsia="zh-CN"/>
        </w:rPr>
        <w:t xml:space="preserve">, </w:t>
      </w:r>
      <w:r>
        <w:rPr>
          <w:rFonts w:hint="eastAsia" w:asciiTheme="minorEastAsia" w:hAnsiTheme="minorEastAsia" w:eastAsiaTheme="minorEastAsia"/>
          <w:sz w:val="24"/>
          <w:lang w:eastAsia="zh-CN"/>
        </w:rPr>
        <w:t>除非另有特别说明，将包括投标期内有效的任何修正和补充。</w:t>
      </w:r>
    </w:p>
    <w:p>
      <w:pPr>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除非合同另有规定，均须遵守最新的国家标准</w:t>
      </w:r>
      <w:r>
        <w:rPr>
          <w:rFonts w:asciiTheme="minorEastAsia" w:hAnsiTheme="minorEastAsia" w:eastAsiaTheme="minorEastAsia"/>
          <w:sz w:val="24"/>
          <w:lang w:eastAsia="zh-CN"/>
        </w:rPr>
        <w:t>(GB)</w:t>
      </w:r>
      <w:r>
        <w:rPr>
          <w:rFonts w:hint="eastAsia" w:asciiTheme="minorEastAsia" w:hAnsiTheme="minorEastAsia" w:eastAsiaTheme="minorEastAsia"/>
          <w:sz w:val="24"/>
          <w:lang w:eastAsia="zh-CN"/>
        </w:rPr>
        <w:t>、国家电力行业标准(</w:t>
      </w:r>
      <w:r>
        <w:rPr>
          <w:rFonts w:asciiTheme="minorEastAsia" w:hAnsiTheme="minorEastAsia" w:eastAsiaTheme="minorEastAsia"/>
          <w:sz w:val="24"/>
          <w:lang w:eastAsia="zh-CN"/>
        </w:rPr>
        <w:t>DL</w:t>
      </w:r>
      <w:r>
        <w:rPr>
          <w:rFonts w:hint="eastAsia" w:asciiTheme="minorEastAsia" w:hAnsiTheme="minorEastAsia" w:eastAsiaTheme="minorEastAsia"/>
          <w:sz w:val="24"/>
          <w:lang w:eastAsia="zh-CN"/>
        </w:rPr>
        <w:t>)、国际电工委员会</w:t>
      </w:r>
      <w:r>
        <w:rPr>
          <w:rFonts w:asciiTheme="minorEastAsia" w:hAnsiTheme="minorEastAsia" w:eastAsiaTheme="minorEastAsia"/>
          <w:sz w:val="24"/>
          <w:lang w:eastAsia="zh-CN"/>
        </w:rPr>
        <w:t>(IEC)</w:t>
      </w:r>
      <w:r>
        <w:rPr>
          <w:rFonts w:hint="eastAsia" w:asciiTheme="minorEastAsia" w:hAnsiTheme="minorEastAsia" w:eastAsiaTheme="minorEastAsia"/>
          <w:sz w:val="24"/>
          <w:lang w:eastAsia="zh-CN"/>
        </w:rPr>
        <w:t>标准及国际单位制</w:t>
      </w:r>
      <w:r>
        <w:rPr>
          <w:rFonts w:asciiTheme="minorEastAsia" w:hAnsiTheme="minorEastAsia" w:eastAsiaTheme="minorEastAsia"/>
          <w:sz w:val="24"/>
          <w:lang w:eastAsia="zh-CN"/>
        </w:rPr>
        <w:t>(SI)</w:t>
      </w:r>
      <w:r>
        <w:rPr>
          <w:rFonts w:hint="eastAsia" w:asciiTheme="minorEastAsia" w:hAnsiTheme="minorEastAsia" w:eastAsiaTheme="minorEastAsia"/>
          <w:sz w:val="24"/>
          <w:lang w:eastAsia="zh-CN"/>
        </w:rPr>
        <w:t>标准。当上述标准不一致时，按技术条款要求高的标准执行。</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sz w:val="24"/>
          <w:lang w:eastAsia="zh-CN"/>
        </w:rPr>
        <w:t>GB 50660《大中型火力发电厂设计规范》</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GB 4272《设备及管道保温技术通则》</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GB 12801《生产过程安全卫生要求总则》</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GBZ230 《职业性接触毒物危险程度分级》</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GB50016-2014 《建筑设计防火规范》</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GB50160 《石油化工企业设计防火规范》</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GB 50720《建设工程施工现场消防安全技术规范》</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GB50160《石油化工企业设计防火规范》</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GB/T 50087《工业企业噪声控制设计规范》</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YB 9073《钢制压力容器设计技术规定》</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DL5000《火力发电厂设计技术规程》</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DL/T 5094《火力发电厂建筑设计规程》</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DL/T5047《电力建设施工及验收技术规范》</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DL/T 5375《火力发电厂可行性研究报告内容深度规定》</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HJ562-2010《火电厂烟气脱硝工程技术规范 选择性催化还原法》</w:t>
      </w:r>
    </w:p>
    <w:p>
      <w:pPr>
        <w:pStyle w:val="63"/>
        <w:adjustRightInd/>
        <w:spacing w:line="360" w:lineRule="auto"/>
        <w:ind w:firstLine="360" w:firstLineChars="150"/>
        <w:jc w:val="left"/>
        <w:rPr>
          <w:rFonts w:asciiTheme="minorEastAsia" w:hAnsiTheme="minorEastAsia" w:eastAsiaTheme="minorEastAsia"/>
          <w:kern w:val="2"/>
          <w:szCs w:val="24"/>
        </w:rPr>
      </w:pPr>
      <w:r>
        <w:rPr>
          <w:rFonts w:hint="eastAsia" w:asciiTheme="minorEastAsia" w:hAnsiTheme="minorEastAsia" w:eastAsiaTheme="minorEastAsia"/>
          <w:kern w:val="2"/>
          <w:szCs w:val="24"/>
        </w:rPr>
        <w:t>这些标准提出了最基本要求，如果根据投标方的意见并经用户接受，使用优于或更为经济的设计或材料，并能使投标方设备良好的、连续的在本规范所规定的条件下运行时，则这些标准也可以由投标方超越。</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提供审查的标准应为中文版本。</w:t>
      </w:r>
    </w:p>
    <w:p>
      <w:pPr>
        <w:outlineLvl w:val="0"/>
        <w:rPr>
          <w:rFonts w:asciiTheme="minorEastAsia" w:hAnsiTheme="minorEastAsia" w:eastAsiaTheme="minorEastAsia"/>
          <w:sz w:val="28"/>
          <w:szCs w:val="28"/>
          <w:lang w:eastAsia="zh-CN"/>
        </w:rPr>
      </w:pPr>
      <w:r>
        <w:rPr>
          <w:rFonts w:hint="eastAsia" w:asciiTheme="minorEastAsia" w:hAnsiTheme="minorEastAsia" w:eastAsiaTheme="minorEastAsia"/>
          <w:b/>
          <w:sz w:val="28"/>
          <w:szCs w:val="28"/>
          <w:lang w:eastAsia="zh-CN"/>
        </w:rPr>
        <w:t>四、工程范围</w:t>
      </w:r>
    </w:p>
    <w:p>
      <w:pPr>
        <w:rPr>
          <w:rFonts w:asciiTheme="minorEastAsia" w:hAnsiTheme="minorEastAsia" w:eastAsiaTheme="minorEastAsia"/>
          <w:color w:val="000000"/>
          <w:sz w:val="24"/>
          <w:lang w:eastAsia="zh-CN"/>
        </w:rPr>
      </w:pPr>
      <w:r>
        <w:rPr>
          <w:rFonts w:asciiTheme="minorEastAsia" w:hAnsiTheme="minorEastAsia" w:eastAsiaTheme="minorEastAsia"/>
          <w:color w:val="000000"/>
          <w:sz w:val="24"/>
          <w:lang w:eastAsia="zh-CN"/>
        </w:rPr>
        <w:t>4.1</w:t>
      </w:r>
      <w:r>
        <w:rPr>
          <w:rFonts w:hint="eastAsia" w:asciiTheme="minorEastAsia" w:hAnsiTheme="minorEastAsia" w:eastAsiaTheme="minorEastAsia"/>
          <w:color w:val="000000"/>
          <w:sz w:val="24"/>
          <w:lang w:eastAsia="zh-CN"/>
        </w:rPr>
        <w:t>通过对现有脱硝系统及设备资料的收集及现场实地勘查，编制</w:t>
      </w:r>
      <w:r>
        <w:rPr>
          <w:rFonts w:asciiTheme="minorEastAsia" w:hAnsiTheme="minorEastAsia" w:eastAsiaTheme="minorEastAsia"/>
          <w:color w:val="000000"/>
          <w:sz w:val="24"/>
          <w:lang w:eastAsia="zh-CN"/>
        </w:rPr>
        <w:t>热电厂4×</w:t>
      </w:r>
    </w:p>
    <w:p>
      <w:pPr>
        <w:rPr>
          <w:rFonts w:asciiTheme="minorEastAsia" w:hAnsiTheme="minorEastAsia" w:eastAsiaTheme="minorEastAsia"/>
          <w:color w:val="000000"/>
          <w:sz w:val="24"/>
          <w:lang w:eastAsia="zh-CN"/>
        </w:rPr>
      </w:pPr>
      <w:r>
        <w:rPr>
          <w:rFonts w:asciiTheme="minorEastAsia" w:hAnsiTheme="minorEastAsia" w:eastAsiaTheme="minorEastAsia"/>
          <w:color w:val="000000"/>
          <w:sz w:val="24"/>
          <w:lang w:eastAsia="zh-CN"/>
        </w:rPr>
        <w:t>670t/h锅炉烟气脱硝</w:t>
      </w:r>
      <w:r>
        <w:rPr>
          <w:rFonts w:hint="eastAsia" w:asciiTheme="minorEastAsia" w:hAnsiTheme="minorEastAsia" w:eastAsiaTheme="minorEastAsia"/>
          <w:color w:val="000000"/>
          <w:sz w:val="24"/>
          <w:lang w:eastAsia="zh-CN"/>
        </w:rPr>
        <w:t>还原剂液氨改尿素工程可行性研究报告、项目申请报告、工程招标技术规范书修编</w:t>
      </w:r>
      <w:r>
        <w:rPr>
          <w:rFonts w:hint="eastAsia" w:ascii="Times New Roman" w:hAnsi="Times New Roman"/>
          <w:sz w:val="24"/>
          <w:szCs w:val="24"/>
          <w:lang w:eastAsia="zh-CN"/>
        </w:rPr>
        <w:t>工作</w:t>
      </w:r>
      <w:r>
        <w:rPr>
          <w:rFonts w:hint="eastAsia" w:asciiTheme="minorEastAsia" w:hAnsiTheme="minorEastAsia" w:eastAsiaTheme="minorEastAsia"/>
          <w:color w:val="000000"/>
          <w:sz w:val="24"/>
          <w:lang w:eastAsia="zh-CN"/>
        </w:rPr>
        <w:t>（投标方负责项目可行性研究报告及项目报批过程中的专家评审会及相关费用）。</w:t>
      </w:r>
    </w:p>
    <w:p>
      <w:pPr>
        <w:rPr>
          <w:rFonts w:asciiTheme="minorEastAsia" w:hAnsiTheme="minorEastAsia" w:eastAsiaTheme="minorEastAsia"/>
          <w:color w:val="000000"/>
          <w:sz w:val="24"/>
        </w:rPr>
      </w:pPr>
      <w:r>
        <w:rPr>
          <w:rFonts w:asciiTheme="minorEastAsia" w:hAnsiTheme="minorEastAsia" w:eastAsiaTheme="minorEastAsia"/>
          <w:color w:val="000000"/>
          <w:sz w:val="24"/>
        </w:rPr>
        <w:t>4.2</w:t>
      </w:r>
      <w:r>
        <w:rPr>
          <w:rFonts w:hint="eastAsia" w:asciiTheme="minorEastAsia" w:hAnsiTheme="minorEastAsia" w:eastAsiaTheme="minorEastAsia"/>
          <w:color w:val="000000"/>
          <w:sz w:val="24"/>
        </w:rPr>
        <w:t>工程</w:t>
      </w:r>
      <w:r>
        <w:rPr>
          <w:rFonts w:asciiTheme="minorEastAsia" w:hAnsiTheme="minorEastAsia" w:eastAsiaTheme="minorEastAsia"/>
          <w:color w:val="000000"/>
          <w:sz w:val="24"/>
        </w:rPr>
        <w:t>量清单</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141"/>
        <w:gridCol w:w="4472"/>
        <w:gridCol w:w="826"/>
        <w:gridCol w:w="826"/>
        <w:gridCol w:w="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91" w:type="pct"/>
            <w:vAlign w:val="center"/>
          </w:tcPr>
          <w:p>
            <w:pPr>
              <w:jc w:val="center"/>
              <w:rPr>
                <w:rFonts w:asciiTheme="minorEastAsia" w:hAnsiTheme="minorEastAsia" w:eastAsiaTheme="minorEastAsia"/>
                <w:sz w:val="21"/>
                <w:szCs w:val="21"/>
              </w:rPr>
            </w:pPr>
            <w:bookmarkStart w:id="15" w:name="OLE_LINK16"/>
            <w:r>
              <w:rPr>
                <w:rFonts w:hint="eastAsia" w:asciiTheme="minorEastAsia" w:hAnsiTheme="minorEastAsia" w:eastAsiaTheme="minorEastAsia"/>
                <w:sz w:val="21"/>
                <w:szCs w:val="21"/>
              </w:rPr>
              <w:t>项目编码</w:t>
            </w:r>
            <w:bookmarkEnd w:id="15"/>
          </w:p>
        </w:tc>
        <w:tc>
          <w:tcPr>
            <w:tcW w:w="1086" w:type="pc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项目名称</w:t>
            </w:r>
          </w:p>
        </w:tc>
        <w:tc>
          <w:tcPr>
            <w:tcW w:w="2268" w:type="pct"/>
            <w:vAlign w:val="center"/>
          </w:tcPr>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项目特征描述/项目</w:t>
            </w:r>
            <w:r>
              <w:rPr>
                <w:rFonts w:asciiTheme="minorEastAsia" w:hAnsiTheme="minorEastAsia" w:eastAsiaTheme="minorEastAsia"/>
                <w:sz w:val="21"/>
                <w:szCs w:val="21"/>
                <w:lang w:eastAsia="zh-CN"/>
              </w:rPr>
              <w:t>内容</w:t>
            </w:r>
          </w:p>
        </w:tc>
        <w:tc>
          <w:tcPr>
            <w:tcW w:w="419" w:type="pc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计量单位</w:t>
            </w:r>
          </w:p>
        </w:tc>
        <w:tc>
          <w:tcPr>
            <w:tcW w:w="419" w:type="pc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工程量</w:t>
            </w:r>
          </w:p>
        </w:tc>
        <w:tc>
          <w:tcPr>
            <w:tcW w:w="417" w:type="pc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086" w:type="pct"/>
            <w:vAlign w:val="center"/>
          </w:tcPr>
          <w:p>
            <w:pPr>
              <w:rPr>
                <w:rFonts w:asciiTheme="minorEastAsia" w:hAnsiTheme="minorEastAsia" w:eastAsiaTheme="minorEastAsia"/>
                <w:bCs/>
                <w:color w:val="000000"/>
                <w:sz w:val="21"/>
                <w:szCs w:val="21"/>
                <w:lang w:eastAsia="zh-CN"/>
              </w:rPr>
            </w:pPr>
            <w:r>
              <w:rPr>
                <w:rFonts w:asciiTheme="minorEastAsia" w:hAnsiTheme="minorEastAsia" w:eastAsiaTheme="minorEastAsia"/>
                <w:bCs/>
                <w:color w:val="000000"/>
                <w:sz w:val="21"/>
                <w:szCs w:val="21"/>
                <w:lang w:eastAsia="zh-CN"/>
              </w:rPr>
              <w:t>热电厂4×670t/h锅炉烟气脱硝</w:t>
            </w:r>
            <w:r>
              <w:rPr>
                <w:rFonts w:hint="eastAsia" w:asciiTheme="minorEastAsia" w:hAnsiTheme="minorEastAsia" w:eastAsiaTheme="minorEastAsia"/>
                <w:bCs/>
                <w:color w:val="000000"/>
                <w:sz w:val="21"/>
                <w:szCs w:val="21"/>
                <w:lang w:eastAsia="zh-CN"/>
              </w:rPr>
              <w:t>还原剂</w:t>
            </w:r>
            <w:r>
              <w:rPr>
                <w:rFonts w:asciiTheme="minorEastAsia" w:hAnsiTheme="minorEastAsia" w:eastAsiaTheme="minorEastAsia"/>
                <w:bCs/>
                <w:color w:val="000000"/>
                <w:sz w:val="21"/>
                <w:szCs w:val="21"/>
                <w:lang w:eastAsia="zh-CN"/>
              </w:rPr>
              <w:t>液氨改尿素项目可行性研究报告</w:t>
            </w:r>
          </w:p>
        </w:tc>
        <w:tc>
          <w:tcPr>
            <w:tcW w:w="2268" w:type="pct"/>
            <w:vAlign w:val="center"/>
          </w:tcPr>
          <w:p>
            <w:pPr>
              <w:pStyle w:val="35"/>
              <w:numPr>
                <w:ilvl w:val="3"/>
                <w:numId w:val="1"/>
              </w:numPr>
              <w:autoSpaceDE/>
              <w:autoSpaceDN/>
              <w:spacing w:before="0" w:line="240" w:lineRule="auto"/>
              <w:ind w:left="386" w:hanging="386"/>
              <w:jc w:val="both"/>
              <w:rPr>
                <w:rFonts w:asciiTheme="minorEastAsia" w:hAnsiTheme="minorEastAsia" w:eastAsiaTheme="minorEastAsia"/>
                <w:bCs/>
                <w:color w:val="000000"/>
                <w:sz w:val="21"/>
                <w:szCs w:val="21"/>
                <w:lang w:eastAsia="zh-CN"/>
              </w:rPr>
            </w:pPr>
            <w:r>
              <w:rPr>
                <w:rFonts w:hint="eastAsia" w:asciiTheme="minorEastAsia" w:hAnsiTheme="minorEastAsia" w:eastAsiaTheme="minorEastAsia"/>
                <w:bCs/>
                <w:color w:val="000000"/>
                <w:sz w:val="21"/>
                <w:szCs w:val="21"/>
                <w:lang w:eastAsia="zh-CN"/>
              </w:rPr>
              <w:t>编制液氨改尿素工程可行性研究报告，提出液氨改尿素技术路线、工艺方案、工程方案、投资估算、经济分析，得出结论性推荐意见。</w:t>
            </w:r>
          </w:p>
          <w:p>
            <w:pPr>
              <w:pStyle w:val="35"/>
              <w:numPr>
                <w:ilvl w:val="3"/>
                <w:numId w:val="1"/>
              </w:numPr>
              <w:autoSpaceDE/>
              <w:autoSpaceDN/>
              <w:spacing w:before="0" w:line="240" w:lineRule="auto"/>
              <w:ind w:left="386" w:hanging="386"/>
              <w:jc w:val="both"/>
              <w:rPr>
                <w:rFonts w:asciiTheme="minorEastAsia" w:hAnsiTheme="minorEastAsia" w:eastAsiaTheme="minorEastAsia"/>
                <w:bCs/>
                <w:color w:val="000000"/>
                <w:sz w:val="21"/>
                <w:szCs w:val="21"/>
                <w:lang w:eastAsia="zh-CN"/>
              </w:rPr>
            </w:pPr>
            <w:r>
              <w:rPr>
                <w:rFonts w:hint="eastAsia" w:asciiTheme="minorEastAsia" w:hAnsiTheme="minorEastAsia" w:eastAsiaTheme="minorEastAsia"/>
                <w:bCs/>
                <w:color w:val="000000"/>
                <w:sz w:val="21"/>
                <w:szCs w:val="21"/>
                <w:lang w:eastAsia="zh-CN"/>
              </w:rPr>
              <w:t>组织可行性研究评审，提供可行性研究评审报告。</w:t>
            </w:r>
          </w:p>
          <w:p>
            <w:pPr>
              <w:pStyle w:val="35"/>
              <w:numPr>
                <w:ilvl w:val="3"/>
                <w:numId w:val="1"/>
              </w:numPr>
              <w:autoSpaceDE/>
              <w:autoSpaceDN/>
              <w:spacing w:before="0" w:line="240" w:lineRule="auto"/>
              <w:ind w:left="386" w:hanging="386"/>
              <w:jc w:val="both"/>
              <w:rPr>
                <w:rFonts w:asciiTheme="minorEastAsia" w:hAnsiTheme="minorEastAsia" w:eastAsiaTheme="minorEastAsia"/>
                <w:bCs/>
                <w:color w:val="000000"/>
                <w:sz w:val="21"/>
                <w:szCs w:val="21"/>
                <w:lang w:eastAsia="zh-CN"/>
              </w:rPr>
            </w:pPr>
            <w:r>
              <w:rPr>
                <w:rFonts w:hint="eastAsia" w:asciiTheme="minorEastAsia" w:hAnsiTheme="minorEastAsia" w:eastAsiaTheme="minorEastAsia"/>
                <w:bCs/>
                <w:color w:val="000000"/>
                <w:sz w:val="21"/>
                <w:szCs w:val="21"/>
                <w:lang w:eastAsia="zh-CN"/>
              </w:rPr>
              <w:t>根据可行性研究评审报告对液氨改尿素工程可行性研究报告进行修订，并提供收口版报告。</w:t>
            </w:r>
          </w:p>
          <w:p>
            <w:pPr>
              <w:pStyle w:val="35"/>
              <w:numPr>
                <w:ilvl w:val="3"/>
                <w:numId w:val="1"/>
              </w:numPr>
              <w:autoSpaceDE/>
              <w:autoSpaceDN/>
              <w:spacing w:before="0" w:line="240" w:lineRule="auto"/>
              <w:ind w:left="386" w:hanging="386"/>
              <w:jc w:val="both"/>
              <w:rPr>
                <w:rFonts w:asciiTheme="minorEastAsia" w:hAnsiTheme="minorEastAsia" w:eastAsiaTheme="minorEastAsia"/>
                <w:bCs/>
                <w:color w:val="000000"/>
                <w:sz w:val="21"/>
                <w:szCs w:val="21"/>
                <w:lang w:eastAsia="zh-CN"/>
              </w:rPr>
            </w:pPr>
            <w:r>
              <w:rPr>
                <w:rFonts w:hint="eastAsia" w:asciiTheme="minorEastAsia" w:hAnsiTheme="minorEastAsia" w:eastAsiaTheme="minorEastAsia"/>
                <w:bCs/>
                <w:color w:val="000000"/>
                <w:sz w:val="21"/>
                <w:szCs w:val="21"/>
                <w:lang w:eastAsia="zh-CN"/>
              </w:rPr>
              <w:t>编制项目申请报告及工程招标技术规范书。</w:t>
            </w:r>
          </w:p>
        </w:tc>
        <w:tc>
          <w:tcPr>
            <w:tcW w:w="419" w:type="pc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w:t>
            </w:r>
          </w:p>
        </w:tc>
        <w:tc>
          <w:tcPr>
            <w:tcW w:w="419" w:type="pc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17" w:type="pct"/>
            <w:vAlign w:val="center"/>
          </w:tcPr>
          <w:p>
            <w:pPr>
              <w:jc w:val="center"/>
              <w:rPr>
                <w:rFonts w:asciiTheme="minorEastAsia" w:hAnsiTheme="minorEastAsia" w:eastAsiaTheme="minorEastAsia"/>
                <w:sz w:val="21"/>
                <w:szCs w:val="21"/>
              </w:rPr>
            </w:pPr>
          </w:p>
        </w:tc>
      </w:tr>
    </w:tbl>
    <w:p>
      <w:pPr>
        <w:rPr>
          <w:rFonts w:asciiTheme="minorEastAsia" w:hAnsiTheme="minorEastAsia" w:eastAsiaTheme="minorEastAsia"/>
          <w:color w:val="000000"/>
          <w:sz w:val="24"/>
          <w:lang w:eastAsia="zh-CN"/>
        </w:rPr>
      </w:pPr>
      <w:r>
        <w:rPr>
          <w:rFonts w:asciiTheme="minorEastAsia" w:hAnsiTheme="minorEastAsia" w:eastAsiaTheme="minorEastAsia"/>
          <w:color w:val="000000"/>
          <w:sz w:val="24"/>
          <w:lang w:eastAsia="zh-CN"/>
        </w:rPr>
        <w:t>4.3</w:t>
      </w:r>
      <w:r>
        <w:rPr>
          <w:rFonts w:hint="eastAsia" w:asciiTheme="minorEastAsia" w:hAnsiTheme="minorEastAsia" w:eastAsiaTheme="minorEastAsia"/>
          <w:color w:val="000000"/>
          <w:sz w:val="24"/>
          <w:lang w:eastAsia="zh-CN"/>
        </w:rPr>
        <w:t>内容包括但不限于以下内容：</w:t>
      </w:r>
    </w:p>
    <w:p>
      <w:pPr>
        <w:pStyle w:val="35"/>
        <w:numPr>
          <w:ilvl w:val="0"/>
          <w:numId w:val="10"/>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液氨改尿素</w:t>
      </w:r>
      <w:r>
        <w:rPr>
          <w:rFonts w:asciiTheme="minorEastAsia" w:hAnsiTheme="minorEastAsia" w:eastAsiaTheme="minorEastAsia"/>
          <w:color w:val="000000"/>
          <w:sz w:val="24"/>
          <w:lang w:eastAsia="zh-CN"/>
        </w:rPr>
        <w:t>项目</w:t>
      </w:r>
      <w:r>
        <w:rPr>
          <w:rFonts w:hint="eastAsia" w:asciiTheme="minorEastAsia" w:hAnsiTheme="minorEastAsia" w:eastAsiaTheme="minorEastAsia"/>
          <w:color w:val="000000"/>
          <w:sz w:val="24"/>
          <w:lang w:eastAsia="zh-CN"/>
        </w:rPr>
        <w:t>可行性研究的项目背景、项目的必要性。</w:t>
      </w:r>
    </w:p>
    <w:p>
      <w:pPr>
        <w:pStyle w:val="35"/>
        <w:numPr>
          <w:ilvl w:val="0"/>
          <w:numId w:val="10"/>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液氨改尿素</w:t>
      </w:r>
      <w:r>
        <w:rPr>
          <w:rFonts w:asciiTheme="minorEastAsia" w:hAnsiTheme="minorEastAsia" w:eastAsiaTheme="minorEastAsia"/>
          <w:color w:val="000000"/>
          <w:sz w:val="24"/>
          <w:lang w:eastAsia="zh-CN"/>
        </w:rPr>
        <w:t>项目</w:t>
      </w:r>
      <w:r>
        <w:rPr>
          <w:rFonts w:hint="eastAsia" w:asciiTheme="minorEastAsia" w:hAnsiTheme="minorEastAsia" w:eastAsiaTheme="minorEastAsia"/>
          <w:color w:val="000000"/>
          <w:sz w:val="24"/>
          <w:lang w:eastAsia="zh-CN"/>
        </w:rPr>
        <w:t>可行性研究的各种技术路线</w:t>
      </w:r>
      <w:r>
        <w:rPr>
          <w:rFonts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lang w:eastAsia="zh-CN"/>
        </w:rPr>
        <w:t>，并对不同技术路线进行比选。</w:t>
      </w:r>
    </w:p>
    <w:p>
      <w:pPr>
        <w:pStyle w:val="35"/>
        <w:numPr>
          <w:ilvl w:val="0"/>
          <w:numId w:val="10"/>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液氨改尿素</w:t>
      </w:r>
      <w:r>
        <w:rPr>
          <w:rFonts w:asciiTheme="minorEastAsia" w:hAnsiTheme="minorEastAsia" w:eastAsiaTheme="minorEastAsia"/>
          <w:color w:val="000000"/>
          <w:sz w:val="24"/>
          <w:lang w:eastAsia="zh-CN"/>
        </w:rPr>
        <w:t>项目</w:t>
      </w:r>
      <w:r>
        <w:rPr>
          <w:rFonts w:hint="eastAsia" w:asciiTheme="minorEastAsia" w:hAnsiTheme="minorEastAsia" w:eastAsiaTheme="minorEastAsia"/>
          <w:color w:val="000000"/>
          <w:sz w:val="24"/>
          <w:lang w:eastAsia="zh-CN"/>
        </w:rPr>
        <w:t>可行性研究推荐的工程方案设想，工程设想方案应包含潜在风险和影响，如对锅炉燃烧、脱硝系统运行等进行论述。</w:t>
      </w:r>
    </w:p>
    <w:p>
      <w:pPr>
        <w:pStyle w:val="35"/>
        <w:numPr>
          <w:ilvl w:val="0"/>
          <w:numId w:val="10"/>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液氨改尿素工程项目建设对现有电厂布置、设备、电网等的影响说明。如厂区用地、布置、新增设备用电、用水、用汽等进行说明，并论证其实施可行性、合理性，提出改造最佳方案。</w:t>
      </w:r>
    </w:p>
    <w:p>
      <w:pPr>
        <w:pStyle w:val="35"/>
        <w:numPr>
          <w:ilvl w:val="0"/>
          <w:numId w:val="10"/>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对项目安全进行可行性分析，包括系统安全性分析、劳动人员的安全性分析等。</w:t>
      </w:r>
    </w:p>
    <w:p>
      <w:pPr>
        <w:pStyle w:val="35"/>
        <w:numPr>
          <w:ilvl w:val="0"/>
          <w:numId w:val="10"/>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施工方案及工期论述：含施工方案及内容综述、施工工期及进度计划等。</w:t>
      </w:r>
    </w:p>
    <w:p>
      <w:pPr>
        <w:pStyle w:val="35"/>
        <w:numPr>
          <w:ilvl w:val="0"/>
          <w:numId w:val="10"/>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对投资成本及效益进行估算，包括土建投资、设备投资、安装费用、效益测算、回收期、收益率等。</w:t>
      </w:r>
    </w:p>
    <w:p>
      <w:pPr>
        <w:pStyle w:val="35"/>
        <w:numPr>
          <w:ilvl w:val="0"/>
          <w:numId w:val="10"/>
        </w:numPr>
        <w:autoSpaceDE/>
        <w:autoSpaceDN/>
        <w:spacing w:before="0"/>
        <w:ind w:left="0" w:firstLine="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结论性意见。</w:t>
      </w:r>
    </w:p>
    <w:p>
      <w:pPr>
        <w:pStyle w:val="3"/>
        <w:ind w:left="0"/>
        <w:rPr>
          <w:rFonts w:asciiTheme="minorEastAsia" w:hAnsiTheme="minorEastAsia" w:eastAsiaTheme="minorEastAsia"/>
        </w:rPr>
      </w:pPr>
      <w:r>
        <w:rPr>
          <w:rFonts w:hint="eastAsia" w:asciiTheme="minorEastAsia" w:hAnsiTheme="minorEastAsia" w:eastAsiaTheme="minorEastAsia"/>
        </w:rPr>
        <w:t>五、技术要求</w:t>
      </w:r>
    </w:p>
    <w:p>
      <w:pPr>
        <w:pStyle w:val="3"/>
        <w:ind w:left="0"/>
        <w:rPr>
          <w:rFonts w:asciiTheme="minorEastAsia" w:hAnsiTheme="minorEastAsia" w:eastAsiaTheme="minorEastAsia"/>
          <w:bCs w:val="0"/>
          <w:color w:val="000000"/>
          <w:kern w:val="2"/>
        </w:rPr>
      </w:pPr>
      <w:r>
        <w:rPr>
          <w:rFonts w:asciiTheme="minorEastAsia" w:hAnsiTheme="minorEastAsia" w:eastAsiaTheme="minorEastAsia"/>
          <w:bCs w:val="0"/>
          <w:color w:val="000000"/>
          <w:kern w:val="2"/>
        </w:rPr>
        <w:t>5.</w:t>
      </w:r>
      <w:r>
        <w:rPr>
          <w:rFonts w:hint="eastAsia" w:asciiTheme="minorEastAsia" w:hAnsiTheme="minorEastAsia" w:eastAsiaTheme="minorEastAsia"/>
          <w:bCs w:val="0"/>
          <w:color w:val="000000"/>
          <w:kern w:val="2"/>
        </w:rPr>
        <w:t>1总的要求：</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lang w:eastAsia="zh-CN"/>
        </w:rPr>
        <w:t>按照国家、行业标准规范编制</w:t>
      </w:r>
      <w:r>
        <w:rPr>
          <w:rFonts w:asciiTheme="minorEastAsia" w:hAnsiTheme="minorEastAsia" w:eastAsiaTheme="minorEastAsia"/>
          <w:color w:val="000000"/>
          <w:sz w:val="24"/>
          <w:lang w:eastAsia="zh-CN"/>
        </w:rPr>
        <w:t>热电厂4×670t/h锅炉烟气脱硝</w:t>
      </w:r>
      <w:r>
        <w:rPr>
          <w:rFonts w:hint="eastAsia" w:asciiTheme="minorEastAsia" w:hAnsiTheme="minorEastAsia" w:eastAsiaTheme="minorEastAsia"/>
          <w:color w:val="000000"/>
          <w:sz w:val="24"/>
          <w:lang w:eastAsia="zh-CN"/>
        </w:rPr>
        <w:t>还原剂</w:t>
      </w:r>
      <w:r>
        <w:rPr>
          <w:rFonts w:asciiTheme="minorEastAsia" w:hAnsiTheme="minorEastAsia" w:eastAsiaTheme="minorEastAsia"/>
          <w:color w:val="000000"/>
          <w:sz w:val="24"/>
          <w:lang w:eastAsia="zh-CN"/>
        </w:rPr>
        <w:t>液氨改尿素项目</w:t>
      </w:r>
      <w:r>
        <w:rPr>
          <w:rFonts w:hint="eastAsia" w:asciiTheme="minorEastAsia" w:hAnsiTheme="minorEastAsia" w:eastAsiaTheme="minorEastAsia"/>
          <w:color w:val="000000"/>
          <w:sz w:val="24"/>
          <w:lang w:eastAsia="zh-CN"/>
        </w:rPr>
        <w:t>可行性研究报告，并组织专家进行可行性研究评审，技改后</w:t>
      </w:r>
      <w:r>
        <w:rPr>
          <w:rFonts w:hint="eastAsia" w:asciiTheme="minorEastAsia" w:hAnsiTheme="minorEastAsia" w:eastAsiaTheme="minorEastAsia"/>
          <w:sz w:val="24"/>
          <w:szCs w:val="24"/>
          <w:lang w:eastAsia="zh-CN"/>
        </w:rPr>
        <w:t>的设备、系统与原有设备、系统有良好的兼容性，并能接入现有的监控、控制系统。</w:t>
      </w:r>
    </w:p>
    <w:p>
      <w:pPr>
        <w:pStyle w:val="3"/>
        <w:ind w:left="0"/>
        <w:rPr>
          <w:rFonts w:asciiTheme="minorEastAsia" w:hAnsiTheme="minorEastAsia" w:eastAsiaTheme="minorEastAsia"/>
          <w:bCs w:val="0"/>
          <w:color w:val="000000"/>
          <w:kern w:val="2"/>
        </w:rPr>
      </w:pPr>
      <w:r>
        <w:rPr>
          <w:rFonts w:asciiTheme="minorEastAsia" w:hAnsiTheme="minorEastAsia" w:eastAsiaTheme="minorEastAsia"/>
          <w:bCs w:val="0"/>
          <w:color w:val="000000"/>
          <w:kern w:val="2"/>
        </w:rPr>
        <w:t>5.2</w:t>
      </w:r>
      <w:r>
        <w:rPr>
          <w:rFonts w:hint="eastAsia" w:asciiTheme="minorEastAsia" w:hAnsiTheme="minorEastAsia" w:eastAsiaTheme="minorEastAsia"/>
          <w:bCs w:val="0"/>
          <w:color w:val="000000"/>
          <w:kern w:val="2"/>
        </w:rPr>
        <w:t>基本要求：</w:t>
      </w:r>
    </w:p>
    <w:p>
      <w:pPr>
        <w:pStyle w:val="35"/>
        <w:numPr>
          <w:ilvl w:val="0"/>
          <w:numId w:val="11"/>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可行性研究基础资料分析。根据本次可行性研究工作的主要内容和目标，进行现场勘察和资料收集，作为可行性研究的基础资料。</w:t>
      </w:r>
    </w:p>
    <w:p>
      <w:pPr>
        <w:pStyle w:val="35"/>
        <w:numPr>
          <w:ilvl w:val="0"/>
          <w:numId w:val="11"/>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改造可行性方案的制定。根据收资情况，提出液氨改尿素的各种技术路线，并进行比选。</w:t>
      </w:r>
    </w:p>
    <w:p>
      <w:pPr>
        <w:pStyle w:val="35"/>
        <w:numPr>
          <w:ilvl w:val="0"/>
          <w:numId w:val="11"/>
        </w:numPr>
        <w:autoSpaceDE/>
        <w:autoSpaceDN/>
        <w:spacing w:before="0"/>
        <w:ind w:left="0" w:firstLine="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可行性研究报告编制。</w:t>
      </w:r>
    </w:p>
    <w:p>
      <w:pPr>
        <w:pStyle w:val="35"/>
        <w:numPr>
          <w:ilvl w:val="0"/>
          <w:numId w:val="11"/>
        </w:numPr>
        <w:autoSpaceDE/>
        <w:autoSpaceDN/>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组织双方认可的专家团队，完成可行性研究报告评审。</w:t>
      </w:r>
    </w:p>
    <w:p>
      <w:pPr>
        <w:pStyle w:val="4"/>
        <w:ind w:left="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5</w:t>
      </w:r>
      <w:r>
        <w:rPr>
          <w:rFonts w:asciiTheme="minorEastAsia" w:hAnsiTheme="minorEastAsia" w:eastAsiaTheme="minorEastAsia"/>
          <w:sz w:val="28"/>
          <w:szCs w:val="28"/>
          <w:lang w:eastAsia="zh-CN"/>
        </w:rPr>
        <w:t>.3</w:t>
      </w:r>
      <w:r>
        <w:rPr>
          <w:rFonts w:hint="eastAsia" w:asciiTheme="minorEastAsia" w:hAnsiTheme="minorEastAsia" w:eastAsiaTheme="minorEastAsia"/>
          <w:sz w:val="28"/>
          <w:szCs w:val="28"/>
          <w:lang w:eastAsia="zh-CN"/>
        </w:rPr>
        <w:t>工作要求：</w:t>
      </w:r>
    </w:p>
    <w:p>
      <w:pPr>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严格执行技术大纲内容，主动配合</w:t>
      </w:r>
      <w:r>
        <w:rPr>
          <w:rFonts w:hint="eastAsia" w:asciiTheme="minorEastAsia" w:hAnsiTheme="minorEastAsia" w:eastAsiaTheme="minorEastAsia"/>
          <w:sz w:val="24"/>
          <w:lang w:eastAsia="zh-CN"/>
        </w:rPr>
        <w:t>招标方</w:t>
      </w:r>
      <w:r>
        <w:rPr>
          <w:rFonts w:asciiTheme="minorEastAsia" w:hAnsiTheme="minorEastAsia" w:eastAsiaTheme="minorEastAsia"/>
          <w:sz w:val="24"/>
          <w:lang w:eastAsia="zh-CN"/>
        </w:rPr>
        <w:t>在可行性研究过程中各方面的协调工作，处理好各相关单位和人员的关系。服务于全过程</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及时做好各类质量信息的收集、汇总、分析和反馈。</w:t>
      </w:r>
    </w:p>
    <w:p>
      <w:pPr>
        <w:pStyle w:val="67"/>
        <w:spacing w:line="360" w:lineRule="auto"/>
        <w:ind w:firstLine="0" w:firstLineChars="0"/>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w:t>
      </w:r>
      <w:r>
        <w:rPr>
          <w:rFonts w:asciiTheme="minorEastAsia" w:hAnsiTheme="minorEastAsia" w:eastAsiaTheme="minorEastAsia"/>
          <w:b/>
          <w:sz w:val="24"/>
        </w:rPr>
        <w:t>质量目标：</w:t>
      </w:r>
    </w:p>
    <w:p>
      <w:pPr>
        <w:adjustRightInd w:val="0"/>
        <w:ind w:firstLine="480" w:firstLineChars="200"/>
        <w:rPr>
          <w:rFonts w:asciiTheme="minorEastAsia" w:hAnsiTheme="minorEastAsia" w:eastAsiaTheme="minorEastAsia"/>
          <w:sz w:val="24"/>
        </w:rPr>
      </w:pPr>
      <w:r>
        <w:rPr>
          <w:rFonts w:asciiTheme="minorEastAsia" w:hAnsiTheme="minorEastAsia" w:eastAsiaTheme="minorEastAsia"/>
          <w:sz w:val="24"/>
          <w:lang w:eastAsia="zh-CN"/>
        </w:rPr>
        <w:t>按照国家有关标准、规程规范的要求，</w:t>
      </w:r>
      <w:r>
        <w:rPr>
          <w:rFonts w:hint="eastAsia" w:asciiTheme="minorEastAsia" w:hAnsiTheme="minorEastAsia" w:eastAsiaTheme="minorEastAsia"/>
          <w:sz w:val="24"/>
          <w:lang w:eastAsia="zh-CN"/>
        </w:rPr>
        <w:t>提供的数据准确可靠，结论正确</w:t>
      </w:r>
      <w:r>
        <w:rPr>
          <w:rFonts w:asciiTheme="minorEastAsia" w:hAnsiTheme="minorEastAsia" w:eastAsiaTheme="minorEastAsia"/>
          <w:sz w:val="24"/>
          <w:lang w:eastAsia="zh-CN"/>
        </w:rPr>
        <w:t>。在保证</w:t>
      </w:r>
      <w:r>
        <w:rPr>
          <w:rFonts w:hint="eastAsia" w:asciiTheme="minorEastAsia" w:hAnsiTheme="minorEastAsia" w:eastAsiaTheme="minorEastAsia"/>
          <w:sz w:val="24"/>
          <w:lang w:eastAsia="zh-CN"/>
        </w:rPr>
        <w:t>热电厂</w:t>
      </w:r>
      <w:r>
        <w:rPr>
          <w:rFonts w:asciiTheme="minorEastAsia" w:hAnsiTheme="minorEastAsia" w:eastAsiaTheme="minorEastAsia"/>
          <w:sz w:val="24"/>
          <w:lang w:eastAsia="zh-CN"/>
        </w:rPr>
        <w:t>安全可靠运行的前提下，体现可靠性、经济性、合理性和先进性。贯彻以经济效益为中心，</w:t>
      </w:r>
      <w:r>
        <w:rPr>
          <w:rFonts w:hint="eastAsia" w:asciiTheme="minorEastAsia" w:hAnsiTheme="minorEastAsia" w:eastAsiaTheme="minorEastAsia"/>
          <w:sz w:val="24"/>
          <w:lang w:eastAsia="zh-CN"/>
        </w:rPr>
        <w:t>以供热安全为重点，符合国情和满足可持续发展要求，以合理的投资，获取最佳的经济效益和社会效益</w:t>
      </w:r>
      <w:r>
        <w:rPr>
          <w:rFonts w:asciiTheme="minorEastAsia" w:hAnsiTheme="minorEastAsia" w:eastAsiaTheme="minorEastAsia"/>
          <w:sz w:val="24"/>
          <w:lang w:eastAsia="zh-CN"/>
        </w:rPr>
        <w:t>。</w:t>
      </w:r>
      <w:r>
        <w:rPr>
          <w:rFonts w:asciiTheme="minorEastAsia" w:hAnsiTheme="minorEastAsia" w:eastAsiaTheme="minorEastAsia"/>
          <w:sz w:val="24"/>
        </w:rPr>
        <w:t>具体内容为：</w:t>
      </w:r>
    </w:p>
    <w:p>
      <w:pPr>
        <w:pStyle w:val="35"/>
        <w:numPr>
          <w:ilvl w:val="0"/>
          <w:numId w:val="12"/>
        </w:numPr>
        <w:autoSpaceDE/>
        <w:autoSpaceDN/>
        <w:adjustRightInd w:val="0"/>
        <w:spacing w:before="0"/>
        <w:ind w:left="0" w:firstLine="0"/>
        <w:jc w:val="both"/>
        <w:rPr>
          <w:rFonts w:asciiTheme="minorEastAsia" w:hAnsiTheme="minorEastAsia" w:eastAsiaTheme="minorEastAsia"/>
          <w:sz w:val="24"/>
          <w:lang w:eastAsia="zh-CN"/>
        </w:rPr>
      </w:pPr>
      <w:r>
        <w:rPr>
          <w:rFonts w:asciiTheme="minorEastAsia" w:hAnsiTheme="minorEastAsia" w:eastAsiaTheme="minorEastAsia"/>
          <w:sz w:val="24"/>
          <w:lang w:eastAsia="zh-CN"/>
        </w:rPr>
        <w:t>满足国家环保政策和可持续发展战略：节约用水、用地，控制各种污染物排放，珍惜有限资源</w:t>
      </w:r>
      <w:r>
        <w:rPr>
          <w:rFonts w:hint="eastAsia" w:asciiTheme="minorEastAsia" w:hAnsiTheme="minorEastAsia" w:eastAsiaTheme="minorEastAsia"/>
          <w:sz w:val="24"/>
          <w:lang w:eastAsia="zh-CN"/>
        </w:rPr>
        <w:t>。</w:t>
      </w:r>
    </w:p>
    <w:p>
      <w:pPr>
        <w:pStyle w:val="35"/>
        <w:numPr>
          <w:ilvl w:val="0"/>
          <w:numId w:val="12"/>
        </w:numPr>
        <w:autoSpaceDE/>
        <w:autoSpaceDN/>
        <w:adjustRightInd w:val="0"/>
        <w:spacing w:before="0"/>
        <w:ind w:left="0" w:firstLine="0"/>
        <w:jc w:val="both"/>
        <w:rPr>
          <w:rFonts w:asciiTheme="minorEastAsia" w:hAnsiTheme="minorEastAsia" w:eastAsiaTheme="minorEastAsia"/>
          <w:sz w:val="24"/>
          <w:lang w:eastAsia="zh-CN"/>
        </w:rPr>
      </w:pPr>
      <w:r>
        <w:rPr>
          <w:rFonts w:asciiTheme="minorEastAsia" w:hAnsiTheme="minorEastAsia" w:eastAsiaTheme="minorEastAsia"/>
          <w:sz w:val="24"/>
          <w:lang w:eastAsia="zh-CN"/>
        </w:rPr>
        <w:t>投资估算应能满足控制概算的要求，节约工程投资，并进行造价分析，应论证并提出设备技术条件，以满足主设备招标的要求</w:t>
      </w:r>
      <w:r>
        <w:rPr>
          <w:rFonts w:hint="eastAsia" w:asciiTheme="minorEastAsia" w:hAnsiTheme="minorEastAsia" w:eastAsiaTheme="minorEastAsia"/>
          <w:sz w:val="24"/>
          <w:lang w:eastAsia="zh-CN"/>
        </w:rPr>
        <w:t>并</w:t>
      </w:r>
      <w:r>
        <w:rPr>
          <w:rFonts w:asciiTheme="minorEastAsia" w:hAnsiTheme="minorEastAsia" w:eastAsiaTheme="minorEastAsia"/>
          <w:sz w:val="24"/>
          <w:lang w:eastAsia="zh-CN"/>
        </w:rPr>
        <w:t>做到系统、设备选型合理、高效，降低运行能耗</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自动化水平先进适用</w:t>
      </w:r>
      <w:r>
        <w:rPr>
          <w:rFonts w:hint="eastAsia" w:asciiTheme="minorEastAsia" w:hAnsiTheme="minorEastAsia" w:eastAsiaTheme="minorEastAsia"/>
          <w:sz w:val="24"/>
          <w:lang w:eastAsia="zh-CN"/>
        </w:rPr>
        <w:t>。</w:t>
      </w:r>
    </w:p>
    <w:p>
      <w:pPr>
        <w:pStyle w:val="35"/>
        <w:numPr>
          <w:ilvl w:val="0"/>
          <w:numId w:val="12"/>
        </w:numPr>
        <w:autoSpaceDE/>
        <w:autoSpaceDN/>
        <w:adjustRightInd w:val="0"/>
        <w:spacing w:before="0"/>
        <w:ind w:left="0" w:firstLine="0"/>
        <w:jc w:val="both"/>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提出</w:t>
      </w:r>
      <w:r>
        <w:rPr>
          <w:rFonts w:asciiTheme="minorEastAsia" w:hAnsiTheme="minorEastAsia" w:eastAsiaTheme="minorEastAsia"/>
          <w:sz w:val="24"/>
          <w:lang w:eastAsia="zh-CN"/>
        </w:rPr>
        <w:t>优化</w:t>
      </w:r>
      <w:r>
        <w:rPr>
          <w:rFonts w:hint="eastAsia" w:asciiTheme="minorEastAsia" w:hAnsiTheme="minorEastAsia" w:eastAsiaTheme="minorEastAsia"/>
          <w:sz w:val="24"/>
          <w:lang w:eastAsia="zh-CN"/>
        </w:rPr>
        <w:t>可行性研究方案</w:t>
      </w:r>
      <w:r>
        <w:rPr>
          <w:rFonts w:asciiTheme="minorEastAsia" w:hAnsiTheme="minorEastAsia" w:eastAsiaTheme="minorEastAsia"/>
          <w:sz w:val="24"/>
          <w:lang w:eastAsia="zh-CN"/>
        </w:rPr>
        <w:t>，使其各系统</w:t>
      </w:r>
      <w:r>
        <w:rPr>
          <w:rFonts w:hint="eastAsia" w:asciiTheme="minorEastAsia" w:hAnsiTheme="minorEastAsia" w:eastAsiaTheme="minorEastAsia"/>
          <w:sz w:val="24"/>
          <w:lang w:eastAsia="zh-CN"/>
        </w:rPr>
        <w:t>可行性研究</w:t>
      </w:r>
      <w:r>
        <w:rPr>
          <w:rFonts w:asciiTheme="minorEastAsia" w:hAnsiTheme="minorEastAsia" w:eastAsiaTheme="minorEastAsia"/>
          <w:sz w:val="24"/>
          <w:lang w:eastAsia="zh-CN"/>
        </w:rPr>
        <w:t>先进合理，建设周期短</w:t>
      </w:r>
      <w:r>
        <w:rPr>
          <w:rFonts w:hint="eastAsia" w:asciiTheme="minorEastAsia" w:hAnsiTheme="minorEastAsia" w:eastAsiaTheme="minorEastAsia"/>
          <w:sz w:val="24"/>
          <w:lang w:eastAsia="zh-CN"/>
        </w:rPr>
        <w:t>。</w:t>
      </w:r>
    </w:p>
    <w:p>
      <w:pPr>
        <w:pStyle w:val="35"/>
        <w:numPr>
          <w:ilvl w:val="0"/>
          <w:numId w:val="12"/>
        </w:numPr>
        <w:autoSpaceDE/>
        <w:autoSpaceDN/>
        <w:adjustRightInd w:val="0"/>
        <w:spacing w:before="0"/>
        <w:ind w:left="0" w:firstLine="0"/>
        <w:jc w:val="both"/>
        <w:rPr>
          <w:rFonts w:asciiTheme="minorEastAsia" w:hAnsiTheme="minorEastAsia" w:eastAsiaTheme="minorEastAsia"/>
          <w:sz w:val="24"/>
          <w:lang w:eastAsia="zh-CN"/>
        </w:rPr>
      </w:pPr>
      <w:r>
        <w:rPr>
          <w:rFonts w:asciiTheme="minorEastAsia" w:hAnsiTheme="minorEastAsia" w:eastAsiaTheme="minorEastAsia"/>
          <w:sz w:val="24"/>
          <w:lang w:eastAsia="zh-CN"/>
        </w:rPr>
        <w:t>财务分析所需的原始资料应切合实际，以此确定相应上网参考电价估算值；利用外资项目的财务分析指标，还应符合国家规定的有关利用外资项目的技术经济政策</w:t>
      </w:r>
      <w:r>
        <w:rPr>
          <w:rFonts w:hint="eastAsia" w:asciiTheme="minorEastAsia" w:hAnsiTheme="minorEastAsia" w:eastAsiaTheme="minorEastAsia"/>
          <w:sz w:val="24"/>
          <w:lang w:eastAsia="zh-CN"/>
        </w:rPr>
        <w:t>。</w:t>
      </w:r>
    </w:p>
    <w:p>
      <w:pPr>
        <w:pStyle w:val="35"/>
        <w:numPr>
          <w:ilvl w:val="0"/>
          <w:numId w:val="12"/>
        </w:numPr>
        <w:autoSpaceDE/>
        <w:autoSpaceDN/>
        <w:adjustRightInd w:val="0"/>
        <w:spacing w:before="0"/>
        <w:ind w:left="0" w:firstLine="0"/>
        <w:jc w:val="both"/>
        <w:rPr>
          <w:rFonts w:asciiTheme="minorEastAsia" w:hAnsiTheme="minorEastAsia" w:eastAsiaTheme="minorEastAsia"/>
          <w:sz w:val="24"/>
          <w:lang w:eastAsia="zh-CN"/>
        </w:rPr>
      </w:pPr>
      <w:r>
        <w:rPr>
          <w:rFonts w:asciiTheme="minorEastAsia" w:hAnsiTheme="minorEastAsia" w:eastAsiaTheme="minorEastAsia"/>
          <w:sz w:val="24"/>
          <w:lang w:eastAsia="zh-CN"/>
        </w:rPr>
        <w:t>应说明合理利用资源情况，并进行节能分析、抗灾能力评价、风险分析和经济与社会影响分析</w:t>
      </w:r>
      <w:r>
        <w:rPr>
          <w:rFonts w:hint="eastAsia" w:asciiTheme="minorEastAsia" w:hAnsiTheme="minorEastAsia" w:eastAsiaTheme="minorEastAsia"/>
          <w:sz w:val="24"/>
          <w:lang w:eastAsia="zh-CN"/>
        </w:rPr>
        <w:t>。</w:t>
      </w:r>
    </w:p>
    <w:p>
      <w:pPr>
        <w:pStyle w:val="35"/>
        <w:numPr>
          <w:ilvl w:val="0"/>
          <w:numId w:val="12"/>
        </w:numPr>
        <w:autoSpaceDE/>
        <w:autoSpaceDN/>
        <w:adjustRightInd w:val="0"/>
        <w:spacing w:before="0"/>
        <w:ind w:left="0" w:firstLine="0"/>
        <w:jc w:val="both"/>
        <w:rPr>
          <w:rFonts w:asciiTheme="minorEastAsia" w:hAnsiTheme="minorEastAsia" w:eastAsiaTheme="minorEastAsia"/>
          <w:sz w:val="24"/>
          <w:lang w:eastAsia="zh-CN"/>
        </w:rPr>
      </w:pPr>
      <w:r>
        <w:rPr>
          <w:rFonts w:asciiTheme="minorEastAsia" w:hAnsiTheme="minorEastAsia" w:eastAsiaTheme="minorEastAsia"/>
          <w:sz w:val="24"/>
          <w:lang w:eastAsia="zh-CN"/>
        </w:rPr>
        <w:t>应结合项目社会稳定风险分析及评估意见，说明项目建设风险等级、防范与化解措施</w:t>
      </w:r>
      <w:r>
        <w:rPr>
          <w:rFonts w:hint="eastAsia" w:asciiTheme="minorEastAsia" w:hAnsiTheme="minorEastAsia" w:eastAsiaTheme="minorEastAsia"/>
          <w:sz w:val="24"/>
          <w:lang w:eastAsia="zh-CN"/>
        </w:rPr>
        <w:t>。</w:t>
      </w:r>
    </w:p>
    <w:p>
      <w:pPr>
        <w:pStyle w:val="67"/>
        <w:adjustRightInd w:val="0"/>
        <w:spacing w:line="360" w:lineRule="auto"/>
        <w:ind w:firstLine="0" w:firstLineChars="0"/>
        <w:rPr>
          <w:rFonts w:asciiTheme="minorEastAsia" w:hAnsiTheme="minorEastAsia" w:eastAsiaTheme="minorEastAsia"/>
          <w:b/>
          <w:sz w:val="24"/>
        </w:rPr>
      </w:pPr>
      <w:r>
        <w:rPr>
          <w:rFonts w:hint="eastAsia" w:asciiTheme="minorEastAsia" w:hAnsiTheme="minorEastAsia" w:eastAsiaTheme="minorEastAsia"/>
          <w:b/>
          <w:sz w:val="24"/>
        </w:rPr>
        <w:t>2）投标方责任</w:t>
      </w:r>
      <w:r>
        <w:rPr>
          <w:rFonts w:asciiTheme="minorEastAsia" w:hAnsiTheme="minorEastAsia" w:eastAsiaTheme="minorEastAsia"/>
          <w:b/>
          <w:sz w:val="24"/>
        </w:rPr>
        <w:t>：</w:t>
      </w:r>
    </w:p>
    <w:p>
      <w:pPr>
        <w:adjustRightInd w:val="0"/>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全面加强与招标方的沟通，</w:t>
      </w:r>
      <w:r>
        <w:rPr>
          <w:rFonts w:hint="eastAsia" w:asciiTheme="minorEastAsia" w:hAnsiTheme="minorEastAsia" w:eastAsiaTheme="minorEastAsia"/>
          <w:sz w:val="24"/>
          <w:lang w:eastAsia="zh-CN"/>
        </w:rPr>
        <w:t>确保工程可行性研究成</w:t>
      </w:r>
      <w:r>
        <w:rPr>
          <w:rFonts w:asciiTheme="minorEastAsia" w:hAnsiTheme="minorEastAsia" w:eastAsiaTheme="minorEastAsia"/>
          <w:sz w:val="24"/>
          <w:lang w:eastAsia="zh-CN"/>
        </w:rPr>
        <w:t>一个安全可靠、经济适用、高效环保的方案。</w:t>
      </w:r>
      <w:r>
        <w:rPr>
          <w:rFonts w:hint="eastAsia" w:asciiTheme="minorEastAsia" w:hAnsiTheme="minorEastAsia" w:eastAsiaTheme="minorEastAsia"/>
          <w:sz w:val="24"/>
          <w:lang w:eastAsia="zh-CN"/>
        </w:rPr>
        <w:t>投标</w:t>
      </w:r>
      <w:r>
        <w:rPr>
          <w:rFonts w:asciiTheme="minorEastAsia" w:hAnsiTheme="minorEastAsia" w:eastAsiaTheme="minorEastAsia"/>
          <w:sz w:val="24"/>
          <w:lang w:eastAsia="zh-CN"/>
        </w:rPr>
        <w:t>方目标明确、措施得力</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为</w:t>
      </w:r>
      <w:r>
        <w:rPr>
          <w:rFonts w:hint="eastAsia" w:asciiTheme="minorEastAsia" w:hAnsiTheme="minorEastAsia" w:eastAsiaTheme="minorEastAsia"/>
          <w:sz w:val="24"/>
          <w:lang w:eastAsia="zh-CN"/>
        </w:rPr>
        <w:t>招标</w:t>
      </w:r>
      <w:r>
        <w:rPr>
          <w:rFonts w:asciiTheme="minorEastAsia" w:hAnsiTheme="minorEastAsia" w:eastAsiaTheme="minorEastAsia"/>
          <w:sz w:val="24"/>
          <w:lang w:eastAsia="zh-CN"/>
        </w:rPr>
        <w:t>方提供满意的</w:t>
      </w:r>
      <w:r>
        <w:rPr>
          <w:rFonts w:hint="eastAsia" w:asciiTheme="minorEastAsia" w:hAnsiTheme="minorEastAsia" w:eastAsiaTheme="minorEastAsia"/>
          <w:sz w:val="24"/>
          <w:szCs w:val="24"/>
          <w:lang w:eastAsia="zh-CN"/>
        </w:rPr>
        <w:t>可行性研究</w:t>
      </w:r>
      <w:r>
        <w:rPr>
          <w:rFonts w:asciiTheme="minorEastAsia" w:hAnsiTheme="minorEastAsia" w:eastAsiaTheme="minorEastAsia"/>
          <w:sz w:val="24"/>
          <w:lang w:eastAsia="zh-CN"/>
        </w:rPr>
        <w:t>成果。</w:t>
      </w:r>
      <w:r>
        <w:rPr>
          <w:rFonts w:asciiTheme="minorEastAsia" w:hAnsiTheme="minorEastAsia" w:eastAsiaTheme="minorEastAsia"/>
          <w:sz w:val="24"/>
          <w:szCs w:val="24"/>
          <w:lang w:eastAsia="zh-CN"/>
        </w:rPr>
        <w:t>全力提供优质的</w:t>
      </w:r>
      <w:r>
        <w:rPr>
          <w:rFonts w:hint="eastAsia" w:asciiTheme="minorEastAsia" w:hAnsiTheme="minorEastAsia" w:eastAsiaTheme="minorEastAsia"/>
          <w:sz w:val="24"/>
          <w:szCs w:val="24"/>
          <w:lang w:eastAsia="zh-CN"/>
        </w:rPr>
        <w:t>可行性研究</w:t>
      </w:r>
      <w:r>
        <w:rPr>
          <w:rFonts w:asciiTheme="minorEastAsia" w:hAnsiTheme="minorEastAsia" w:eastAsiaTheme="minorEastAsia"/>
          <w:sz w:val="24"/>
          <w:szCs w:val="24"/>
          <w:lang w:eastAsia="zh-CN"/>
        </w:rPr>
        <w:t>产品、提供优质的全过程技术服务。</w:t>
      </w:r>
    </w:p>
    <w:p>
      <w:pPr>
        <w:pStyle w:val="64"/>
        <w:widowControl w:val="0"/>
        <w:numPr>
          <w:ilvl w:val="0"/>
          <w:numId w:val="13"/>
        </w:numPr>
        <w:adjustRightInd w:val="0"/>
        <w:ind w:left="0" w:firstLine="0" w:firstLineChars="0"/>
        <w:jc w:val="both"/>
        <w:rPr>
          <w:rFonts w:asciiTheme="minorEastAsia" w:hAnsiTheme="minorEastAsia" w:eastAsiaTheme="minorEastAsia"/>
          <w:sz w:val="24"/>
          <w:szCs w:val="24"/>
        </w:rPr>
      </w:pPr>
      <w:r>
        <w:rPr>
          <w:rFonts w:asciiTheme="minorEastAsia" w:hAnsiTheme="minorEastAsia" w:eastAsiaTheme="minorEastAsia"/>
          <w:sz w:val="24"/>
          <w:szCs w:val="24"/>
        </w:rPr>
        <w:t>服务态度、服务内容、服务行为规范化；服务计划、服务组织制度化；服务工作及时、周到、主动，让招标方满意。</w:t>
      </w:r>
    </w:p>
    <w:p>
      <w:pPr>
        <w:pStyle w:val="64"/>
        <w:widowControl w:val="0"/>
        <w:numPr>
          <w:ilvl w:val="0"/>
          <w:numId w:val="13"/>
        </w:numPr>
        <w:adjustRightInd w:val="0"/>
        <w:ind w:left="0" w:firstLine="0" w:firstLineChars="0"/>
        <w:jc w:val="both"/>
        <w:rPr>
          <w:rFonts w:asciiTheme="minorEastAsia" w:hAnsiTheme="minorEastAsia" w:eastAsiaTheme="minorEastAsia"/>
          <w:sz w:val="24"/>
          <w:szCs w:val="24"/>
        </w:rPr>
      </w:pPr>
      <w:r>
        <w:rPr>
          <w:rFonts w:asciiTheme="minorEastAsia" w:hAnsiTheme="minorEastAsia" w:eastAsiaTheme="minorEastAsia"/>
          <w:sz w:val="24"/>
          <w:szCs w:val="24"/>
        </w:rPr>
        <w:t>严格履行合同规定的责任和义务。按合同规定进行</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的组织和实施，保证</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质量和工期。</w:t>
      </w:r>
    </w:p>
    <w:p>
      <w:pPr>
        <w:pStyle w:val="64"/>
        <w:widowControl w:val="0"/>
        <w:numPr>
          <w:ilvl w:val="0"/>
          <w:numId w:val="13"/>
        </w:numPr>
        <w:adjustRightInd w:val="0"/>
        <w:ind w:left="0" w:firstLine="0" w:firstLineChars="0"/>
        <w:jc w:val="both"/>
        <w:rPr>
          <w:rFonts w:asciiTheme="minorEastAsia" w:hAnsiTheme="minorEastAsia" w:eastAsiaTheme="minorEastAsia"/>
          <w:sz w:val="24"/>
          <w:szCs w:val="24"/>
        </w:rPr>
      </w:pPr>
      <w:r>
        <w:rPr>
          <w:rFonts w:asciiTheme="minorEastAsia" w:hAnsiTheme="minorEastAsia" w:eastAsiaTheme="minorEastAsia"/>
          <w:sz w:val="24"/>
          <w:szCs w:val="24"/>
        </w:rPr>
        <w:t>保持</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服务的完整性、连续性，对</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质量、综合技术全面负责，做好协调、善后服务等工作。</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pStyle w:val="64"/>
        <w:widowControl w:val="0"/>
        <w:numPr>
          <w:ilvl w:val="0"/>
          <w:numId w:val="13"/>
        </w:numPr>
        <w:adjustRightInd w:val="0"/>
        <w:ind w:left="0" w:firstLine="0" w:firstLineChars="0"/>
        <w:jc w:val="both"/>
        <w:rPr>
          <w:rFonts w:asciiTheme="minorEastAsia" w:hAnsiTheme="minorEastAsia" w:eastAsiaTheme="minorEastAsia"/>
          <w:sz w:val="24"/>
          <w:szCs w:val="24"/>
        </w:rPr>
      </w:pPr>
      <w:r>
        <w:rPr>
          <w:rFonts w:asciiTheme="minorEastAsia" w:hAnsiTheme="minorEastAsia" w:eastAsiaTheme="minorEastAsia"/>
          <w:sz w:val="24"/>
          <w:szCs w:val="24"/>
        </w:rPr>
        <w:t>在</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服务过程中，认真听取招标方的意见，持续改进</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和服务工作。在不违背国家政策及技术原则的前提下，对招标方根据工作需要所作的决定，积极支持并贯彻，并尽职尽责、努力工作、严守机密。与招标方密切配合，实现工程质量零缺陷，工程质量零危险，服务质量零抱怨。</w:t>
      </w:r>
    </w:p>
    <w:p>
      <w:pPr>
        <w:pStyle w:val="64"/>
        <w:widowControl w:val="0"/>
        <w:numPr>
          <w:ilvl w:val="0"/>
          <w:numId w:val="13"/>
        </w:numPr>
        <w:adjustRightInd w:val="0"/>
        <w:ind w:left="0" w:firstLine="0" w:firstLineChars="0"/>
        <w:jc w:val="both"/>
        <w:rPr>
          <w:rFonts w:asciiTheme="minorEastAsia" w:hAnsiTheme="minorEastAsia" w:eastAsiaTheme="minorEastAsia"/>
          <w:sz w:val="24"/>
          <w:szCs w:val="24"/>
        </w:rPr>
      </w:pPr>
      <w:r>
        <w:rPr>
          <w:rFonts w:asciiTheme="minorEastAsia" w:hAnsiTheme="minorEastAsia" w:eastAsiaTheme="minorEastAsia"/>
          <w:sz w:val="24"/>
          <w:szCs w:val="24"/>
        </w:rPr>
        <w:t>明确以项目为中心的指导思想。充分理解招标方当前和未来的需要，满足招标方并争取超越招标方期望。工程的全部</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、服务工作，均以实现招标方满意为最终目标。</w:t>
      </w:r>
      <w:r>
        <w:rPr>
          <w:rFonts w:hint="eastAsia" w:asciiTheme="minorEastAsia" w:hAnsiTheme="minorEastAsia" w:eastAsiaTheme="minorEastAsia"/>
          <w:sz w:val="24"/>
          <w:szCs w:val="24"/>
        </w:rPr>
        <w:t>投标方</w:t>
      </w:r>
      <w:r>
        <w:rPr>
          <w:rFonts w:asciiTheme="minorEastAsia" w:hAnsiTheme="minorEastAsia" w:eastAsiaTheme="minorEastAsia"/>
          <w:sz w:val="24"/>
          <w:szCs w:val="24"/>
        </w:rPr>
        <w:t>将主动对</w:t>
      </w:r>
      <w:r>
        <w:rPr>
          <w:rFonts w:hint="eastAsia" w:asciiTheme="minorEastAsia" w:hAnsiTheme="minorEastAsia" w:eastAsiaTheme="minorEastAsia"/>
          <w:sz w:val="24"/>
          <w:szCs w:val="24"/>
        </w:rPr>
        <w:t>招标</w:t>
      </w:r>
      <w:r>
        <w:rPr>
          <w:rFonts w:asciiTheme="minorEastAsia" w:hAnsiTheme="minorEastAsia" w:eastAsiaTheme="minorEastAsia"/>
          <w:sz w:val="24"/>
          <w:szCs w:val="24"/>
        </w:rPr>
        <w:t>方的要求予以识别，包括</w:t>
      </w:r>
      <w:r>
        <w:rPr>
          <w:rFonts w:hint="eastAsia" w:asciiTheme="minorEastAsia" w:hAnsiTheme="minorEastAsia" w:eastAsiaTheme="minorEastAsia"/>
          <w:sz w:val="24"/>
          <w:szCs w:val="24"/>
        </w:rPr>
        <w:t>招标</w:t>
      </w:r>
      <w:r>
        <w:rPr>
          <w:rFonts w:asciiTheme="minorEastAsia" w:hAnsiTheme="minorEastAsia" w:eastAsiaTheme="minorEastAsia"/>
          <w:sz w:val="24"/>
          <w:szCs w:val="24"/>
        </w:rPr>
        <w:t>方指明的及未指明但预期或规定为精品工程必须的内容，主动汇总和归纳从</w:t>
      </w:r>
      <w:r>
        <w:rPr>
          <w:rFonts w:hint="eastAsia" w:asciiTheme="minorEastAsia" w:hAnsiTheme="minorEastAsia" w:eastAsiaTheme="minorEastAsia"/>
          <w:sz w:val="24"/>
          <w:szCs w:val="24"/>
        </w:rPr>
        <w:t>招标</w:t>
      </w:r>
      <w:r>
        <w:rPr>
          <w:rFonts w:asciiTheme="minorEastAsia" w:hAnsiTheme="minorEastAsia" w:eastAsiaTheme="minorEastAsia"/>
          <w:sz w:val="24"/>
          <w:szCs w:val="24"/>
        </w:rPr>
        <w:t>方回馈的缺陷和建议，有针对性扎实地予以改进提高。</w:t>
      </w:r>
    </w:p>
    <w:p>
      <w:pPr>
        <w:pStyle w:val="64"/>
        <w:widowControl w:val="0"/>
        <w:numPr>
          <w:ilvl w:val="0"/>
          <w:numId w:val="13"/>
        </w:numPr>
        <w:adjustRightInd w:val="0"/>
        <w:ind w:left="0" w:firstLine="0" w:firstLineChars="0"/>
        <w:jc w:val="both"/>
        <w:rPr>
          <w:rFonts w:asciiTheme="minorEastAsia" w:hAnsiTheme="minorEastAsia" w:eastAsiaTheme="minorEastAsia"/>
          <w:sz w:val="24"/>
          <w:szCs w:val="24"/>
        </w:rPr>
      </w:pPr>
      <w:r>
        <w:rPr>
          <w:rFonts w:asciiTheme="minorEastAsia" w:hAnsiTheme="minorEastAsia" w:eastAsiaTheme="minorEastAsia"/>
          <w:sz w:val="24"/>
          <w:szCs w:val="24"/>
        </w:rPr>
        <w:t>深入优化技术方案，严格执行国家、地方和电力行业的各种规范和规定，优质完成工程的</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文件，提供优秀</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成品。如果以上规范、规定和要求出现重叠、交叉或矛盾，</w:t>
      </w:r>
      <w:r>
        <w:rPr>
          <w:rFonts w:hint="eastAsia" w:asciiTheme="minorEastAsia" w:hAnsiTheme="minorEastAsia" w:eastAsiaTheme="minorEastAsia"/>
          <w:sz w:val="24"/>
          <w:szCs w:val="24"/>
        </w:rPr>
        <w:t>投标</w:t>
      </w:r>
      <w:r>
        <w:rPr>
          <w:rFonts w:asciiTheme="minorEastAsia" w:hAnsiTheme="minorEastAsia" w:eastAsiaTheme="minorEastAsia"/>
          <w:sz w:val="24"/>
          <w:szCs w:val="24"/>
        </w:rPr>
        <w:t>方将首先和</w:t>
      </w:r>
      <w:r>
        <w:rPr>
          <w:rFonts w:hint="eastAsia" w:asciiTheme="minorEastAsia" w:hAnsiTheme="minorEastAsia" w:eastAsiaTheme="minorEastAsia"/>
          <w:sz w:val="24"/>
          <w:szCs w:val="24"/>
        </w:rPr>
        <w:t>招标</w:t>
      </w:r>
      <w:r>
        <w:rPr>
          <w:rFonts w:asciiTheme="minorEastAsia" w:hAnsiTheme="minorEastAsia" w:eastAsiaTheme="minorEastAsia"/>
          <w:sz w:val="24"/>
          <w:szCs w:val="24"/>
        </w:rPr>
        <w:t>方研究、讨论，若无重大原则问题一般将采用标准高的规范和要求。</w:t>
      </w:r>
    </w:p>
    <w:p>
      <w:pPr>
        <w:pStyle w:val="64"/>
        <w:widowControl w:val="0"/>
        <w:numPr>
          <w:ilvl w:val="0"/>
          <w:numId w:val="13"/>
        </w:numPr>
        <w:adjustRightInd w:val="0"/>
        <w:ind w:left="0" w:firstLine="0" w:firstLineChars="0"/>
        <w:jc w:val="both"/>
        <w:rPr>
          <w:rFonts w:asciiTheme="minorEastAsia" w:hAnsiTheme="minorEastAsia" w:eastAsiaTheme="minorEastAsia"/>
          <w:sz w:val="24"/>
          <w:szCs w:val="24"/>
        </w:rPr>
      </w:pPr>
      <w:r>
        <w:rPr>
          <w:rFonts w:asciiTheme="minorEastAsia" w:hAnsiTheme="minorEastAsia" w:eastAsiaTheme="minorEastAsia"/>
          <w:sz w:val="24"/>
          <w:szCs w:val="24"/>
        </w:rPr>
        <w:t>为确保工程可行性研究的</w:t>
      </w:r>
      <w:r>
        <w:rPr>
          <w:rFonts w:hint="eastAsia" w:asciiTheme="minorEastAsia" w:hAnsiTheme="minorEastAsia" w:eastAsiaTheme="minorEastAsia"/>
          <w:sz w:val="24"/>
          <w:szCs w:val="24"/>
        </w:rPr>
        <w:t>质量</w:t>
      </w:r>
      <w:r>
        <w:rPr>
          <w:rFonts w:asciiTheme="minorEastAsia" w:hAnsiTheme="minorEastAsia" w:eastAsiaTheme="minorEastAsia"/>
          <w:sz w:val="24"/>
          <w:szCs w:val="24"/>
        </w:rPr>
        <w:t>水平，公司将集中优秀的管理及技术专家，对各系统方案的</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进行策划和指导，并参与</w:t>
      </w:r>
      <w:r>
        <w:rPr>
          <w:rFonts w:hint="eastAsia" w:asciiTheme="minorEastAsia" w:hAnsiTheme="minorEastAsia" w:eastAsiaTheme="minorEastAsia"/>
          <w:sz w:val="24"/>
          <w:szCs w:val="24"/>
        </w:rPr>
        <w:t>可行性研究</w:t>
      </w:r>
      <w:r>
        <w:rPr>
          <w:rFonts w:asciiTheme="minorEastAsia" w:hAnsiTheme="minorEastAsia" w:eastAsiaTheme="minorEastAsia"/>
          <w:sz w:val="24"/>
          <w:szCs w:val="24"/>
        </w:rPr>
        <w:t>阶段的评审、验证和确认。</w:t>
      </w:r>
    </w:p>
    <w:p>
      <w:pPr>
        <w:pStyle w:val="64"/>
        <w:widowControl w:val="0"/>
        <w:numPr>
          <w:ilvl w:val="0"/>
          <w:numId w:val="13"/>
        </w:numPr>
        <w:adjustRightInd w:val="0"/>
        <w:ind w:left="0" w:firstLine="0" w:firstLineChars="0"/>
        <w:jc w:val="both"/>
        <w:rPr>
          <w:rFonts w:asciiTheme="minorEastAsia" w:hAnsiTheme="minorEastAsia" w:eastAsiaTheme="minorEastAsia"/>
          <w:sz w:val="24"/>
        </w:rPr>
      </w:pPr>
      <w:r>
        <w:rPr>
          <w:rFonts w:hint="eastAsia" w:asciiTheme="minorEastAsia" w:hAnsiTheme="minorEastAsia" w:eastAsiaTheme="minorEastAsia"/>
          <w:sz w:val="24"/>
        </w:rPr>
        <w:t>报告应</w:t>
      </w:r>
      <w:r>
        <w:rPr>
          <w:rFonts w:hint="eastAsia" w:asciiTheme="minorEastAsia" w:hAnsiTheme="minorEastAsia" w:eastAsiaTheme="minorEastAsia"/>
          <w:sz w:val="24"/>
          <w:szCs w:val="24"/>
        </w:rPr>
        <w:t>满足</w:t>
      </w:r>
      <w:r>
        <w:rPr>
          <w:rFonts w:hint="eastAsia" w:asciiTheme="minorEastAsia" w:hAnsiTheme="minorEastAsia" w:eastAsiaTheme="minorEastAsia"/>
          <w:sz w:val="24"/>
        </w:rPr>
        <w:t>安全、适用、经济、满足本项目电力设计使用功能的要求，并经当地主管部门认可、审批通过。</w:t>
      </w:r>
    </w:p>
    <w:p>
      <w:pPr>
        <w:pStyle w:val="64"/>
        <w:widowControl w:val="0"/>
        <w:numPr>
          <w:ilvl w:val="0"/>
          <w:numId w:val="13"/>
        </w:numPr>
        <w:adjustRightInd w:val="0"/>
        <w:ind w:left="0" w:firstLine="0" w:firstLineChars="0"/>
        <w:jc w:val="both"/>
        <w:rPr>
          <w:rFonts w:asciiTheme="minorEastAsia" w:hAnsiTheme="minorEastAsia" w:eastAsiaTheme="minorEastAsia"/>
          <w:sz w:val="24"/>
        </w:rPr>
      </w:pPr>
      <w:r>
        <w:rPr>
          <w:rFonts w:hint="eastAsia" w:asciiTheme="minorEastAsia" w:hAnsiTheme="minorEastAsia" w:eastAsiaTheme="minorEastAsia"/>
          <w:sz w:val="24"/>
        </w:rPr>
        <w:t>项目</w:t>
      </w:r>
      <w:r>
        <w:rPr>
          <w:rFonts w:asciiTheme="minorEastAsia" w:hAnsiTheme="minorEastAsia" w:eastAsiaTheme="minorEastAsia"/>
          <w:sz w:val="24"/>
        </w:rPr>
        <w:t>评审期间产生</w:t>
      </w:r>
      <w:r>
        <w:rPr>
          <w:rFonts w:hint="eastAsia" w:asciiTheme="minorEastAsia" w:hAnsiTheme="minorEastAsia" w:eastAsiaTheme="minorEastAsia"/>
          <w:sz w:val="24"/>
        </w:rPr>
        <w:t>一切</w:t>
      </w:r>
      <w:r>
        <w:rPr>
          <w:rFonts w:asciiTheme="minorEastAsia" w:hAnsiTheme="minorEastAsia" w:eastAsiaTheme="minorEastAsia"/>
          <w:sz w:val="24"/>
        </w:rPr>
        <w:t>费用由投标方承担</w:t>
      </w:r>
      <w:r>
        <w:rPr>
          <w:rFonts w:hint="eastAsia" w:asciiTheme="minorEastAsia" w:hAnsiTheme="minorEastAsia" w:eastAsiaTheme="minorEastAsia"/>
          <w:sz w:val="24"/>
        </w:rPr>
        <w:t>，</w:t>
      </w:r>
      <w:r>
        <w:rPr>
          <w:rFonts w:asciiTheme="minorEastAsia" w:hAnsiTheme="minorEastAsia" w:eastAsiaTheme="minorEastAsia"/>
          <w:sz w:val="24"/>
        </w:rPr>
        <w:t>包含</w:t>
      </w:r>
      <w:r>
        <w:rPr>
          <w:rFonts w:hint="eastAsia" w:asciiTheme="minorEastAsia" w:hAnsiTheme="minorEastAsia" w:eastAsiaTheme="minorEastAsia"/>
          <w:sz w:val="24"/>
        </w:rPr>
        <w:t>（</w:t>
      </w:r>
      <w:r>
        <w:rPr>
          <w:rFonts w:asciiTheme="minorEastAsia" w:hAnsiTheme="minorEastAsia" w:eastAsiaTheme="minorEastAsia"/>
          <w:sz w:val="24"/>
        </w:rPr>
        <w:t>不限于</w:t>
      </w:r>
      <w:r>
        <w:rPr>
          <w:rFonts w:hint="eastAsia" w:asciiTheme="minorEastAsia" w:hAnsiTheme="minorEastAsia" w:eastAsiaTheme="minorEastAsia"/>
          <w:sz w:val="24"/>
        </w:rPr>
        <w:t>）</w:t>
      </w:r>
      <w:r>
        <w:rPr>
          <w:rFonts w:asciiTheme="minorEastAsia" w:hAnsiTheme="minorEastAsia" w:eastAsiaTheme="minorEastAsia"/>
          <w:sz w:val="24"/>
        </w:rPr>
        <w:t>专家评审费、会议费、住宿费、餐饮费等费用</w:t>
      </w:r>
      <w:r>
        <w:rPr>
          <w:rFonts w:hint="eastAsia" w:asciiTheme="minorEastAsia" w:hAnsiTheme="minorEastAsia" w:eastAsiaTheme="minorEastAsia"/>
          <w:sz w:val="24"/>
        </w:rPr>
        <w:t>。</w:t>
      </w:r>
    </w:p>
    <w:p>
      <w:pPr>
        <w:pStyle w:val="67"/>
        <w:adjustRightInd w:val="0"/>
        <w:spacing w:line="360" w:lineRule="auto"/>
        <w:ind w:firstLine="0" w:firstLineChars="0"/>
        <w:rPr>
          <w:rFonts w:asciiTheme="minorEastAsia" w:hAnsiTheme="minorEastAsia" w:eastAsiaTheme="minorEastAsia"/>
          <w:b/>
          <w:sz w:val="24"/>
        </w:rPr>
      </w:pPr>
      <w:r>
        <w:rPr>
          <w:rFonts w:hint="eastAsia" w:asciiTheme="minorEastAsia" w:hAnsiTheme="minorEastAsia" w:eastAsiaTheme="minorEastAsia"/>
          <w:b/>
          <w:sz w:val="24"/>
        </w:rPr>
        <w:t>3）招标方责任</w:t>
      </w:r>
      <w:r>
        <w:rPr>
          <w:rFonts w:asciiTheme="minorEastAsia" w:hAnsiTheme="minorEastAsia" w:eastAsiaTheme="minorEastAsia"/>
          <w:b/>
          <w:sz w:val="24"/>
        </w:rPr>
        <w:t>：</w:t>
      </w:r>
    </w:p>
    <w:p>
      <w:pPr>
        <w:pStyle w:val="35"/>
        <w:numPr>
          <w:ilvl w:val="0"/>
          <w:numId w:val="14"/>
        </w:numPr>
        <w:spacing w:before="0"/>
        <w:ind w:left="0" w:firstLine="0"/>
        <w:jc w:val="both"/>
        <w:rPr>
          <w:rFonts w:asciiTheme="minorEastAsia" w:hAnsiTheme="minorEastAsia" w:eastAsiaTheme="minorEastAsia"/>
          <w:color w:val="000000"/>
          <w:sz w:val="24"/>
          <w:lang w:eastAsia="zh-CN"/>
        </w:rPr>
      </w:pPr>
      <w:r>
        <w:rPr>
          <w:rFonts w:asciiTheme="minorEastAsia" w:hAnsiTheme="minorEastAsia" w:eastAsiaTheme="minorEastAsia"/>
          <w:color w:val="000000"/>
          <w:spacing w:val="-3"/>
          <w:sz w:val="24"/>
          <w:lang w:eastAsia="zh-CN"/>
        </w:rPr>
        <w:t>向</w:t>
      </w:r>
      <w:r>
        <w:rPr>
          <w:rFonts w:hint="eastAsia" w:asciiTheme="minorEastAsia" w:hAnsiTheme="minorEastAsia" w:eastAsiaTheme="minorEastAsia"/>
          <w:color w:val="000000"/>
          <w:spacing w:val="-3"/>
          <w:sz w:val="24"/>
          <w:lang w:eastAsia="zh-CN"/>
        </w:rPr>
        <w:t>投标方</w:t>
      </w:r>
      <w:r>
        <w:rPr>
          <w:rFonts w:asciiTheme="minorEastAsia" w:hAnsiTheme="minorEastAsia" w:eastAsiaTheme="minorEastAsia"/>
          <w:color w:val="000000"/>
          <w:spacing w:val="-3"/>
          <w:sz w:val="24"/>
          <w:lang w:eastAsia="zh-CN"/>
        </w:rPr>
        <w:t>提供与</w:t>
      </w:r>
      <w:r>
        <w:rPr>
          <w:rFonts w:hint="eastAsia" w:asciiTheme="minorEastAsia" w:hAnsiTheme="minorEastAsia" w:eastAsiaTheme="minorEastAsia"/>
          <w:color w:val="000000"/>
          <w:spacing w:val="-2"/>
          <w:sz w:val="24"/>
          <w:lang w:eastAsia="zh-CN"/>
        </w:rPr>
        <w:t>脱硝还原剂液氨改尿素可行性研究报告</w:t>
      </w:r>
      <w:r>
        <w:rPr>
          <w:rFonts w:asciiTheme="minorEastAsia" w:hAnsiTheme="minorEastAsia" w:eastAsiaTheme="minorEastAsia"/>
          <w:color w:val="000000"/>
          <w:spacing w:val="-2"/>
          <w:sz w:val="24"/>
          <w:lang w:eastAsia="zh-CN"/>
        </w:rPr>
        <w:t>编制</w:t>
      </w:r>
      <w:r>
        <w:rPr>
          <w:rFonts w:asciiTheme="minorEastAsia" w:hAnsiTheme="minorEastAsia" w:eastAsiaTheme="minorEastAsia"/>
          <w:color w:val="000000"/>
          <w:spacing w:val="-3"/>
          <w:sz w:val="24"/>
          <w:lang w:eastAsia="zh-CN"/>
        </w:rPr>
        <w:t>相关的技术资料及图纸等。</w:t>
      </w:r>
    </w:p>
    <w:p>
      <w:pPr>
        <w:pStyle w:val="35"/>
        <w:numPr>
          <w:ilvl w:val="0"/>
          <w:numId w:val="14"/>
        </w:numPr>
        <w:spacing w:before="0"/>
        <w:ind w:left="0" w:firstLine="0"/>
        <w:jc w:val="both"/>
        <w:rPr>
          <w:rFonts w:asciiTheme="minorEastAsia" w:hAnsiTheme="minorEastAsia" w:eastAsiaTheme="minorEastAsia"/>
          <w:color w:val="000000"/>
          <w:sz w:val="24"/>
          <w:lang w:eastAsia="zh-CN"/>
        </w:rPr>
      </w:pPr>
      <w:r>
        <w:rPr>
          <w:rFonts w:hint="eastAsia" w:asciiTheme="minorEastAsia" w:hAnsiTheme="minorEastAsia" w:eastAsiaTheme="minorEastAsia"/>
          <w:color w:val="000000"/>
          <w:spacing w:val="3"/>
          <w:sz w:val="24"/>
          <w:lang w:eastAsia="zh-CN"/>
        </w:rPr>
        <w:t>负责文件编制咨询工作全过程协调配合，协调与工作有关的各部门之间的联系沟通，为投标方现场勘查调研工作提供方便</w:t>
      </w:r>
      <w:r>
        <w:rPr>
          <w:rFonts w:asciiTheme="minorEastAsia" w:hAnsiTheme="minorEastAsia" w:eastAsiaTheme="minorEastAsia"/>
          <w:color w:val="000000"/>
          <w:spacing w:val="-4"/>
          <w:sz w:val="24"/>
          <w:lang w:eastAsia="zh-CN"/>
        </w:rPr>
        <w:t>。</w:t>
      </w:r>
    </w:p>
    <w:p>
      <w:pPr>
        <w:pStyle w:val="35"/>
        <w:numPr>
          <w:ilvl w:val="0"/>
          <w:numId w:val="14"/>
        </w:numPr>
        <w:spacing w:before="0"/>
        <w:ind w:left="0" w:firstLine="0"/>
        <w:jc w:val="both"/>
        <w:rPr>
          <w:rFonts w:asciiTheme="minorEastAsia" w:hAnsiTheme="minorEastAsia" w:eastAsiaTheme="minorEastAsia"/>
          <w:color w:val="000000"/>
          <w:spacing w:val="-4"/>
          <w:sz w:val="24"/>
          <w:lang w:eastAsia="zh-CN"/>
        </w:rPr>
      </w:pPr>
      <w:r>
        <w:rPr>
          <w:rFonts w:hint="eastAsia" w:asciiTheme="minorEastAsia" w:hAnsiTheme="minorEastAsia" w:eastAsiaTheme="minorEastAsia"/>
          <w:sz w:val="24"/>
          <w:lang w:eastAsia="zh-CN"/>
        </w:rPr>
        <w:t>在工作中招标方负责对投标方工作进行监督，并有权进行考核。</w:t>
      </w:r>
    </w:p>
    <w:p>
      <w:pPr>
        <w:pStyle w:val="35"/>
        <w:numPr>
          <w:ilvl w:val="0"/>
          <w:numId w:val="14"/>
        </w:numPr>
        <w:spacing w:before="0"/>
        <w:ind w:left="0" w:firstLine="0"/>
        <w:jc w:val="both"/>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招标方按规定对投标方进入现场人员，进行必要的电力安全培训教育。</w:t>
      </w:r>
    </w:p>
    <w:p>
      <w:pPr>
        <w:pStyle w:val="35"/>
        <w:numPr>
          <w:ilvl w:val="0"/>
          <w:numId w:val="14"/>
        </w:numPr>
        <w:spacing w:before="0"/>
        <w:ind w:left="0" w:firstLine="0"/>
        <w:jc w:val="both"/>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参与可行性研究报告评审。</w:t>
      </w:r>
    </w:p>
    <w:p>
      <w:pPr>
        <w:pStyle w:val="35"/>
        <w:numPr>
          <w:ilvl w:val="0"/>
          <w:numId w:val="14"/>
        </w:numPr>
        <w:spacing w:before="0"/>
        <w:ind w:left="0" w:firstLine="0"/>
        <w:jc w:val="both"/>
        <w:rPr>
          <w:rFonts w:asciiTheme="minorEastAsia" w:hAnsiTheme="minorEastAsia" w:eastAsiaTheme="minorEastAsia"/>
          <w:color w:val="000000"/>
          <w:spacing w:val="-4"/>
          <w:sz w:val="24"/>
          <w:lang w:eastAsia="zh-CN"/>
        </w:rPr>
      </w:pPr>
      <w:r>
        <w:rPr>
          <w:rFonts w:asciiTheme="minorEastAsia" w:hAnsiTheme="minorEastAsia" w:eastAsiaTheme="minorEastAsia"/>
          <w:color w:val="000000"/>
          <w:spacing w:val="-4"/>
          <w:sz w:val="24"/>
          <w:lang w:eastAsia="zh-CN"/>
        </w:rPr>
        <w:t>负责及时按合同向</w:t>
      </w:r>
      <w:r>
        <w:rPr>
          <w:rFonts w:hint="eastAsia" w:asciiTheme="minorEastAsia" w:hAnsiTheme="minorEastAsia" w:eastAsiaTheme="minorEastAsia"/>
          <w:color w:val="000000"/>
          <w:spacing w:val="-4"/>
          <w:sz w:val="24"/>
          <w:lang w:eastAsia="zh-CN"/>
        </w:rPr>
        <w:t>投标方</w:t>
      </w:r>
      <w:r>
        <w:rPr>
          <w:rFonts w:asciiTheme="minorEastAsia" w:hAnsiTheme="minorEastAsia" w:eastAsiaTheme="minorEastAsia"/>
          <w:color w:val="000000"/>
          <w:spacing w:val="-4"/>
          <w:sz w:val="24"/>
          <w:lang w:eastAsia="zh-CN"/>
        </w:rPr>
        <w:t>支付服务费用。</w:t>
      </w:r>
    </w:p>
    <w:p>
      <w:pPr>
        <w:pStyle w:val="4"/>
        <w:rPr>
          <w:rFonts w:asciiTheme="minorEastAsia" w:hAnsiTheme="minorEastAsia" w:eastAsiaTheme="minorEastAsia"/>
          <w:lang w:eastAsia="zh-CN"/>
        </w:rPr>
      </w:pPr>
      <w:r>
        <w:rPr>
          <w:rFonts w:asciiTheme="minorEastAsia" w:hAnsiTheme="minorEastAsia" w:eastAsiaTheme="minorEastAsia"/>
          <w:lang w:eastAsia="zh-CN"/>
        </w:rPr>
        <w:t>5.4</w:t>
      </w:r>
      <w:r>
        <w:rPr>
          <w:rFonts w:hint="eastAsia" w:asciiTheme="minorEastAsia" w:hAnsiTheme="minorEastAsia" w:eastAsiaTheme="minorEastAsia"/>
          <w:lang w:eastAsia="zh-CN"/>
        </w:rPr>
        <w:t>资质业绩要求：</w:t>
      </w:r>
      <w:r>
        <w:rPr>
          <w:rFonts w:asciiTheme="minorEastAsia" w:hAnsiTheme="minorEastAsia" w:eastAsiaTheme="minorEastAsia"/>
          <w:lang w:eastAsia="zh-CN"/>
        </w:rPr>
        <w:t xml:space="preserve"> </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1.投标方应具有资质条件：具备工程咨询单位乙级及以上资信资质</w:t>
      </w:r>
      <w:r>
        <w:rPr>
          <w:rFonts w:hint="eastAsia" w:asciiTheme="minorEastAsia" w:hAnsiTheme="minorEastAsia" w:eastAsiaTheme="minorEastAsia"/>
          <w:sz w:val="24"/>
          <w:szCs w:val="24"/>
          <w:lang w:eastAsia="zh-CN"/>
        </w:rPr>
        <w:t>，业务范围包括电力行业或者包括生态建设和环境工程。</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2.投标人近3年内具备至少</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个同等及以上级别机组脱硝还原剂液氨改尿素可行性研究报告编制业绩（附业绩合同或证明材料）。</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3.近三年内无可行性研究质量事故，无被相关行政部门处罚记录。</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4.投标方应能提供相关可行性研究业绩。</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5.投标方应提供以下证明材料，并加盖投标人单位公章。</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 投标人应提供投标人公司营业执照、工程咨询资信等证书，并加盖投标人公章。</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2）投标人应提供相关业绩相关证明材料，并加盖投标人公章。</w:t>
      </w:r>
    </w:p>
    <w:p>
      <w:pPr>
        <w:pStyle w:val="64"/>
        <w:widowControl w:val="0"/>
        <w:ind w:firstLine="0" w:firstLineChars="0"/>
        <w:jc w:val="both"/>
        <w:rPr>
          <w:rFonts w:asciiTheme="minorEastAsia" w:hAnsiTheme="minorEastAsia" w:eastAsiaTheme="minorEastAsia"/>
          <w:b/>
          <w:sz w:val="32"/>
          <w:szCs w:val="32"/>
        </w:rPr>
      </w:pPr>
      <w:r>
        <w:rPr>
          <w:rFonts w:hint="eastAsia" w:asciiTheme="minorEastAsia" w:hAnsiTheme="minorEastAsia" w:eastAsiaTheme="minorEastAsia"/>
          <w:sz w:val="24"/>
        </w:rPr>
        <w:t>3）投标人应提供三年内无可行性研究质量事故，无被相关行政部门处罚证明文件或承诺函，并加盖投标人公章。</w:t>
      </w:r>
    </w:p>
    <w:p>
      <w:pPr>
        <w:pStyle w:val="64"/>
        <w:widowControl w:val="0"/>
        <w:ind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六、工期要求</w:t>
      </w:r>
    </w:p>
    <w:p>
      <w:pPr>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合同签订后，投标方应在3</w:t>
      </w:r>
      <w:r>
        <w:rPr>
          <w:rFonts w:asciiTheme="minorEastAsia" w:hAnsiTheme="minorEastAsia" w:eastAsiaTheme="minorEastAsia"/>
          <w:color w:val="000000"/>
          <w:sz w:val="24"/>
          <w:lang w:eastAsia="zh-CN"/>
        </w:rPr>
        <w:t>0日内完成</w:t>
      </w:r>
      <w:r>
        <w:rPr>
          <w:rFonts w:hint="eastAsia" w:asciiTheme="minorEastAsia" w:hAnsiTheme="minorEastAsia" w:eastAsiaTheme="minorEastAsia"/>
          <w:color w:val="000000"/>
          <w:sz w:val="24"/>
          <w:lang w:eastAsia="zh-CN"/>
        </w:rPr>
        <w:t>。</w:t>
      </w:r>
    </w:p>
    <w:p>
      <w:pPr>
        <w:pStyle w:val="64"/>
        <w:widowControl w:val="0"/>
        <w:ind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七、差异表</w:t>
      </w:r>
    </w:p>
    <w:p>
      <w:pPr>
        <w:ind w:firstLine="480" w:firstLineChars="200"/>
        <w:rPr>
          <w:color w:val="000000"/>
          <w:sz w:val="24"/>
          <w:lang w:eastAsia="zh-CN"/>
        </w:rPr>
      </w:pPr>
      <w:r>
        <w:rPr>
          <w:rFonts w:hint="eastAsia"/>
          <w:color w:val="000000"/>
          <w:sz w:val="24"/>
          <w:lang w:eastAsia="zh-CN"/>
        </w:rPr>
        <w:t>投标方要将投标文件和招标文件的差异之处汇集成表。</w:t>
      </w:r>
    </w:p>
    <w:tbl>
      <w:tblPr>
        <w:tblStyle w:val="19"/>
        <w:tblW w:w="791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850"/>
        <w:gridCol w:w="2675"/>
        <w:gridCol w:w="10"/>
        <w:gridCol w:w="807"/>
        <w:gridCol w:w="272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Merge w:val="restart"/>
            <w:vAlign w:val="center"/>
          </w:tcPr>
          <w:p>
            <w:pPr>
              <w:rPr>
                <w:color w:val="000000"/>
                <w:sz w:val="21"/>
                <w:szCs w:val="21"/>
              </w:rPr>
            </w:pPr>
            <w:r>
              <w:rPr>
                <w:rFonts w:hint="eastAsia"/>
                <w:color w:val="000000"/>
                <w:sz w:val="21"/>
                <w:szCs w:val="21"/>
              </w:rPr>
              <w:t>序号</w:t>
            </w:r>
          </w:p>
        </w:tc>
        <w:tc>
          <w:tcPr>
            <w:tcW w:w="3535" w:type="dxa"/>
            <w:gridSpan w:val="3"/>
            <w:vAlign w:val="center"/>
          </w:tcPr>
          <w:p>
            <w:pPr>
              <w:jc w:val="center"/>
              <w:rPr>
                <w:color w:val="000000"/>
                <w:sz w:val="21"/>
                <w:szCs w:val="21"/>
              </w:rPr>
            </w:pPr>
            <w:r>
              <w:rPr>
                <w:rFonts w:hint="eastAsia"/>
                <w:color w:val="000000"/>
                <w:sz w:val="21"/>
                <w:szCs w:val="21"/>
              </w:rPr>
              <w:t>招标文件</w:t>
            </w:r>
          </w:p>
        </w:tc>
        <w:tc>
          <w:tcPr>
            <w:tcW w:w="3531" w:type="dxa"/>
            <w:gridSpan w:val="2"/>
            <w:vAlign w:val="center"/>
          </w:tcPr>
          <w:p>
            <w:pPr>
              <w:jc w:val="center"/>
              <w:rPr>
                <w:color w:val="000000"/>
                <w:sz w:val="21"/>
                <w:szCs w:val="21"/>
              </w:rPr>
            </w:pPr>
            <w:r>
              <w:rPr>
                <w:rFonts w:hint="eastAsia"/>
                <w:color w:val="000000"/>
                <w:sz w:val="21"/>
                <w:szCs w:val="21"/>
              </w:rPr>
              <w:t>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rPr>
                <w:color w:val="000000"/>
                <w:sz w:val="21"/>
                <w:szCs w:val="21"/>
              </w:rPr>
            </w:pPr>
          </w:p>
        </w:tc>
        <w:tc>
          <w:tcPr>
            <w:tcW w:w="850" w:type="dxa"/>
            <w:vAlign w:val="center"/>
          </w:tcPr>
          <w:p>
            <w:pPr>
              <w:jc w:val="center"/>
              <w:rPr>
                <w:color w:val="000000"/>
                <w:sz w:val="21"/>
                <w:szCs w:val="21"/>
              </w:rPr>
            </w:pPr>
            <w:r>
              <w:rPr>
                <w:rFonts w:hint="eastAsia"/>
                <w:color w:val="000000"/>
                <w:sz w:val="21"/>
                <w:szCs w:val="21"/>
              </w:rPr>
              <w:t>条目</w:t>
            </w:r>
          </w:p>
        </w:tc>
        <w:tc>
          <w:tcPr>
            <w:tcW w:w="2675" w:type="dxa"/>
            <w:vAlign w:val="center"/>
          </w:tcPr>
          <w:p>
            <w:pPr>
              <w:jc w:val="center"/>
              <w:rPr>
                <w:color w:val="000000"/>
                <w:sz w:val="21"/>
                <w:szCs w:val="21"/>
              </w:rPr>
            </w:pPr>
            <w:r>
              <w:rPr>
                <w:rFonts w:hint="eastAsia"/>
                <w:color w:val="000000"/>
                <w:sz w:val="21"/>
                <w:szCs w:val="21"/>
              </w:rPr>
              <w:t>简要内容</w:t>
            </w:r>
          </w:p>
        </w:tc>
        <w:tc>
          <w:tcPr>
            <w:tcW w:w="817" w:type="dxa"/>
            <w:gridSpan w:val="2"/>
            <w:vAlign w:val="center"/>
          </w:tcPr>
          <w:p>
            <w:pPr>
              <w:jc w:val="center"/>
              <w:rPr>
                <w:color w:val="000000"/>
                <w:sz w:val="21"/>
                <w:szCs w:val="21"/>
              </w:rPr>
            </w:pPr>
            <w:r>
              <w:rPr>
                <w:rFonts w:hint="eastAsia"/>
                <w:color w:val="000000"/>
                <w:sz w:val="21"/>
                <w:szCs w:val="21"/>
              </w:rPr>
              <w:t>条目</w:t>
            </w:r>
          </w:p>
        </w:tc>
        <w:tc>
          <w:tcPr>
            <w:tcW w:w="2724" w:type="dxa"/>
            <w:vAlign w:val="center"/>
          </w:tcPr>
          <w:p>
            <w:pPr>
              <w:jc w:val="center"/>
              <w:rPr>
                <w:color w:val="000000"/>
                <w:sz w:val="21"/>
                <w:szCs w:val="21"/>
              </w:rPr>
            </w:pPr>
            <w:r>
              <w:rPr>
                <w:rFonts w:hint="eastAsia"/>
                <w:color w:val="000000"/>
                <w:sz w:val="21"/>
                <w:szCs w:val="21"/>
              </w:rPr>
              <w:t>简要内容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pPr>
              <w:rPr>
                <w:color w:val="000000"/>
                <w:sz w:val="21"/>
                <w:szCs w:val="21"/>
              </w:rPr>
            </w:pPr>
          </w:p>
        </w:tc>
        <w:tc>
          <w:tcPr>
            <w:tcW w:w="850" w:type="dxa"/>
            <w:vAlign w:val="center"/>
          </w:tcPr>
          <w:p>
            <w:pPr>
              <w:rPr>
                <w:color w:val="000000"/>
                <w:sz w:val="21"/>
                <w:szCs w:val="21"/>
              </w:rPr>
            </w:pPr>
          </w:p>
        </w:tc>
        <w:tc>
          <w:tcPr>
            <w:tcW w:w="2675" w:type="dxa"/>
            <w:vAlign w:val="center"/>
          </w:tcPr>
          <w:p>
            <w:pPr>
              <w:rPr>
                <w:color w:val="000000"/>
                <w:sz w:val="21"/>
                <w:szCs w:val="21"/>
              </w:rPr>
            </w:pPr>
          </w:p>
        </w:tc>
        <w:tc>
          <w:tcPr>
            <w:tcW w:w="817" w:type="dxa"/>
            <w:gridSpan w:val="2"/>
            <w:vAlign w:val="center"/>
          </w:tcPr>
          <w:p>
            <w:pPr>
              <w:rPr>
                <w:color w:val="000000"/>
                <w:sz w:val="21"/>
                <w:szCs w:val="21"/>
              </w:rPr>
            </w:pPr>
          </w:p>
        </w:tc>
        <w:tc>
          <w:tcPr>
            <w:tcW w:w="2724" w:type="dxa"/>
            <w:vAlign w:val="center"/>
          </w:tcPr>
          <w:p>
            <w:pPr>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pPr>
              <w:rPr>
                <w:color w:val="000000"/>
                <w:sz w:val="21"/>
                <w:szCs w:val="21"/>
              </w:rPr>
            </w:pPr>
          </w:p>
        </w:tc>
        <w:tc>
          <w:tcPr>
            <w:tcW w:w="850" w:type="dxa"/>
            <w:vAlign w:val="center"/>
          </w:tcPr>
          <w:p>
            <w:pPr>
              <w:rPr>
                <w:color w:val="000000"/>
                <w:sz w:val="21"/>
                <w:szCs w:val="21"/>
              </w:rPr>
            </w:pPr>
          </w:p>
        </w:tc>
        <w:tc>
          <w:tcPr>
            <w:tcW w:w="2675" w:type="dxa"/>
            <w:vAlign w:val="center"/>
          </w:tcPr>
          <w:p>
            <w:pPr>
              <w:rPr>
                <w:color w:val="000000"/>
                <w:sz w:val="21"/>
                <w:szCs w:val="21"/>
              </w:rPr>
            </w:pPr>
          </w:p>
        </w:tc>
        <w:tc>
          <w:tcPr>
            <w:tcW w:w="817" w:type="dxa"/>
            <w:gridSpan w:val="2"/>
            <w:vAlign w:val="center"/>
          </w:tcPr>
          <w:p>
            <w:pPr>
              <w:rPr>
                <w:color w:val="000000"/>
                <w:sz w:val="21"/>
                <w:szCs w:val="21"/>
              </w:rPr>
            </w:pPr>
          </w:p>
        </w:tc>
        <w:tc>
          <w:tcPr>
            <w:tcW w:w="2724" w:type="dxa"/>
            <w:vAlign w:val="center"/>
          </w:tcPr>
          <w:p>
            <w:pPr>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pPr>
              <w:rPr>
                <w:color w:val="000000"/>
                <w:sz w:val="21"/>
                <w:szCs w:val="21"/>
              </w:rPr>
            </w:pPr>
          </w:p>
        </w:tc>
        <w:tc>
          <w:tcPr>
            <w:tcW w:w="850" w:type="dxa"/>
            <w:vAlign w:val="center"/>
          </w:tcPr>
          <w:p>
            <w:pPr>
              <w:rPr>
                <w:color w:val="000000"/>
                <w:sz w:val="21"/>
                <w:szCs w:val="21"/>
              </w:rPr>
            </w:pPr>
          </w:p>
        </w:tc>
        <w:tc>
          <w:tcPr>
            <w:tcW w:w="2675" w:type="dxa"/>
            <w:vAlign w:val="center"/>
          </w:tcPr>
          <w:p>
            <w:pPr>
              <w:rPr>
                <w:color w:val="000000"/>
                <w:sz w:val="21"/>
                <w:szCs w:val="21"/>
              </w:rPr>
            </w:pPr>
          </w:p>
        </w:tc>
        <w:tc>
          <w:tcPr>
            <w:tcW w:w="817" w:type="dxa"/>
            <w:gridSpan w:val="2"/>
            <w:vAlign w:val="center"/>
          </w:tcPr>
          <w:p>
            <w:pPr>
              <w:rPr>
                <w:color w:val="000000"/>
                <w:sz w:val="21"/>
                <w:szCs w:val="21"/>
              </w:rPr>
            </w:pPr>
          </w:p>
        </w:tc>
        <w:tc>
          <w:tcPr>
            <w:tcW w:w="2724" w:type="dxa"/>
            <w:vAlign w:val="center"/>
          </w:tcPr>
          <w:p>
            <w:pPr>
              <w:rPr>
                <w:color w:val="000000"/>
                <w:sz w:val="21"/>
                <w:szCs w:val="21"/>
              </w:rPr>
            </w:pPr>
          </w:p>
        </w:tc>
      </w:tr>
    </w:tbl>
    <w:p>
      <w:pPr>
        <w:ind w:firstLine="480" w:firstLineChars="200"/>
        <w:rPr>
          <w:rFonts w:asciiTheme="minorEastAsia" w:hAnsiTheme="minorEastAsia" w:eastAsiaTheme="minorEastAsia"/>
          <w:color w:val="000000"/>
          <w:sz w:val="24"/>
          <w:lang w:eastAsia="zh-CN"/>
        </w:rPr>
      </w:pPr>
      <w:r>
        <w:rPr>
          <w:rFonts w:hint="eastAsia"/>
          <w:color w:val="000000"/>
          <w:sz w:val="24"/>
          <w:lang w:eastAsia="zh-CN"/>
        </w:rPr>
        <w:t>备注：投标方如对本规范书有偏差（无论多少或微小）都必须清楚地表示在本规范书的附件“差异表”中。否则招标方将认为投标方完全接受和同意本招标文件的要求，擅自修改招标文件而为清除表示差异的条款均视为无效。</w:t>
      </w:r>
    </w:p>
    <w:p>
      <w:pPr>
        <w:pStyle w:val="64"/>
        <w:widowControl w:val="0"/>
        <w:adjustRightInd w:val="0"/>
        <w:ind w:firstLine="0" w:firstLineChars="0"/>
        <w:jc w:val="both"/>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八、附件（不限于此）</w:t>
      </w:r>
    </w:p>
    <w:p>
      <w:pPr>
        <w:pStyle w:val="67"/>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附件1：热电厂脱硝工艺流程图</w:t>
      </w:r>
    </w:p>
    <w:p>
      <w:pPr>
        <w:pStyle w:val="67"/>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附件2：热电厂烟气脱硝系统设备布置图</w:t>
      </w:r>
    </w:p>
    <w:p>
      <w:pPr>
        <w:pStyle w:val="67"/>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附件3：热电厂脱硝附属机械及辅助设备安装图</w:t>
      </w:r>
    </w:p>
    <w:p>
      <w:pPr>
        <w:pStyle w:val="67"/>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附件4：热电厂脱硝检修起吊设备安装图</w:t>
      </w:r>
    </w:p>
    <w:p>
      <w:pPr>
        <w:pStyle w:val="67"/>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附件5：热电厂脱硝系统SCR反应区气氨管道安装图</w:t>
      </w:r>
    </w:p>
    <w:p>
      <w:pPr>
        <w:pStyle w:val="67"/>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附件6：热电厂脱硝系统氨区液氨及气氨管道安装图</w:t>
      </w:r>
    </w:p>
    <w:p>
      <w:pPr>
        <w:pStyle w:val="67"/>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附件7：热电厂烟气脱硝系统蒸汽管道安装图</w:t>
      </w:r>
    </w:p>
    <w:p>
      <w:pPr>
        <w:pStyle w:val="67"/>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附件8：热电厂脱硝系统SCR反应区布置图</w:t>
      </w:r>
    </w:p>
    <w:p>
      <w:pPr>
        <w:pStyle w:val="67"/>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附件9：福海创原料适应性技改项目总体设计总平图</w:t>
      </w:r>
    </w:p>
    <w:p>
      <w:pPr>
        <w:pStyle w:val="2"/>
        <w:rPr>
          <w:b/>
          <w:sz w:val="28"/>
          <w:szCs w:val="28"/>
        </w:rPr>
      </w:pPr>
    </w:p>
    <w:p>
      <w:pPr>
        <w:pStyle w:val="2"/>
        <w:rPr>
          <w:b/>
          <w:sz w:val="28"/>
          <w:szCs w:val="28"/>
        </w:rPr>
      </w:pPr>
    </w:p>
    <w:p>
      <w:pPr>
        <w:pStyle w:val="2"/>
        <w:rPr>
          <w:b/>
          <w:sz w:val="28"/>
          <w:szCs w:val="28"/>
        </w:rPr>
      </w:pPr>
      <w:r>
        <w:rPr>
          <w:rFonts w:hint="eastAsia"/>
          <w:b/>
          <w:sz w:val="28"/>
          <w:szCs w:val="28"/>
        </w:rPr>
        <w:t>附件2：</w:t>
      </w:r>
    </w:p>
    <w:p>
      <w:pPr>
        <w:pStyle w:val="2"/>
        <w:rPr>
          <w:b/>
          <w:sz w:val="28"/>
          <w:szCs w:val="28"/>
        </w:rPr>
      </w:pPr>
    </w:p>
    <w:p>
      <w:pPr>
        <w:pStyle w:val="2"/>
        <w:rPr>
          <w:b/>
          <w:sz w:val="28"/>
          <w:szCs w:val="28"/>
        </w:rPr>
      </w:pPr>
      <w:r>
        <w:rPr>
          <w:rFonts w:hint="eastAsia"/>
          <w:b/>
          <w:sz w:val="28"/>
          <w:szCs w:val="28"/>
        </w:rPr>
        <w:t xml:space="preserve">                 价格清单</w:t>
      </w:r>
    </w:p>
    <w:p>
      <w:pPr>
        <w:pStyle w:val="2"/>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附件3：</w:t>
      </w:r>
    </w:p>
    <w:p>
      <w:pPr>
        <w:pStyle w:val="10"/>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pPr>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rPr>
          <w:rFonts w:asciiTheme="minorEastAsia" w:hAnsiTheme="minorEastAsia" w:eastAsiaTheme="minorEastAsia"/>
          <w:szCs w:val="21"/>
          <w:lang w:eastAsia="zh-CN"/>
        </w:rPr>
      </w:pPr>
      <w:r>
        <w:rPr>
          <w:rFonts w:hint="eastAsia"/>
          <w:szCs w:val="21"/>
          <w:lang w:eastAsia="zh-CN"/>
        </w:rPr>
        <w:t xml:space="preserve">    双方就</w:t>
      </w:r>
      <w:r>
        <w:rPr>
          <w:rFonts w:asciiTheme="majorEastAsia" w:hAnsiTheme="majorEastAsia" w:eastAsiaTheme="majorEastAsia"/>
          <w:sz w:val="24"/>
          <w:szCs w:val="24"/>
          <w:u w:val="single"/>
          <w:lang w:eastAsia="zh-CN"/>
        </w:rPr>
        <w:t>热电厂4×670t/h锅炉烟气脱硝</w:t>
      </w:r>
      <w:r>
        <w:rPr>
          <w:rFonts w:hint="eastAsia" w:asciiTheme="majorEastAsia" w:hAnsiTheme="majorEastAsia" w:eastAsiaTheme="majorEastAsia"/>
          <w:sz w:val="24"/>
          <w:szCs w:val="24"/>
          <w:u w:val="single"/>
          <w:lang w:eastAsia="zh-CN"/>
        </w:rPr>
        <w:t>还原剂</w:t>
      </w:r>
      <w:r>
        <w:rPr>
          <w:rFonts w:asciiTheme="majorEastAsia" w:hAnsiTheme="majorEastAsia" w:eastAsiaTheme="majorEastAsia"/>
          <w:sz w:val="24"/>
          <w:szCs w:val="24"/>
          <w:u w:val="single"/>
          <w:lang w:eastAsia="zh-CN"/>
        </w:rPr>
        <w:t>液氨改尿素可行性研究</w:t>
      </w:r>
      <w:r>
        <w:rPr>
          <w:rFonts w:hint="eastAsia"/>
          <w:kern w:val="59"/>
          <w:u w:val="single"/>
          <w:lang w:eastAsia="zh-CN"/>
        </w:rPr>
        <w:t>及项目申请</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技术服务 </w:t>
      </w:r>
      <w:r>
        <w:rPr>
          <w:rFonts w:hint="eastAsia"/>
          <w:szCs w:val="21"/>
          <w:lang w:eastAsia="zh-CN"/>
        </w:rPr>
        <w:t>合同，为进一步明确甲乙双方在工程承包合同履行过程中的权利和义务及责任，保障人身安全和企业财产安全，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ind w:left="197"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5"/>
        <w:spacing w:before="0"/>
        <w:ind w:left="0" w:firstLine="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5"/>
        <w:spacing w:before="0"/>
        <w:ind w:left="0" w:firstLine="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5"/>
        <w:spacing w:before="0"/>
        <w:ind w:left="0" w:firstLine="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甲方负责各装置的工艺处理、退料、置换、吹扫及盲板隔离工作，提供安全的施工条件。</w:t>
      </w:r>
    </w:p>
    <w:p>
      <w:pPr>
        <w:tabs>
          <w:tab w:val="left" w:pos="360"/>
          <w:tab w:val="left" w:pos="840"/>
        </w:tabs>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ind w:left="197"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2、乙方有权对甲方安全管理工作提出合理化建议或改进措施。</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ind w:left="197"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三、违约责任及处理</w:t>
      </w:r>
    </w:p>
    <w:p>
      <w:pPr>
        <w:autoSpaceDE/>
        <w:autoSpaceDN/>
        <w:jc w:val="both"/>
        <w:rPr>
          <w:rFonts w:asciiTheme="minorEastAsia" w:hAnsiTheme="minorEastAsia" w:eastAsiaTheme="minorEastAsia"/>
          <w:b/>
          <w:szCs w:val="21"/>
          <w:lang w:eastAsia="zh-CN"/>
        </w:rPr>
      </w:pPr>
      <w:r>
        <w:rPr>
          <w:rFonts w:hint="eastAsia"/>
          <w:szCs w:val="21"/>
          <w:lang w:eastAsia="zh-CN"/>
        </w:rPr>
        <w:t>1、乙方不得将工程违法转包、分包。</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0"/>
          <w:tab w:val="left" w:pos="840"/>
        </w:tabs>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ind w:left="197"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ind w:left="196"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ind w:left="197"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ind w:left="197"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ind w:left="197"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ind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腾龙芳烃（漳州）有限公司                       </w:t>
      </w:r>
    </w:p>
    <w:p>
      <w:pPr>
        <w:spacing w:line="276" w:lineRule="auto"/>
        <w:rPr>
          <w:szCs w:val="21"/>
          <w:lang w:eastAsia="zh-CN"/>
        </w:rPr>
      </w:pPr>
    </w:p>
    <w:p>
      <w:pPr>
        <w:spacing w:line="276" w:lineRule="auto"/>
        <w:rPr>
          <w:szCs w:val="21"/>
          <w:lang w:eastAsia="zh-CN"/>
        </w:rPr>
      </w:pPr>
      <w:r>
        <w:rPr>
          <w:rFonts w:hint="eastAsia"/>
          <w:szCs w:val="21"/>
          <w:lang w:eastAsia="zh-CN"/>
        </w:rPr>
        <w:t>签定日期：</w:t>
      </w:r>
      <w:r>
        <w:rPr>
          <w:szCs w:val="21"/>
          <w:lang w:eastAsia="zh-CN"/>
        </w:rPr>
        <w:t>2022</w:t>
      </w:r>
      <w:r>
        <w:rPr>
          <w:rFonts w:hint="eastAsia"/>
          <w:szCs w:val="21"/>
          <w:lang w:eastAsia="zh-CN"/>
        </w:rPr>
        <w:t xml:space="preserve">年    月    日                   </w:t>
      </w:r>
      <w:r>
        <w:rPr>
          <w:szCs w:val="21"/>
          <w:lang w:eastAsia="zh-CN"/>
        </w:rPr>
        <w:t>2022</w:t>
      </w:r>
      <w:r>
        <w:rPr>
          <w:rFonts w:hint="eastAsia"/>
          <w:szCs w:val="21"/>
          <w:lang w:eastAsia="zh-CN"/>
        </w:rPr>
        <w:t>年    月    日</w:t>
      </w: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b/>
          <w:sz w:val="28"/>
          <w:szCs w:val="28"/>
          <w:lang w:eastAsia="zh-CN"/>
        </w:rPr>
      </w:pPr>
    </w:p>
    <w:p>
      <w:pPr>
        <w:spacing w:line="300" w:lineRule="exact"/>
        <w:rPr>
          <w:b/>
          <w:sz w:val="28"/>
          <w:szCs w:val="28"/>
          <w:lang w:eastAsia="zh-CN"/>
        </w:rPr>
      </w:pPr>
    </w:p>
    <w:p>
      <w:pPr>
        <w:spacing w:line="300" w:lineRule="exact"/>
        <w:rPr>
          <w:b/>
          <w:sz w:val="28"/>
          <w:szCs w:val="28"/>
          <w:lang w:eastAsia="zh-CN"/>
        </w:rPr>
      </w:pPr>
    </w:p>
    <w:p>
      <w:pPr>
        <w:spacing w:line="300" w:lineRule="exact"/>
        <w:rPr>
          <w:b/>
          <w:sz w:val="28"/>
          <w:szCs w:val="28"/>
          <w:lang w:eastAsia="zh-CN"/>
        </w:rPr>
      </w:pPr>
      <w:r>
        <w:rPr>
          <w:rFonts w:hint="eastAsia"/>
          <w:b/>
          <w:sz w:val="28"/>
          <w:szCs w:val="28"/>
          <w:lang w:eastAsia="zh-CN"/>
        </w:rPr>
        <w:t>附件4：</w:t>
      </w:r>
    </w:p>
    <w:p>
      <w:pPr>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rPr>
          <w:color w:val="000000"/>
          <w:sz w:val="21"/>
          <w:szCs w:val="21"/>
          <w:lang w:eastAsia="zh-CN"/>
        </w:rPr>
      </w:pPr>
      <w:r>
        <w:rPr>
          <w:rFonts w:hint="eastAsia"/>
          <w:snapToGrid w:val="0"/>
          <w:sz w:val="21"/>
          <w:szCs w:val="21"/>
          <w:lang w:eastAsia="zh-CN"/>
        </w:rPr>
        <w:t>项目名称：</w:t>
      </w:r>
      <w:r>
        <w:rPr>
          <w:rFonts w:asciiTheme="majorEastAsia" w:hAnsiTheme="majorEastAsia" w:eastAsiaTheme="majorEastAsia"/>
          <w:sz w:val="24"/>
          <w:szCs w:val="24"/>
          <w:u w:val="single"/>
          <w:lang w:eastAsia="zh-CN"/>
        </w:rPr>
        <w:t>热电厂4×670t/h锅炉烟气脱硝</w:t>
      </w:r>
      <w:r>
        <w:rPr>
          <w:rFonts w:hint="eastAsia" w:asciiTheme="majorEastAsia" w:hAnsiTheme="majorEastAsia" w:eastAsiaTheme="majorEastAsia"/>
          <w:sz w:val="24"/>
          <w:szCs w:val="24"/>
          <w:u w:val="single"/>
          <w:lang w:eastAsia="zh-CN"/>
        </w:rPr>
        <w:t>还原剂</w:t>
      </w:r>
      <w:r>
        <w:rPr>
          <w:rFonts w:asciiTheme="majorEastAsia" w:hAnsiTheme="majorEastAsia" w:eastAsiaTheme="majorEastAsia"/>
          <w:sz w:val="24"/>
          <w:szCs w:val="24"/>
          <w:u w:val="single"/>
          <w:lang w:eastAsia="zh-CN"/>
        </w:rPr>
        <w:t>液氨改尿素可行性研究</w:t>
      </w:r>
      <w:r>
        <w:rPr>
          <w:rFonts w:hint="eastAsia"/>
          <w:kern w:val="59"/>
          <w:u w:val="single"/>
          <w:lang w:eastAsia="zh-CN"/>
        </w:rPr>
        <w:t>及项目申请</w:t>
      </w:r>
    </w:p>
    <w:p>
      <w:pPr>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pPr>
        <w:pStyle w:val="9"/>
        <w:adjustRightInd w:val="0"/>
        <w:spacing w:after="0"/>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rPr>
          <w:snapToGrid w:val="0"/>
          <w:sz w:val="21"/>
          <w:szCs w:val="21"/>
          <w:lang w:eastAsia="zh-CN"/>
        </w:rPr>
      </w:pPr>
      <w:r>
        <w:rPr>
          <w:rFonts w:hint="eastAsia"/>
          <w:snapToGrid w:val="0"/>
          <w:sz w:val="21"/>
          <w:szCs w:val="21"/>
          <w:lang w:eastAsia="zh-CN"/>
        </w:rPr>
        <w:t>（二）严格执行建设工程项目承发包合同文件，自觉按合同办事。</w:t>
      </w:r>
    </w:p>
    <w:p>
      <w:pPr>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rPr>
          <w:snapToGrid w:val="0"/>
          <w:sz w:val="21"/>
          <w:szCs w:val="21"/>
          <w:lang w:eastAsia="zh-CN"/>
        </w:rPr>
      </w:pPr>
      <w:r>
        <w:rPr>
          <w:rFonts w:hint="eastAsia"/>
          <w:snapToGrid w:val="0"/>
          <w:sz w:val="21"/>
          <w:szCs w:val="21"/>
          <w:lang w:eastAsia="zh-CN"/>
        </w:rPr>
        <w:t>（三）不准在乙方和相关单位报销任何应由甲方或个人负担的费用。</w:t>
      </w:r>
    </w:p>
    <w:p>
      <w:pPr>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ind w:firstLine="422" w:firstLineChars="200"/>
        <w:outlineLvl w:val="0"/>
        <w:rPr>
          <w:snapToGrid w:val="0"/>
          <w:sz w:val="21"/>
          <w:szCs w:val="21"/>
          <w:lang w:eastAsia="zh-CN"/>
        </w:rPr>
      </w:pPr>
      <w:r>
        <w:rPr>
          <w:rFonts w:hint="eastAsia"/>
          <w:b/>
          <w:bCs/>
          <w:snapToGrid w:val="0"/>
          <w:sz w:val="21"/>
          <w:szCs w:val="21"/>
          <w:lang w:eastAsia="zh-CN"/>
        </w:rPr>
        <w:t>第五条 直接责任人、监督部门及举报电话</w:t>
      </w:r>
    </w:p>
    <w:p>
      <w:pPr>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cs="Helvetica"/>
          <w:color w:val="333333"/>
          <w:sz w:val="21"/>
          <w:szCs w:val="21"/>
          <w:u w:val="single"/>
          <w:lang w:eastAsia="zh-CN"/>
        </w:rPr>
        <w:t xml:space="preserve">   </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rPr>
          <w:snapToGrid w:val="0"/>
          <w:sz w:val="21"/>
          <w:szCs w:val="21"/>
          <w:u w:val="single"/>
          <w:lang w:eastAsia="zh-CN"/>
        </w:rPr>
        <w:t xml:space="preserve">     </w:t>
      </w:r>
      <w:r>
        <w:rPr>
          <w:rFonts w:hint="eastAsia"/>
          <w:snapToGrid w:val="0"/>
          <w:sz w:val="21"/>
          <w:szCs w:val="21"/>
          <w:u w:val="single"/>
          <w:lang w:eastAsia="zh-CN"/>
        </w:rPr>
        <w:t xml:space="preserve"> </w:t>
      </w:r>
      <w:r>
        <w:rPr>
          <w:rFonts w:hint="eastAsia"/>
          <w:snapToGrid w:val="0"/>
          <w:sz w:val="21"/>
          <w:szCs w:val="21"/>
          <w:lang w:eastAsia="zh-CN"/>
        </w:rPr>
        <w:t>（纪委书记信箱）。</w:t>
      </w:r>
    </w:p>
    <w:p>
      <w:pPr>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rPr>
          <w:sz w:val="21"/>
          <w:szCs w:val="21"/>
        </w:rPr>
      </w:pPr>
      <w:r>
        <w:rPr>
          <w:rFonts w:hint="eastAsia"/>
          <w:sz w:val="21"/>
          <w:szCs w:val="21"/>
        </w:rPr>
        <w:t>日期：</w:t>
      </w:r>
      <w:r>
        <w:rPr>
          <w:sz w:val="21"/>
          <w:szCs w:val="21"/>
        </w:rPr>
        <w:t xml:space="preserve"> </w:t>
      </w:r>
      <w:r>
        <w:rPr>
          <w:sz w:val="21"/>
          <w:szCs w:val="21"/>
          <w:u w:val="single"/>
        </w:rPr>
        <w:t xml:space="preserve"> 202</w:t>
      </w:r>
      <w:r>
        <w:rPr>
          <w:sz w:val="21"/>
          <w:szCs w:val="21"/>
          <w:u w:val="single"/>
          <w:lang w:eastAsia="zh-CN"/>
        </w:rPr>
        <w:t>2</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2022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rPr>
          <w:b/>
          <w:bCs/>
          <w:sz w:val="28"/>
          <w:szCs w:val="28"/>
        </w:rPr>
      </w:pPr>
      <w:r>
        <w:br w:type="column"/>
      </w:r>
      <w:r>
        <w:rPr>
          <w:rFonts w:hint="eastAsia"/>
          <w:b/>
          <w:bCs/>
          <w:sz w:val="28"/>
          <w:szCs w:val="28"/>
        </w:rPr>
        <w:t>附件二参选文件范本</w:t>
      </w:r>
    </w:p>
    <w:p>
      <w:pPr>
        <w:pStyle w:val="10"/>
        <w:jc w:val="center"/>
        <w:rPr>
          <w:rFonts w:ascii="Times New Roman" w:hAnsi="Times New Roman"/>
          <w:b/>
          <w:sz w:val="52"/>
          <w:szCs w:val="52"/>
          <w:lang w:eastAsia="zh-CN"/>
        </w:rPr>
      </w:pPr>
    </w:p>
    <w:p>
      <w:pPr>
        <w:pStyle w:val="1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 xml:space="preserve"> </w:t>
      </w:r>
      <w:r>
        <w:rPr>
          <w:rFonts w:ascii="方正小标宋简体" w:hAnsi="方正小标宋简体" w:eastAsia="方正小标宋简体" w:cs="方正小标宋简体"/>
          <w:b/>
          <w:sz w:val="44"/>
          <w:szCs w:val="44"/>
          <w:lang w:eastAsia="zh-CN"/>
        </w:rPr>
        <w:t xml:space="preserve"> 热电厂4×670t/h锅炉烟气脱硝</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还原剂</w:t>
      </w:r>
      <w:r>
        <w:rPr>
          <w:rFonts w:ascii="方正小标宋简体" w:hAnsi="方正小标宋简体" w:eastAsia="方正小标宋简体" w:cs="方正小标宋简体"/>
          <w:b/>
          <w:sz w:val="44"/>
          <w:szCs w:val="44"/>
          <w:lang w:eastAsia="zh-CN"/>
        </w:rPr>
        <w:t>液氨改尿素项目可行性研究报告</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及项目申请技术发包项目</w:t>
      </w:r>
    </w:p>
    <w:p>
      <w:pPr>
        <w:spacing w:before="38"/>
        <w:ind w:left="172"/>
        <w:jc w:val="center"/>
        <w:rPr>
          <w:rFonts w:ascii="微软雅黑" w:eastAsia="微软雅黑"/>
          <w:b/>
          <w:sz w:val="52"/>
          <w:lang w:eastAsia="zh-CN"/>
        </w:rPr>
      </w:pP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0"/>
        <w:rPr>
          <w:rFonts w:ascii="Times New Roman" w:hAnsi="Times New Roman"/>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6"/>
          <w:lang w:eastAsia="zh-CN"/>
        </w:rPr>
      </w:pPr>
    </w:p>
    <w:p>
      <w:pPr>
        <w:pStyle w:val="10"/>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p>
    <w:p>
      <w:pPr>
        <w:pStyle w:val="10"/>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w:t>
      </w:r>
      <w:r>
        <w:rPr>
          <w:rFonts w:ascii="Times New Roman" w:hAnsi="Times New Roman"/>
          <w:b/>
          <w:bCs/>
          <w:w w:val="95"/>
          <w:sz w:val="32"/>
          <w:lang w:eastAsia="zh-CN"/>
        </w:rPr>
        <w:t>2年12月</w:t>
      </w:r>
    </w:p>
    <w:p>
      <w:pPr>
        <w:rPr>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pPr>
    </w:p>
    <w:p>
      <w:pPr>
        <w:pStyle w:val="3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3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3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p>
    <w:p>
      <w:pPr>
        <w:pStyle w:val="3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3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 w:val="24"/>
          <w:szCs w:val="24"/>
          <w:lang w:eastAsia="zh-CN"/>
        </w:rPr>
      </w:pPr>
      <w:r>
        <w:rPr>
          <w:rFonts w:ascii="Calibri"/>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19.1pt;width:363.2pt;z-index:251659264;mso-width-relative:page;mso-height-relative:page;" fillcolor="#FFFFFF" filled="t" stroked="t" coordsize="21600,21600" o:gfxdata="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MkJcdcAAAAIAQAADwAAAAAAAAABACAAAAAiAAAA&#10;ZHJzL2Rvd25yZXYueG1sUEsBAhQAFAAAAAgAh07iQMRGi51BAgAAiAQAAA4AAAAAAAAAAQAgAAAA&#10;JgEAAGRycy9lMm9Eb2MueG1sUEsFBgAAAAAGAAYAWQEAANk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37"/>
        <w:spacing w:beforeLines="0" w:afterLines="0" w:line="240" w:lineRule="auto"/>
        <w:ind w:firstLine="530" w:firstLineChars="221"/>
        <w:rPr>
          <w:rFonts w:cs="Times New Roman"/>
          <w:bCs w:val="0"/>
          <w:color w:val="C00000"/>
          <w:sz w:val="24"/>
          <w:szCs w:val="24"/>
          <w:lang w:eastAsia="zh-CN"/>
        </w:rPr>
      </w:pPr>
    </w:p>
    <w:p>
      <w:pPr>
        <w:pStyle w:val="37"/>
        <w:spacing w:beforeLines="0" w:afterLines="0" w:line="240" w:lineRule="auto"/>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37"/>
        <w:spacing w:beforeLines="0" w:afterLines="0" w:line="240" w:lineRule="auto"/>
        <w:ind w:firstLine="530" w:firstLineChars="221"/>
        <w:rPr>
          <w:rFonts w:cs="Times New Roman"/>
          <w:b/>
          <w:color w:val="C00000"/>
          <w:lang w:eastAsia="zh-CN"/>
        </w:rPr>
      </w:pPr>
      <w:r>
        <w:rPr>
          <w:rFonts w:hint="eastAsia" w:cs="Times New Roman"/>
          <w:color w:val="C00000"/>
          <w:sz w:val="24"/>
          <w:szCs w:val="24"/>
          <w:lang w:eastAsia="zh-CN"/>
        </w:rPr>
        <w:t>8、以下文件中红色字体部分，打印时请删除。</w:t>
      </w:r>
    </w:p>
    <w:p>
      <w:pPr>
        <w:spacing w:line="1000" w:lineRule="exact"/>
        <w:jc w:val="center"/>
        <w:rPr>
          <w:b/>
          <w:sz w:val="44"/>
          <w:szCs w:val="44"/>
          <w:lang w:eastAsia="zh-CN"/>
        </w:rPr>
      </w:pPr>
    </w:p>
    <w:p>
      <w:pPr>
        <w:widowControl/>
        <w:autoSpaceDE/>
        <w:autoSpaceDN/>
        <w:rPr>
          <w:b/>
          <w:sz w:val="44"/>
          <w:szCs w:val="44"/>
          <w:lang w:eastAsia="zh-CN"/>
        </w:rPr>
      </w:pPr>
      <w:r>
        <w:rPr>
          <w:b/>
          <w:sz w:val="44"/>
          <w:szCs w:val="44"/>
          <w:lang w:eastAsia="zh-CN"/>
        </w:rPr>
        <w:br w:type="page"/>
      </w:r>
    </w:p>
    <w:p>
      <w:pPr>
        <w:pStyle w:val="2"/>
        <w:rPr>
          <w:sz w:val="24"/>
          <w:szCs w:val="24"/>
        </w:rPr>
      </w:pPr>
      <w:r>
        <w:rPr>
          <w:rFonts w:hint="eastAsia"/>
          <w:sz w:val="24"/>
          <w:szCs w:val="24"/>
        </w:rPr>
        <w:t>附件1、</w:t>
      </w:r>
    </w:p>
    <w:p>
      <w:pPr>
        <w:pStyle w:val="10"/>
        <w:jc w:val="center"/>
        <w:rPr>
          <w:rFonts w:ascii="Times New Roman" w:hAnsi="Times New Roman"/>
          <w:b/>
          <w:sz w:val="52"/>
          <w:szCs w:val="52"/>
          <w:lang w:eastAsia="zh-CN"/>
        </w:rPr>
      </w:pPr>
    </w:p>
    <w:p>
      <w:pPr>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2、参选单位针对本项目提出的施工方案书（根据技术规范书中产品目标、内容及技术性能要求编制）。</w:t>
      </w:r>
    </w:p>
    <w:p>
      <w:pPr>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rPr>
          <w:rFonts w:asciiTheme="minorEastAsia" w:hAnsiTheme="minorEastAsia" w:eastAsiaTheme="minorEastAsia"/>
          <w:sz w:val="24"/>
          <w:szCs w:val="24"/>
          <w:u w:val="single"/>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hAnsiTheme="minorEastAsia" w:eastAsiaTheme="minorEastAsia"/>
          <w:sz w:val="24"/>
          <w:szCs w:val="24"/>
          <w:u w:val="single"/>
          <w:lang w:eastAsia="zh-CN"/>
        </w:rPr>
        <w:t>热电厂4×670t/h锅炉烟气脱硝</w:t>
      </w:r>
      <w:r>
        <w:rPr>
          <w:rFonts w:hint="eastAsia" w:asciiTheme="minorEastAsia" w:hAnsiTheme="minorEastAsia" w:eastAsiaTheme="minorEastAsia"/>
          <w:sz w:val="24"/>
          <w:szCs w:val="24"/>
          <w:u w:val="single"/>
          <w:lang w:eastAsia="zh-CN"/>
        </w:rPr>
        <w:t>还原剂</w:t>
      </w:r>
      <w:r>
        <w:rPr>
          <w:rFonts w:asciiTheme="minorEastAsia" w:hAnsiTheme="minorEastAsia" w:eastAsiaTheme="minorEastAsia"/>
          <w:sz w:val="24"/>
          <w:szCs w:val="24"/>
          <w:u w:val="single"/>
          <w:lang w:eastAsia="zh-CN"/>
        </w:rPr>
        <w:t>液氨改尿素项目可行性研究报告</w:t>
      </w:r>
      <w:r>
        <w:rPr>
          <w:rFonts w:hint="eastAsia"/>
          <w:kern w:val="59"/>
          <w:sz w:val="24"/>
          <w:szCs w:val="24"/>
          <w:u w:val="single"/>
          <w:lang w:eastAsia="zh-CN"/>
        </w:rPr>
        <w:t>及项目申请</w:t>
      </w:r>
      <w:r>
        <w:rPr>
          <w:rFonts w:hint="eastAsia"/>
          <w:sz w:val="24"/>
          <w:lang w:eastAsia="zh-CN"/>
        </w:rPr>
        <w:t>项目公开自主比选，以本公司名义参与报价、合同执行并处理与之有关的其他事务，相关责任及后果由本公司承担。</w:t>
      </w:r>
    </w:p>
    <w:p>
      <w:pPr>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cs="Times New Roman"/>
          <w:color w:val="00B050"/>
          <w:sz w:val="28"/>
          <w:szCs w:val="28"/>
          <w:u w:val="single"/>
          <w:lang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ind w:firstLine="480" w:firstLineChars="200"/>
        <w:rPr>
          <w:sz w:val="24"/>
          <w:szCs w:val="24"/>
          <w:lang w:eastAsia="zh-CN"/>
        </w:rPr>
      </w:pPr>
      <w:r>
        <w:rPr>
          <w:rFonts w:hint="eastAsia"/>
          <w:sz w:val="24"/>
          <w:szCs w:val="24"/>
          <w:lang w:eastAsia="zh-CN"/>
        </w:rPr>
        <w:t>代理人无转委托权，特此委托。</w:t>
      </w:r>
    </w:p>
    <w:p>
      <w:pPr>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9"/>
        <w:tblW w:w="0" w:type="auto"/>
        <w:tblInd w:w="0" w:type="dxa"/>
        <w:tblLayout w:type="autofit"/>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ind w:firstLine="480" w:firstLineChars="200"/>
        <w:rPr>
          <w:color w:val="000000"/>
          <w:sz w:val="24"/>
          <w:szCs w:val="24"/>
          <w:lang w:eastAsia="zh-CN"/>
        </w:rPr>
      </w:pPr>
    </w:p>
    <w:p>
      <w:pPr>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附：代理人身份证明</w:t>
      </w:r>
    </w:p>
    <w:tbl>
      <w:tblPr>
        <w:tblStyle w:val="19"/>
        <w:tblW w:w="0" w:type="auto"/>
        <w:tblInd w:w="0" w:type="dxa"/>
        <w:tblLayout w:type="autofit"/>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3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asciiTheme="minorEastAsia" w:hAnsiTheme="minorEastAsia" w:eastAsiaTheme="minorEastAsia"/>
          <w:sz w:val="24"/>
          <w:szCs w:val="24"/>
          <w:u w:val="single"/>
          <w:lang w:eastAsia="zh-CN"/>
        </w:rPr>
        <w:t>热电厂4×670t/h锅炉烟气脱硝</w:t>
      </w:r>
      <w:r>
        <w:rPr>
          <w:rFonts w:hint="eastAsia" w:asciiTheme="minorEastAsia" w:hAnsiTheme="minorEastAsia" w:eastAsiaTheme="minorEastAsia"/>
          <w:sz w:val="24"/>
          <w:szCs w:val="24"/>
          <w:u w:val="single"/>
          <w:lang w:eastAsia="zh-CN"/>
        </w:rPr>
        <w:t>还原剂</w:t>
      </w:r>
      <w:r>
        <w:rPr>
          <w:rFonts w:asciiTheme="minorEastAsia" w:hAnsiTheme="minorEastAsia" w:eastAsiaTheme="minorEastAsia"/>
          <w:sz w:val="24"/>
          <w:szCs w:val="24"/>
          <w:u w:val="single"/>
          <w:lang w:eastAsia="zh-CN"/>
        </w:rPr>
        <w:t>液氨改尿素项目可行性研究报告</w:t>
      </w:r>
      <w:r>
        <w:rPr>
          <w:rFonts w:hint="eastAsia"/>
          <w:kern w:val="59"/>
          <w:sz w:val="24"/>
          <w:szCs w:val="24"/>
          <w:u w:val="single"/>
          <w:lang w:eastAsia="zh-CN"/>
        </w:rPr>
        <w:t>及项目申请</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3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7"/>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（注：本报价单和附表需单独密封）</w:t>
      </w:r>
    </w:p>
    <w:p>
      <w:pPr>
        <w:ind w:firstLine="1970" w:firstLineChars="545"/>
        <w:rPr>
          <w:b/>
          <w:bCs/>
          <w:sz w:val="36"/>
          <w:lang w:eastAsia="zh-CN"/>
        </w:rPr>
      </w:pPr>
      <w:r>
        <w:rPr>
          <w:rFonts w:hint="eastAsia"/>
          <w:b/>
          <w:bCs/>
          <w:sz w:val="36"/>
          <w:lang w:eastAsia="zh-CN"/>
        </w:rPr>
        <w:t xml:space="preserve">   报  价  单</w:t>
      </w:r>
    </w:p>
    <w:p>
      <w:pPr>
        <w:ind w:firstLine="480" w:firstLineChars="200"/>
        <w:rPr>
          <w:sz w:val="24"/>
          <w:szCs w:val="24"/>
          <w:u w:val="single"/>
          <w:lang w:eastAsia="zh-CN"/>
        </w:rPr>
      </w:pPr>
      <w:r>
        <w:rPr>
          <w:rFonts w:hint="eastAsia"/>
          <w:sz w:val="24"/>
          <w:szCs w:val="24"/>
          <w:lang w:eastAsia="zh-CN"/>
        </w:rPr>
        <w:t>参选单位：</w:t>
      </w:r>
      <w:r>
        <w:rPr>
          <w:sz w:val="24"/>
          <w:szCs w:val="24"/>
          <w:lang w:eastAsia="zh-CN"/>
        </w:rPr>
        <w:t xml:space="preserve"> ____________________</w:t>
      </w:r>
    </w:p>
    <w:p>
      <w:pPr>
        <w:ind w:left="1640" w:leftChars="200" w:hanging="1200" w:hangingChars="500"/>
        <w:rPr>
          <w:sz w:val="24"/>
          <w:szCs w:val="24"/>
          <w:u w:val="single"/>
          <w:lang w:eastAsia="zh-CN"/>
        </w:rPr>
      </w:pPr>
      <w:r>
        <w:rPr>
          <w:rFonts w:hint="eastAsia"/>
          <w:sz w:val="24"/>
          <w:szCs w:val="24"/>
          <w:lang w:eastAsia="zh-CN"/>
        </w:rPr>
        <w:t>项目名称：</w:t>
      </w:r>
      <w:r>
        <w:rPr>
          <w:rFonts w:asciiTheme="minorEastAsia" w:hAnsiTheme="minorEastAsia" w:eastAsiaTheme="minorEastAsia"/>
          <w:sz w:val="24"/>
          <w:szCs w:val="24"/>
          <w:u w:val="single"/>
          <w:lang w:eastAsia="zh-CN"/>
        </w:rPr>
        <w:t>热电厂4×670t/h锅炉烟气脱硝</w:t>
      </w:r>
      <w:r>
        <w:rPr>
          <w:rFonts w:hint="eastAsia" w:asciiTheme="minorEastAsia" w:hAnsiTheme="minorEastAsia" w:eastAsiaTheme="minorEastAsia"/>
          <w:sz w:val="24"/>
          <w:szCs w:val="24"/>
          <w:u w:val="single"/>
          <w:lang w:eastAsia="zh-CN"/>
        </w:rPr>
        <w:t>还原剂</w:t>
      </w:r>
      <w:r>
        <w:rPr>
          <w:rFonts w:asciiTheme="minorEastAsia" w:hAnsiTheme="minorEastAsia" w:eastAsiaTheme="minorEastAsia"/>
          <w:sz w:val="24"/>
          <w:szCs w:val="24"/>
          <w:u w:val="single"/>
          <w:lang w:eastAsia="zh-CN"/>
        </w:rPr>
        <w:t>液氨改尿素项目可行性研究报告</w:t>
      </w:r>
      <w:r>
        <w:rPr>
          <w:rFonts w:hint="eastAsia"/>
          <w:kern w:val="59"/>
          <w:sz w:val="24"/>
          <w:szCs w:val="24"/>
          <w:u w:val="single"/>
          <w:lang w:eastAsia="zh-CN"/>
        </w:rPr>
        <w:t>及项目申请</w:t>
      </w:r>
    </w:p>
    <w:p>
      <w:pPr>
        <w:ind w:firstLine="480" w:firstLineChars="200"/>
        <w:rPr>
          <w:sz w:val="24"/>
          <w:szCs w:val="24"/>
          <w:lang w:eastAsia="zh-CN"/>
        </w:rPr>
      </w:pPr>
      <w:r>
        <w:rPr>
          <w:rFonts w:hint="eastAsia"/>
          <w:sz w:val="24"/>
          <w:szCs w:val="24"/>
          <w:lang w:eastAsia="zh-CN"/>
        </w:rPr>
        <w:t>参选报价：</w:t>
      </w:r>
    </w:p>
    <w:p>
      <w:pPr>
        <w:ind w:firstLine="1320" w:firstLineChars="55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w:t>
      </w:r>
      <w:r>
        <w:rPr>
          <w:rFonts w:hint="eastAsia"/>
          <w:sz w:val="24"/>
          <w:szCs w:val="24"/>
          <w:lang w:eastAsia="zh-CN"/>
        </w:rPr>
        <w:t>元 （见附表）</w:t>
      </w:r>
    </w:p>
    <w:p>
      <w:pPr>
        <w:pStyle w:val="2"/>
        <w:spacing w:line="360" w:lineRule="auto"/>
        <w:rPr>
          <w:sz w:val="24"/>
          <w:szCs w:val="24"/>
        </w:rPr>
      </w:pPr>
      <w:r>
        <w:rPr>
          <w:rFonts w:hint="eastAsia"/>
          <w:sz w:val="24"/>
          <w:szCs w:val="24"/>
        </w:rPr>
        <w:t xml:space="preserve">      注： 1、价格为含税价，税率：</w:t>
      </w:r>
      <w:r>
        <w:rPr>
          <w:rFonts w:hint="eastAsia"/>
          <w:sz w:val="24"/>
          <w:szCs w:val="24"/>
          <w:u w:val="single"/>
        </w:rPr>
        <w:t xml:space="preserve">  6  %  </w:t>
      </w:r>
      <w:r>
        <w:rPr>
          <w:rFonts w:hint="eastAsia"/>
          <w:sz w:val="24"/>
          <w:szCs w:val="24"/>
        </w:rPr>
        <w:t xml:space="preserve"> ；</w:t>
      </w:r>
    </w:p>
    <w:p>
      <w:pPr>
        <w:pStyle w:val="10"/>
        <w:rPr>
          <w:sz w:val="24"/>
          <w:szCs w:val="24"/>
          <w:lang w:eastAsia="zh-CN"/>
        </w:rPr>
      </w:pPr>
      <w:r>
        <w:rPr>
          <w:rFonts w:hint="eastAsia"/>
          <w:sz w:val="24"/>
          <w:szCs w:val="24"/>
          <w:lang w:eastAsia="zh-CN"/>
        </w:rPr>
        <w:t xml:space="preserve">           2、付款方式：按照比选文件中要求执行</w:t>
      </w:r>
    </w:p>
    <w:p>
      <w:pPr>
        <w:pStyle w:val="10"/>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1）预付款：无；</w:t>
      </w:r>
    </w:p>
    <w:p>
      <w:pPr>
        <w:pStyle w:val="10"/>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2）进度款：工作完成提交</w:t>
      </w:r>
      <w:r>
        <w:rPr>
          <w:rFonts w:hint="eastAsia"/>
          <w:sz w:val="24"/>
          <w:szCs w:val="28"/>
          <w:lang w:eastAsia="zh-CN"/>
        </w:rPr>
        <w:t>可行性研究初稿</w:t>
      </w:r>
      <w:r>
        <w:rPr>
          <w:rFonts w:hint="eastAsia" w:asciiTheme="minorEastAsia" w:hAnsiTheme="minorEastAsia" w:eastAsiaTheme="minorEastAsia"/>
          <w:sz w:val="24"/>
          <w:szCs w:val="24"/>
          <w:lang w:eastAsia="zh-CN"/>
        </w:rPr>
        <w:t>，并经甲方验收合格后，甲方收到乙方全额增值税专用发票15个工作日内，支付合同总价的80%作为进度款。</w:t>
      </w:r>
    </w:p>
    <w:p>
      <w:pPr>
        <w:pStyle w:val="2"/>
        <w:spacing w:line="360" w:lineRule="auto"/>
        <w:ind w:firstLine="720" w:firstLineChars="300"/>
        <w:rPr>
          <w:sz w:val="24"/>
          <w:szCs w:val="24"/>
        </w:rPr>
      </w:pPr>
      <w:r>
        <w:rPr>
          <w:rFonts w:hint="eastAsia" w:asciiTheme="minorEastAsia" w:hAnsiTheme="minorEastAsia" w:eastAsiaTheme="minorEastAsia"/>
          <w:sz w:val="24"/>
          <w:szCs w:val="24"/>
        </w:rPr>
        <w:t>3）验收款：</w:t>
      </w:r>
      <w:r>
        <w:rPr>
          <w:rFonts w:hint="eastAsia"/>
          <w:sz w:val="24"/>
          <w:szCs w:val="28"/>
        </w:rPr>
        <w:t>专家评审后1</w:t>
      </w:r>
      <w:r>
        <w:rPr>
          <w:sz w:val="24"/>
          <w:szCs w:val="28"/>
        </w:rPr>
        <w:t>0</w:t>
      </w:r>
      <w:r>
        <w:rPr>
          <w:rFonts w:hint="eastAsia"/>
          <w:sz w:val="24"/>
          <w:szCs w:val="28"/>
        </w:rPr>
        <w:t>天内提供可行性研究文件正式文件及申请报告书，甲方支付合同总价的20%作为验收款；</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ind w:firstLine="451" w:firstLineChars="188"/>
        <w:jc w:val="center"/>
        <w:rPr>
          <w:rFonts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spacing w:line="360" w:lineRule="auto"/>
        <w:ind w:firstLine="451" w:firstLineChars="188"/>
        <w:jc w:val="center"/>
        <w:rPr>
          <w:rFonts w:hAnsi="宋体" w:cs="宋体"/>
          <w:kern w:val="2"/>
          <w:sz w:val="28"/>
          <w:szCs w:val="28"/>
        </w:rPr>
      </w:pPr>
      <w:r>
        <w:rPr>
          <w:rFonts w:hint="eastAsia" w:hAnsi="宋体" w:cs="宋体"/>
          <w:kern w:val="2"/>
          <w:sz w:val="24"/>
          <w:szCs w:val="24"/>
        </w:rPr>
        <w:t>年  月  日</w:t>
      </w:r>
    </w:p>
    <w:bookmarkEnd w:id="9"/>
    <w:p>
      <w:pPr>
        <w:pStyle w:val="8"/>
        <w:spacing w:line="360" w:lineRule="atLeast"/>
        <w:ind w:left="218"/>
        <w:rPr>
          <w:sz w:val="28"/>
          <w:szCs w:val="28"/>
          <w:lang w:eastAsia="zh-CN"/>
        </w:rPr>
      </w:pPr>
      <w:r>
        <w:rPr>
          <w:rFonts w:hint="eastAsia"/>
          <w:sz w:val="28"/>
          <w:szCs w:val="28"/>
          <w:lang w:eastAsia="zh-CN"/>
        </w:rPr>
        <w:t>附表：</w:t>
      </w:r>
    </w:p>
    <w:tbl>
      <w:tblPr>
        <w:tblStyle w:val="19"/>
        <w:tblW w:w="0" w:type="auto"/>
        <w:tblInd w:w="218" w:type="dxa"/>
        <w:tblLayout w:type="autofit"/>
        <w:tblCellMar>
          <w:top w:w="0" w:type="dxa"/>
          <w:left w:w="108" w:type="dxa"/>
          <w:bottom w:w="0" w:type="dxa"/>
          <w:right w:w="108" w:type="dxa"/>
        </w:tblCellMar>
      </w:tblPr>
      <w:tblGrid>
        <w:gridCol w:w="741"/>
        <w:gridCol w:w="3260"/>
        <w:gridCol w:w="1128"/>
        <w:gridCol w:w="1709"/>
        <w:gridCol w:w="1710"/>
      </w:tblGrid>
      <w:tr>
        <w:tblPrEx>
          <w:tblCellMar>
            <w:top w:w="0" w:type="dxa"/>
            <w:left w:w="108" w:type="dxa"/>
            <w:bottom w:w="0" w:type="dxa"/>
            <w:right w:w="108" w:type="dxa"/>
          </w:tblCellMar>
        </w:tblPrEx>
        <w:tc>
          <w:tcPr>
            <w:tcW w:w="741" w:type="dxa"/>
            <w:vAlign w:val="center"/>
          </w:tcPr>
          <w:p>
            <w:pPr>
              <w:pStyle w:val="8"/>
              <w:spacing w:line="360" w:lineRule="atLeast"/>
              <w:jc w:val="center"/>
              <w:rPr>
                <w:lang w:eastAsia="zh-CN"/>
              </w:rPr>
            </w:pPr>
            <w:r>
              <w:rPr>
                <w:rFonts w:hint="eastAsia"/>
                <w:lang w:eastAsia="zh-CN"/>
              </w:rPr>
              <w:t>序号</w:t>
            </w:r>
          </w:p>
        </w:tc>
        <w:tc>
          <w:tcPr>
            <w:tcW w:w="3260" w:type="dxa"/>
            <w:vAlign w:val="center"/>
          </w:tcPr>
          <w:p>
            <w:pPr>
              <w:pStyle w:val="8"/>
              <w:spacing w:line="360" w:lineRule="atLeast"/>
              <w:jc w:val="center"/>
              <w:rPr>
                <w:lang w:eastAsia="zh-CN"/>
              </w:rPr>
            </w:pPr>
            <w:r>
              <w:rPr>
                <w:rFonts w:hint="eastAsia"/>
                <w:lang w:eastAsia="zh-CN"/>
              </w:rPr>
              <w:t>名称</w:t>
            </w:r>
          </w:p>
        </w:tc>
        <w:tc>
          <w:tcPr>
            <w:tcW w:w="1128" w:type="dxa"/>
            <w:vAlign w:val="center"/>
          </w:tcPr>
          <w:p>
            <w:pPr>
              <w:pStyle w:val="8"/>
              <w:spacing w:line="360" w:lineRule="atLeast"/>
              <w:jc w:val="center"/>
              <w:rPr>
                <w:lang w:eastAsia="zh-CN"/>
              </w:rPr>
            </w:pPr>
            <w:r>
              <w:rPr>
                <w:rFonts w:hint="eastAsia"/>
                <w:lang w:eastAsia="zh-CN"/>
              </w:rPr>
              <w:t>数量</w:t>
            </w:r>
          </w:p>
        </w:tc>
        <w:tc>
          <w:tcPr>
            <w:tcW w:w="1709" w:type="dxa"/>
            <w:vAlign w:val="center"/>
          </w:tcPr>
          <w:p>
            <w:pPr>
              <w:pStyle w:val="8"/>
              <w:spacing w:line="360" w:lineRule="atLeast"/>
              <w:jc w:val="center"/>
              <w:rPr>
                <w:lang w:eastAsia="zh-CN"/>
              </w:rPr>
            </w:pPr>
            <w:r>
              <w:rPr>
                <w:rFonts w:hint="eastAsia"/>
                <w:lang w:eastAsia="zh-CN"/>
              </w:rPr>
              <w:t>价格（元）</w:t>
            </w:r>
          </w:p>
        </w:tc>
        <w:tc>
          <w:tcPr>
            <w:tcW w:w="1710" w:type="dxa"/>
            <w:vAlign w:val="center"/>
          </w:tcPr>
          <w:p>
            <w:pPr>
              <w:pStyle w:val="8"/>
              <w:spacing w:line="360" w:lineRule="atLeast"/>
              <w:jc w:val="center"/>
              <w:rPr>
                <w:lang w:eastAsia="zh-CN"/>
              </w:rPr>
            </w:pPr>
            <w:r>
              <w:rPr>
                <w:rFonts w:hint="eastAsia"/>
                <w:lang w:eastAsia="zh-CN"/>
              </w:rPr>
              <w:t>备注</w:t>
            </w:r>
          </w:p>
        </w:tc>
      </w:tr>
      <w:tr>
        <w:tblPrEx>
          <w:tblCellMar>
            <w:top w:w="0" w:type="dxa"/>
            <w:left w:w="108" w:type="dxa"/>
            <w:bottom w:w="0" w:type="dxa"/>
            <w:right w:w="108" w:type="dxa"/>
          </w:tblCellMar>
        </w:tblPrEx>
        <w:tc>
          <w:tcPr>
            <w:tcW w:w="741" w:type="dxa"/>
            <w:vAlign w:val="center"/>
          </w:tcPr>
          <w:p>
            <w:pPr>
              <w:pStyle w:val="8"/>
              <w:spacing w:line="360" w:lineRule="atLeast"/>
              <w:jc w:val="center"/>
              <w:rPr>
                <w:lang w:eastAsia="zh-CN"/>
              </w:rPr>
            </w:pPr>
            <w:r>
              <w:rPr>
                <w:rFonts w:hint="eastAsia"/>
                <w:lang w:eastAsia="zh-CN"/>
              </w:rPr>
              <w:t>1</w:t>
            </w:r>
          </w:p>
        </w:tc>
        <w:tc>
          <w:tcPr>
            <w:tcW w:w="3260" w:type="dxa"/>
            <w:vAlign w:val="center"/>
          </w:tcPr>
          <w:p>
            <w:pPr>
              <w:pStyle w:val="8"/>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可行性研究报告</w:t>
            </w:r>
          </w:p>
        </w:tc>
        <w:tc>
          <w:tcPr>
            <w:tcW w:w="1128" w:type="dxa"/>
            <w:vAlign w:val="center"/>
          </w:tcPr>
          <w:p>
            <w:pPr>
              <w:pStyle w:val="8"/>
              <w:spacing w:line="360" w:lineRule="atLeast"/>
              <w:jc w:val="center"/>
              <w:rPr>
                <w:lang w:eastAsia="zh-CN"/>
              </w:rPr>
            </w:pPr>
            <w:r>
              <w:rPr>
                <w:rFonts w:hint="eastAsia"/>
                <w:lang w:eastAsia="zh-CN"/>
              </w:rPr>
              <w:t>1</w:t>
            </w:r>
          </w:p>
        </w:tc>
        <w:tc>
          <w:tcPr>
            <w:tcW w:w="1709" w:type="dxa"/>
            <w:vAlign w:val="center"/>
          </w:tcPr>
          <w:p>
            <w:pPr>
              <w:pStyle w:val="8"/>
              <w:spacing w:line="360" w:lineRule="atLeast"/>
              <w:jc w:val="center"/>
              <w:rPr>
                <w:lang w:eastAsia="zh-CN"/>
              </w:rPr>
            </w:pPr>
          </w:p>
        </w:tc>
        <w:tc>
          <w:tcPr>
            <w:tcW w:w="1710" w:type="dxa"/>
            <w:vAlign w:val="center"/>
          </w:tcPr>
          <w:p>
            <w:pPr>
              <w:pStyle w:val="8"/>
              <w:spacing w:line="360" w:lineRule="atLeast"/>
              <w:jc w:val="center"/>
              <w:rPr>
                <w:lang w:eastAsia="zh-CN"/>
              </w:rPr>
            </w:pPr>
          </w:p>
        </w:tc>
      </w:tr>
      <w:tr>
        <w:tblPrEx>
          <w:tblCellMar>
            <w:top w:w="0" w:type="dxa"/>
            <w:left w:w="108" w:type="dxa"/>
            <w:bottom w:w="0" w:type="dxa"/>
            <w:right w:w="108" w:type="dxa"/>
          </w:tblCellMar>
        </w:tblPrEx>
        <w:tc>
          <w:tcPr>
            <w:tcW w:w="741" w:type="dxa"/>
            <w:vAlign w:val="center"/>
          </w:tcPr>
          <w:p>
            <w:pPr>
              <w:pStyle w:val="8"/>
              <w:spacing w:line="360" w:lineRule="atLeast"/>
              <w:jc w:val="center"/>
              <w:rPr>
                <w:lang w:eastAsia="zh-CN"/>
              </w:rPr>
            </w:pPr>
            <w:r>
              <w:rPr>
                <w:rFonts w:hint="eastAsia"/>
                <w:lang w:eastAsia="zh-CN"/>
              </w:rPr>
              <w:t>2</w:t>
            </w:r>
          </w:p>
        </w:tc>
        <w:tc>
          <w:tcPr>
            <w:tcW w:w="3260" w:type="dxa"/>
            <w:vAlign w:val="center"/>
          </w:tcPr>
          <w:p>
            <w:pPr>
              <w:pStyle w:val="8"/>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项目申请报告</w:t>
            </w:r>
          </w:p>
        </w:tc>
        <w:tc>
          <w:tcPr>
            <w:tcW w:w="1128" w:type="dxa"/>
            <w:vAlign w:val="center"/>
          </w:tcPr>
          <w:p>
            <w:pPr>
              <w:pStyle w:val="8"/>
              <w:spacing w:line="360" w:lineRule="atLeast"/>
              <w:jc w:val="center"/>
              <w:rPr>
                <w:lang w:eastAsia="zh-CN"/>
              </w:rPr>
            </w:pPr>
            <w:r>
              <w:rPr>
                <w:rFonts w:hint="eastAsia"/>
                <w:lang w:eastAsia="zh-CN"/>
              </w:rPr>
              <w:t>1</w:t>
            </w:r>
          </w:p>
        </w:tc>
        <w:tc>
          <w:tcPr>
            <w:tcW w:w="1709" w:type="dxa"/>
            <w:vAlign w:val="center"/>
          </w:tcPr>
          <w:p>
            <w:pPr>
              <w:pStyle w:val="8"/>
              <w:spacing w:line="360" w:lineRule="atLeast"/>
              <w:jc w:val="center"/>
              <w:rPr>
                <w:lang w:eastAsia="zh-CN"/>
              </w:rPr>
            </w:pPr>
          </w:p>
        </w:tc>
        <w:tc>
          <w:tcPr>
            <w:tcW w:w="1710" w:type="dxa"/>
            <w:vAlign w:val="center"/>
          </w:tcPr>
          <w:p>
            <w:pPr>
              <w:pStyle w:val="8"/>
              <w:spacing w:line="360" w:lineRule="atLeast"/>
              <w:jc w:val="center"/>
              <w:rPr>
                <w:lang w:eastAsia="zh-CN"/>
              </w:rPr>
            </w:pPr>
          </w:p>
        </w:tc>
      </w:tr>
      <w:tr>
        <w:tblPrEx>
          <w:tblCellMar>
            <w:top w:w="0" w:type="dxa"/>
            <w:left w:w="108" w:type="dxa"/>
            <w:bottom w:w="0" w:type="dxa"/>
            <w:right w:w="108" w:type="dxa"/>
          </w:tblCellMar>
        </w:tblPrEx>
        <w:trPr>
          <w:trHeight w:val="786" w:hRule="atLeast"/>
        </w:trPr>
        <w:tc>
          <w:tcPr>
            <w:tcW w:w="741" w:type="dxa"/>
            <w:vAlign w:val="center"/>
          </w:tcPr>
          <w:p>
            <w:pPr>
              <w:pStyle w:val="8"/>
              <w:spacing w:line="360" w:lineRule="atLeast"/>
              <w:jc w:val="center"/>
              <w:rPr>
                <w:lang w:eastAsia="zh-CN"/>
              </w:rPr>
            </w:pPr>
          </w:p>
        </w:tc>
        <w:tc>
          <w:tcPr>
            <w:tcW w:w="3260" w:type="dxa"/>
            <w:vAlign w:val="center"/>
          </w:tcPr>
          <w:p>
            <w:pPr>
              <w:pStyle w:val="8"/>
              <w:spacing w:line="360" w:lineRule="atLeast"/>
              <w:jc w:val="center"/>
              <w:rPr>
                <w:lang w:eastAsia="zh-CN"/>
              </w:rPr>
            </w:pPr>
            <w:r>
              <w:rPr>
                <w:rFonts w:hint="eastAsia"/>
                <w:lang w:eastAsia="zh-CN"/>
              </w:rPr>
              <w:t>合计：</w:t>
            </w:r>
          </w:p>
        </w:tc>
        <w:tc>
          <w:tcPr>
            <w:tcW w:w="4547" w:type="dxa"/>
            <w:gridSpan w:val="3"/>
            <w:vAlign w:val="center"/>
          </w:tcPr>
          <w:p>
            <w:pPr>
              <w:pStyle w:val="8"/>
              <w:spacing w:line="360" w:lineRule="atLeast"/>
              <w:jc w:val="center"/>
              <w:rPr>
                <w:lang w:eastAsia="zh-CN"/>
              </w:rPr>
            </w:pPr>
          </w:p>
        </w:tc>
      </w:tr>
    </w:tbl>
    <w:p>
      <w:pPr>
        <w:pStyle w:val="8"/>
        <w:spacing w:line="360" w:lineRule="atLeast"/>
        <w:ind w:left="218"/>
        <w:rPr>
          <w:b/>
          <w:sz w:val="28"/>
          <w:szCs w:val="28"/>
          <w:lang w:eastAsia="zh-CN"/>
        </w:rPr>
      </w:pPr>
      <w:r>
        <w:rPr>
          <w:rFonts w:hint="eastAsia" w:asciiTheme="minorEastAsia" w:hAnsiTheme="minorEastAsia" w:eastAsiaTheme="minorEastAsia"/>
          <w:b/>
          <w:color w:val="000000"/>
          <w:lang w:eastAsia="zh-CN"/>
        </w:rPr>
        <w:t>注明：报价包含项目可行性研究报告及项目报批过程中的专家评审会及相关费用</w:t>
      </w:r>
    </w:p>
    <w:sectPr>
      <w:footerReference r:id="rId9" w:type="default"/>
      <w:pgSz w:w="11910" w:h="16840"/>
      <w:pgMar w:top="1134" w:right="1134" w:bottom="1134" w:left="1134" w:header="0" w:footer="5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9266"/>
      <w:docPartObj>
        <w:docPartGallery w:val="AutoText"/>
      </w:docPartObj>
    </w:sdtPr>
    <w:sdtContent>
      <w:sdt>
        <w:sdtPr>
          <w:id w:val="98381352"/>
          <w:docPartObj>
            <w:docPartGallery w:val="AutoText"/>
          </w:docPartObj>
        </w:sdtPr>
        <w:sdtContent>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RpyH8AQAABgQAAA4AAABkcnMvZTJvRG9jLnhtbK1T&#10;TW/bMAy9D9h/EHRfbAddERhxirZBhwHdB9D2BzCyHAuzRI1SYme/fpSdpF136aEXgyapx/eeqOXV&#10;YDux1xQMukoWs1wK7RTWxm0r+fR492khRYjgaujQ6UoedJBXq48flr0v9Rxb7GpNgkFcKHtfyTZG&#10;X2ZZUK22EGboteNig2Qh8i9ts5qgZ3TbZfM8v8x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W88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vZTB2QAAAA0BAAAPAAAAAAAAAAEAIAAAACIAAABkcnMvZG93bnJl&#10;di54bWxQSwECFAAUAAAACACHTuJAT5GnIfwBAAAGBAAADgAAAAAAAAABACAAAAAoAQAAZHJzL2Uy&#10;b0RvYy54bWxQSwUGAAAAAAYABgBZAQAAl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84711"/>
      <w:docPartObj>
        <w:docPartGallery w:val="AutoText"/>
      </w:docPartObj>
    </w:sdtPr>
    <w:sdtContent>
      <w:sdt>
        <w:sdtPr>
          <w:id w:val="10784710"/>
          <w:docPartObj>
            <w:docPartGallery w:val="AutoText"/>
          </w:docPartObj>
        </w:sdtPr>
        <w:sdtContent>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7543"/>
    <w:multiLevelType w:val="multilevel"/>
    <w:tmpl w:val="155E754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BFC3617"/>
    <w:multiLevelType w:val="multilevel"/>
    <w:tmpl w:val="1BFC36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307595"/>
    <w:multiLevelType w:val="multilevel"/>
    <w:tmpl w:val="1D30759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1FAB0DE7"/>
    <w:multiLevelType w:val="multilevel"/>
    <w:tmpl w:val="1FAB0DE7"/>
    <w:lvl w:ilvl="0" w:tentative="0">
      <w:start w:val="1"/>
      <w:numFmt w:val="japaneseCounting"/>
      <w:pStyle w:val="70"/>
      <w:lvlText w:val="第%1节"/>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B46A88"/>
    <w:multiLevelType w:val="multilevel"/>
    <w:tmpl w:val="1FB46A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6">
    <w:nsid w:val="2F0C238D"/>
    <w:multiLevelType w:val="multilevel"/>
    <w:tmpl w:val="2F0C238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39B33957"/>
    <w:multiLevelType w:val="multilevel"/>
    <w:tmpl w:val="39B339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896832"/>
    <w:multiLevelType w:val="multilevel"/>
    <w:tmpl w:val="3A8968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F42A50"/>
    <w:multiLevelType w:val="multilevel"/>
    <w:tmpl w:val="5DF42A5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6545519C"/>
    <w:multiLevelType w:val="multilevel"/>
    <w:tmpl w:val="6545519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655A678A"/>
    <w:multiLevelType w:val="multilevel"/>
    <w:tmpl w:val="655A678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683E55E8"/>
    <w:multiLevelType w:val="multilevel"/>
    <w:tmpl w:val="683E55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93B0E26"/>
    <w:multiLevelType w:val="multilevel"/>
    <w:tmpl w:val="793B0E2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5"/>
  </w:num>
  <w:num w:numId="3">
    <w:abstractNumId w:val="10"/>
  </w:num>
  <w:num w:numId="4">
    <w:abstractNumId w:val="13"/>
  </w:num>
  <w:num w:numId="5">
    <w:abstractNumId w:val="6"/>
  </w:num>
  <w:num w:numId="6">
    <w:abstractNumId w:val="11"/>
  </w:num>
  <w:num w:numId="7">
    <w:abstractNumId w:val="0"/>
  </w:num>
  <w:num w:numId="8">
    <w:abstractNumId w:val="2"/>
  </w:num>
  <w:num w:numId="9">
    <w:abstractNumId w:val="9"/>
  </w:num>
  <w:num w:numId="10">
    <w:abstractNumId w:val="1"/>
  </w:num>
  <w:num w:numId="11">
    <w:abstractNumId w:val="8"/>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TMwNTJkYTg3NTdjOTVmNjY1ZDgyMGIxMzUwZDkifQ=="/>
  </w:docVars>
  <w:rsids>
    <w:rsidRoot w:val="00967702"/>
    <w:rsid w:val="00000DD4"/>
    <w:rsid w:val="00011407"/>
    <w:rsid w:val="0001646D"/>
    <w:rsid w:val="00036F9A"/>
    <w:rsid w:val="000504F4"/>
    <w:rsid w:val="000544B1"/>
    <w:rsid w:val="0005617A"/>
    <w:rsid w:val="00056334"/>
    <w:rsid w:val="000679D6"/>
    <w:rsid w:val="00071B25"/>
    <w:rsid w:val="00072774"/>
    <w:rsid w:val="00080812"/>
    <w:rsid w:val="000914CE"/>
    <w:rsid w:val="00096304"/>
    <w:rsid w:val="00096FA0"/>
    <w:rsid w:val="00097881"/>
    <w:rsid w:val="000A0820"/>
    <w:rsid w:val="000A0B41"/>
    <w:rsid w:val="000B0660"/>
    <w:rsid w:val="00100155"/>
    <w:rsid w:val="001022CD"/>
    <w:rsid w:val="001064DC"/>
    <w:rsid w:val="0012242A"/>
    <w:rsid w:val="0015691F"/>
    <w:rsid w:val="0015730E"/>
    <w:rsid w:val="00193817"/>
    <w:rsid w:val="001965BE"/>
    <w:rsid w:val="001A3E35"/>
    <w:rsid w:val="001A4283"/>
    <w:rsid w:val="001A6DA0"/>
    <w:rsid w:val="001B0034"/>
    <w:rsid w:val="001B698B"/>
    <w:rsid w:val="001D3581"/>
    <w:rsid w:val="001F0CEE"/>
    <w:rsid w:val="001F35BB"/>
    <w:rsid w:val="0020750C"/>
    <w:rsid w:val="00214E06"/>
    <w:rsid w:val="00217FB9"/>
    <w:rsid w:val="00220E3C"/>
    <w:rsid w:val="00227556"/>
    <w:rsid w:val="002323C2"/>
    <w:rsid w:val="0025561A"/>
    <w:rsid w:val="00260CCA"/>
    <w:rsid w:val="00274096"/>
    <w:rsid w:val="00275301"/>
    <w:rsid w:val="002814C9"/>
    <w:rsid w:val="0028464C"/>
    <w:rsid w:val="0028648A"/>
    <w:rsid w:val="00292A4F"/>
    <w:rsid w:val="0029593E"/>
    <w:rsid w:val="002B21E2"/>
    <w:rsid w:val="002B7F52"/>
    <w:rsid w:val="002C2335"/>
    <w:rsid w:val="002C4D01"/>
    <w:rsid w:val="002C50B1"/>
    <w:rsid w:val="002D31F1"/>
    <w:rsid w:val="002E4DA5"/>
    <w:rsid w:val="002E787B"/>
    <w:rsid w:val="002F23FF"/>
    <w:rsid w:val="002F5451"/>
    <w:rsid w:val="002F781F"/>
    <w:rsid w:val="00315A3D"/>
    <w:rsid w:val="00317238"/>
    <w:rsid w:val="00322549"/>
    <w:rsid w:val="00344A4E"/>
    <w:rsid w:val="00354A2A"/>
    <w:rsid w:val="003569D4"/>
    <w:rsid w:val="00361FCC"/>
    <w:rsid w:val="00365EBB"/>
    <w:rsid w:val="00381F2F"/>
    <w:rsid w:val="00383BF7"/>
    <w:rsid w:val="003850AC"/>
    <w:rsid w:val="00385255"/>
    <w:rsid w:val="00391B4E"/>
    <w:rsid w:val="003921AC"/>
    <w:rsid w:val="003B2198"/>
    <w:rsid w:val="003B4EC5"/>
    <w:rsid w:val="003C21C9"/>
    <w:rsid w:val="003D0571"/>
    <w:rsid w:val="003D678E"/>
    <w:rsid w:val="003F0053"/>
    <w:rsid w:val="003F43B1"/>
    <w:rsid w:val="0040417A"/>
    <w:rsid w:val="004102A6"/>
    <w:rsid w:val="004109C6"/>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4C87"/>
    <w:rsid w:val="004D5630"/>
    <w:rsid w:val="004E1FBD"/>
    <w:rsid w:val="004F3B24"/>
    <w:rsid w:val="00500FC0"/>
    <w:rsid w:val="00501CA1"/>
    <w:rsid w:val="00505A38"/>
    <w:rsid w:val="00514188"/>
    <w:rsid w:val="00515FEE"/>
    <w:rsid w:val="00527BB2"/>
    <w:rsid w:val="00535736"/>
    <w:rsid w:val="00552A74"/>
    <w:rsid w:val="00553A22"/>
    <w:rsid w:val="00553B04"/>
    <w:rsid w:val="00557069"/>
    <w:rsid w:val="00560B11"/>
    <w:rsid w:val="00562166"/>
    <w:rsid w:val="005709F6"/>
    <w:rsid w:val="00573FF1"/>
    <w:rsid w:val="005742D0"/>
    <w:rsid w:val="005808C7"/>
    <w:rsid w:val="0058204B"/>
    <w:rsid w:val="00585A33"/>
    <w:rsid w:val="00586FE6"/>
    <w:rsid w:val="00587FE3"/>
    <w:rsid w:val="00595F8F"/>
    <w:rsid w:val="00596C39"/>
    <w:rsid w:val="005A5310"/>
    <w:rsid w:val="005B4BA0"/>
    <w:rsid w:val="005B50B3"/>
    <w:rsid w:val="005D0B52"/>
    <w:rsid w:val="005D1B67"/>
    <w:rsid w:val="005D47FB"/>
    <w:rsid w:val="005D58C4"/>
    <w:rsid w:val="005E5C97"/>
    <w:rsid w:val="005F141D"/>
    <w:rsid w:val="005F261C"/>
    <w:rsid w:val="00600C9D"/>
    <w:rsid w:val="006046FB"/>
    <w:rsid w:val="0061544E"/>
    <w:rsid w:val="00633387"/>
    <w:rsid w:val="00635BC3"/>
    <w:rsid w:val="00636649"/>
    <w:rsid w:val="00646EC8"/>
    <w:rsid w:val="00653120"/>
    <w:rsid w:val="0066438C"/>
    <w:rsid w:val="00667F1D"/>
    <w:rsid w:val="0067550B"/>
    <w:rsid w:val="006773E6"/>
    <w:rsid w:val="00684DAC"/>
    <w:rsid w:val="006937BE"/>
    <w:rsid w:val="006A1858"/>
    <w:rsid w:val="006A2CC5"/>
    <w:rsid w:val="006A33C7"/>
    <w:rsid w:val="006A36AF"/>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98A"/>
    <w:rsid w:val="007F24C4"/>
    <w:rsid w:val="00804E85"/>
    <w:rsid w:val="00824119"/>
    <w:rsid w:val="00835E9C"/>
    <w:rsid w:val="00855BA1"/>
    <w:rsid w:val="00861D75"/>
    <w:rsid w:val="008671DE"/>
    <w:rsid w:val="008702B4"/>
    <w:rsid w:val="00872EC2"/>
    <w:rsid w:val="00875AF4"/>
    <w:rsid w:val="00876BD4"/>
    <w:rsid w:val="00895F18"/>
    <w:rsid w:val="008A191D"/>
    <w:rsid w:val="008B3F8D"/>
    <w:rsid w:val="008B7944"/>
    <w:rsid w:val="008D126B"/>
    <w:rsid w:val="008E107A"/>
    <w:rsid w:val="008E17CD"/>
    <w:rsid w:val="008E1D4C"/>
    <w:rsid w:val="008F0413"/>
    <w:rsid w:val="008F5317"/>
    <w:rsid w:val="008F7AE5"/>
    <w:rsid w:val="009013B6"/>
    <w:rsid w:val="0090206D"/>
    <w:rsid w:val="009312CA"/>
    <w:rsid w:val="00932015"/>
    <w:rsid w:val="009421B0"/>
    <w:rsid w:val="009428FE"/>
    <w:rsid w:val="00950EDE"/>
    <w:rsid w:val="00951102"/>
    <w:rsid w:val="00955352"/>
    <w:rsid w:val="0095556D"/>
    <w:rsid w:val="00955B5E"/>
    <w:rsid w:val="00956747"/>
    <w:rsid w:val="00967702"/>
    <w:rsid w:val="00981E93"/>
    <w:rsid w:val="00983954"/>
    <w:rsid w:val="009947C4"/>
    <w:rsid w:val="009B6212"/>
    <w:rsid w:val="009C0F2F"/>
    <w:rsid w:val="009C2DD0"/>
    <w:rsid w:val="009C5294"/>
    <w:rsid w:val="009D51FB"/>
    <w:rsid w:val="009F25C2"/>
    <w:rsid w:val="009F5B1F"/>
    <w:rsid w:val="00A016A8"/>
    <w:rsid w:val="00A0663A"/>
    <w:rsid w:val="00A13C33"/>
    <w:rsid w:val="00A13E67"/>
    <w:rsid w:val="00A26F27"/>
    <w:rsid w:val="00A3071D"/>
    <w:rsid w:val="00A372FD"/>
    <w:rsid w:val="00A42218"/>
    <w:rsid w:val="00A4425C"/>
    <w:rsid w:val="00A51DBD"/>
    <w:rsid w:val="00A72525"/>
    <w:rsid w:val="00A9677B"/>
    <w:rsid w:val="00AA0ED3"/>
    <w:rsid w:val="00AA7284"/>
    <w:rsid w:val="00AB7A1A"/>
    <w:rsid w:val="00AD23CF"/>
    <w:rsid w:val="00AD246B"/>
    <w:rsid w:val="00AD7833"/>
    <w:rsid w:val="00AE3D6C"/>
    <w:rsid w:val="00AF1527"/>
    <w:rsid w:val="00AF1AA4"/>
    <w:rsid w:val="00B016E6"/>
    <w:rsid w:val="00B169F6"/>
    <w:rsid w:val="00B26F91"/>
    <w:rsid w:val="00B35AE9"/>
    <w:rsid w:val="00B40916"/>
    <w:rsid w:val="00B42F6B"/>
    <w:rsid w:val="00B44FC3"/>
    <w:rsid w:val="00B469A5"/>
    <w:rsid w:val="00B54AC6"/>
    <w:rsid w:val="00B56C60"/>
    <w:rsid w:val="00B63148"/>
    <w:rsid w:val="00B7354F"/>
    <w:rsid w:val="00B740DE"/>
    <w:rsid w:val="00B914C4"/>
    <w:rsid w:val="00B95390"/>
    <w:rsid w:val="00BA6F1C"/>
    <w:rsid w:val="00BB0BE1"/>
    <w:rsid w:val="00BC74FB"/>
    <w:rsid w:val="00BD05C2"/>
    <w:rsid w:val="00BF21AF"/>
    <w:rsid w:val="00C00630"/>
    <w:rsid w:val="00C10D4E"/>
    <w:rsid w:val="00C23464"/>
    <w:rsid w:val="00C31868"/>
    <w:rsid w:val="00C344E2"/>
    <w:rsid w:val="00C40813"/>
    <w:rsid w:val="00C47989"/>
    <w:rsid w:val="00C52299"/>
    <w:rsid w:val="00C67700"/>
    <w:rsid w:val="00C67890"/>
    <w:rsid w:val="00C67897"/>
    <w:rsid w:val="00C70922"/>
    <w:rsid w:val="00C721A6"/>
    <w:rsid w:val="00C74B28"/>
    <w:rsid w:val="00C95FDD"/>
    <w:rsid w:val="00CA4F31"/>
    <w:rsid w:val="00CB2773"/>
    <w:rsid w:val="00CB2E01"/>
    <w:rsid w:val="00CB3337"/>
    <w:rsid w:val="00CB5AC9"/>
    <w:rsid w:val="00CC034A"/>
    <w:rsid w:val="00CC0DB2"/>
    <w:rsid w:val="00CC5C3D"/>
    <w:rsid w:val="00CD6B06"/>
    <w:rsid w:val="00CE08FB"/>
    <w:rsid w:val="00CE300E"/>
    <w:rsid w:val="00CE40A4"/>
    <w:rsid w:val="00CF78A1"/>
    <w:rsid w:val="00D11B76"/>
    <w:rsid w:val="00D16B99"/>
    <w:rsid w:val="00D201C8"/>
    <w:rsid w:val="00D22A6E"/>
    <w:rsid w:val="00D2565F"/>
    <w:rsid w:val="00D418CF"/>
    <w:rsid w:val="00D52B1C"/>
    <w:rsid w:val="00D62EAC"/>
    <w:rsid w:val="00D65FBC"/>
    <w:rsid w:val="00D749CB"/>
    <w:rsid w:val="00D87A95"/>
    <w:rsid w:val="00D947D8"/>
    <w:rsid w:val="00DA20C9"/>
    <w:rsid w:val="00DA3CA7"/>
    <w:rsid w:val="00DA6512"/>
    <w:rsid w:val="00DB061F"/>
    <w:rsid w:val="00DC14D2"/>
    <w:rsid w:val="00DC4B21"/>
    <w:rsid w:val="00DC4EE8"/>
    <w:rsid w:val="00DD0909"/>
    <w:rsid w:val="00DD43C2"/>
    <w:rsid w:val="00DD56C2"/>
    <w:rsid w:val="00DF062C"/>
    <w:rsid w:val="00DF1BFD"/>
    <w:rsid w:val="00DF7A10"/>
    <w:rsid w:val="00E01695"/>
    <w:rsid w:val="00E15F12"/>
    <w:rsid w:val="00E165C7"/>
    <w:rsid w:val="00E3279B"/>
    <w:rsid w:val="00E36DAF"/>
    <w:rsid w:val="00E47EF8"/>
    <w:rsid w:val="00E5138B"/>
    <w:rsid w:val="00E57297"/>
    <w:rsid w:val="00E607BF"/>
    <w:rsid w:val="00E61853"/>
    <w:rsid w:val="00E62A99"/>
    <w:rsid w:val="00E62C5E"/>
    <w:rsid w:val="00E70394"/>
    <w:rsid w:val="00E77813"/>
    <w:rsid w:val="00E92DDC"/>
    <w:rsid w:val="00ED1BF8"/>
    <w:rsid w:val="00EE6090"/>
    <w:rsid w:val="00EF2696"/>
    <w:rsid w:val="00F0678C"/>
    <w:rsid w:val="00F22509"/>
    <w:rsid w:val="00F322B9"/>
    <w:rsid w:val="00F40AD6"/>
    <w:rsid w:val="00F54418"/>
    <w:rsid w:val="00F6409E"/>
    <w:rsid w:val="00F67994"/>
    <w:rsid w:val="00F701B4"/>
    <w:rsid w:val="00F74A7A"/>
    <w:rsid w:val="00F8634D"/>
    <w:rsid w:val="00F94D43"/>
    <w:rsid w:val="00F963AF"/>
    <w:rsid w:val="00F96FF0"/>
    <w:rsid w:val="00F976D3"/>
    <w:rsid w:val="00FA36C5"/>
    <w:rsid w:val="00FA7916"/>
    <w:rsid w:val="00FB0A0B"/>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C7C5C6D"/>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宋体" w:hAnsi="宋体" w:eastAsia="宋体" w:cs="宋体"/>
      <w:sz w:val="22"/>
      <w:szCs w:val="22"/>
      <w:lang w:val="en-US" w:eastAsia="en-US" w:bidi="ar-SA"/>
    </w:rPr>
  </w:style>
  <w:style w:type="paragraph" w:styleId="3">
    <w:name w:val="heading 1"/>
    <w:basedOn w:val="1"/>
    <w:next w:val="1"/>
    <w:link w:val="28"/>
    <w:qFormat/>
    <w:uiPriority w:val="9"/>
    <w:pPr>
      <w:ind w:left="538"/>
      <w:outlineLvl w:val="0"/>
    </w:pPr>
    <w:rPr>
      <w:b/>
      <w:bCs/>
      <w:sz w:val="28"/>
      <w:szCs w:val="28"/>
    </w:rPr>
  </w:style>
  <w:style w:type="paragraph" w:styleId="4">
    <w:name w:val="heading 2"/>
    <w:basedOn w:val="1"/>
    <w:next w:val="1"/>
    <w:link w:val="29"/>
    <w:qFormat/>
    <w:uiPriority w:val="9"/>
    <w:pPr>
      <w:ind w:left="629"/>
      <w:outlineLvl w:val="1"/>
    </w:pPr>
    <w:rPr>
      <w:b/>
      <w:bCs/>
      <w:sz w:val="24"/>
      <w:szCs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customStyle="1" w:styleId="2">
    <w:name w:val="正文1"/>
    <w:link w:val="27"/>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39"/>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Document Map"/>
    <w:basedOn w:val="1"/>
    <w:link w:val="65"/>
    <w:unhideWhenUsed/>
    <w:qFormat/>
    <w:uiPriority w:val="99"/>
    <w:pPr>
      <w:autoSpaceDE/>
      <w:autoSpaceDN/>
      <w:spacing w:line="240" w:lineRule="auto"/>
      <w:jc w:val="both"/>
    </w:pPr>
    <w:rPr>
      <w:rFonts w:hAnsi="Calibri" w:cs="Times New Roman"/>
      <w:kern w:val="2"/>
      <w:sz w:val="18"/>
      <w:szCs w:val="18"/>
      <w:lang w:eastAsia="zh-CN"/>
    </w:rPr>
  </w:style>
  <w:style w:type="paragraph" w:styleId="7">
    <w:name w:val="annotation text"/>
    <w:basedOn w:val="1"/>
    <w:link w:val="40"/>
    <w:unhideWhenUsed/>
    <w:uiPriority w:val="99"/>
    <w:pPr>
      <w:autoSpaceDE/>
      <w:autoSpaceDN/>
    </w:pPr>
    <w:rPr>
      <w:rFonts w:ascii="Times New Roman" w:hAnsi="Times New Roman" w:cs="Times New Roman"/>
      <w:kern w:val="2"/>
      <w:sz w:val="21"/>
      <w:szCs w:val="24"/>
      <w:lang w:eastAsia="zh-CN"/>
    </w:rPr>
  </w:style>
  <w:style w:type="paragraph" w:styleId="8">
    <w:name w:val="Body Text"/>
    <w:basedOn w:val="1"/>
    <w:link w:val="30"/>
    <w:qFormat/>
    <w:uiPriority w:val="1"/>
    <w:rPr>
      <w:sz w:val="24"/>
      <w:szCs w:val="24"/>
    </w:rPr>
  </w:style>
  <w:style w:type="paragraph" w:styleId="9">
    <w:name w:val="Body Text Indent"/>
    <w:basedOn w:val="1"/>
    <w:link w:val="62"/>
    <w:uiPriority w:val="0"/>
    <w:pPr>
      <w:spacing w:after="120"/>
      <w:ind w:left="420" w:leftChars="200"/>
    </w:pPr>
  </w:style>
  <w:style w:type="paragraph" w:styleId="10">
    <w:name w:val="Plain Text"/>
    <w:basedOn w:val="1"/>
    <w:link w:val="31"/>
    <w:qFormat/>
    <w:uiPriority w:val="0"/>
    <w:rPr>
      <w:rFonts w:hAnsi="Courier New" w:cs="Courier New"/>
      <w:szCs w:val="21"/>
    </w:rPr>
  </w:style>
  <w:style w:type="paragraph" w:styleId="11">
    <w:name w:val="Date"/>
    <w:basedOn w:val="1"/>
    <w:next w:val="1"/>
    <w:link w:val="66"/>
    <w:unhideWhenUsed/>
    <w:qFormat/>
    <w:uiPriority w:val="0"/>
    <w:pPr>
      <w:autoSpaceDE/>
      <w:autoSpaceDN/>
      <w:spacing w:line="240" w:lineRule="auto"/>
      <w:ind w:left="100" w:leftChars="2500"/>
      <w:jc w:val="both"/>
    </w:pPr>
    <w:rPr>
      <w:rFonts w:ascii="Calibri" w:hAnsi="Calibri" w:cs="Times New Roman"/>
      <w:kern w:val="2"/>
      <w:sz w:val="21"/>
      <w:lang w:eastAsia="zh-CN"/>
    </w:rPr>
  </w:style>
  <w:style w:type="paragraph" w:styleId="12">
    <w:name w:val="Balloon Text"/>
    <w:basedOn w:val="1"/>
    <w:link w:val="38"/>
    <w:qFormat/>
    <w:uiPriority w:val="0"/>
    <w:rPr>
      <w:sz w:val="18"/>
      <w:szCs w:val="18"/>
    </w:rPr>
  </w:style>
  <w:style w:type="paragraph" w:styleId="13">
    <w:name w:val="footer"/>
    <w:basedOn w:val="1"/>
    <w:link w:val="32"/>
    <w:qFormat/>
    <w:uiPriority w:val="99"/>
    <w:pPr>
      <w:tabs>
        <w:tab w:val="center" w:pos="4153"/>
        <w:tab w:val="right" w:pos="8306"/>
      </w:tabs>
      <w:snapToGrid w:val="0"/>
    </w:pPr>
    <w:rPr>
      <w:sz w:val="18"/>
      <w:szCs w:val="18"/>
    </w:rPr>
  </w:style>
  <w:style w:type="paragraph" w:styleId="14">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2"/>
    <w:basedOn w:val="1"/>
    <w:next w:val="1"/>
    <w:semiHidden/>
    <w:unhideWhenUsed/>
    <w:qFormat/>
    <w:uiPriority w:val="39"/>
    <w:pPr>
      <w:autoSpaceDE/>
      <w:autoSpaceDN/>
      <w:spacing w:line="240" w:lineRule="auto"/>
      <w:ind w:left="420" w:leftChars="200"/>
      <w:jc w:val="both"/>
    </w:pPr>
    <w:rPr>
      <w:rFonts w:ascii="Calibri" w:hAnsi="Calibri" w:cs="Times New Roman"/>
      <w:kern w:val="2"/>
      <w:sz w:val="21"/>
      <w:lang w:eastAsia="zh-CN"/>
    </w:rPr>
  </w:style>
  <w:style w:type="paragraph" w:styleId="16">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17">
    <w:name w:val="Title"/>
    <w:basedOn w:val="1"/>
    <w:next w:val="1"/>
    <w:link w:val="60"/>
    <w:qFormat/>
    <w:uiPriority w:val="10"/>
    <w:pPr>
      <w:autoSpaceDE/>
      <w:autoSpaceDN/>
      <w:spacing w:before="240" w:after="60"/>
      <w:jc w:val="center"/>
      <w:outlineLvl w:val="0"/>
    </w:pPr>
    <w:rPr>
      <w:rFonts w:ascii="Cambria" w:hAnsi="Cambria" w:cs="Times New Roman"/>
      <w:b/>
      <w:bCs/>
      <w:kern w:val="2"/>
      <w:sz w:val="32"/>
      <w:szCs w:val="32"/>
      <w:lang w:eastAsia="zh-CN"/>
    </w:rPr>
  </w:style>
  <w:style w:type="paragraph" w:styleId="18">
    <w:name w:val="annotation subject"/>
    <w:basedOn w:val="7"/>
    <w:next w:val="7"/>
    <w:link w:val="41"/>
    <w:unhideWhenUsed/>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uiPriority w:val="99"/>
    <w:rPr>
      <w:color w:val="800080"/>
      <w:u w:val="single"/>
    </w:rPr>
  </w:style>
  <w:style w:type="character" w:styleId="25">
    <w:name w:val="Hyperlink"/>
    <w:basedOn w:val="21"/>
    <w:qFormat/>
    <w:uiPriority w:val="99"/>
    <w:rPr>
      <w:color w:val="0000FF"/>
      <w:u w:val="single"/>
    </w:rPr>
  </w:style>
  <w:style w:type="character" w:styleId="26">
    <w:name w:val="annotation reference"/>
    <w:basedOn w:val="21"/>
    <w:unhideWhenUsed/>
    <w:qFormat/>
    <w:uiPriority w:val="99"/>
    <w:rPr>
      <w:sz w:val="21"/>
      <w:szCs w:val="21"/>
    </w:rPr>
  </w:style>
  <w:style w:type="character" w:customStyle="1" w:styleId="27">
    <w:name w:val="正文1 Char"/>
    <w:basedOn w:val="21"/>
    <w:link w:val="2"/>
    <w:locked/>
    <w:uiPriority w:val="0"/>
    <w:rPr>
      <w:rFonts w:ascii="宋体" w:hAnsi="Calibri"/>
      <w:sz w:val="34"/>
      <w:szCs w:val="22"/>
    </w:rPr>
  </w:style>
  <w:style w:type="character" w:customStyle="1" w:styleId="28">
    <w:name w:val="标题 1 Char"/>
    <w:basedOn w:val="21"/>
    <w:link w:val="3"/>
    <w:qFormat/>
    <w:uiPriority w:val="9"/>
    <w:rPr>
      <w:rFonts w:ascii="宋体" w:hAnsi="宋体" w:cs="宋体"/>
      <w:b/>
      <w:bCs/>
      <w:sz w:val="28"/>
      <w:szCs w:val="28"/>
      <w:lang w:eastAsia="en-US"/>
    </w:rPr>
  </w:style>
  <w:style w:type="character" w:customStyle="1" w:styleId="29">
    <w:name w:val="标题 2 Char"/>
    <w:basedOn w:val="21"/>
    <w:link w:val="4"/>
    <w:uiPriority w:val="9"/>
    <w:rPr>
      <w:rFonts w:ascii="宋体" w:hAnsi="宋体" w:cs="宋体"/>
      <w:b/>
      <w:bCs/>
      <w:sz w:val="24"/>
      <w:szCs w:val="24"/>
      <w:lang w:eastAsia="en-US"/>
    </w:rPr>
  </w:style>
  <w:style w:type="character" w:customStyle="1" w:styleId="30">
    <w:name w:val="正文文本 Char"/>
    <w:basedOn w:val="21"/>
    <w:link w:val="8"/>
    <w:qFormat/>
    <w:uiPriority w:val="1"/>
    <w:rPr>
      <w:rFonts w:ascii="宋体" w:hAnsi="宋体" w:cs="宋体"/>
      <w:sz w:val="24"/>
      <w:szCs w:val="24"/>
      <w:lang w:eastAsia="en-US"/>
    </w:rPr>
  </w:style>
  <w:style w:type="character" w:customStyle="1" w:styleId="31">
    <w:name w:val="纯文本 Char"/>
    <w:basedOn w:val="21"/>
    <w:link w:val="10"/>
    <w:qFormat/>
    <w:uiPriority w:val="0"/>
    <w:rPr>
      <w:rFonts w:ascii="宋体" w:hAnsi="Courier New" w:cs="Courier New"/>
      <w:sz w:val="22"/>
      <w:szCs w:val="21"/>
      <w:lang w:eastAsia="en-US"/>
    </w:rPr>
  </w:style>
  <w:style w:type="character" w:customStyle="1" w:styleId="32">
    <w:name w:val="页脚 Char"/>
    <w:basedOn w:val="21"/>
    <w:link w:val="13"/>
    <w:qFormat/>
    <w:uiPriority w:val="99"/>
    <w:rPr>
      <w:rFonts w:ascii="宋体" w:hAnsi="宋体" w:cs="宋体"/>
      <w:sz w:val="18"/>
      <w:szCs w:val="18"/>
      <w:lang w:eastAsia="en-US"/>
    </w:rPr>
  </w:style>
  <w:style w:type="character" w:customStyle="1" w:styleId="33">
    <w:name w:val="页眉 Char"/>
    <w:basedOn w:val="21"/>
    <w:link w:val="14"/>
    <w:qFormat/>
    <w:uiPriority w:val="99"/>
    <w:rPr>
      <w:rFonts w:ascii="宋体" w:hAnsi="宋体" w:cs="宋体"/>
      <w:sz w:val="18"/>
      <w:szCs w:val="22"/>
      <w:lang w:eastAsia="en-US"/>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34"/>
    <w:pPr>
      <w:spacing w:before="206"/>
      <w:ind w:left="959" w:hanging="361"/>
    </w:pPr>
  </w:style>
  <w:style w:type="paragraph" w:customStyle="1" w:styleId="36">
    <w:name w:val="Table Paragraph"/>
    <w:basedOn w:val="1"/>
    <w:qFormat/>
    <w:uiPriority w:val="1"/>
  </w:style>
  <w:style w:type="paragraph" w:customStyle="1" w:styleId="37">
    <w:name w:val="文档正文"/>
    <w:basedOn w:val="1"/>
    <w:qFormat/>
    <w:uiPriority w:val="0"/>
    <w:pPr>
      <w:spacing w:beforeLines="50" w:afterLines="50"/>
      <w:ind w:firstLine="560" w:firstLineChars="200"/>
    </w:pPr>
    <w:rPr>
      <w:rFonts w:cs="Arial"/>
      <w:bCs/>
      <w:sz w:val="28"/>
      <w:szCs w:val="28"/>
    </w:rPr>
  </w:style>
  <w:style w:type="character" w:customStyle="1" w:styleId="38">
    <w:name w:val="批注框文本 Char"/>
    <w:basedOn w:val="21"/>
    <w:link w:val="12"/>
    <w:qFormat/>
    <w:uiPriority w:val="0"/>
    <w:rPr>
      <w:rFonts w:ascii="宋体" w:hAnsi="宋体" w:cs="宋体"/>
      <w:sz w:val="18"/>
      <w:szCs w:val="18"/>
      <w:lang w:eastAsia="en-US"/>
    </w:rPr>
  </w:style>
  <w:style w:type="character" w:customStyle="1" w:styleId="39">
    <w:name w:val="正文缩进 Char"/>
    <w:link w:val="5"/>
    <w:qFormat/>
    <w:uiPriority w:val="0"/>
    <w:rPr>
      <w:kern w:val="2"/>
      <w:sz w:val="21"/>
    </w:rPr>
  </w:style>
  <w:style w:type="character" w:customStyle="1" w:styleId="40">
    <w:name w:val="批注文字 Char"/>
    <w:basedOn w:val="21"/>
    <w:link w:val="7"/>
    <w:qFormat/>
    <w:uiPriority w:val="99"/>
    <w:rPr>
      <w:kern w:val="2"/>
      <w:sz w:val="21"/>
      <w:szCs w:val="24"/>
    </w:rPr>
  </w:style>
  <w:style w:type="character" w:customStyle="1" w:styleId="41">
    <w:name w:val="批注主题 Char"/>
    <w:basedOn w:val="40"/>
    <w:link w:val="18"/>
    <w:uiPriority w:val="99"/>
    <w:rPr>
      <w:b/>
      <w:bCs/>
      <w:kern w:val="2"/>
      <w:sz w:val="21"/>
      <w:szCs w:val="24"/>
    </w:rPr>
  </w:style>
  <w:style w:type="character" w:customStyle="1" w:styleId="42">
    <w:name w:val="xdrichtextbox2"/>
    <w:basedOn w:val="21"/>
    <w:uiPriority w:val="0"/>
    <w:rPr>
      <w:color w:val="0000FF"/>
      <w:sz w:val="18"/>
      <w:szCs w:val="18"/>
      <w:u w:val="none"/>
      <w:bdr w:val="single" w:color="DCDCDC" w:sz="8" w:space="0"/>
      <w:shd w:val="clear" w:color="auto" w:fill="FFFFFF"/>
    </w:rPr>
  </w:style>
  <w:style w:type="paragraph" w:customStyle="1" w:styleId="43">
    <w:name w:val="font0"/>
    <w:basedOn w:val="1"/>
    <w:qFormat/>
    <w:uiPriority w:val="0"/>
    <w:pPr>
      <w:widowControl/>
      <w:autoSpaceDE/>
      <w:autoSpaceDN/>
      <w:spacing w:before="100" w:beforeAutospacing="1" w:after="100" w:afterAutospacing="1"/>
    </w:pPr>
    <w:rPr>
      <w:color w:val="000000"/>
      <w:lang w:eastAsia="zh-CN"/>
    </w:rPr>
  </w:style>
  <w:style w:type="paragraph" w:customStyle="1" w:styleId="44">
    <w:name w:val="font5"/>
    <w:basedOn w:val="1"/>
    <w:uiPriority w:val="0"/>
    <w:pPr>
      <w:widowControl/>
      <w:autoSpaceDE/>
      <w:autoSpaceDN/>
      <w:spacing w:before="100" w:beforeAutospacing="1" w:after="100" w:afterAutospacing="1"/>
    </w:pPr>
    <w:rPr>
      <w:color w:val="000000"/>
      <w:sz w:val="24"/>
      <w:szCs w:val="24"/>
      <w:lang w:eastAsia="zh-CN"/>
    </w:rPr>
  </w:style>
  <w:style w:type="paragraph" w:customStyle="1" w:styleId="45">
    <w:name w:val="xl67"/>
    <w:basedOn w:val="1"/>
    <w:uiPriority w:val="0"/>
    <w:pPr>
      <w:widowControl/>
      <w:autoSpaceDE/>
      <w:autoSpaceDN/>
      <w:spacing w:before="100" w:beforeAutospacing="1" w:after="100" w:afterAutospacing="1"/>
    </w:pPr>
    <w:rPr>
      <w:sz w:val="24"/>
      <w:szCs w:val="24"/>
      <w:lang w:eastAsia="zh-CN"/>
    </w:rPr>
  </w:style>
  <w:style w:type="paragraph" w:customStyle="1" w:styleId="46">
    <w:name w:val="xl68"/>
    <w:basedOn w:val="1"/>
    <w:uiPriority w:val="0"/>
    <w:pPr>
      <w:widowControl/>
      <w:autoSpaceDE/>
      <w:autoSpaceDN/>
      <w:spacing w:before="100" w:beforeAutospacing="1" w:after="100" w:afterAutospacing="1"/>
    </w:pPr>
    <w:rPr>
      <w:b/>
      <w:bCs/>
      <w:sz w:val="24"/>
      <w:szCs w:val="24"/>
      <w:lang w:eastAsia="zh-CN"/>
    </w:rPr>
  </w:style>
  <w:style w:type="paragraph" w:customStyle="1" w:styleId="47">
    <w:name w:val="xl69"/>
    <w:basedOn w:val="1"/>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8">
    <w:name w:val="xl70"/>
    <w:basedOn w:val="1"/>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9">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50">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51">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52">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53">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54">
    <w:name w:val="xl7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55">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56">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57">
    <w:name w:val="xl79"/>
    <w:basedOn w:val="1"/>
    <w:uiPriority w:val="0"/>
    <w:pPr>
      <w:widowControl/>
      <w:pBdr>
        <w:bottom w:val="single" w:color="auto" w:sz="4" w:space="0"/>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58">
    <w:name w:val="wz141"/>
    <w:uiPriority w:val="0"/>
    <w:rPr>
      <w:rFonts w:hint="default" w:ascii="Arial" w:hAnsi="Arial" w:cs="Arial"/>
      <w:color w:val="000000"/>
      <w:sz w:val="21"/>
      <w:szCs w:val="21"/>
    </w:rPr>
  </w:style>
  <w:style w:type="character" w:customStyle="1" w:styleId="59">
    <w:name w:val="apple-converted-space"/>
    <w:basedOn w:val="21"/>
    <w:qFormat/>
    <w:uiPriority w:val="0"/>
  </w:style>
  <w:style w:type="character" w:customStyle="1" w:styleId="60">
    <w:name w:val="标题 Char"/>
    <w:basedOn w:val="21"/>
    <w:link w:val="17"/>
    <w:uiPriority w:val="10"/>
    <w:rPr>
      <w:rFonts w:ascii="Cambria" w:hAnsi="Cambria"/>
      <w:b/>
      <w:bCs/>
      <w:kern w:val="2"/>
      <w:sz w:val="32"/>
      <w:szCs w:val="32"/>
    </w:rPr>
  </w:style>
  <w:style w:type="character" w:customStyle="1" w:styleId="61">
    <w:name w:val="纯文本 Char1"/>
    <w:qFormat/>
    <w:uiPriority w:val="0"/>
    <w:rPr>
      <w:rFonts w:ascii="宋体" w:hAnsi="Courier New" w:cs="Courier New"/>
      <w:sz w:val="22"/>
      <w:szCs w:val="21"/>
      <w:lang w:eastAsia="en-US"/>
    </w:rPr>
  </w:style>
  <w:style w:type="character" w:customStyle="1" w:styleId="62">
    <w:name w:val="正文文本缩进 Char"/>
    <w:basedOn w:val="21"/>
    <w:link w:val="9"/>
    <w:uiPriority w:val="0"/>
    <w:rPr>
      <w:rFonts w:ascii="宋体" w:hAnsi="宋体" w:cs="宋体"/>
      <w:sz w:val="22"/>
      <w:szCs w:val="22"/>
      <w:lang w:eastAsia="en-US"/>
    </w:rPr>
  </w:style>
  <w:style w:type="paragraph" w:customStyle="1" w:styleId="6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64">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65">
    <w:name w:val="文档结构图 Char"/>
    <w:basedOn w:val="21"/>
    <w:link w:val="6"/>
    <w:qFormat/>
    <w:uiPriority w:val="99"/>
    <w:rPr>
      <w:rFonts w:ascii="宋体" w:hAnsi="Calibri"/>
      <w:kern w:val="2"/>
      <w:sz w:val="18"/>
      <w:szCs w:val="18"/>
    </w:rPr>
  </w:style>
  <w:style w:type="character" w:customStyle="1" w:styleId="66">
    <w:name w:val="日期 Char"/>
    <w:basedOn w:val="21"/>
    <w:link w:val="11"/>
    <w:qFormat/>
    <w:uiPriority w:val="0"/>
    <w:rPr>
      <w:rFonts w:ascii="Calibri" w:hAnsi="Calibri"/>
      <w:kern w:val="2"/>
      <w:sz w:val="21"/>
      <w:szCs w:val="22"/>
    </w:rPr>
  </w:style>
  <w:style w:type="paragraph" w:customStyle="1" w:styleId="67">
    <w:name w:val="列出段落1"/>
    <w:basedOn w:val="1"/>
    <w:qFormat/>
    <w:uiPriority w:val="34"/>
    <w:pPr>
      <w:autoSpaceDE/>
      <w:autoSpaceDN/>
      <w:spacing w:line="240" w:lineRule="auto"/>
      <w:ind w:firstLine="420" w:firstLineChars="200"/>
      <w:jc w:val="both"/>
    </w:pPr>
    <w:rPr>
      <w:rFonts w:ascii="Calibri" w:hAnsi="Calibri" w:cs="Times New Roman"/>
      <w:kern w:val="2"/>
      <w:sz w:val="21"/>
      <w:lang w:eastAsia="zh-CN"/>
    </w:rPr>
  </w:style>
  <w:style w:type="paragraph" w:customStyle="1" w:styleId="68">
    <w:name w:val="Default"/>
    <w:qFormat/>
    <w:uiPriority w:val="0"/>
    <w:pPr>
      <w:widowControl w:val="0"/>
      <w:autoSpaceDE w:val="0"/>
      <w:autoSpaceDN w:val="0"/>
      <w:adjustRightInd w:val="0"/>
      <w:spacing w:line="240" w:lineRule="auto"/>
    </w:pPr>
    <w:rPr>
      <w:rFonts w:ascii="Times New Roman" w:hAnsi="Times New Roman" w:eastAsia="宋体" w:cs="Times New Roman"/>
      <w:color w:val="000000"/>
      <w:sz w:val="24"/>
      <w:szCs w:val="24"/>
      <w:lang w:val="en-US" w:eastAsia="zh-CN" w:bidi="ar-SA"/>
    </w:rPr>
  </w:style>
  <w:style w:type="paragraph" w:customStyle="1" w:styleId="69">
    <w:name w:val="样式7"/>
    <w:basedOn w:val="15"/>
    <w:qFormat/>
    <w:uiPriority w:val="0"/>
    <w:pPr>
      <w:tabs>
        <w:tab w:val="left" w:pos="840"/>
        <w:tab w:val="right" w:leader="dot" w:pos="9060"/>
      </w:tabs>
      <w:snapToGrid w:val="0"/>
      <w:spacing w:line="360" w:lineRule="auto"/>
      <w:ind w:left="210" w:leftChars="0"/>
      <w:jc w:val="left"/>
    </w:pPr>
    <w:rPr>
      <w:rFonts w:ascii="宋体" w:hAnsi="宋体"/>
      <w:smallCaps/>
      <w:color w:val="000000"/>
      <w:sz w:val="28"/>
      <w:szCs w:val="28"/>
    </w:rPr>
  </w:style>
  <w:style w:type="paragraph" w:customStyle="1" w:styleId="70">
    <w:name w:val="技术规范书-节列表"/>
    <w:basedOn w:val="3"/>
    <w:qFormat/>
    <w:uiPriority w:val="0"/>
    <w:pPr>
      <w:keepNext/>
      <w:keepLines/>
      <w:numPr>
        <w:ilvl w:val="0"/>
        <w:numId w:val="1"/>
      </w:numPr>
      <w:autoSpaceDE/>
      <w:autoSpaceDN/>
      <w:spacing w:line="720" w:lineRule="auto"/>
      <w:jc w:val="center"/>
    </w:pPr>
    <w:rPr>
      <w:rFonts w:ascii="黑体" w:hAnsi="黑体" w:eastAsia="黑体" w:cs="Times New Roman"/>
      <w:kern w:val="44"/>
      <w:sz w:val="32"/>
      <w:szCs w:val="4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6FBA4-BC6C-4F84-8347-6E742695EAD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45</Pages>
  <Words>25370</Words>
  <Characters>26898</Characters>
  <Lines>210</Lines>
  <Paragraphs>59</Paragraphs>
  <TotalTime>246</TotalTime>
  <ScaleCrop>false</ScaleCrop>
  <LinksUpToDate>false</LinksUpToDate>
  <CharactersWithSpaces>28296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2022-12-19T01:32:00Z</dcterms:created>
  <dc:creator>CGC</dc:creator>
  <cp:lastModifiedBy>杰</cp:lastModifiedBy>
  <cp:lastPrinted>2019-10-12T01:19:00Z</cp:lastPrinted>
  <dcterms:modified xsi:type="dcterms:W3CDTF">2022-12-28T03:23:53Z</dcterms:modified>
  <dc:title>公开招标文件（货物服务类）</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2052-11.1.0.12763</vt:lpwstr>
  </property>
  <property fmtid="{D5CDD505-2E9C-101B-9397-08002B2CF9AE}" pid="6" name="ICV">
    <vt:lpwstr>EEE3135447124D589457AE78D3E84B2F</vt:lpwstr>
  </property>
</Properties>
</file>