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5" w:firstLineChars="400"/>
        <w:jc w:val="both"/>
        <w:rPr>
          <w:rFonts w:hint="eastAsia"/>
          <w:b/>
          <w:bCs/>
          <w:sz w:val="32"/>
          <w:lang w:eastAsia="zh-CN"/>
        </w:rPr>
      </w:pPr>
      <w:r>
        <w:rPr>
          <w:rFonts w:hint="eastAsia"/>
          <w:b/>
          <w:bCs/>
          <w:sz w:val="32"/>
          <w:lang w:eastAsia="zh-CN"/>
        </w:rPr>
        <w:t>福建福海创石油化工有限公司原料适应性技改项目</w:t>
      </w:r>
    </w:p>
    <w:p>
      <w:pPr>
        <w:jc w:val="center"/>
        <w:rPr>
          <w:rFonts w:hint="eastAsia"/>
          <w:b/>
          <w:bCs/>
          <w:sz w:val="32"/>
          <w:lang w:eastAsia="zh-CN"/>
        </w:rPr>
      </w:pPr>
      <w:r>
        <w:rPr>
          <w:rFonts w:hint="eastAsia"/>
          <w:b/>
          <w:bCs/>
          <w:sz w:val="32"/>
          <w:lang w:eastAsia="zh-CN"/>
        </w:rPr>
        <w:t>储运凝析油罐区新增混合、调和设施工程</w:t>
      </w:r>
      <w:r>
        <w:rPr>
          <w:rFonts w:hint="eastAsia"/>
          <w:b/>
          <w:bCs/>
          <w:sz w:val="32"/>
          <w:lang w:val="en-US" w:eastAsia="zh-CN"/>
        </w:rPr>
        <w:t>管件</w:t>
      </w:r>
      <w:r>
        <w:rPr>
          <w:rFonts w:hint="eastAsia"/>
          <w:b/>
          <w:bCs/>
          <w:sz w:val="32"/>
          <w:lang w:eastAsia="zh-CN"/>
        </w:rPr>
        <w:t>采购项目比选公告</w:t>
      </w:r>
    </w:p>
    <w:p>
      <w:pPr>
        <w:pStyle w:val="19"/>
        <w:rPr>
          <w:b/>
          <w:sz w:val="28"/>
          <w:lang w:eastAsia="zh-CN"/>
        </w:rPr>
      </w:pPr>
    </w:p>
    <w:p>
      <w:pPr>
        <w:keepNext w:val="0"/>
        <w:keepLines w:val="0"/>
        <w:pageBreakBefore w:val="0"/>
        <w:widowControl w:val="0"/>
        <w:tabs>
          <w:tab w:val="left" w:pos="709"/>
        </w:tabs>
        <w:kinsoku/>
        <w:wordWrap/>
        <w:overflowPunct/>
        <w:topLinePunct w:val="0"/>
        <w:bidi w:val="0"/>
        <w:spacing w:line="600" w:lineRule="exact"/>
        <w:ind w:firstLine="440" w:firstLineChars="200"/>
        <w:jc w:val="both"/>
        <w:rPr>
          <w:rFonts w:hint="eastAsia"/>
          <w:sz w:val="24"/>
          <w:szCs w:val="24"/>
          <w:lang w:eastAsia="zh-CN"/>
        </w:rPr>
      </w:pPr>
      <w:r>
        <w:rPr>
          <w:rFonts w:hint="eastAsia"/>
          <w:lang w:eastAsia="zh-CN"/>
        </w:rPr>
        <w:t xml:space="preserve">    </w:t>
      </w:r>
      <w:r>
        <w:rPr>
          <w:rFonts w:hint="eastAsia"/>
          <w:sz w:val="24"/>
          <w:szCs w:val="24"/>
          <w:lang w:eastAsia="zh-CN"/>
        </w:rPr>
        <w:t>福建福海创石油化工有限公司就“</w:t>
      </w:r>
      <w:r>
        <w:rPr>
          <w:rFonts w:hint="eastAsia"/>
          <w:sz w:val="24"/>
          <w:szCs w:val="24"/>
          <w:u w:val="single"/>
          <w:lang w:eastAsia="zh-CN"/>
        </w:rPr>
        <w:t>福建福海创石油化工有限公司原料适应性技改项目储运凝析油罐区新增混合、调和设施工程</w:t>
      </w:r>
      <w:r>
        <w:rPr>
          <w:rFonts w:hint="eastAsia"/>
          <w:sz w:val="24"/>
          <w:szCs w:val="24"/>
          <w:u w:val="single"/>
          <w:lang w:val="en-US" w:eastAsia="zh-CN"/>
        </w:rPr>
        <w:t>管件</w:t>
      </w:r>
      <w:r>
        <w:rPr>
          <w:rFonts w:hint="eastAsia"/>
          <w:sz w:val="24"/>
          <w:szCs w:val="24"/>
          <w:u w:val="single"/>
          <w:lang w:eastAsia="zh-CN"/>
        </w:rPr>
        <w:t>采购项目（项目编号：FHC-GKJCG-20221213002</w:t>
      </w:r>
      <w:r>
        <w:rPr>
          <w:rFonts w:hint="eastAsia"/>
          <w:sz w:val="24"/>
          <w:szCs w:val="24"/>
          <w:u w:val="single"/>
          <w:lang w:val="en-US" w:eastAsia="zh-CN"/>
        </w:rPr>
        <w:t>-1</w:t>
      </w:r>
      <w:r>
        <w:rPr>
          <w:rFonts w:hint="eastAsia"/>
          <w:sz w:val="24"/>
          <w:szCs w:val="24"/>
          <w:u w:val="single"/>
          <w:lang w:eastAsia="zh-CN"/>
        </w:rPr>
        <w:t>）</w:t>
      </w:r>
      <w:r>
        <w:rPr>
          <w:rFonts w:hint="eastAsia"/>
          <w:sz w:val="24"/>
          <w:szCs w:val="24"/>
          <w:lang w:eastAsia="zh-CN"/>
        </w:rPr>
        <w:t>”进行国内公开比选，欢迎国内符合条件的供应商积极参选。</w:t>
      </w:r>
    </w:p>
    <w:p>
      <w:pPr>
        <w:keepNext w:val="0"/>
        <w:keepLines w:val="0"/>
        <w:pageBreakBefore w:val="0"/>
        <w:widowControl w:val="0"/>
        <w:tabs>
          <w:tab w:val="left" w:pos="709"/>
        </w:tabs>
        <w:kinsoku/>
        <w:wordWrap/>
        <w:overflowPunct/>
        <w:topLinePunct w:val="0"/>
        <w:bidi w:val="0"/>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color w:val="000000"/>
          <w:sz w:val="24"/>
          <w:szCs w:val="24"/>
          <w:lang w:val="en-US" w:eastAsia="zh-CN"/>
        </w:rPr>
        <w:t>原</w:t>
      </w:r>
      <w:r>
        <w:rPr>
          <w:rFonts w:hint="eastAsia"/>
          <w:sz w:val="24"/>
          <w:szCs w:val="24"/>
          <w:lang w:eastAsia="zh-CN"/>
        </w:rPr>
        <w:t>料适应性技改项目储运凝析油罐区新增混合、调和设施工程</w:t>
      </w:r>
      <w:r>
        <w:rPr>
          <w:rFonts w:hint="eastAsia"/>
          <w:sz w:val="24"/>
          <w:szCs w:val="24"/>
          <w:lang w:val="en-US" w:eastAsia="zh-CN"/>
        </w:rPr>
        <w:t>管件</w:t>
      </w:r>
      <w:r>
        <w:rPr>
          <w:rFonts w:hint="eastAsia"/>
          <w:sz w:val="24"/>
          <w:szCs w:val="24"/>
          <w:lang w:eastAsia="zh-CN"/>
        </w:rPr>
        <w:t>采购项目。</w:t>
      </w:r>
    </w:p>
    <w:p>
      <w:pPr>
        <w:keepNext w:val="0"/>
        <w:keepLines w:val="0"/>
        <w:pageBreakBefore w:val="0"/>
        <w:widowControl w:val="0"/>
        <w:tabs>
          <w:tab w:val="left" w:pos="567"/>
        </w:tabs>
        <w:kinsoku/>
        <w:wordWrap/>
        <w:overflowPunct/>
        <w:topLinePunct w:val="0"/>
        <w:bidi w:val="0"/>
        <w:snapToGrid w:val="0"/>
        <w:spacing w:line="600" w:lineRule="exact"/>
        <w:ind w:firstLine="480" w:firstLineChars="200"/>
        <w:jc w:val="both"/>
        <w:rPr>
          <w:rFonts w:hint="eastAsia" w:ascii="宋体" w:hAnsi="宋体" w:eastAsia="宋体" w:cs="宋体"/>
          <w:color w:val="000000"/>
          <w:sz w:val="24"/>
          <w:szCs w:val="24"/>
          <w:lang w:eastAsia="zh-CN"/>
        </w:rPr>
      </w:pPr>
      <w:r>
        <w:rPr>
          <w:sz w:val="24"/>
          <w:szCs w:val="24"/>
          <w:lang w:eastAsia="zh-CN"/>
        </w:rPr>
        <w:t>2.</w:t>
      </w:r>
      <w:r>
        <w:rPr>
          <w:rFonts w:hint="eastAsia"/>
          <w:sz w:val="24"/>
          <w:szCs w:val="24"/>
          <w:lang w:eastAsia="zh-CN"/>
        </w:rPr>
        <w:t>比选项目说明：</w:t>
      </w:r>
      <w:r>
        <w:rPr>
          <w:rFonts w:hint="eastAsia"/>
          <w:color w:val="000000"/>
          <w:sz w:val="24"/>
          <w:szCs w:val="24"/>
          <w:lang w:val="en-US" w:eastAsia="zh-CN"/>
        </w:rPr>
        <w:t>管件采购一批，</w:t>
      </w:r>
      <w:r>
        <w:rPr>
          <w:rFonts w:hint="eastAsia"/>
          <w:color w:val="000000"/>
          <w:sz w:val="24"/>
          <w:szCs w:val="24"/>
          <w:lang w:eastAsia="zh-CN"/>
        </w:rPr>
        <w:t>具体见附件《采购技术要求》及</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管件清单明细表</w:t>
      </w:r>
      <w:r>
        <w:rPr>
          <w:rFonts w:hint="eastAsia" w:ascii="宋体" w:hAnsi="宋体" w:eastAsia="宋体" w:cs="宋体"/>
          <w:color w:val="000000"/>
          <w:sz w:val="24"/>
          <w:szCs w:val="24"/>
          <w:lang w:eastAsia="zh-CN"/>
        </w:rPr>
        <w:t>》。</w:t>
      </w:r>
    </w:p>
    <w:p>
      <w:pPr>
        <w:pStyle w:val="59"/>
        <w:keepNext w:val="0"/>
        <w:keepLines w:val="0"/>
        <w:pageBreakBefore w:val="0"/>
        <w:widowControl w:val="0"/>
        <w:kinsoku/>
        <w:wordWrap/>
        <w:overflowPunct/>
        <w:topLinePunct w:val="0"/>
        <w:bidi w:val="0"/>
        <w:spacing w:line="600" w:lineRule="exact"/>
        <w:ind w:firstLine="480" w:firstLineChars="200"/>
        <w:jc w:val="both"/>
        <w:rPr>
          <w:rFonts w:hint="eastAsia" w:hAnsi="宋体" w:eastAsia="宋体" w:cs="宋体"/>
          <w:bCs/>
          <w:sz w:val="24"/>
          <w:szCs w:val="24"/>
          <w:lang w:eastAsia="zh-CN"/>
        </w:rPr>
      </w:pPr>
      <w:r>
        <w:rPr>
          <w:rFonts w:hint="eastAsia" w:hAnsi="宋体" w:cs="宋体"/>
          <w:bCs/>
          <w:sz w:val="24"/>
          <w:szCs w:val="24"/>
        </w:rPr>
        <w:t>备注：1</w:t>
      </w:r>
      <w:r>
        <w:rPr>
          <w:rFonts w:hAnsi="宋体" w:cs="宋体"/>
          <w:bCs/>
          <w:sz w:val="24"/>
          <w:szCs w:val="24"/>
        </w:rPr>
        <w:t>.</w:t>
      </w:r>
      <w:r>
        <w:rPr>
          <w:rFonts w:hint="eastAsia" w:hAnsi="宋体" w:cs="宋体"/>
          <w:bCs/>
          <w:sz w:val="24"/>
          <w:szCs w:val="24"/>
        </w:rPr>
        <w:t>交货/工程地点：福建福海创石油化工有限公司厂内</w:t>
      </w:r>
      <w:r>
        <w:rPr>
          <w:rFonts w:hint="eastAsia" w:hAnsi="宋体" w:cs="宋体"/>
          <w:bCs/>
          <w:sz w:val="24"/>
          <w:szCs w:val="24"/>
          <w:lang w:eastAsia="zh-CN"/>
        </w:rPr>
        <w:t>。</w:t>
      </w:r>
    </w:p>
    <w:p>
      <w:pPr>
        <w:keepNext w:val="0"/>
        <w:keepLines w:val="0"/>
        <w:pageBreakBefore w:val="0"/>
        <w:widowControl w:val="0"/>
        <w:kinsoku/>
        <w:wordWrap/>
        <w:overflowPunct/>
        <w:topLinePunct w:val="0"/>
        <w:autoSpaceDE/>
        <w:autoSpaceDN/>
        <w:bidi w:val="0"/>
        <w:spacing w:line="600" w:lineRule="exact"/>
        <w:ind w:firstLine="480" w:firstLineChars="200"/>
        <w:jc w:val="both"/>
        <w:rPr>
          <w:snapToGrid w:val="0"/>
          <w:spacing w:val="8"/>
          <w:sz w:val="24"/>
          <w:szCs w:val="24"/>
          <w:lang w:eastAsia="zh-CN"/>
        </w:rPr>
      </w:pPr>
      <w:r>
        <w:rPr>
          <w:bCs/>
          <w:sz w:val="24"/>
          <w:szCs w:val="24"/>
          <w:lang w:eastAsia="zh-CN"/>
        </w:rPr>
        <w:t>2</w:t>
      </w:r>
      <w:r>
        <w:rPr>
          <w:rFonts w:hint="eastAsia"/>
          <w:bCs/>
          <w:sz w:val="24"/>
          <w:szCs w:val="24"/>
          <w:lang w:eastAsia="zh-CN"/>
        </w:rPr>
        <w:t>、</w:t>
      </w:r>
      <w:r>
        <w:rPr>
          <w:rFonts w:hint="eastAsia"/>
          <w:snapToGrid w:val="0"/>
          <w:spacing w:val="8"/>
          <w:sz w:val="24"/>
          <w:szCs w:val="24"/>
          <w:lang w:eastAsia="zh-CN"/>
        </w:rPr>
        <w:t>必须对合同包中的全部物资与服务进行参选，不得仅对合同包中的部分物资或服务进行参选，否则其比选文件将被拒绝。</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sz w:val="24"/>
          <w:szCs w:val="24"/>
          <w:lang w:eastAsia="zh-CN"/>
        </w:rPr>
      </w:pPr>
      <w:r>
        <w:rPr>
          <w:sz w:val="24"/>
          <w:szCs w:val="24"/>
          <w:lang w:eastAsia="zh-CN"/>
        </w:rPr>
        <w:t>3.</w:t>
      </w:r>
      <w:r>
        <w:rPr>
          <w:rFonts w:hint="eastAsia"/>
          <w:sz w:val="24"/>
          <w:szCs w:val="24"/>
          <w:lang w:eastAsia="zh-CN"/>
        </w:rPr>
        <w:t>比选控制价：</w:t>
      </w:r>
      <w:r>
        <w:rPr>
          <w:rFonts w:hint="eastAsia" w:ascii="微软雅黑" w:hAnsi="微软雅黑" w:eastAsia="微软雅黑" w:cs="微软雅黑"/>
          <w:sz w:val="20"/>
          <w:szCs w:val="20"/>
          <w:lang w:val="en-US" w:eastAsia="zh-CN"/>
        </w:rPr>
        <w:t>119</w:t>
      </w:r>
      <w:r>
        <w:rPr>
          <w:sz w:val="24"/>
          <w:szCs w:val="24"/>
          <w:lang w:eastAsia="zh-CN"/>
        </w:rPr>
        <w:t>万元</w:t>
      </w:r>
      <w:r>
        <w:rPr>
          <w:rFonts w:hint="eastAsia"/>
          <w:sz w:val="24"/>
          <w:szCs w:val="24"/>
          <w:lang w:eastAsia="zh-CN"/>
        </w:rPr>
        <w:t>（含13%增值税）</w:t>
      </w:r>
    </w:p>
    <w:p>
      <w:pPr>
        <w:keepNext w:val="0"/>
        <w:keepLines w:val="0"/>
        <w:pageBreakBefore w:val="0"/>
        <w:widowControl w:val="0"/>
        <w:tabs>
          <w:tab w:val="left" w:pos="709"/>
        </w:tabs>
        <w:kinsoku/>
        <w:wordWrap/>
        <w:overflowPunct/>
        <w:topLinePunct w:val="0"/>
        <w:bidi w:val="0"/>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pStyle w:val="75"/>
        <w:keepNext w:val="0"/>
        <w:keepLines w:val="0"/>
        <w:pageBreakBefore w:val="0"/>
        <w:widowControl w:val="0"/>
        <w:numPr>
          <w:ilvl w:val="0"/>
          <w:numId w:val="6"/>
        </w:numPr>
        <w:kinsoku/>
        <w:wordWrap/>
        <w:overflowPunct/>
        <w:topLinePunct w:val="0"/>
        <w:bidi w:val="0"/>
        <w:spacing w:line="600" w:lineRule="exact"/>
        <w:ind w:left="425" w:leftChars="0" w:firstLine="480" w:firstLineChars="200"/>
        <w:jc w:val="both"/>
        <w:rPr>
          <w:rFonts w:ascii="宋体" w:hAnsi="宋体" w:eastAsia="宋体"/>
          <w:color w:val="000000" w:themeColor="text1"/>
          <w:sz w:val="24"/>
        </w:rPr>
      </w:pPr>
      <w:r>
        <w:rPr>
          <w:rFonts w:hint="eastAsia" w:ascii="宋体" w:hAnsi="宋体" w:eastAsia="宋体"/>
          <w:color w:val="000000" w:themeColor="text1"/>
          <w:sz w:val="24"/>
        </w:rPr>
        <w:t>投标人应具备独立法人资格，且有能力承担本项目的制造商。</w:t>
      </w:r>
    </w:p>
    <w:p>
      <w:pPr>
        <w:pStyle w:val="75"/>
        <w:keepNext w:val="0"/>
        <w:keepLines w:val="0"/>
        <w:pageBreakBefore w:val="0"/>
        <w:widowControl w:val="0"/>
        <w:numPr>
          <w:ilvl w:val="0"/>
          <w:numId w:val="6"/>
        </w:numPr>
        <w:kinsoku/>
        <w:wordWrap/>
        <w:overflowPunct/>
        <w:topLinePunct w:val="0"/>
        <w:bidi w:val="0"/>
        <w:spacing w:line="600" w:lineRule="exact"/>
        <w:ind w:left="425" w:leftChars="0" w:firstLine="480" w:firstLineChars="200"/>
        <w:jc w:val="both"/>
        <w:rPr>
          <w:rFonts w:ascii="宋体" w:hAnsi="宋体" w:eastAsia="宋体" w:cs="宋体"/>
          <w:color w:val="000000" w:themeColor="text1"/>
          <w:sz w:val="24"/>
          <w:szCs w:val="24"/>
        </w:rPr>
      </w:pPr>
      <w:r>
        <w:rPr>
          <w:rFonts w:hint="eastAsia" w:ascii="宋体" w:hAnsi="宋体" w:eastAsia="宋体"/>
          <w:color w:val="000000" w:themeColor="text1"/>
          <w:sz w:val="24"/>
        </w:rPr>
        <w:t>投标人应持有有效的资格证：</w:t>
      </w:r>
      <w:r>
        <w:rPr>
          <w:rFonts w:ascii="宋体" w:hAnsi="宋体" w:eastAsia="宋体" w:cs="宋体"/>
          <w:color w:val="000000" w:themeColor="text1"/>
          <w:sz w:val="24"/>
          <w:szCs w:val="24"/>
        </w:rPr>
        <w:t>要求具有覆盖招标物资大类范围的有效ISO9001</w:t>
      </w:r>
      <w:r>
        <w:rPr>
          <w:rFonts w:hint="eastAsia" w:ascii="宋体" w:hAnsi="宋体" w:eastAsia="宋体" w:cs="宋体"/>
          <w:color w:val="000000" w:themeColor="text1"/>
          <w:sz w:val="24"/>
          <w:szCs w:val="24"/>
        </w:rPr>
        <w:t>或GB/T19001</w:t>
      </w:r>
      <w:r>
        <w:rPr>
          <w:rFonts w:ascii="宋体" w:hAnsi="宋体" w:eastAsia="宋体" w:cs="宋体"/>
          <w:color w:val="000000" w:themeColor="text1"/>
          <w:sz w:val="24"/>
          <w:szCs w:val="24"/>
        </w:rPr>
        <w:t>质量管理体系认证</w:t>
      </w:r>
      <w:r>
        <w:rPr>
          <w:rFonts w:hint="eastAsia" w:ascii="宋体" w:hAnsi="宋体" w:eastAsia="宋体" w:cs="宋体"/>
          <w:color w:val="000000" w:themeColor="text1"/>
          <w:sz w:val="24"/>
          <w:szCs w:val="24"/>
        </w:rPr>
        <w:t>，提供证书复印件并在有效期内。</w:t>
      </w:r>
    </w:p>
    <w:p>
      <w:pPr>
        <w:pStyle w:val="75"/>
        <w:keepNext w:val="0"/>
        <w:keepLines w:val="0"/>
        <w:pageBreakBefore w:val="0"/>
        <w:widowControl w:val="0"/>
        <w:numPr>
          <w:ilvl w:val="0"/>
          <w:numId w:val="6"/>
        </w:numPr>
        <w:kinsoku/>
        <w:wordWrap/>
        <w:overflowPunct/>
        <w:topLinePunct w:val="0"/>
        <w:bidi w:val="0"/>
        <w:spacing w:line="600" w:lineRule="exact"/>
        <w:ind w:left="425" w:leftChars="0" w:firstLine="480" w:firstLineChars="200"/>
        <w:jc w:val="both"/>
        <w:rPr>
          <w:rFonts w:ascii="宋体" w:hAnsi="宋体" w:eastAsia="宋体"/>
          <w:color w:val="000000" w:themeColor="text1"/>
          <w:sz w:val="24"/>
        </w:rPr>
      </w:pPr>
      <w:r>
        <w:rPr>
          <w:rFonts w:hint="eastAsia" w:ascii="宋体" w:hAnsi="宋体" w:eastAsia="宋体"/>
          <w:color w:val="000000" w:themeColor="text1"/>
          <w:sz w:val="24"/>
        </w:rPr>
        <w:t>投标人必须是 TSG G07 制造许可范围内的管道元件制造单位，具有发证机关颁发的相应类别的压力管道元件制造许可证（在有效期内并能覆盖本次招标产品类型）。必须提供覆盖其投标范围的、由有资质的检验机构出具的合格型式试验报告及证书（复印件）。</w:t>
      </w:r>
    </w:p>
    <w:p>
      <w:pPr>
        <w:pStyle w:val="75"/>
        <w:keepNext w:val="0"/>
        <w:keepLines w:val="0"/>
        <w:pageBreakBefore w:val="0"/>
        <w:widowControl w:val="0"/>
        <w:numPr>
          <w:ilvl w:val="0"/>
          <w:numId w:val="6"/>
        </w:numPr>
        <w:kinsoku/>
        <w:wordWrap/>
        <w:overflowPunct/>
        <w:topLinePunct w:val="0"/>
        <w:bidi w:val="0"/>
        <w:spacing w:line="600" w:lineRule="exact"/>
        <w:ind w:left="425" w:leftChars="0" w:firstLine="480" w:firstLineChars="200"/>
        <w:jc w:val="both"/>
        <w:rPr>
          <w:rFonts w:ascii="宋体" w:hAnsi="宋体" w:eastAsia="宋体"/>
          <w:color w:val="000000" w:themeColor="text1"/>
          <w:sz w:val="24"/>
        </w:rPr>
      </w:pPr>
      <w:r>
        <w:rPr>
          <w:rFonts w:hint="eastAsia" w:ascii="宋体" w:hAnsi="宋体" w:eastAsia="宋体"/>
          <w:color w:val="000000" w:themeColor="text1"/>
          <w:sz w:val="24"/>
        </w:rPr>
        <w:t>类似项目业绩：</w:t>
      </w:r>
    </w:p>
    <w:p>
      <w:pPr>
        <w:pStyle w:val="75"/>
        <w:keepNext w:val="0"/>
        <w:keepLines w:val="0"/>
        <w:pageBreakBefore w:val="0"/>
        <w:widowControl w:val="0"/>
        <w:numPr>
          <w:ilvl w:val="0"/>
          <w:numId w:val="0"/>
        </w:numPr>
        <w:kinsoku/>
        <w:wordWrap/>
        <w:overflowPunct/>
        <w:topLinePunct w:val="0"/>
        <w:bidi w:val="0"/>
        <w:spacing w:line="600" w:lineRule="exact"/>
        <w:ind w:leftChars="0" w:firstLine="480" w:firstLineChars="200"/>
        <w:jc w:val="both"/>
        <w:rPr>
          <w:rFonts w:ascii="宋体" w:hAnsi="宋体" w:eastAsia="宋体"/>
          <w:color w:val="000000" w:themeColor="text1"/>
          <w:sz w:val="24"/>
        </w:rPr>
      </w:pPr>
      <w:r>
        <w:rPr>
          <w:rFonts w:hint="eastAsia"/>
          <w:color w:val="000000" w:themeColor="text1"/>
          <w:sz w:val="24"/>
          <w:lang w:val="en-US" w:eastAsia="zh-CN"/>
        </w:rPr>
        <w:t>1)</w:t>
      </w:r>
      <w:r>
        <w:rPr>
          <w:rFonts w:hint="eastAsia" w:ascii="宋体" w:hAnsi="宋体" w:eastAsia="宋体"/>
          <w:color w:val="000000" w:themeColor="text1"/>
          <w:sz w:val="24"/>
        </w:rPr>
        <w:t>投标人在2017-2021年，具有在装置规模不小于800万吨/年炼油或80万吨/年乙烯或80万吨/年PX的项目中，不少于2个管件（含）合同业绩。（业绩证明需含管件型号、供货时间、合同复印件（含合同封皮、签字页、供货范围页，价格可隐藏）并加盖投标人公章）。</w:t>
      </w:r>
    </w:p>
    <w:p>
      <w:pPr>
        <w:pStyle w:val="75"/>
        <w:keepNext w:val="0"/>
        <w:keepLines w:val="0"/>
        <w:pageBreakBefore w:val="0"/>
        <w:widowControl w:val="0"/>
        <w:numPr>
          <w:ilvl w:val="0"/>
          <w:numId w:val="0"/>
        </w:numPr>
        <w:kinsoku/>
        <w:wordWrap/>
        <w:overflowPunct/>
        <w:topLinePunct w:val="0"/>
        <w:bidi w:val="0"/>
        <w:spacing w:line="600" w:lineRule="exact"/>
        <w:ind w:leftChars="0" w:firstLine="480" w:firstLineChars="200"/>
        <w:jc w:val="both"/>
        <w:rPr>
          <w:rFonts w:ascii="宋体" w:hAnsi="宋体" w:eastAsia="宋体"/>
          <w:color w:val="000000" w:themeColor="text1"/>
          <w:sz w:val="24"/>
        </w:rPr>
      </w:pPr>
      <w:r>
        <w:rPr>
          <w:rFonts w:hint="eastAsia"/>
          <w:color w:val="000000" w:themeColor="text1"/>
          <w:sz w:val="24"/>
          <w:lang w:val="en-US" w:eastAsia="zh-CN"/>
        </w:rPr>
        <w:t>2)</w:t>
      </w:r>
      <w:r>
        <w:rPr>
          <w:rFonts w:hint="eastAsia" w:ascii="宋体" w:hAnsi="宋体" w:eastAsia="宋体"/>
          <w:color w:val="000000" w:themeColor="text1"/>
          <w:sz w:val="24"/>
        </w:rPr>
        <w:t>投标人需要提供的其他资质（需要提供证明材料）：</w:t>
      </w:r>
      <w:r>
        <w:rPr>
          <w:rFonts w:hint="eastAsia" w:ascii="宋体" w:hAnsi="宋体" w:eastAsia="宋体"/>
          <w:sz w:val="24"/>
        </w:rPr>
        <w:t>投标人为中石化、中石油及中海油的合格供应商；</w:t>
      </w:r>
      <w:r>
        <w:rPr>
          <w:rFonts w:hint="eastAsia" w:ascii="宋体" w:hAnsi="宋体" w:eastAsia="宋体"/>
          <w:color w:val="000000" w:themeColor="text1"/>
          <w:sz w:val="24"/>
        </w:rPr>
        <w:t xml:space="preserve"> </w:t>
      </w:r>
    </w:p>
    <w:p>
      <w:pPr>
        <w:pStyle w:val="75"/>
        <w:keepNext w:val="0"/>
        <w:keepLines w:val="0"/>
        <w:pageBreakBefore w:val="0"/>
        <w:widowControl w:val="0"/>
        <w:numPr>
          <w:ilvl w:val="0"/>
          <w:numId w:val="0"/>
        </w:numPr>
        <w:kinsoku/>
        <w:wordWrap/>
        <w:overflowPunct/>
        <w:topLinePunct w:val="0"/>
        <w:bidi w:val="0"/>
        <w:spacing w:line="600" w:lineRule="exact"/>
        <w:ind w:leftChars="0" w:firstLine="480" w:firstLineChars="200"/>
        <w:jc w:val="both"/>
        <w:rPr>
          <w:rFonts w:ascii="宋体" w:hAnsi="宋体" w:eastAsia="宋体"/>
          <w:color w:val="000000" w:themeColor="text1"/>
          <w:sz w:val="24"/>
        </w:rPr>
      </w:pPr>
      <w:r>
        <w:rPr>
          <w:rFonts w:hint="eastAsia"/>
          <w:color w:val="000000" w:themeColor="text1"/>
          <w:sz w:val="24"/>
          <w:lang w:val="en-US" w:eastAsia="zh-CN"/>
        </w:rPr>
        <w:t>3)</w:t>
      </w:r>
      <w:r>
        <w:rPr>
          <w:rFonts w:hint="eastAsia" w:ascii="宋体" w:hAnsi="宋体" w:eastAsia="宋体"/>
          <w:color w:val="000000" w:themeColor="text1"/>
          <w:sz w:val="24"/>
        </w:rPr>
        <w:t>与招标人存在利害关系可能影响招标公正性的法人、其他组织或者个人，不得参加投标。</w:t>
      </w:r>
    </w:p>
    <w:p>
      <w:pPr>
        <w:pStyle w:val="75"/>
        <w:keepNext w:val="0"/>
        <w:keepLines w:val="0"/>
        <w:pageBreakBefore w:val="0"/>
        <w:widowControl w:val="0"/>
        <w:numPr>
          <w:ilvl w:val="0"/>
          <w:numId w:val="0"/>
        </w:numPr>
        <w:kinsoku/>
        <w:wordWrap/>
        <w:overflowPunct/>
        <w:topLinePunct w:val="0"/>
        <w:bidi w:val="0"/>
        <w:spacing w:line="600" w:lineRule="exact"/>
        <w:ind w:leftChars="0" w:firstLine="480" w:firstLineChars="200"/>
        <w:jc w:val="both"/>
        <w:rPr>
          <w:rFonts w:ascii="宋体" w:hAnsi="宋体" w:eastAsia="宋体"/>
          <w:color w:val="000000" w:themeColor="text1"/>
          <w:sz w:val="24"/>
        </w:rPr>
      </w:pPr>
      <w:r>
        <w:rPr>
          <w:rFonts w:hint="eastAsia"/>
          <w:color w:val="000000" w:themeColor="text1"/>
          <w:sz w:val="24"/>
          <w:lang w:val="en-US" w:eastAsia="zh-CN"/>
        </w:rPr>
        <w:t>4)</w:t>
      </w:r>
      <w:r>
        <w:rPr>
          <w:rFonts w:hint="eastAsia" w:ascii="宋体" w:hAnsi="宋体" w:eastAsia="宋体"/>
          <w:color w:val="000000" w:themeColor="text1"/>
          <w:sz w:val="24"/>
        </w:rPr>
        <w:t>单位负责人为同一人或者存在控股、管理关系的不同单位，不得参加同一招标项目投标。</w:t>
      </w:r>
    </w:p>
    <w:p>
      <w:pPr>
        <w:pStyle w:val="75"/>
        <w:keepNext w:val="0"/>
        <w:keepLines w:val="0"/>
        <w:pageBreakBefore w:val="0"/>
        <w:widowControl w:val="0"/>
        <w:numPr>
          <w:ilvl w:val="0"/>
          <w:numId w:val="0"/>
        </w:numPr>
        <w:kinsoku/>
        <w:wordWrap/>
        <w:overflowPunct/>
        <w:topLinePunct w:val="0"/>
        <w:bidi w:val="0"/>
        <w:spacing w:line="600" w:lineRule="exact"/>
        <w:ind w:leftChars="0" w:firstLine="480" w:firstLineChars="200"/>
        <w:jc w:val="both"/>
        <w:rPr>
          <w:rFonts w:ascii="宋体" w:hAnsi="宋体" w:eastAsia="宋体"/>
          <w:color w:val="000000" w:themeColor="text1"/>
          <w:sz w:val="24"/>
        </w:rPr>
      </w:pPr>
      <w:r>
        <w:rPr>
          <w:rFonts w:hint="eastAsia"/>
          <w:color w:val="000000" w:themeColor="text1"/>
          <w:sz w:val="24"/>
          <w:lang w:val="en-US" w:eastAsia="zh-CN"/>
        </w:rPr>
        <w:t>5)</w:t>
      </w:r>
      <w:r>
        <w:rPr>
          <w:rFonts w:hint="eastAsia" w:ascii="宋体" w:hAnsi="宋体" w:eastAsia="宋体"/>
          <w:color w:val="000000" w:themeColor="text1"/>
          <w:sz w:val="24"/>
        </w:rPr>
        <w:t>本项目投标截止时投标人未处于被有关行政主管部门、司法机关暂停或者取消投标资格状态的。</w:t>
      </w:r>
    </w:p>
    <w:p>
      <w:pPr>
        <w:pStyle w:val="75"/>
        <w:keepNext w:val="0"/>
        <w:keepLines w:val="0"/>
        <w:pageBreakBefore w:val="0"/>
        <w:widowControl w:val="0"/>
        <w:numPr>
          <w:ilvl w:val="0"/>
          <w:numId w:val="6"/>
        </w:numPr>
        <w:kinsoku/>
        <w:wordWrap/>
        <w:overflowPunct/>
        <w:topLinePunct w:val="0"/>
        <w:bidi w:val="0"/>
        <w:spacing w:line="600" w:lineRule="exact"/>
        <w:ind w:left="425" w:leftChars="0" w:firstLine="480" w:firstLineChars="200"/>
        <w:jc w:val="both"/>
        <w:rPr>
          <w:rFonts w:ascii="宋体" w:hAnsi="宋体" w:eastAsia="宋体"/>
          <w:color w:val="000000" w:themeColor="text1"/>
          <w:sz w:val="24"/>
        </w:rPr>
      </w:pPr>
      <w:r>
        <w:rPr>
          <w:rFonts w:hint="eastAsia" w:ascii="宋体" w:hAnsi="宋体" w:eastAsia="宋体"/>
          <w:color w:val="000000" w:themeColor="text1"/>
          <w:sz w:val="24"/>
        </w:rPr>
        <w:t>本项目不接受联合体投标；不接受代理商投标；因资金规模、制造周期、国际形势等因素本采购案不接受国外企业投标。</w:t>
      </w:r>
    </w:p>
    <w:p>
      <w:pPr>
        <w:pStyle w:val="75"/>
        <w:keepNext w:val="0"/>
        <w:keepLines w:val="0"/>
        <w:pageBreakBefore w:val="0"/>
        <w:widowControl w:val="0"/>
        <w:numPr>
          <w:ilvl w:val="0"/>
          <w:numId w:val="6"/>
        </w:numPr>
        <w:kinsoku/>
        <w:wordWrap/>
        <w:overflowPunct/>
        <w:topLinePunct w:val="0"/>
        <w:bidi w:val="0"/>
        <w:spacing w:line="600" w:lineRule="exact"/>
        <w:ind w:left="425" w:leftChars="0" w:firstLine="480" w:firstLineChars="200"/>
        <w:jc w:val="both"/>
        <w:rPr>
          <w:rFonts w:ascii="宋体" w:hAnsi="宋体" w:eastAsia="宋体"/>
          <w:color w:val="000000" w:themeColor="text1"/>
          <w:sz w:val="24"/>
        </w:rPr>
      </w:pPr>
      <w:r>
        <w:rPr>
          <w:rFonts w:hint="eastAsia" w:ascii="宋体" w:hAnsi="宋体" w:eastAsia="宋体"/>
          <w:color w:val="000000" w:themeColor="text1"/>
          <w:sz w:val="24"/>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pPr>
        <w:pStyle w:val="75"/>
        <w:keepNext w:val="0"/>
        <w:keepLines w:val="0"/>
        <w:pageBreakBefore w:val="0"/>
        <w:widowControl w:val="0"/>
        <w:numPr>
          <w:ilvl w:val="0"/>
          <w:numId w:val="6"/>
        </w:numPr>
        <w:kinsoku/>
        <w:wordWrap/>
        <w:overflowPunct/>
        <w:topLinePunct w:val="0"/>
        <w:bidi w:val="0"/>
        <w:spacing w:line="600" w:lineRule="exact"/>
        <w:ind w:left="425" w:leftChars="0" w:firstLine="480" w:firstLineChars="200"/>
        <w:jc w:val="both"/>
        <w:rPr>
          <w:rFonts w:ascii="宋体" w:hAnsi="宋体" w:eastAsia="宋体"/>
          <w:color w:val="000000" w:themeColor="text1"/>
          <w:sz w:val="24"/>
        </w:rPr>
      </w:pPr>
      <w:r>
        <w:rPr>
          <w:rFonts w:hint="eastAsia" w:ascii="宋体" w:hAnsi="宋体" w:eastAsia="宋体"/>
          <w:color w:val="000000" w:themeColor="text1"/>
          <w:sz w:val="24"/>
        </w:rPr>
        <w:t>能够满足福海创到货验收技术要求。</w:t>
      </w:r>
    </w:p>
    <w:p>
      <w:pPr>
        <w:pStyle w:val="75"/>
        <w:keepNext w:val="0"/>
        <w:keepLines w:val="0"/>
        <w:pageBreakBefore w:val="0"/>
        <w:widowControl w:val="0"/>
        <w:numPr>
          <w:ilvl w:val="0"/>
          <w:numId w:val="6"/>
        </w:numPr>
        <w:kinsoku/>
        <w:wordWrap/>
        <w:overflowPunct/>
        <w:topLinePunct w:val="0"/>
        <w:bidi w:val="0"/>
        <w:spacing w:line="600" w:lineRule="exact"/>
        <w:ind w:left="425" w:leftChars="0" w:firstLine="480" w:firstLineChars="200"/>
        <w:jc w:val="both"/>
        <w:rPr>
          <w:rFonts w:ascii="宋体" w:hAnsi="宋体" w:eastAsia="宋体"/>
          <w:color w:val="000000" w:themeColor="text1"/>
          <w:sz w:val="24"/>
        </w:rPr>
      </w:pPr>
      <w:r>
        <w:rPr>
          <w:rFonts w:hint="eastAsia" w:ascii="宋体" w:hAnsi="宋体" w:eastAsia="宋体"/>
          <w:color w:val="000000" w:themeColor="text1"/>
          <w:sz w:val="24"/>
        </w:rPr>
        <w:t>其他资格要求。投标人不得存在下列情形之一：</w:t>
      </w:r>
    </w:p>
    <w:p>
      <w:pPr>
        <w:pStyle w:val="206"/>
        <w:keepNext w:val="0"/>
        <w:keepLines w:val="0"/>
        <w:pageBreakBefore w:val="0"/>
        <w:widowControl w:val="0"/>
        <w:numPr>
          <w:ilvl w:val="0"/>
          <w:numId w:val="7"/>
        </w:numPr>
        <w:kinsoku/>
        <w:wordWrap/>
        <w:overflowPunct/>
        <w:topLinePunct w:val="0"/>
        <w:bidi w:val="0"/>
        <w:adjustRightInd w:val="0"/>
        <w:spacing w:line="600" w:lineRule="exact"/>
        <w:ind w:firstLine="480" w:firstLineChars="200"/>
        <w:jc w:val="both"/>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与招标人存在利害关系且可能影响招标公正性；</w:t>
      </w:r>
    </w:p>
    <w:p>
      <w:pPr>
        <w:pStyle w:val="206"/>
        <w:keepNext w:val="0"/>
        <w:keepLines w:val="0"/>
        <w:pageBreakBefore w:val="0"/>
        <w:widowControl w:val="0"/>
        <w:numPr>
          <w:ilvl w:val="0"/>
          <w:numId w:val="7"/>
        </w:numPr>
        <w:kinsoku/>
        <w:wordWrap/>
        <w:overflowPunct/>
        <w:topLinePunct w:val="0"/>
        <w:bidi w:val="0"/>
        <w:adjustRightInd w:val="0"/>
        <w:spacing w:line="600" w:lineRule="exact"/>
        <w:ind w:firstLine="480" w:firstLineChars="200"/>
        <w:jc w:val="both"/>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与本招标项目的其他投标人为同一个单位负责人；</w:t>
      </w:r>
    </w:p>
    <w:p>
      <w:pPr>
        <w:pStyle w:val="206"/>
        <w:keepNext w:val="0"/>
        <w:keepLines w:val="0"/>
        <w:pageBreakBefore w:val="0"/>
        <w:widowControl w:val="0"/>
        <w:numPr>
          <w:ilvl w:val="0"/>
          <w:numId w:val="7"/>
        </w:numPr>
        <w:kinsoku/>
        <w:wordWrap/>
        <w:overflowPunct/>
        <w:topLinePunct w:val="0"/>
        <w:bidi w:val="0"/>
        <w:adjustRightInd w:val="0"/>
        <w:spacing w:line="600" w:lineRule="exact"/>
        <w:ind w:firstLine="480" w:firstLineChars="200"/>
        <w:jc w:val="both"/>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与本招标项目的其他投标人存在控股、管理关系；</w:t>
      </w:r>
    </w:p>
    <w:p>
      <w:pPr>
        <w:pStyle w:val="206"/>
        <w:keepNext w:val="0"/>
        <w:keepLines w:val="0"/>
        <w:pageBreakBefore w:val="0"/>
        <w:widowControl w:val="0"/>
        <w:numPr>
          <w:ilvl w:val="0"/>
          <w:numId w:val="7"/>
        </w:numPr>
        <w:kinsoku/>
        <w:wordWrap/>
        <w:overflowPunct/>
        <w:topLinePunct w:val="0"/>
        <w:bidi w:val="0"/>
        <w:adjustRightInd w:val="0"/>
        <w:spacing w:line="600" w:lineRule="exact"/>
        <w:ind w:firstLine="480" w:firstLineChars="200"/>
        <w:jc w:val="both"/>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与本招标项目其他投标人代理同一个制造商同一品牌同一型号的设备投标；</w:t>
      </w:r>
    </w:p>
    <w:p>
      <w:pPr>
        <w:pStyle w:val="206"/>
        <w:keepNext w:val="0"/>
        <w:keepLines w:val="0"/>
        <w:pageBreakBefore w:val="0"/>
        <w:widowControl w:val="0"/>
        <w:numPr>
          <w:ilvl w:val="0"/>
          <w:numId w:val="7"/>
        </w:numPr>
        <w:kinsoku/>
        <w:wordWrap/>
        <w:overflowPunct/>
        <w:topLinePunct w:val="0"/>
        <w:bidi w:val="0"/>
        <w:adjustRightInd w:val="0"/>
        <w:spacing w:line="600" w:lineRule="exact"/>
        <w:ind w:firstLine="480" w:firstLineChars="200"/>
        <w:jc w:val="both"/>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为本招标项目提供过设计、编制技术规范和其他文件的咨询服务；</w:t>
      </w:r>
    </w:p>
    <w:p>
      <w:pPr>
        <w:pStyle w:val="206"/>
        <w:keepNext w:val="0"/>
        <w:keepLines w:val="0"/>
        <w:pageBreakBefore w:val="0"/>
        <w:widowControl w:val="0"/>
        <w:numPr>
          <w:ilvl w:val="0"/>
          <w:numId w:val="7"/>
        </w:numPr>
        <w:kinsoku/>
        <w:wordWrap/>
        <w:overflowPunct/>
        <w:topLinePunct w:val="0"/>
        <w:bidi w:val="0"/>
        <w:adjustRightInd w:val="0"/>
        <w:spacing w:line="600" w:lineRule="exact"/>
        <w:ind w:firstLine="480" w:firstLineChars="200"/>
        <w:jc w:val="both"/>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为本招标项目的相关监理人，或者与本工程项目的相关监理人存在隶属关系或者其他利害关系；</w:t>
      </w:r>
    </w:p>
    <w:p>
      <w:pPr>
        <w:pStyle w:val="206"/>
        <w:keepNext w:val="0"/>
        <w:keepLines w:val="0"/>
        <w:pageBreakBefore w:val="0"/>
        <w:widowControl w:val="0"/>
        <w:numPr>
          <w:ilvl w:val="0"/>
          <w:numId w:val="7"/>
        </w:numPr>
        <w:kinsoku/>
        <w:wordWrap/>
        <w:overflowPunct/>
        <w:topLinePunct w:val="0"/>
        <w:bidi w:val="0"/>
        <w:adjustRightInd w:val="0"/>
        <w:spacing w:line="600" w:lineRule="exact"/>
        <w:ind w:firstLine="480" w:firstLineChars="200"/>
        <w:jc w:val="both"/>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为本招标项目的代建人；</w:t>
      </w:r>
    </w:p>
    <w:p>
      <w:pPr>
        <w:pStyle w:val="206"/>
        <w:keepNext w:val="0"/>
        <w:keepLines w:val="0"/>
        <w:pageBreakBefore w:val="0"/>
        <w:widowControl w:val="0"/>
        <w:numPr>
          <w:ilvl w:val="0"/>
          <w:numId w:val="7"/>
        </w:numPr>
        <w:kinsoku/>
        <w:wordWrap/>
        <w:overflowPunct/>
        <w:topLinePunct w:val="0"/>
        <w:bidi w:val="0"/>
        <w:adjustRightInd w:val="0"/>
        <w:spacing w:line="600" w:lineRule="exact"/>
        <w:ind w:firstLine="480" w:firstLineChars="200"/>
        <w:jc w:val="both"/>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为本招标项目的招标代理机构；</w:t>
      </w:r>
    </w:p>
    <w:p>
      <w:pPr>
        <w:pStyle w:val="206"/>
        <w:keepNext w:val="0"/>
        <w:keepLines w:val="0"/>
        <w:pageBreakBefore w:val="0"/>
        <w:widowControl w:val="0"/>
        <w:numPr>
          <w:ilvl w:val="0"/>
          <w:numId w:val="7"/>
        </w:numPr>
        <w:kinsoku/>
        <w:wordWrap/>
        <w:overflowPunct/>
        <w:topLinePunct w:val="0"/>
        <w:bidi w:val="0"/>
        <w:adjustRightInd w:val="0"/>
        <w:spacing w:line="600" w:lineRule="exact"/>
        <w:ind w:firstLine="480" w:firstLineChars="200"/>
        <w:jc w:val="both"/>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与本招标项目的监理人或代建人或招标代理机构同为一个法定代表人；</w:t>
      </w:r>
    </w:p>
    <w:p>
      <w:pPr>
        <w:pStyle w:val="206"/>
        <w:keepNext w:val="0"/>
        <w:keepLines w:val="0"/>
        <w:pageBreakBefore w:val="0"/>
        <w:widowControl w:val="0"/>
        <w:numPr>
          <w:ilvl w:val="0"/>
          <w:numId w:val="7"/>
        </w:numPr>
        <w:kinsoku/>
        <w:wordWrap/>
        <w:overflowPunct/>
        <w:topLinePunct w:val="0"/>
        <w:bidi w:val="0"/>
        <w:adjustRightInd w:val="0"/>
        <w:spacing w:line="600" w:lineRule="exact"/>
        <w:ind w:firstLine="480" w:firstLineChars="200"/>
        <w:jc w:val="both"/>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与本招标项目的监理人或代建人或招标代理机构存在控股或参股关系；</w:t>
      </w:r>
    </w:p>
    <w:p>
      <w:pPr>
        <w:pStyle w:val="206"/>
        <w:keepNext w:val="0"/>
        <w:keepLines w:val="0"/>
        <w:pageBreakBefore w:val="0"/>
        <w:widowControl w:val="0"/>
        <w:numPr>
          <w:ilvl w:val="0"/>
          <w:numId w:val="7"/>
        </w:numPr>
        <w:kinsoku/>
        <w:wordWrap/>
        <w:overflowPunct/>
        <w:topLinePunct w:val="0"/>
        <w:bidi w:val="0"/>
        <w:adjustRightInd w:val="0"/>
        <w:spacing w:line="600" w:lineRule="exact"/>
        <w:ind w:firstLine="480" w:firstLineChars="200"/>
        <w:jc w:val="both"/>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被依法暂停或者取消投标资格；</w:t>
      </w:r>
    </w:p>
    <w:p>
      <w:pPr>
        <w:pStyle w:val="206"/>
        <w:keepNext w:val="0"/>
        <w:keepLines w:val="0"/>
        <w:pageBreakBefore w:val="0"/>
        <w:widowControl w:val="0"/>
        <w:numPr>
          <w:ilvl w:val="0"/>
          <w:numId w:val="7"/>
        </w:numPr>
        <w:kinsoku/>
        <w:wordWrap/>
        <w:overflowPunct/>
        <w:topLinePunct w:val="0"/>
        <w:bidi w:val="0"/>
        <w:adjustRightInd w:val="0"/>
        <w:spacing w:line="600" w:lineRule="exact"/>
        <w:ind w:firstLine="480" w:firstLineChars="200"/>
        <w:jc w:val="both"/>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被责令停产停业、暂扣或者吊销许可证、暂扣或者吊销执照；</w:t>
      </w:r>
    </w:p>
    <w:p>
      <w:pPr>
        <w:pStyle w:val="206"/>
        <w:keepNext w:val="0"/>
        <w:keepLines w:val="0"/>
        <w:pageBreakBefore w:val="0"/>
        <w:widowControl w:val="0"/>
        <w:numPr>
          <w:ilvl w:val="0"/>
          <w:numId w:val="7"/>
        </w:numPr>
        <w:kinsoku/>
        <w:wordWrap/>
        <w:overflowPunct/>
        <w:topLinePunct w:val="0"/>
        <w:bidi w:val="0"/>
        <w:adjustRightInd w:val="0"/>
        <w:spacing w:line="600" w:lineRule="exact"/>
        <w:ind w:firstLine="480" w:firstLineChars="200"/>
        <w:jc w:val="both"/>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进入清算程序，或被宣告破产，或其他丧失履约能力的情形；</w:t>
      </w:r>
    </w:p>
    <w:p>
      <w:pPr>
        <w:pStyle w:val="206"/>
        <w:keepNext w:val="0"/>
        <w:keepLines w:val="0"/>
        <w:pageBreakBefore w:val="0"/>
        <w:widowControl w:val="0"/>
        <w:numPr>
          <w:ilvl w:val="0"/>
          <w:numId w:val="7"/>
        </w:numPr>
        <w:kinsoku/>
        <w:wordWrap/>
        <w:overflowPunct/>
        <w:topLinePunct w:val="0"/>
        <w:bidi w:val="0"/>
        <w:adjustRightInd w:val="0"/>
        <w:spacing w:line="600" w:lineRule="exact"/>
        <w:ind w:firstLine="480" w:firstLineChars="200"/>
        <w:jc w:val="both"/>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在最近三年内发生重大产品质量问题（以相关行业主管部门的行政处罚决定或司法机关出具的有关法律文书为准）；</w:t>
      </w:r>
    </w:p>
    <w:p>
      <w:pPr>
        <w:pStyle w:val="206"/>
        <w:keepNext w:val="0"/>
        <w:keepLines w:val="0"/>
        <w:pageBreakBefore w:val="0"/>
        <w:widowControl w:val="0"/>
        <w:numPr>
          <w:ilvl w:val="0"/>
          <w:numId w:val="7"/>
        </w:numPr>
        <w:kinsoku/>
        <w:wordWrap/>
        <w:overflowPunct/>
        <w:topLinePunct w:val="0"/>
        <w:bidi w:val="0"/>
        <w:adjustRightInd w:val="0"/>
        <w:spacing w:line="600" w:lineRule="exact"/>
        <w:ind w:firstLine="480" w:firstLineChars="200"/>
        <w:jc w:val="both"/>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被市场监督管理机关在全国企业信用信息公示系统中列入严重违法失信企业名单；</w:t>
      </w:r>
    </w:p>
    <w:p>
      <w:pPr>
        <w:pStyle w:val="206"/>
        <w:keepNext w:val="0"/>
        <w:keepLines w:val="0"/>
        <w:pageBreakBefore w:val="0"/>
        <w:widowControl w:val="0"/>
        <w:numPr>
          <w:ilvl w:val="0"/>
          <w:numId w:val="7"/>
        </w:numPr>
        <w:kinsoku/>
        <w:wordWrap/>
        <w:overflowPunct/>
        <w:topLinePunct w:val="0"/>
        <w:bidi w:val="0"/>
        <w:adjustRightInd w:val="0"/>
        <w:spacing w:line="600" w:lineRule="exact"/>
        <w:ind w:firstLine="480" w:firstLineChars="200"/>
        <w:jc w:val="both"/>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被最高人民法院在“信用中国”网站（</w:t>
      </w:r>
      <w:r>
        <w:fldChar w:fldCharType="begin"/>
      </w:r>
      <w:r>
        <w:instrText xml:space="preserve"> HYPERLINK "http://www.creditchina.gov.cn/" \h </w:instrText>
      </w:r>
      <w:r>
        <w:fldChar w:fldCharType="separate"/>
      </w:r>
      <w:r>
        <w:rPr>
          <w:rFonts w:hint="eastAsia" w:ascii="宋体" w:hAnsi="宋体" w:eastAsia="宋体" w:cs="宋体"/>
          <w:color w:val="000000" w:themeColor="text1"/>
          <w:sz w:val="24"/>
          <w:szCs w:val="24"/>
        </w:rPr>
        <w:t>www.creditchina.gov.cn</w:t>
      </w:r>
      <w:r>
        <w:rPr>
          <w:rFonts w:hint="eastAsia" w:ascii="宋体" w:hAnsi="宋体" w:eastAsia="宋体" w:cs="宋体"/>
          <w:color w:val="000000" w:themeColor="text1"/>
          <w:sz w:val="24"/>
          <w:szCs w:val="24"/>
        </w:rPr>
        <w:fldChar w:fldCharType="end"/>
      </w:r>
      <w:r>
        <w:rPr>
          <w:rFonts w:hint="eastAsia" w:ascii="宋体" w:hAnsi="宋体" w:eastAsia="宋体" w:cs="宋体"/>
          <w:color w:val="000000" w:themeColor="text1"/>
          <w:sz w:val="24"/>
          <w:szCs w:val="24"/>
        </w:rPr>
        <w:t>）或各级信用信息共享平台中列入失信被执行人名单；</w:t>
      </w:r>
    </w:p>
    <w:p>
      <w:pPr>
        <w:pStyle w:val="206"/>
        <w:keepNext w:val="0"/>
        <w:keepLines w:val="0"/>
        <w:pageBreakBefore w:val="0"/>
        <w:widowControl w:val="0"/>
        <w:numPr>
          <w:ilvl w:val="0"/>
          <w:numId w:val="7"/>
        </w:numPr>
        <w:kinsoku/>
        <w:wordWrap/>
        <w:overflowPunct/>
        <w:topLinePunct w:val="0"/>
        <w:bidi w:val="0"/>
        <w:adjustRightInd w:val="0"/>
        <w:spacing w:line="600" w:lineRule="exact"/>
        <w:ind w:firstLine="480" w:firstLineChars="200"/>
        <w:jc w:val="both"/>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在近三年内投标人或其法定代表人、拟委任的项目负责人有行贿犯罪行为的（以检察机关职务犯罪预防部门出具的查询结果为准）；</w:t>
      </w:r>
    </w:p>
    <w:p>
      <w:pPr>
        <w:pStyle w:val="206"/>
        <w:keepNext w:val="0"/>
        <w:keepLines w:val="0"/>
        <w:pageBreakBefore w:val="0"/>
        <w:widowControl w:val="0"/>
        <w:numPr>
          <w:ilvl w:val="0"/>
          <w:numId w:val="7"/>
        </w:numPr>
        <w:kinsoku/>
        <w:wordWrap/>
        <w:overflowPunct/>
        <w:topLinePunct w:val="0"/>
        <w:bidi w:val="0"/>
        <w:adjustRightInd w:val="0"/>
        <w:spacing w:line="600" w:lineRule="exact"/>
        <w:ind w:firstLine="480" w:firstLineChars="200"/>
        <w:jc w:val="both"/>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与招标人无诉讼纠纷。</w:t>
      </w:r>
    </w:p>
    <w:p>
      <w:pPr>
        <w:pStyle w:val="206"/>
        <w:keepNext w:val="0"/>
        <w:keepLines w:val="0"/>
        <w:pageBreakBefore w:val="0"/>
        <w:widowControl w:val="0"/>
        <w:numPr>
          <w:ilvl w:val="0"/>
          <w:numId w:val="7"/>
        </w:numPr>
        <w:kinsoku/>
        <w:wordWrap/>
        <w:overflowPunct/>
        <w:topLinePunct w:val="0"/>
        <w:bidi w:val="0"/>
        <w:adjustRightInd w:val="0"/>
        <w:spacing w:line="600" w:lineRule="exact"/>
        <w:ind w:firstLine="480" w:firstLineChars="200"/>
        <w:jc w:val="both"/>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法律法规或投标人须知前附表规定的其他情形。</w:t>
      </w:r>
    </w:p>
    <w:p>
      <w:pPr>
        <w:keepNext w:val="0"/>
        <w:keepLines w:val="0"/>
        <w:pageBreakBefore w:val="0"/>
        <w:widowControl w:val="0"/>
        <w:tabs>
          <w:tab w:val="left" w:pos="709"/>
        </w:tabs>
        <w:kinsoku/>
        <w:wordWrap/>
        <w:overflowPunct/>
        <w:topLinePunct w:val="0"/>
        <w:bidi w:val="0"/>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rPr>
      </w:pPr>
      <w:r>
        <w:rPr>
          <w:rFonts w:hint="eastAsia" w:asciiTheme="minorEastAsia" w:hAnsiTheme="minorEastAsia" w:eastAsiaTheme="minorEastAsia"/>
          <w:bCs/>
          <w:sz w:val="24"/>
          <w:szCs w:val="24"/>
          <w:lang w:eastAsia="zh-CN"/>
        </w:rPr>
        <w:t>1</w:t>
      </w:r>
      <w:r>
        <w:rPr>
          <w:rFonts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eastAsia="zh-CN"/>
        </w:rPr>
        <w:t>报名时间：202</w:t>
      </w:r>
      <w:r>
        <w:rPr>
          <w:rFonts w:asciiTheme="minorEastAsia" w:hAnsiTheme="minorEastAsia" w:eastAsiaTheme="minorEastAsia"/>
          <w:bCs/>
          <w:sz w:val="24"/>
          <w:szCs w:val="24"/>
          <w:lang w:eastAsia="zh-CN"/>
        </w:rPr>
        <w:t>2</w:t>
      </w:r>
      <w:r>
        <w:rPr>
          <w:rFonts w:hint="eastAsia" w:asciiTheme="minorEastAsia" w:hAnsiTheme="minorEastAsia" w:eastAsiaTheme="minorEastAsia"/>
          <w:bCs/>
          <w:sz w:val="24"/>
          <w:szCs w:val="24"/>
          <w:lang w:eastAsia="zh-CN"/>
        </w:rPr>
        <w:t>年</w:t>
      </w:r>
      <w:r>
        <w:rPr>
          <w:rFonts w:hint="eastAsia" w:asciiTheme="minorEastAsia" w:hAnsiTheme="minorEastAsia" w:eastAsiaTheme="minorEastAsia"/>
          <w:bCs/>
          <w:sz w:val="24"/>
          <w:szCs w:val="24"/>
          <w:lang w:val="en-US" w:eastAsia="zh-CN"/>
        </w:rPr>
        <w:t>12</w:t>
      </w:r>
      <w:r>
        <w:rPr>
          <w:rFonts w:hint="eastAsia" w:asciiTheme="minorEastAsia" w:hAnsiTheme="minorEastAsia" w:eastAsiaTheme="minorEastAsia"/>
          <w:bCs/>
          <w:sz w:val="24"/>
          <w:szCs w:val="24"/>
          <w:lang w:eastAsia="zh-CN"/>
        </w:rPr>
        <w:t>月</w:t>
      </w:r>
      <w:r>
        <w:rPr>
          <w:rFonts w:hint="eastAsia" w:asciiTheme="minorEastAsia" w:hAnsiTheme="minorEastAsia" w:eastAsiaTheme="minorEastAsia"/>
          <w:bCs/>
          <w:sz w:val="24"/>
          <w:szCs w:val="24"/>
          <w:lang w:val="en-US" w:eastAsia="zh-CN"/>
        </w:rPr>
        <w:t>30</w:t>
      </w:r>
      <w:r>
        <w:rPr>
          <w:rFonts w:hint="eastAsia" w:asciiTheme="minorEastAsia" w:hAnsiTheme="minorEastAsia" w:eastAsiaTheme="minorEastAsia"/>
          <w:bCs/>
          <w:sz w:val="24"/>
          <w:szCs w:val="24"/>
          <w:lang w:eastAsia="zh-CN"/>
        </w:rPr>
        <w:t>日至202</w:t>
      </w: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lang w:eastAsia="zh-CN"/>
        </w:rPr>
        <w:t>年</w:t>
      </w: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lang w:eastAsia="zh-CN"/>
        </w:rPr>
        <w:t>月</w:t>
      </w:r>
      <w:r>
        <w:rPr>
          <w:rFonts w:hint="eastAsia" w:asciiTheme="minorEastAsia" w:hAnsiTheme="minorEastAsia" w:eastAsiaTheme="minorEastAsia"/>
          <w:bCs/>
          <w:sz w:val="24"/>
          <w:szCs w:val="24"/>
          <w:lang w:val="en-US" w:eastAsia="zh-CN"/>
        </w:rPr>
        <w:t>6</w:t>
      </w:r>
      <w:r>
        <w:rPr>
          <w:rFonts w:hint="eastAsia" w:asciiTheme="minorEastAsia" w:hAnsiTheme="minorEastAsia" w:eastAsiaTheme="minorEastAsia"/>
          <w:bCs/>
          <w:sz w:val="24"/>
          <w:szCs w:val="24"/>
          <w:lang w:eastAsia="zh-CN"/>
        </w:rPr>
        <w:t>日</w:t>
      </w:r>
      <w:r>
        <w:rPr>
          <w:rFonts w:hint="eastAsia" w:asciiTheme="minorEastAsia" w:hAnsiTheme="minorEastAsia" w:eastAsiaTheme="minorEastAsia"/>
          <w:bCs/>
          <w:sz w:val="24"/>
          <w:szCs w:val="24"/>
          <w:lang w:val="en-US" w:eastAsia="zh-CN"/>
        </w:rPr>
        <w:t>14:30止</w:t>
      </w:r>
      <w:r>
        <w:rPr>
          <w:rFonts w:hint="eastAsia"/>
          <w:spacing w:val="8"/>
          <w:sz w:val="24"/>
          <w:szCs w:val="24"/>
          <w:lang w:eastAsia="zh-CN"/>
        </w:rPr>
        <w:t>（</w:t>
      </w:r>
      <w:r>
        <w:rPr>
          <w:rFonts w:hint="eastAsia"/>
          <w:spacing w:val="8"/>
          <w:sz w:val="24"/>
          <w:szCs w:val="24"/>
          <w:lang w:val="en-US" w:eastAsia="zh-CN"/>
        </w:rPr>
        <w:t>7天</w:t>
      </w:r>
      <w:r>
        <w:rPr>
          <w:rFonts w:hint="eastAsia"/>
          <w:spacing w:val="8"/>
          <w:sz w:val="24"/>
          <w:szCs w:val="24"/>
          <w:lang w:eastAsia="zh-CN"/>
        </w:rPr>
        <w:t>），在福建福海创石油化工有限公司杜浔办公楼三楼（办公地址：漳州市古雷经济开发区杜浔镇杜昌路9号</w:t>
      </w:r>
      <w:r>
        <w:rPr>
          <w:spacing w:val="8"/>
          <w:sz w:val="24"/>
          <w:szCs w:val="24"/>
          <w:lang w:eastAsia="zh-CN"/>
        </w:rPr>
        <w:t>办公楼三楼设备及服务团队</w:t>
      </w:r>
      <w:r>
        <w:rPr>
          <w:rFonts w:hint="eastAsia"/>
          <w:spacing w:val="8"/>
          <w:sz w:val="24"/>
          <w:szCs w:val="24"/>
          <w:lang w:eastAsia="zh-CN"/>
        </w:rPr>
        <w:t>）现场或邮件报名，报名邮箱为</w:t>
      </w:r>
      <w:r>
        <w:rPr>
          <w:rFonts w:hint="eastAsia"/>
          <w:spacing w:val="8"/>
          <w:sz w:val="24"/>
          <w:szCs w:val="24"/>
          <w:lang w:val="en-US" w:eastAsia="zh-CN"/>
        </w:rPr>
        <w:t>xumx</w:t>
      </w:r>
      <w:r>
        <w:rPr>
          <w:rFonts w:hint="eastAsia"/>
          <w:color w:val="000000" w:themeColor="text1"/>
          <w:sz w:val="24"/>
          <w:szCs w:val="24"/>
          <w:lang w:eastAsia="zh-CN"/>
        </w:rPr>
        <w:t>@fhcpec.com.cn</w:t>
      </w:r>
      <w:r>
        <w:rPr>
          <w:rFonts w:hint="eastAsia" w:asciiTheme="minorEastAsia" w:hAnsiTheme="minorEastAsia" w:eastAsiaTheme="minorEastAsia"/>
          <w:bCs/>
          <w:sz w:val="24"/>
          <w:szCs w:val="24"/>
          <w:lang w:eastAsia="zh-CN"/>
        </w:rPr>
        <w:t>，</w:t>
      </w:r>
      <w:r>
        <w:rPr>
          <w:rFonts w:hint="eastAsia"/>
          <w:spacing w:val="8"/>
          <w:sz w:val="24"/>
          <w:szCs w:val="24"/>
          <w:lang w:eastAsia="zh-CN"/>
        </w:rPr>
        <w:t>报名时需递交以下文件：</w:t>
      </w:r>
    </w:p>
    <w:p>
      <w:pPr>
        <w:pStyle w:val="75"/>
        <w:keepNext w:val="0"/>
        <w:keepLines w:val="0"/>
        <w:pageBreakBefore w:val="0"/>
        <w:widowControl w:val="0"/>
        <w:numPr>
          <w:ilvl w:val="0"/>
          <w:numId w:val="8"/>
        </w:numPr>
        <w:kinsoku/>
        <w:wordWrap/>
        <w:overflowPunct/>
        <w:topLinePunct w:val="0"/>
        <w:bidi w:val="0"/>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针对本项目的法人授权委托书（</w:t>
      </w:r>
      <w:r>
        <w:rPr>
          <w:rFonts w:hint="eastAsia"/>
          <w:color w:val="000000" w:themeColor="text1"/>
          <w:sz w:val="24"/>
          <w:szCs w:val="24"/>
          <w:lang w:eastAsia="zh-CN"/>
        </w:rPr>
        <w:t>加盖单位公章的扫描件，</w:t>
      </w:r>
      <w:r>
        <w:rPr>
          <w:rFonts w:hint="eastAsia"/>
          <w:spacing w:val="8"/>
          <w:sz w:val="24"/>
          <w:szCs w:val="24"/>
          <w:lang w:eastAsia="zh-CN"/>
        </w:rPr>
        <w:t>格式详见附件）；</w:t>
      </w:r>
    </w:p>
    <w:p>
      <w:pPr>
        <w:pStyle w:val="75"/>
        <w:keepNext w:val="0"/>
        <w:keepLines w:val="0"/>
        <w:pageBreakBefore w:val="0"/>
        <w:widowControl w:val="0"/>
        <w:numPr>
          <w:ilvl w:val="0"/>
          <w:numId w:val="8"/>
        </w:numPr>
        <w:kinsoku/>
        <w:wordWrap/>
        <w:overflowPunct/>
        <w:topLinePunct w:val="0"/>
        <w:bidi w:val="0"/>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营业执照（加盖单位公章的扫描件）</w:t>
      </w:r>
      <w:r>
        <w:rPr>
          <w:rFonts w:hint="eastAsia" w:ascii="微软雅黑" w:hAnsi="微软雅黑" w:eastAsia="微软雅黑"/>
          <w:color w:val="333333"/>
          <w:sz w:val="21"/>
          <w:szCs w:val="21"/>
          <w:shd w:val="clear" w:color="auto" w:fill="FFFFFF"/>
          <w:lang w:eastAsia="zh-CN"/>
        </w:rPr>
        <w:t>；</w:t>
      </w:r>
    </w:p>
    <w:p>
      <w:pPr>
        <w:keepNext w:val="0"/>
        <w:keepLines w:val="0"/>
        <w:pageBreakBefore w:val="0"/>
        <w:widowControl w:val="0"/>
        <w:kinsoku/>
        <w:wordWrap/>
        <w:overflowPunct/>
        <w:topLinePunct w:val="0"/>
        <w:autoSpaceDE/>
        <w:autoSpaceDN/>
        <w:bidi w:val="0"/>
        <w:spacing w:line="600" w:lineRule="exact"/>
        <w:ind w:firstLine="512" w:firstLineChars="200"/>
        <w:jc w:val="both"/>
        <w:rPr>
          <w:rFonts w:asciiTheme="minorEastAsia" w:hAnsiTheme="minorEastAsia" w:eastAsia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r>
        <w:rPr>
          <w:rFonts w:hint="eastAsia"/>
          <w:spacing w:val="8"/>
          <w:sz w:val="24"/>
          <w:szCs w:val="24"/>
          <w:lang w:eastAsia="zh-CN"/>
        </w:rPr>
        <w:t>，</w:t>
      </w:r>
      <w:r>
        <w:rPr>
          <w:rFonts w:hint="eastAsia"/>
          <w:color w:val="000000" w:themeColor="text1"/>
          <w:sz w:val="24"/>
          <w:szCs w:val="24"/>
          <w:lang w:eastAsia="zh-CN"/>
        </w:rPr>
        <w:t>获取参选文件（特别声明：未进行登记报名的参选人，其递交的参选文件将被拒收。）</w:t>
      </w:r>
    </w:p>
    <w:p>
      <w:pPr>
        <w:keepNext w:val="0"/>
        <w:keepLines w:val="0"/>
        <w:pageBreakBefore w:val="0"/>
        <w:widowControl w:val="0"/>
        <w:tabs>
          <w:tab w:val="left" w:pos="709"/>
        </w:tabs>
        <w:kinsoku/>
        <w:wordWrap/>
        <w:overflowPunct/>
        <w:topLinePunct w:val="0"/>
        <w:bidi w:val="0"/>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bidi w:val="0"/>
        <w:spacing w:line="600" w:lineRule="exact"/>
        <w:ind w:left="480" w:leftChars="218"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w:t>
      </w:r>
      <w:r>
        <w:rPr>
          <w:rFonts w:hint="eastAsia" w:asciiTheme="minorEastAsia" w:hAnsiTheme="minorEastAsia" w:eastAsiaTheme="minorEastAsia"/>
          <w:bCs/>
          <w:sz w:val="24"/>
          <w:szCs w:val="24"/>
          <w:lang w:eastAsia="zh-CN"/>
        </w:rPr>
        <w:t>递交截止时间（收到参选文件时间）：</w:t>
      </w:r>
      <w:r>
        <w:rPr>
          <w:rFonts w:hint="eastAsia" w:asciiTheme="minorEastAsia" w:hAnsiTheme="minorEastAsia" w:eastAsiaTheme="minorEastAsia"/>
          <w:bCs/>
          <w:color w:val="FF0000"/>
          <w:sz w:val="24"/>
          <w:szCs w:val="24"/>
          <w:lang w:eastAsia="zh-CN"/>
        </w:rPr>
        <w:t xml:space="preserve"> </w:t>
      </w:r>
      <w:r>
        <w:rPr>
          <w:rFonts w:hint="eastAsia" w:asciiTheme="minorEastAsia" w:hAnsiTheme="minorEastAsia" w:eastAsiaTheme="minorEastAsia"/>
          <w:bCs/>
          <w:sz w:val="24"/>
          <w:szCs w:val="24"/>
          <w:lang w:eastAsia="zh-CN"/>
        </w:rPr>
        <w:t>2023年</w:t>
      </w: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lang w:eastAsia="zh-CN"/>
        </w:rPr>
        <w:t>月</w:t>
      </w:r>
      <w:r>
        <w:rPr>
          <w:rFonts w:hint="eastAsia" w:asciiTheme="minorEastAsia" w:hAnsiTheme="minorEastAsia" w:eastAsiaTheme="minorEastAsia"/>
          <w:bCs/>
          <w:sz w:val="24"/>
          <w:szCs w:val="24"/>
          <w:lang w:val="en-US" w:eastAsia="zh-CN"/>
        </w:rPr>
        <w:t>13</w:t>
      </w:r>
      <w:r>
        <w:rPr>
          <w:rFonts w:hint="eastAsia" w:asciiTheme="minorEastAsia" w:hAnsiTheme="minorEastAsia" w:eastAsiaTheme="minorEastAsia"/>
          <w:bCs/>
          <w:sz w:val="24"/>
          <w:szCs w:val="24"/>
          <w:lang w:eastAsia="zh-CN"/>
        </w:rPr>
        <w:t xml:space="preserve">日 </w:t>
      </w:r>
      <w:r>
        <w:rPr>
          <w:rFonts w:asciiTheme="minorEastAsia" w:hAnsiTheme="minorEastAsia" w:eastAsiaTheme="minorEastAsia"/>
          <w:bCs/>
          <w:sz w:val="24"/>
          <w:szCs w:val="24"/>
          <w:lang w:eastAsia="zh-CN"/>
        </w:rPr>
        <w:t>1</w:t>
      </w:r>
      <w:r>
        <w:rPr>
          <w:rFonts w:hint="eastAsia" w:asciiTheme="minorEastAsia" w:hAnsiTheme="minorEastAsia" w:eastAsiaTheme="minorEastAsia"/>
          <w:bCs/>
          <w:sz w:val="24"/>
          <w:szCs w:val="24"/>
          <w:lang w:eastAsia="zh-CN"/>
        </w:rPr>
        <w:t>4:0</w:t>
      </w:r>
      <w:r>
        <w:rPr>
          <w:rFonts w:asciiTheme="minorEastAsia" w:hAnsiTheme="minorEastAsia" w:eastAsiaTheme="minorEastAsia"/>
          <w:bCs/>
          <w:sz w:val="24"/>
          <w:szCs w:val="24"/>
          <w:lang w:eastAsia="zh-CN"/>
        </w:rPr>
        <w:t>0</w:t>
      </w:r>
      <w:r>
        <w:rPr>
          <w:rFonts w:hint="eastAsia"/>
          <w:spacing w:val="8"/>
          <w:sz w:val="24"/>
          <w:szCs w:val="24"/>
          <w:lang w:eastAsia="zh-CN"/>
        </w:rPr>
        <w:t>（</w:t>
      </w:r>
      <w:r>
        <w:rPr>
          <w:rFonts w:hint="eastAsia"/>
          <w:spacing w:val="8"/>
          <w:sz w:val="24"/>
          <w:szCs w:val="24"/>
          <w:lang w:val="en-US" w:eastAsia="zh-CN"/>
        </w:rPr>
        <w:t>5天</w:t>
      </w:r>
      <w:r>
        <w:rPr>
          <w:rFonts w:hint="eastAsia"/>
          <w:spacing w:val="8"/>
          <w:sz w:val="24"/>
          <w:szCs w:val="24"/>
          <w:lang w:eastAsia="zh-CN"/>
        </w:rPr>
        <w:t>）</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rPr>
      </w:pPr>
      <w:r>
        <w:rPr>
          <w:rFonts w:hint="eastAsia" w:asciiTheme="minorEastAsia" w:hAnsiTheme="minorEastAsia" w:eastAsiaTheme="minorEastAsia"/>
          <w:bCs/>
          <w:sz w:val="24"/>
          <w:szCs w:val="24"/>
          <w:lang w:eastAsia="zh-CN"/>
        </w:rPr>
        <w:t>未</w:t>
      </w:r>
      <w:r>
        <w:rPr>
          <w:rFonts w:asciiTheme="minorEastAsia" w:hAnsiTheme="minorEastAsia" w:eastAsiaTheme="minorEastAsia"/>
          <w:bCs/>
          <w:sz w:val="24"/>
          <w:szCs w:val="24"/>
          <w:lang w:eastAsia="zh-CN"/>
        </w:rPr>
        <w:t>报名参选人递交的参选文件将被拒绝。</w:t>
      </w:r>
    </w:p>
    <w:p>
      <w:pPr>
        <w:pStyle w:val="19"/>
        <w:keepNext w:val="0"/>
        <w:keepLines w:val="0"/>
        <w:pageBreakBefore w:val="0"/>
        <w:widowControl w:val="0"/>
        <w:kinsoku/>
        <w:wordWrap/>
        <w:overflowPunct/>
        <w:topLinePunct w:val="0"/>
        <w:bidi w:val="0"/>
        <w:spacing w:line="600" w:lineRule="exact"/>
        <w:ind w:right="121" w:firstLine="480" w:firstLineChars="200"/>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keepNext w:val="0"/>
        <w:keepLines w:val="0"/>
        <w:pageBreakBefore w:val="0"/>
        <w:widowControl w:val="0"/>
        <w:kinsoku/>
        <w:wordWrap/>
        <w:overflowPunct/>
        <w:topLinePunct w:val="0"/>
        <w:bidi w:val="0"/>
        <w:spacing w:line="600" w:lineRule="exact"/>
        <w:ind w:left="957" w:leftChars="435"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1、本项目参选保证金的金额为：人民币</w:t>
      </w:r>
      <w:r>
        <w:rPr>
          <w:rFonts w:hint="eastAsia" w:asciiTheme="minorEastAsia" w:hAnsiTheme="minorEastAsia" w:eastAsiaTheme="minorEastAsia"/>
          <w:sz w:val="24"/>
          <w:szCs w:val="24"/>
          <w:lang w:val="en-US" w:eastAsia="zh-CN"/>
        </w:rPr>
        <w:t>贰万伍</w:t>
      </w:r>
      <w:r>
        <w:rPr>
          <w:rFonts w:hint="eastAsia" w:asciiTheme="minorEastAsia" w:hAnsiTheme="minorEastAsia" w:eastAsiaTheme="minorEastAsia"/>
          <w:sz w:val="24"/>
          <w:szCs w:val="24"/>
          <w:lang w:eastAsia="zh-CN"/>
        </w:rPr>
        <w:t>仟元整（￥</w:t>
      </w:r>
      <w:r>
        <w:rPr>
          <w:rFonts w:hint="eastAsia" w:asciiTheme="minorEastAsia" w:hAnsiTheme="minorEastAsia" w:eastAsiaTheme="minorEastAsia"/>
          <w:sz w:val="24"/>
          <w:szCs w:val="24"/>
          <w:lang w:val="en-US" w:eastAsia="zh-CN"/>
        </w:rPr>
        <w:t>25,000</w:t>
      </w:r>
      <w:r>
        <w:rPr>
          <w:rFonts w:asciiTheme="minorEastAsia" w:hAnsiTheme="minorEastAsia" w:eastAsiaTheme="minorEastAsia"/>
          <w:sz w:val="24"/>
          <w:szCs w:val="24"/>
          <w:lang w:eastAsia="zh-CN"/>
        </w:rPr>
        <w:t>.00元</w:t>
      </w:r>
      <w:r>
        <w:rPr>
          <w:rFonts w:hint="eastAsia" w:asciiTheme="minorEastAsia" w:hAnsiTheme="minorEastAsia" w:eastAsiaTheme="minorEastAsia"/>
          <w:sz w:val="24"/>
          <w:szCs w:val="24"/>
          <w:lang w:eastAsia="zh-CN"/>
        </w:rPr>
        <w:t>）；</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、参选保证金提交的时间：应在</w:t>
      </w:r>
      <w:r>
        <w:rPr>
          <w:rFonts w:hint="eastAsia" w:asciiTheme="minorEastAsia" w:hAnsiTheme="minorEastAsia" w:eastAsiaTheme="minorEastAsia"/>
          <w:spacing w:val="8"/>
          <w:sz w:val="24"/>
          <w:szCs w:val="24"/>
          <w:lang w:eastAsia="zh-CN"/>
        </w:rPr>
        <w:t>提交参选文件</w:t>
      </w:r>
      <w:r>
        <w:rPr>
          <w:rFonts w:hint="eastAsia" w:asciiTheme="minorEastAsia" w:hAnsiTheme="minorEastAsia" w:eastAsiaTheme="minorEastAsia"/>
          <w:sz w:val="24"/>
          <w:szCs w:val="24"/>
          <w:lang w:eastAsia="zh-CN"/>
        </w:rPr>
        <w:t>之前汇达参选保证金指定账户；</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u w:val="single"/>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、参选保证金提交的方式：应从参选人基本账户以电汇或银行转账方式提交，并应在电汇或银行转账单上注明为本项目的参选保证金；</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、参选保证金指定账户：</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开户名称：</w:t>
      </w:r>
      <w:r>
        <w:rPr>
          <w:rFonts w:hint="eastAsia" w:asciiTheme="minorEastAsia" w:hAnsiTheme="minorEastAsia" w:eastAsiaTheme="minorEastAsia"/>
          <w:spacing w:val="8"/>
          <w:sz w:val="24"/>
          <w:szCs w:val="24"/>
          <w:lang w:eastAsia="zh-CN"/>
        </w:rPr>
        <w:t>福建福海创石油化工有限公司</w:t>
      </w:r>
      <w:r>
        <w:rPr>
          <w:rFonts w:asciiTheme="minorEastAsia" w:hAnsiTheme="minorEastAsia" w:eastAsiaTheme="minorEastAsia"/>
          <w:sz w:val="24"/>
          <w:szCs w:val="24"/>
          <w:lang w:eastAsia="zh-CN"/>
        </w:rPr>
        <w:t xml:space="preserve"> </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开户银行：中国银行股份有限公司漳州古雷经济开发区支行</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帐</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号：</w:t>
      </w:r>
      <w:r>
        <w:rPr>
          <w:rFonts w:asciiTheme="minorEastAsia" w:hAnsiTheme="minorEastAsia" w:eastAsiaTheme="minorEastAsia"/>
          <w:sz w:val="24"/>
          <w:szCs w:val="24"/>
          <w:lang w:eastAsia="zh-CN"/>
        </w:rPr>
        <w:t>406574816628</w:t>
      </w:r>
    </w:p>
    <w:p>
      <w:pPr>
        <w:keepNext w:val="0"/>
        <w:keepLines w:val="0"/>
        <w:pageBreakBefore w:val="0"/>
        <w:widowControl w:val="0"/>
        <w:kinsoku/>
        <w:wordWrap/>
        <w:overflowPunct/>
        <w:topLinePunct w:val="0"/>
        <w:bidi w:val="0"/>
        <w:spacing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注明用途：储运凝析油罐区新增混合、调和设施工程</w:t>
      </w:r>
      <w:r>
        <w:rPr>
          <w:rFonts w:hint="eastAsia" w:asciiTheme="minorEastAsia" w:hAnsiTheme="minorEastAsia" w:eastAsiaTheme="minorEastAsia"/>
          <w:sz w:val="24"/>
          <w:szCs w:val="24"/>
          <w:lang w:val="en-US" w:eastAsia="zh-CN"/>
        </w:rPr>
        <w:t>管件</w:t>
      </w:r>
      <w:r>
        <w:rPr>
          <w:rFonts w:hint="eastAsia" w:asciiTheme="minorEastAsia" w:hAnsiTheme="minorEastAsia" w:eastAsiaTheme="minorEastAsia"/>
          <w:sz w:val="24"/>
          <w:szCs w:val="24"/>
          <w:lang w:eastAsia="zh-CN"/>
        </w:rPr>
        <w:t>采购项目参选保证</w:t>
      </w:r>
      <w:r>
        <w:rPr>
          <w:color w:val="000000" w:themeColor="text1"/>
          <w:lang w:eastAsia="zh-CN"/>
        </w:rPr>
        <w:t>金</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w:t>
      </w:r>
      <w:r>
        <w:rPr>
          <w:rFonts w:asciiTheme="minorEastAsia" w:hAnsiTheme="minorEastAsia" w:eastAsiaTheme="minorEastAsia"/>
          <w:sz w:val="24"/>
          <w:szCs w:val="24"/>
          <w:lang w:eastAsia="zh-CN"/>
        </w:rPr>
        <w:t>90</w:t>
      </w:r>
      <w:r>
        <w:rPr>
          <w:rFonts w:hint="eastAsia" w:asciiTheme="minorEastAsia" w:hAnsiTheme="minorEastAsia" w:eastAsiaTheme="minorEastAsia"/>
          <w:sz w:val="24"/>
          <w:szCs w:val="24"/>
          <w:lang w:eastAsia="zh-CN"/>
        </w:rPr>
        <w:t>日历天。</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bCs/>
          <w:sz w:val="24"/>
          <w:szCs w:val="24"/>
          <w:u w:val="double"/>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keepNext w:val="0"/>
        <w:keepLines w:val="0"/>
        <w:pageBreakBefore w:val="0"/>
        <w:widowControl w:val="0"/>
        <w:kinsoku/>
        <w:wordWrap/>
        <w:overflowPunct/>
        <w:topLinePunct w:val="0"/>
        <w:bidi w:val="0"/>
        <w:spacing w:line="600" w:lineRule="exact"/>
        <w:ind w:left="440" w:leftChars="200" w:firstLine="512" w:firstLineChars="200"/>
        <w:jc w:val="both"/>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5、参选保证金的退回</w:t>
      </w:r>
    </w:p>
    <w:p>
      <w:pPr>
        <w:keepNext w:val="0"/>
        <w:keepLines w:val="0"/>
        <w:pageBreakBefore w:val="0"/>
        <w:widowControl w:val="0"/>
        <w:kinsoku/>
        <w:wordWrap/>
        <w:overflowPunct/>
        <w:topLinePunct w:val="0"/>
        <w:bidi w:val="0"/>
        <w:spacing w:line="600" w:lineRule="exact"/>
        <w:ind w:left="440" w:leftChars="200" w:firstLine="512" w:firstLineChars="200"/>
        <w:jc w:val="both"/>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本项目比选结束后，未中选的参选人其所递交的参选保证金将于本项目合同签订后退回至参选人</w:t>
      </w:r>
      <w:r>
        <w:rPr>
          <w:rFonts w:hint="eastAsia" w:asciiTheme="minorEastAsia" w:hAnsiTheme="minorEastAsia" w:eastAsiaTheme="minorEastAsia"/>
          <w:sz w:val="24"/>
          <w:szCs w:val="24"/>
          <w:lang w:eastAsia="zh-CN"/>
        </w:rPr>
        <w:t>基本账户</w:t>
      </w:r>
      <w:r>
        <w:rPr>
          <w:rFonts w:hint="eastAsia" w:asciiTheme="minorEastAsia" w:hAnsiTheme="minorEastAsia" w:eastAsiaTheme="minorEastAsia"/>
          <w:spacing w:val="8"/>
          <w:sz w:val="24"/>
          <w:szCs w:val="24"/>
          <w:lang w:eastAsia="zh-CN"/>
        </w:rPr>
        <w:t>。</w:t>
      </w:r>
    </w:p>
    <w:p>
      <w:pPr>
        <w:keepNext w:val="0"/>
        <w:keepLines w:val="0"/>
        <w:pageBreakBefore w:val="0"/>
        <w:widowControl w:val="0"/>
        <w:kinsoku/>
        <w:wordWrap/>
        <w:overflowPunct/>
        <w:topLinePunct w:val="0"/>
        <w:bidi w:val="0"/>
        <w:spacing w:line="600" w:lineRule="exact"/>
        <w:ind w:left="440" w:leftChars="200" w:firstLine="512" w:firstLineChars="200"/>
        <w:jc w:val="both"/>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6、履约保证金</w:t>
      </w:r>
    </w:p>
    <w:p>
      <w:pPr>
        <w:pStyle w:val="9"/>
        <w:keepNext w:val="0"/>
        <w:keepLines w:val="0"/>
        <w:pageBreakBefore w:val="0"/>
        <w:widowControl w:val="0"/>
        <w:kinsoku/>
        <w:wordWrap/>
        <w:overflowPunct/>
        <w:topLinePunct w:val="0"/>
        <w:bidi w:val="0"/>
        <w:snapToGrid w:val="0"/>
        <w:spacing w:line="600" w:lineRule="exact"/>
        <w:ind w:left="440" w:leftChars="200" w:firstLine="512" w:firstLineChars="200"/>
        <w:jc w:val="both"/>
        <w:rPr>
          <w:rFonts w:asciiTheme="minorEastAsia" w:hAnsiTheme="minorEastAsia" w:eastAsiaTheme="minorEastAsia"/>
          <w:b/>
          <w:bCs/>
          <w:szCs w:val="24"/>
        </w:rPr>
      </w:pPr>
      <w:r>
        <w:rPr>
          <w:rFonts w:hint="eastAsia" w:asciiTheme="minorEastAsia" w:hAnsiTheme="minorEastAsia" w:eastAsiaTheme="minorEastAsia"/>
          <w:spacing w:val="8"/>
          <w:szCs w:val="24"/>
        </w:rPr>
        <w:t>中选参选人的参选保证金将转为履约保证金。</w:t>
      </w:r>
    </w:p>
    <w:p>
      <w:pPr>
        <w:keepNext w:val="0"/>
        <w:keepLines w:val="0"/>
        <w:pageBreakBefore w:val="0"/>
        <w:widowControl w:val="0"/>
        <w:kinsoku/>
        <w:wordWrap/>
        <w:overflowPunct/>
        <w:topLinePunct w:val="0"/>
        <w:bidi w:val="0"/>
        <w:spacing w:line="600" w:lineRule="exact"/>
        <w:ind w:firstLine="514" w:firstLineChars="200"/>
        <w:jc w:val="both"/>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pPr>
        <w:pStyle w:val="59"/>
        <w:keepNext w:val="0"/>
        <w:keepLines w:val="0"/>
        <w:pageBreakBefore w:val="0"/>
        <w:widowControl w:val="0"/>
        <w:kinsoku/>
        <w:wordWrap/>
        <w:overflowPunct/>
        <w:topLinePunct w:val="0"/>
        <w:bidi w:val="0"/>
        <w:spacing w:line="600" w:lineRule="exact"/>
        <w:ind w:firstLine="480" w:firstLineChars="200"/>
        <w:jc w:val="both"/>
        <w:rPr>
          <w:sz w:val="24"/>
          <w:szCs w:val="24"/>
        </w:rPr>
      </w:pPr>
      <w:r>
        <w:rPr>
          <w:rFonts w:hint="eastAsia"/>
          <w:sz w:val="24"/>
          <w:szCs w:val="24"/>
          <w:shd w:val="clear" w:color="auto" w:fill="FFFFFF"/>
        </w:rPr>
        <w:t>无预付款，货到初验合格付</w:t>
      </w:r>
      <w:r>
        <w:rPr>
          <w:rFonts w:hint="eastAsia"/>
          <w:sz w:val="24"/>
          <w:szCs w:val="24"/>
          <w:shd w:val="clear" w:color="auto" w:fill="FFFFFF"/>
          <w:lang w:val="en-US" w:eastAsia="zh-CN"/>
        </w:rPr>
        <w:t>90%</w:t>
      </w:r>
      <w:r>
        <w:rPr>
          <w:rFonts w:hint="eastAsia"/>
          <w:sz w:val="24"/>
          <w:szCs w:val="24"/>
          <w:shd w:val="clear" w:color="auto" w:fill="FFFFFF"/>
        </w:rPr>
        <w:t>，</w:t>
      </w:r>
      <w:r>
        <w:rPr>
          <w:rFonts w:hint="eastAsia"/>
          <w:sz w:val="24"/>
          <w:szCs w:val="24"/>
          <w:shd w:val="clear" w:color="auto" w:fill="FFFFFF"/>
          <w:lang w:val="en-US" w:eastAsia="zh-CN"/>
        </w:rPr>
        <w:t>留</w:t>
      </w:r>
      <w:r>
        <w:rPr>
          <w:rFonts w:hint="eastAsia"/>
          <w:sz w:val="24"/>
          <w:szCs w:val="24"/>
          <w:shd w:val="clear" w:color="auto" w:fill="FFFFFF"/>
        </w:rPr>
        <w:t>10%质保金</w:t>
      </w:r>
      <w:r>
        <w:rPr>
          <w:rFonts w:hint="eastAsia"/>
          <w:sz w:val="24"/>
          <w:szCs w:val="24"/>
          <w:shd w:val="clear" w:color="auto" w:fill="FFFFFF"/>
          <w:lang w:val="en-US" w:eastAsia="zh-CN"/>
        </w:rPr>
        <w:t>(一年）</w:t>
      </w:r>
      <w:r>
        <w:rPr>
          <w:rFonts w:hint="eastAsia"/>
          <w:sz w:val="24"/>
          <w:szCs w:val="24"/>
          <w:shd w:val="clear" w:color="auto" w:fill="FFFFFF"/>
        </w:rPr>
        <w:t>，质保期满后付清。</w:t>
      </w:r>
    </w:p>
    <w:p>
      <w:pPr>
        <w:keepNext w:val="0"/>
        <w:keepLines w:val="0"/>
        <w:pageBreakBefore w:val="0"/>
        <w:widowControl w:val="0"/>
        <w:numPr>
          <w:ilvl w:val="0"/>
          <w:numId w:val="9"/>
        </w:numPr>
        <w:kinsoku/>
        <w:wordWrap/>
        <w:overflowPunct/>
        <w:topLinePunct w:val="0"/>
        <w:bidi w:val="0"/>
        <w:spacing w:line="600" w:lineRule="exact"/>
        <w:ind w:firstLine="514" w:firstLineChars="200"/>
        <w:jc w:val="both"/>
        <w:rPr>
          <w:rFonts w:hint="eastAsia"/>
          <w:sz w:val="24"/>
          <w:szCs w:val="24"/>
          <w:lang w:eastAsia="zh-CN"/>
        </w:rPr>
      </w:pP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widowControl w:val="0"/>
        <w:numPr>
          <w:ilvl w:val="0"/>
          <w:numId w:val="0"/>
        </w:numPr>
        <w:kinsoku/>
        <w:wordWrap/>
        <w:overflowPunct/>
        <w:topLinePunct w:val="0"/>
        <w:bidi w:val="0"/>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邮    编：363216</w:t>
      </w:r>
    </w:p>
    <w:p>
      <w:pPr>
        <w:keepNext w:val="0"/>
        <w:keepLines w:val="0"/>
        <w:pageBreakBefore w:val="0"/>
        <w:widowControl w:val="0"/>
        <w:kinsoku/>
        <w:wordWrap/>
        <w:overflowPunct/>
        <w:topLinePunct w:val="0"/>
        <w:bidi w:val="0"/>
        <w:spacing w:line="600" w:lineRule="exact"/>
        <w:ind w:firstLine="480" w:firstLineChars="200"/>
        <w:jc w:val="both"/>
        <w:rPr>
          <w:sz w:val="24"/>
          <w:szCs w:val="24"/>
          <w:lang w:eastAsia="zh-CN"/>
        </w:rPr>
      </w:pPr>
      <w:r>
        <w:rPr>
          <w:rFonts w:hint="eastAsia"/>
          <w:sz w:val="24"/>
          <w:szCs w:val="24"/>
          <w:lang w:eastAsia="zh-CN"/>
        </w:rPr>
        <w:t xml:space="preserve">                                           福建福海创石油化工有限公司 </w:t>
      </w:r>
    </w:p>
    <w:p>
      <w:pPr>
        <w:keepNext w:val="0"/>
        <w:keepLines w:val="0"/>
        <w:pageBreakBefore w:val="0"/>
        <w:widowControl w:val="0"/>
        <w:kinsoku/>
        <w:wordWrap/>
        <w:overflowPunct/>
        <w:topLinePunct w:val="0"/>
        <w:bidi w:val="0"/>
        <w:spacing w:line="600" w:lineRule="exact"/>
        <w:ind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2年12月</w:t>
      </w:r>
      <w:r>
        <w:rPr>
          <w:rFonts w:hint="eastAsia"/>
          <w:color w:val="000000" w:themeColor="text1"/>
          <w:sz w:val="24"/>
          <w:szCs w:val="24"/>
          <w:lang w:val="en-US" w:eastAsia="zh-CN"/>
        </w:rPr>
        <w:t>29</w:t>
      </w:r>
      <w:r>
        <w:rPr>
          <w:rFonts w:hint="eastAsia"/>
          <w:color w:val="000000" w:themeColor="text1"/>
          <w:sz w:val="24"/>
          <w:szCs w:val="24"/>
          <w:lang w:eastAsia="zh-CN"/>
        </w:rPr>
        <w:t>日</w:t>
      </w:r>
    </w:p>
    <w:p>
      <w:pPr>
        <w:spacing w:line="360" w:lineRule="auto"/>
        <w:jc w:val="both"/>
        <w:rPr>
          <w:rFonts w:hint="default"/>
          <w:lang w:val="en-US" w:eastAsia="zh-CN"/>
        </w:rPr>
        <w:sectPr>
          <w:footerReference r:id="rId3" w:type="default"/>
          <w:pgSz w:w="11910" w:h="16840"/>
          <w:pgMar w:top="1500" w:right="1020" w:bottom="740" w:left="1300" w:header="0" w:footer="551" w:gutter="0"/>
          <w:cols w:space="720" w:num="1"/>
        </w:sectPr>
      </w:pPr>
      <w:r>
        <w:rPr>
          <w:rFonts w:hint="eastAsia"/>
          <w:lang w:val="en-US" w:eastAsia="zh-CN"/>
        </w:rPr>
        <w:t xml:space="preserve"> </w:t>
      </w:r>
    </w:p>
    <w:p>
      <w:pPr>
        <w:pStyle w:val="2"/>
        <w:tabs>
          <w:tab w:val="left" w:pos="1488"/>
        </w:tabs>
        <w:spacing w:line="355" w:lineRule="exact"/>
        <w:ind w:left="0" w:leftChars="0" w:firstLine="3092" w:firstLineChars="1100"/>
        <w:jc w:val="both"/>
        <w:rPr>
          <w:lang w:eastAsia="zh-CN"/>
        </w:rPr>
      </w:pPr>
      <w:r>
        <w:rPr>
          <w:lang w:eastAsia="zh-CN"/>
        </w:rPr>
        <w:tab/>
      </w:r>
      <w:r>
        <w:rPr>
          <w:rFonts w:hint="eastAsia"/>
          <w:lang w:val="en-US" w:eastAsia="zh-CN"/>
        </w:rPr>
        <w:t xml:space="preserve">     </w:t>
      </w:r>
      <w:bookmarkStart w:id="0" w:name="_GoBack"/>
      <w:bookmarkEnd w:id="0"/>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11"/>
          <w:lang w:eastAsia="zh-CN"/>
        </w:rPr>
        <w:t>比选人在评选时，中选单位的报价仅为比选要件之一。比选人将根据评审细则对参选人进行技术标评分，作为综合比选评选的依据之一。</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2.参选人串选、相互勾结故意压低标价以排挤竞争对手的公平竞争的，其参选无效。</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asciiTheme="minorEastAsia" w:hAnsiTheme="minorEastAsia" w:eastAsiaTheme="minorEastAsia"/>
          <w:spacing w:val="-8"/>
          <w:lang w:eastAsia="zh-CN"/>
        </w:rPr>
        <w:t>替补候选人的设定与使用：在合同签订前，比选单位发现参选人的参选报价或供货</w:t>
      </w:r>
      <w:r>
        <w:rPr>
          <w:rFonts w:asciiTheme="minorEastAsia" w:hAnsiTheme="minorEastAsia" w:eastAsiaTheme="minorEastAsia"/>
          <w:spacing w:val="-12"/>
          <w:lang w:eastAsia="zh-CN"/>
        </w:rPr>
        <w:t>范围有缺漏、实际应标产品或服务存在重大偏差、或参选材料存在欺诈行为时、或参选人</w:t>
      </w:r>
      <w:r>
        <w:rPr>
          <w:rFonts w:asciiTheme="minorEastAsia" w:hAnsiTheme="minorEastAsia" w:eastAsiaTheme="minorEastAsia"/>
          <w:spacing w:val="-22"/>
          <w:lang w:eastAsia="zh-CN"/>
        </w:rPr>
        <w:t>因不可抗力或自身原因不能履行合同的，将有理由取消中选人资格，保留依法追究的权利； 并将依法确定</w:t>
      </w:r>
      <w:r>
        <w:rPr>
          <w:rFonts w:hint="eastAsia" w:asciiTheme="minorEastAsia" w:hAnsiTheme="minorEastAsia" w:eastAsiaTheme="minorEastAsia"/>
          <w:spacing w:val="-22"/>
          <w:lang w:eastAsia="zh-CN"/>
        </w:rPr>
        <w:t>后续</w:t>
      </w:r>
      <w:r>
        <w:rPr>
          <w:rFonts w:asciiTheme="minorEastAsia" w:hAnsiTheme="minorEastAsia" w:eastAsiaTheme="minorEastAsia"/>
          <w:spacing w:val="-22"/>
          <w:lang w:eastAsia="zh-CN"/>
        </w:rPr>
        <w:t>排名的中选候选人为本项目的中选人或重新比选。</w:t>
      </w:r>
    </w:p>
    <w:p>
      <w:pPr>
        <w:pStyle w:val="2"/>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二、资格审查：</w:t>
      </w:r>
    </w:p>
    <w:p>
      <w:pPr>
        <w:pStyle w:val="19"/>
        <w:spacing w:line="360" w:lineRule="auto"/>
        <w:ind w:firstLine="460" w:firstLineChars="200"/>
        <w:rPr>
          <w:rFonts w:asciiTheme="minorEastAsia" w:hAnsiTheme="minorEastAsia" w:eastAsiaTheme="minorEastAsia"/>
          <w:lang w:eastAsia="zh-CN"/>
        </w:rPr>
      </w:pPr>
      <w:r>
        <w:rPr>
          <w:rFonts w:asciiTheme="minorEastAsia" w:hAnsiTheme="minorEastAsia" w:eastAsiaTheme="minorEastAsia"/>
          <w:spacing w:val="-5"/>
          <w:lang w:eastAsia="zh-CN"/>
        </w:rPr>
        <w:t>由比选人依法组建的评选委员会将按照第二章比选须知第六点“参选人资格”的要求</w:t>
      </w:r>
      <w:r>
        <w:rPr>
          <w:rFonts w:asciiTheme="minorEastAsia" w:hAnsiTheme="minorEastAsia" w:eastAsiaTheme="minorEastAsia"/>
          <w:spacing w:val="-11"/>
          <w:lang w:eastAsia="zh-CN"/>
        </w:rPr>
        <w:t>对参选人进行资格审查，以确定是否为符合比选文件规定要求的合格参选人，同时，评选</w:t>
      </w:r>
      <w:r>
        <w:rPr>
          <w:rFonts w:asciiTheme="minorEastAsia" w:hAnsiTheme="minorEastAsia" w:eastAsiaTheme="minorEastAsia"/>
          <w:spacing w:val="-14"/>
          <w:lang w:eastAsia="zh-CN"/>
        </w:rPr>
        <w:t>委员会将依据参选人提供的资格证明文件审查参选人的法人资格、营业范围、财务，以确</w:t>
      </w:r>
      <w:r>
        <w:rPr>
          <w:rFonts w:asciiTheme="minorEastAsia" w:hAnsiTheme="minorEastAsia" w:eastAsiaTheme="minorEastAsia"/>
          <w:spacing w:val="-18"/>
          <w:lang w:eastAsia="zh-CN"/>
        </w:rPr>
        <w:t>定参选人是否有资格履行合同。经上述资格审查合格的参选人进入下一程序的评审，经上述资格审查不合格的参选文件，其参选资格将被评选委员会予以否决。</w:t>
      </w:r>
    </w:p>
    <w:p>
      <w:pPr>
        <w:spacing w:line="360" w:lineRule="auto"/>
        <w:ind w:firstLine="456" w:firstLineChars="200"/>
        <w:rPr>
          <w:rFonts w:asciiTheme="minorEastAsia" w:hAnsiTheme="minorEastAsia" w:eastAsiaTheme="minorEastAsia"/>
          <w:b/>
          <w:sz w:val="24"/>
          <w:szCs w:val="24"/>
          <w:lang w:eastAsia="zh-CN"/>
        </w:rPr>
      </w:pPr>
      <w:r>
        <w:rPr>
          <w:rFonts w:asciiTheme="minorEastAsia" w:hAnsiTheme="minorEastAsia" w:eastAsiaTheme="minorEastAsia"/>
          <w:w w:val="95"/>
          <w:sz w:val="24"/>
          <w:szCs w:val="24"/>
          <w:lang w:eastAsia="zh-CN"/>
        </w:rPr>
        <w:t>三、</w:t>
      </w:r>
      <w:r>
        <w:rPr>
          <w:rFonts w:asciiTheme="minorEastAsia" w:hAnsiTheme="minorEastAsia" w:eastAsiaTheme="minorEastAsia"/>
          <w:b/>
          <w:w w:val="95"/>
          <w:sz w:val="24"/>
          <w:szCs w:val="24"/>
          <w:lang w:eastAsia="zh-CN"/>
        </w:rPr>
        <w:t>评选办法：</w:t>
      </w:r>
    </w:p>
    <w:p>
      <w:pPr>
        <w:spacing w:before="15" w:line="360" w:lineRule="auto"/>
        <w:ind w:firstLine="480" w:firstLineChars="200"/>
        <w:rPr>
          <w:color w:val="000000"/>
          <w:sz w:val="24"/>
          <w:szCs w:val="24"/>
          <w:shd w:val="clear" w:color="auto" w:fill="FFFFFF"/>
          <w:lang w:eastAsia="zh-CN"/>
        </w:rPr>
      </w:pPr>
      <w:r>
        <w:rPr>
          <w:color w:val="000000" w:themeColor="text1"/>
          <w:sz w:val="24"/>
          <w:szCs w:val="24"/>
          <w:lang w:eastAsia="zh-CN"/>
        </w:rPr>
        <w:t>评选委员会将对通过资格及实质响应性审查</w:t>
      </w:r>
      <w:r>
        <w:rPr>
          <w:rFonts w:hint="eastAsia"/>
          <w:color w:val="000000" w:themeColor="text1"/>
          <w:sz w:val="24"/>
          <w:szCs w:val="24"/>
          <w:lang w:eastAsia="zh-CN"/>
        </w:rPr>
        <w:t>（</w:t>
      </w:r>
      <w:r>
        <w:rPr>
          <w:rFonts w:hint="eastAsia"/>
          <w:color w:val="000000"/>
          <w:sz w:val="24"/>
          <w:szCs w:val="24"/>
          <w:shd w:val="clear" w:color="auto" w:fill="FFFFFF"/>
          <w:lang w:eastAsia="zh-CN"/>
        </w:rPr>
        <w:t>不限于满足付款条件：货到初验收合格付</w:t>
      </w:r>
      <w:r>
        <w:rPr>
          <w:rFonts w:hint="eastAsia"/>
          <w:color w:val="000000"/>
          <w:sz w:val="24"/>
          <w:szCs w:val="24"/>
          <w:shd w:val="clear" w:color="auto" w:fill="FFFFFF"/>
          <w:lang w:val="en-US" w:eastAsia="zh-CN"/>
        </w:rPr>
        <w:t>90</w:t>
      </w:r>
      <w:r>
        <w:rPr>
          <w:rFonts w:hint="eastAsia"/>
          <w:color w:val="000000"/>
          <w:sz w:val="24"/>
          <w:szCs w:val="24"/>
          <w:shd w:val="clear" w:color="auto" w:fill="FFFFFF"/>
          <w:lang w:eastAsia="zh-CN"/>
        </w:rPr>
        <w:t>%，留10%质保</w:t>
      </w:r>
      <w:r>
        <w:rPr>
          <w:rFonts w:hint="eastAsia"/>
          <w:color w:val="000000" w:themeColor="text1"/>
          <w:sz w:val="24"/>
          <w:szCs w:val="24"/>
          <w:lang w:eastAsia="zh-CN"/>
        </w:rPr>
        <w:t>）</w:t>
      </w:r>
      <w:r>
        <w:rPr>
          <w:color w:val="000000" w:themeColor="text1"/>
          <w:sz w:val="24"/>
          <w:szCs w:val="24"/>
          <w:lang w:eastAsia="zh-CN"/>
        </w:rPr>
        <w:t>的各合格参选人，根据以下标准和方法进行</w:t>
      </w:r>
    </w:p>
    <w:p>
      <w:pPr>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评标采用综合评标法：商务评分及技术评分依据项目具体情况编制评分细则，商务部分：</w:t>
      </w:r>
      <w:r>
        <w:rPr>
          <w:rFonts w:hint="eastAsia"/>
          <w:color w:val="000000" w:themeColor="text1"/>
          <w:sz w:val="24"/>
          <w:szCs w:val="24"/>
          <w:lang w:val="en-US" w:eastAsia="zh-CN"/>
        </w:rPr>
        <w:t>9</w:t>
      </w:r>
      <w:r>
        <w:rPr>
          <w:rFonts w:hint="eastAsia"/>
          <w:color w:val="000000" w:themeColor="text1"/>
          <w:sz w:val="24"/>
          <w:szCs w:val="24"/>
          <w:lang w:eastAsia="zh-CN"/>
        </w:rPr>
        <w:t>分、技术部分：</w:t>
      </w:r>
      <w:r>
        <w:rPr>
          <w:rFonts w:hint="eastAsia"/>
          <w:color w:val="000000" w:themeColor="text1"/>
          <w:sz w:val="24"/>
          <w:szCs w:val="24"/>
          <w:lang w:val="en-US" w:eastAsia="zh-CN"/>
        </w:rPr>
        <w:t>6</w:t>
      </w:r>
      <w:r>
        <w:rPr>
          <w:rFonts w:hint="eastAsia"/>
          <w:color w:val="000000" w:themeColor="text1"/>
          <w:sz w:val="24"/>
          <w:szCs w:val="24"/>
          <w:lang w:eastAsia="zh-CN"/>
        </w:rPr>
        <w:t>分、报价部分：</w:t>
      </w:r>
      <w:r>
        <w:rPr>
          <w:rFonts w:hint="eastAsia"/>
          <w:color w:val="000000" w:themeColor="text1"/>
          <w:sz w:val="24"/>
          <w:szCs w:val="24"/>
          <w:lang w:val="en-US" w:eastAsia="zh-CN"/>
        </w:rPr>
        <w:t>85</w:t>
      </w:r>
      <w:r>
        <w:rPr>
          <w:rFonts w:hint="eastAsia"/>
          <w:color w:val="000000" w:themeColor="text1"/>
          <w:sz w:val="24"/>
          <w:szCs w:val="24"/>
          <w:lang w:eastAsia="zh-CN"/>
        </w:rPr>
        <w:t>分。</w:t>
      </w:r>
    </w:p>
    <w:p>
      <w:pPr>
        <w:numPr>
          <w:ilvl w:val="0"/>
          <w:numId w:val="0"/>
        </w:numPr>
        <w:spacing w:line="360" w:lineRule="auto"/>
        <w:rPr>
          <w:color w:val="000000" w:themeColor="text1"/>
          <w:sz w:val="24"/>
          <w:szCs w:val="24"/>
          <w:lang w:eastAsia="zh-CN"/>
        </w:rPr>
      </w:pPr>
      <w:r>
        <w:rPr>
          <w:rFonts w:hint="eastAsia"/>
          <w:color w:val="000000" w:themeColor="text1"/>
          <w:sz w:val="24"/>
          <w:szCs w:val="24"/>
          <w:lang w:val="en-US" w:eastAsia="zh-CN"/>
        </w:rPr>
        <w:t>1、</w:t>
      </w:r>
      <w:r>
        <w:rPr>
          <w:rFonts w:hint="eastAsia"/>
          <w:color w:val="000000" w:themeColor="text1"/>
          <w:sz w:val="24"/>
          <w:szCs w:val="24"/>
          <w:lang w:eastAsia="zh-CN"/>
        </w:rPr>
        <w:t>商务评分及技术评分：</w:t>
      </w:r>
    </w:p>
    <w:tbl>
      <w:tblPr>
        <w:tblStyle w:val="46"/>
        <w:tblpPr w:leftFromText="180" w:rightFromText="180" w:vertAnchor="text" w:horzAnchor="page" w:tblpXSpec="center" w:tblpY="491"/>
        <w:tblOverlap w:val="never"/>
        <w:tblW w:w="4996"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731"/>
        <w:gridCol w:w="1208"/>
        <w:gridCol w:w="554"/>
        <w:gridCol w:w="711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97" w:hRule="atLeast"/>
          <w:jc w:val="center"/>
        </w:trPr>
        <w:tc>
          <w:tcPr>
            <w:tcW w:w="380" w:type="pct"/>
            <w:tcBorders>
              <w:top w:val="outset" w:color="auto" w:sz="6" w:space="0"/>
              <w:left w:val="outset" w:color="auto" w:sz="6" w:space="0"/>
              <w:bottom w:val="single" w:color="auto" w:sz="4" w:space="0"/>
              <w:right w:val="outset" w:color="auto" w:sz="6" w:space="0"/>
            </w:tcBorders>
            <w:vAlign w:val="center"/>
          </w:tcPr>
          <w:p>
            <w:pPr>
              <w:spacing w:line="340" w:lineRule="exact"/>
              <w:jc w:val="center"/>
              <w:rPr>
                <w:rFonts w:asciiTheme="minorEastAsia" w:hAnsiTheme="minorEastAsia" w:cstheme="minorEastAsia"/>
                <w:color w:val="000000" w:themeColor="text1"/>
                <w:sz w:val="18"/>
                <w:szCs w:val="18"/>
              </w:rPr>
            </w:pPr>
          </w:p>
        </w:tc>
        <w:tc>
          <w:tcPr>
            <w:tcW w:w="628" w:type="pct"/>
            <w:tcBorders>
              <w:top w:val="outset" w:color="auto" w:sz="6" w:space="0"/>
              <w:left w:val="outset" w:color="auto" w:sz="6" w:space="0"/>
              <w:bottom w:val="single" w:color="auto" w:sz="4" w:space="0"/>
              <w:right w:val="outset" w:color="auto" w:sz="6" w:space="0"/>
            </w:tcBorders>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评分因素</w:t>
            </w:r>
          </w:p>
        </w:tc>
        <w:tc>
          <w:tcPr>
            <w:tcW w:w="288" w:type="pct"/>
            <w:tcBorders>
              <w:top w:val="outset" w:color="auto" w:sz="6" w:space="0"/>
              <w:left w:val="outset" w:color="auto" w:sz="6" w:space="0"/>
              <w:bottom w:val="single" w:color="auto" w:sz="4" w:space="0"/>
              <w:right w:val="outset" w:color="auto" w:sz="6" w:space="0"/>
            </w:tcBorders>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分数</w:t>
            </w:r>
          </w:p>
        </w:tc>
        <w:tc>
          <w:tcPr>
            <w:tcW w:w="3703" w:type="pct"/>
            <w:tcBorders>
              <w:top w:val="outset" w:color="auto" w:sz="6" w:space="0"/>
              <w:left w:val="outset" w:color="auto" w:sz="6" w:space="0"/>
              <w:bottom w:val="single" w:color="auto" w:sz="4" w:space="0"/>
              <w:right w:val="outset" w:color="auto" w:sz="6" w:space="0"/>
            </w:tcBorders>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80" w:hRule="atLeast"/>
          <w:jc w:val="center"/>
        </w:trPr>
        <w:tc>
          <w:tcPr>
            <w:tcW w:w="380" w:type="pct"/>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cstheme="minorEastAsia"/>
                <w:color w:val="000000" w:themeColor="text1"/>
                <w:sz w:val="18"/>
                <w:szCs w:val="18"/>
              </w:rPr>
            </w:pPr>
          </w:p>
          <w:p>
            <w:pPr>
              <w:spacing w:line="340" w:lineRule="exact"/>
              <w:jc w:val="center"/>
              <w:rPr>
                <w:rFonts w:asciiTheme="minorEastAsia" w:hAnsiTheme="minorEastAsia" w:cstheme="minorEastAsia"/>
                <w:color w:val="000000" w:themeColor="text1"/>
                <w:sz w:val="18"/>
                <w:szCs w:val="18"/>
              </w:rPr>
            </w:pPr>
          </w:p>
          <w:p>
            <w:pPr>
              <w:spacing w:line="340" w:lineRule="exact"/>
              <w:jc w:val="center"/>
              <w:rPr>
                <w:rFonts w:asciiTheme="minorEastAsia" w:hAnsiTheme="minorEastAsia" w:cstheme="minorEastAsia"/>
                <w:color w:val="000000" w:themeColor="text1"/>
                <w:sz w:val="18"/>
                <w:szCs w:val="18"/>
              </w:rPr>
            </w:pPr>
          </w:p>
          <w:p>
            <w:pPr>
              <w:spacing w:line="340" w:lineRule="exact"/>
              <w:jc w:val="center"/>
              <w:rPr>
                <w:rFonts w:asciiTheme="minorEastAsia" w:hAnsiTheme="minorEastAsia" w:cstheme="minorEastAsia"/>
                <w:color w:val="000000" w:themeColor="text1"/>
                <w:sz w:val="18"/>
                <w:szCs w:val="18"/>
              </w:rPr>
            </w:pPr>
          </w:p>
          <w:p>
            <w:pPr>
              <w:spacing w:line="340" w:lineRule="exact"/>
              <w:jc w:val="center"/>
              <w:rPr>
                <w:rFonts w:asciiTheme="minorEastAsia" w:hAnsiTheme="minorEastAsia" w:cstheme="minorEastAsia"/>
                <w:color w:val="000000" w:themeColor="text1"/>
                <w:sz w:val="18"/>
                <w:szCs w:val="18"/>
              </w:rPr>
            </w:pPr>
          </w:p>
          <w:p>
            <w:pPr>
              <w:spacing w:line="340" w:lineRule="exact"/>
              <w:jc w:val="center"/>
              <w:rPr>
                <w:rFonts w:asciiTheme="minorEastAsia" w:hAnsiTheme="minorEastAsia" w:cstheme="minorEastAsia"/>
                <w:color w:val="000000" w:themeColor="text1"/>
                <w:sz w:val="18"/>
                <w:szCs w:val="18"/>
              </w:rPr>
            </w:pPr>
          </w:p>
          <w:p>
            <w:pPr>
              <w:spacing w:line="340" w:lineRule="exact"/>
              <w:jc w:val="center"/>
              <w:rPr>
                <w:rFonts w:asciiTheme="minorEastAsia" w:hAnsiTheme="minorEastAsia" w:cstheme="minorEastAsia"/>
                <w:color w:val="000000" w:themeColor="text1"/>
                <w:sz w:val="18"/>
                <w:szCs w:val="18"/>
              </w:rPr>
            </w:pPr>
          </w:p>
          <w:p>
            <w:pPr>
              <w:spacing w:line="340" w:lineRule="exact"/>
              <w:jc w:val="center"/>
              <w:rPr>
                <w:rFonts w:asciiTheme="minorEastAsia" w:hAnsiTheme="minorEastAsia" w:cstheme="minorEastAsia"/>
                <w:color w:val="000000" w:themeColor="text1"/>
                <w:sz w:val="18"/>
                <w:szCs w:val="18"/>
              </w:rPr>
            </w:pPr>
            <w:r>
              <w:rPr>
                <w:rFonts w:hint="eastAsia" w:asciiTheme="minorEastAsia" w:hAnsiTheme="minorEastAsia" w:cstheme="minorEastAsia"/>
                <w:color w:val="000000" w:themeColor="text1"/>
                <w:sz w:val="18"/>
                <w:szCs w:val="18"/>
              </w:rPr>
              <w:t>商务评分标准</w:t>
            </w: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投标人综合实力</w:t>
            </w:r>
          </w:p>
          <w:p>
            <w:pPr>
              <w:jc w:val="center"/>
              <w:rPr>
                <w:rFonts w:ascii="宋体" w:hAnsi="宋体" w:eastAsia="宋体" w:cs="宋体"/>
                <w:color w:val="000000" w:themeColor="text1"/>
                <w:sz w:val="18"/>
                <w:szCs w:val="18"/>
              </w:rPr>
            </w:pPr>
          </w:p>
        </w:tc>
        <w:tc>
          <w:tcPr>
            <w:tcW w:w="2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val="en-US" w:eastAsia="zh-CN"/>
              </w:rPr>
            </w:pPr>
            <w:r>
              <w:rPr>
                <w:rFonts w:hint="eastAsia" w:cs="宋体"/>
                <w:color w:val="000000" w:themeColor="text1"/>
                <w:sz w:val="18"/>
                <w:szCs w:val="18"/>
                <w:lang w:val="en-US" w:eastAsia="zh-CN"/>
              </w:rPr>
              <w:t>3</w:t>
            </w:r>
          </w:p>
        </w:tc>
        <w:tc>
          <w:tcPr>
            <w:tcW w:w="3703" w:type="pct"/>
            <w:tcBorders>
              <w:top w:val="single" w:color="auto" w:sz="4" w:space="0"/>
              <w:left w:val="single" w:color="auto" w:sz="4" w:space="0"/>
              <w:bottom w:val="single" w:color="auto" w:sz="4" w:space="0"/>
              <w:right w:val="single" w:color="auto" w:sz="4" w:space="0"/>
            </w:tcBorders>
            <w:vAlign w:val="center"/>
          </w:tcPr>
          <w:p>
            <w:pPr>
              <w:ind w:firstLine="360" w:firstLineChars="200"/>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根据投标人企业规模、企业的专业性、</w:t>
            </w:r>
            <w:r>
              <w:rPr>
                <w:rFonts w:hint="eastAsia" w:ascii="宋体" w:hAnsi="宋体" w:eastAsia="宋体" w:cs="宋体"/>
                <w:sz w:val="18"/>
                <w:szCs w:val="18"/>
              </w:rPr>
              <w:t>技术创新能力及持有发明专利情况</w:t>
            </w:r>
            <w:r>
              <w:rPr>
                <w:rFonts w:hint="eastAsia" w:ascii="宋体" w:hAnsi="宋体" w:eastAsia="宋体" w:cs="宋体"/>
                <w:color w:val="000000" w:themeColor="text1"/>
                <w:sz w:val="18"/>
                <w:szCs w:val="18"/>
              </w:rPr>
              <w:t>、管理体系认证以及近几年（2019年～2021年）财务报表状况、由评委进行评议并在</w:t>
            </w:r>
            <w:r>
              <w:rPr>
                <w:rFonts w:hint="eastAsia" w:cs="宋体"/>
                <w:color w:val="FF0000"/>
                <w:sz w:val="18"/>
                <w:szCs w:val="18"/>
                <w:lang w:val="en-US" w:eastAsia="zh-CN"/>
              </w:rPr>
              <w:t>0~3</w:t>
            </w:r>
            <w:r>
              <w:rPr>
                <w:rFonts w:hint="eastAsia" w:ascii="宋体" w:hAnsi="宋体" w:eastAsia="宋体" w:cs="宋体"/>
                <w:color w:val="000000" w:themeColor="text1"/>
                <w:sz w:val="18"/>
                <w:szCs w:val="18"/>
              </w:rPr>
              <w:t>分之间进行评分。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96" w:hRule="atLeast"/>
          <w:jc w:val="center"/>
        </w:trPr>
        <w:tc>
          <w:tcPr>
            <w:tcW w:w="380" w:type="pct"/>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Theme="minorEastAsia" w:hAnsiTheme="minorEastAsia" w:cstheme="minorEastAsia"/>
                <w:color w:val="000000" w:themeColor="text1"/>
                <w:sz w:val="18"/>
                <w:szCs w:val="18"/>
              </w:rPr>
            </w:pPr>
          </w:p>
        </w:tc>
        <w:tc>
          <w:tcPr>
            <w:tcW w:w="628" w:type="pct"/>
            <w:tcBorders>
              <w:top w:val="single" w:color="auto" w:sz="4" w:space="0"/>
              <w:left w:val="single" w:color="auto" w:sz="4" w:space="0"/>
              <w:bottom w:val="single" w:color="auto" w:sz="4" w:space="0"/>
              <w:right w:val="single" w:color="auto" w:sz="4" w:space="0"/>
            </w:tcBorders>
            <w:vAlign w:val="center"/>
          </w:tcPr>
          <w:p>
            <w:pPr>
              <w:ind w:firstLine="180" w:firstLineChars="100"/>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供货期</w:t>
            </w:r>
          </w:p>
        </w:tc>
        <w:tc>
          <w:tcPr>
            <w:tcW w:w="2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val="en-US" w:eastAsia="zh-CN"/>
              </w:rPr>
            </w:pPr>
            <w:r>
              <w:rPr>
                <w:rFonts w:hint="eastAsia" w:cs="宋体"/>
                <w:color w:val="000000" w:themeColor="text1"/>
                <w:sz w:val="18"/>
                <w:szCs w:val="18"/>
                <w:lang w:val="en-US" w:eastAsia="zh-CN"/>
              </w:rPr>
              <w:t>2</w:t>
            </w:r>
          </w:p>
        </w:tc>
        <w:tc>
          <w:tcPr>
            <w:tcW w:w="3703" w:type="pct"/>
            <w:tcBorders>
              <w:top w:val="single" w:color="auto" w:sz="4" w:space="0"/>
              <w:left w:val="single" w:color="auto" w:sz="4" w:space="0"/>
              <w:bottom w:val="single" w:color="auto" w:sz="4" w:space="0"/>
              <w:right w:val="single" w:color="auto" w:sz="4" w:space="0"/>
            </w:tcBorders>
            <w:vAlign w:val="center"/>
          </w:tcPr>
          <w:p>
            <w:pPr>
              <w:ind w:firstLine="360" w:firstLineChars="200"/>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在满足招标文件要求的到货期基础上，到货期最短得</w:t>
            </w:r>
            <w:r>
              <w:rPr>
                <w:rFonts w:hint="eastAsia" w:cs="宋体"/>
                <w:color w:val="FF0000"/>
                <w:sz w:val="18"/>
                <w:szCs w:val="18"/>
                <w:lang w:val="en-US" w:eastAsia="zh-CN"/>
              </w:rPr>
              <w:t>2</w:t>
            </w:r>
            <w:r>
              <w:rPr>
                <w:rFonts w:hint="eastAsia" w:ascii="宋体" w:hAnsi="宋体" w:eastAsia="宋体" w:cs="宋体"/>
                <w:color w:val="000000" w:themeColor="text1"/>
                <w:sz w:val="18"/>
                <w:szCs w:val="18"/>
              </w:rPr>
              <w:t>分，第二名得</w:t>
            </w:r>
            <w:r>
              <w:rPr>
                <w:rFonts w:hint="eastAsia" w:cs="宋体"/>
                <w:color w:val="FF0000"/>
                <w:sz w:val="18"/>
                <w:szCs w:val="18"/>
                <w:lang w:val="en-US" w:eastAsia="zh-CN"/>
              </w:rPr>
              <w:t>1</w:t>
            </w:r>
            <w:r>
              <w:rPr>
                <w:rFonts w:hint="eastAsia" w:ascii="宋体" w:hAnsi="宋体" w:eastAsia="宋体" w:cs="宋体"/>
                <w:color w:val="000000" w:themeColor="text1"/>
                <w:sz w:val="18"/>
                <w:szCs w:val="18"/>
              </w:rPr>
              <w:t>分，第三名得</w:t>
            </w:r>
            <w:r>
              <w:rPr>
                <w:rFonts w:hint="eastAsia" w:cs="宋体"/>
                <w:color w:val="FF0000"/>
                <w:sz w:val="18"/>
                <w:szCs w:val="18"/>
                <w:lang w:val="en-US" w:eastAsia="zh-CN"/>
              </w:rPr>
              <w:t>0.5</w:t>
            </w:r>
            <w:r>
              <w:rPr>
                <w:rFonts w:hint="eastAsia" w:ascii="宋体" w:hAnsi="宋体" w:eastAsia="宋体" w:cs="宋体"/>
                <w:color w:val="000000" w:themeColor="text1"/>
                <w:sz w:val="18"/>
                <w:szCs w:val="18"/>
              </w:rPr>
              <w:t>分，第四名得</w:t>
            </w:r>
            <w:r>
              <w:rPr>
                <w:rFonts w:hint="eastAsia" w:cs="宋体"/>
                <w:color w:val="FF0000"/>
                <w:sz w:val="18"/>
                <w:szCs w:val="18"/>
                <w:lang w:val="en-US" w:eastAsia="zh-CN"/>
              </w:rPr>
              <w:t>0</w:t>
            </w:r>
            <w:r>
              <w:rPr>
                <w:rFonts w:hint="eastAsia" w:ascii="宋体" w:hAnsi="宋体" w:eastAsia="宋体" w:cs="宋体"/>
                <w:color w:val="000000" w:themeColor="text1"/>
                <w:sz w:val="18"/>
                <w:szCs w:val="18"/>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245" w:hRule="atLeast"/>
          <w:jc w:val="center"/>
        </w:trPr>
        <w:tc>
          <w:tcPr>
            <w:tcW w:w="380" w:type="pct"/>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Theme="minorEastAsia" w:hAnsiTheme="minorEastAsia" w:cstheme="minorEastAsia"/>
                <w:color w:val="000000" w:themeColor="text1"/>
                <w:sz w:val="18"/>
                <w:szCs w:val="18"/>
              </w:rPr>
            </w:pPr>
          </w:p>
        </w:tc>
        <w:tc>
          <w:tcPr>
            <w:tcW w:w="628"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themeColor="text1"/>
                <w:sz w:val="18"/>
                <w:szCs w:val="18"/>
              </w:rPr>
            </w:pPr>
          </w:p>
          <w:p>
            <w:pPr>
              <w:jc w:val="left"/>
              <w:rPr>
                <w:rFonts w:ascii="宋体" w:hAnsi="宋体" w:eastAsia="宋体" w:cs="宋体"/>
                <w:color w:val="000000" w:themeColor="text1"/>
                <w:sz w:val="18"/>
                <w:szCs w:val="18"/>
              </w:rPr>
            </w:pPr>
          </w:p>
          <w:p>
            <w:pPr>
              <w:jc w:val="left"/>
              <w:rPr>
                <w:rFonts w:ascii="宋体" w:hAnsi="宋体" w:eastAsia="宋体" w:cs="宋体"/>
                <w:color w:val="000000" w:themeColor="text1"/>
                <w:sz w:val="18"/>
                <w:szCs w:val="18"/>
              </w:rPr>
            </w:pPr>
          </w:p>
          <w:p>
            <w:pPr>
              <w:jc w:val="left"/>
              <w:rPr>
                <w:rFonts w:ascii="宋体" w:hAnsi="宋体" w:eastAsia="宋体" w:cs="宋体"/>
                <w:color w:val="000000" w:themeColor="text1"/>
                <w:sz w:val="18"/>
                <w:szCs w:val="18"/>
              </w:rPr>
            </w:pPr>
            <w:r>
              <w:rPr>
                <w:rFonts w:hint="eastAsia" w:asciiTheme="minorEastAsia" w:hAnsiTheme="minorEastAsia" w:cstheme="minorEastAsia"/>
                <w:color w:val="000000" w:themeColor="text1"/>
                <w:sz w:val="18"/>
                <w:szCs w:val="18"/>
              </w:rPr>
              <w:t>类似业绩情况</w:t>
            </w:r>
          </w:p>
        </w:tc>
        <w:tc>
          <w:tcPr>
            <w:tcW w:w="2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val="en-US" w:eastAsia="zh-CN"/>
              </w:rPr>
            </w:pPr>
            <w:r>
              <w:rPr>
                <w:rFonts w:hint="eastAsia" w:cs="宋体"/>
                <w:color w:val="000000" w:themeColor="text1"/>
                <w:sz w:val="18"/>
                <w:szCs w:val="18"/>
                <w:lang w:val="en-US" w:eastAsia="zh-CN"/>
              </w:rPr>
              <w:t>4</w:t>
            </w:r>
          </w:p>
        </w:tc>
        <w:tc>
          <w:tcPr>
            <w:tcW w:w="3703" w:type="pct"/>
            <w:tcBorders>
              <w:top w:val="single" w:color="auto" w:sz="4" w:space="0"/>
              <w:left w:val="single" w:color="auto" w:sz="4" w:space="0"/>
              <w:bottom w:val="single" w:color="auto" w:sz="4" w:space="0"/>
              <w:right w:val="single" w:color="auto" w:sz="4" w:space="0"/>
            </w:tcBorders>
            <w:vAlign w:val="center"/>
          </w:tcPr>
          <w:p>
            <w:pPr>
              <w:pStyle w:val="30"/>
              <w:ind w:firstLine="360" w:firstLineChars="200"/>
              <w:jc w:val="both"/>
              <w:rPr>
                <w:rFonts w:ascii="宋体" w:hAnsi="宋体" w:eastAsia="宋体" w:cs="宋体"/>
                <w:color w:val="000000" w:themeColor="text1"/>
              </w:rPr>
            </w:pPr>
            <w:r>
              <w:rPr>
                <w:rFonts w:hint="eastAsia" w:ascii="宋体" w:hAnsi="宋体" w:eastAsia="宋体" w:cs="宋体"/>
                <w:color w:val="000000" w:themeColor="text1"/>
              </w:rPr>
              <w:t>根据投标人提供的近五年（2017至2021年度)在800万吨/年炼油、80万吨/年乙烯或80万吨/年PX项目管件的供货业绩情况，重点考虑所提供业绩对应的装置的相似程度、装置规模、合同的数量、合同的大小、与本招标内容的契合度等，由评委进行评议并在</w:t>
            </w:r>
            <w:r>
              <w:rPr>
                <w:rFonts w:hint="eastAsia" w:cs="宋体"/>
                <w:color w:val="FF0000"/>
                <w:lang w:val="en-US" w:eastAsia="zh-CN"/>
              </w:rPr>
              <w:t>0~3</w:t>
            </w:r>
            <w:r>
              <w:rPr>
                <w:rFonts w:hint="eastAsia" w:ascii="宋体" w:hAnsi="宋体" w:eastAsia="宋体" w:cs="宋体"/>
                <w:color w:val="000000" w:themeColor="text1"/>
              </w:rPr>
              <w:t>分之间进行评分</w:t>
            </w:r>
          </w:p>
          <w:p>
            <w:pPr>
              <w:pStyle w:val="76"/>
              <w:spacing w:line="420" w:lineRule="exact"/>
              <w:ind w:firstLine="360" w:firstLineChars="200"/>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此项须提供业绩表，业绩表内容不限于管件型号、供货时间、合同复印件（含合同封皮、签字页、供货范围页）及加盖投标人公章。</w:t>
            </w:r>
          </w:p>
          <w:p>
            <w:pPr>
              <w:pStyle w:val="76"/>
              <w:spacing w:line="420" w:lineRule="exact"/>
              <w:ind w:firstLine="360" w:firstLineChars="200"/>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投标人应对申报业绩的真实性和准确性负责。在招标过程中，招标人和招标代理有权对投标人申报的项目业绩进行核实和澄清，若投标人所申报资料内容有失实情况，则该投标人即被取消投标或中标资格</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0" w:type="pc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Theme="minorEastAsia" w:hAnsiTheme="minorEastAsia" w:cstheme="minorEastAsia"/>
                <w:color w:val="000000" w:themeColor="text1"/>
                <w:sz w:val="18"/>
                <w:szCs w:val="18"/>
              </w:rPr>
            </w:pPr>
            <w:r>
              <w:rPr>
                <w:rFonts w:hint="eastAsia" w:asciiTheme="minorEastAsia" w:hAnsiTheme="minorEastAsia" w:cstheme="minorEastAsia"/>
                <w:color w:val="000000" w:themeColor="text1"/>
                <w:sz w:val="18"/>
                <w:szCs w:val="18"/>
                <w:lang w:val="en-US" w:eastAsia="zh-CN"/>
              </w:rPr>
              <w:t>技术</w:t>
            </w:r>
            <w:r>
              <w:rPr>
                <w:rFonts w:hint="eastAsia" w:asciiTheme="minorEastAsia" w:hAnsiTheme="minorEastAsia" w:cstheme="minorEastAsia"/>
                <w:color w:val="000000" w:themeColor="text1"/>
                <w:sz w:val="18"/>
                <w:szCs w:val="18"/>
              </w:rPr>
              <w:t>评分标准</w:t>
            </w:r>
          </w:p>
        </w:tc>
        <w:tc>
          <w:tcPr>
            <w:tcW w:w="628" w:type="pct"/>
            <w:tcBorders>
              <w:top w:val="single" w:color="auto" w:sz="4" w:space="0"/>
              <w:left w:val="single" w:color="auto" w:sz="4" w:space="0"/>
              <w:bottom w:val="single" w:color="auto" w:sz="4" w:space="0"/>
              <w:right w:val="single" w:color="auto" w:sz="4" w:space="0"/>
            </w:tcBorders>
            <w:vAlign w:val="center"/>
          </w:tcPr>
          <w:p>
            <w:pPr>
              <w:pStyle w:val="76"/>
              <w:spacing w:line="420" w:lineRule="exact"/>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制造能力</w:t>
            </w:r>
          </w:p>
        </w:tc>
        <w:tc>
          <w:tcPr>
            <w:tcW w:w="288" w:type="pct"/>
            <w:tcBorders>
              <w:top w:val="single" w:color="auto" w:sz="4" w:space="0"/>
              <w:left w:val="single" w:color="auto" w:sz="4" w:space="0"/>
              <w:bottom w:val="single" w:color="auto" w:sz="4" w:space="0"/>
              <w:right w:val="single" w:color="auto" w:sz="4" w:space="0"/>
            </w:tcBorders>
            <w:vAlign w:val="center"/>
          </w:tcPr>
          <w:p>
            <w:pPr>
              <w:pStyle w:val="76"/>
              <w:spacing w:line="420" w:lineRule="exact"/>
              <w:jc w:val="center"/>
              <w:rPr>
                <w:rFonts w:hint="eastAsia" w:ascii="宋体" w:hAnsi="宋体" w:eastAsia="宋体" w:cs="宋体"/>
                <w:color w:val="000000" w:themeColor="text1"/>
                <w:sz w:val="18"/>
                <w:szCs w:val="18"/>
                <w:lang w:val="en-US" w:eastAsia="zh-CN"/>
              </w:rPr>
            </w:pPr>
            <w:r>
              <w:rPr>
                <w:rFonts w:hint="eastAsia" w:cs="宋体"/>
                <w:color w:val="000000" w:themeColor="text1"/>
                <w:sz w:val="18"/>
                <w:szCs w:val="18"/>
                <w:lang w:val="en-US" w:eastAsia="zh-CN"/>
              </w:rPr>
              <w:t>6</w:t>
            </w:r>
          </w:p>
        </w:tc>
        <w:tc>
          <w:tcPr>
            <w:tcW w:w="3703"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firstLine="360" w:firstLineChars="200"/>
              <w:rPr>
                <w:rFonts w:ascii="宋体" w:hAnsi="宋体" w:eastAsia="宋体" w:cs="宋体"/>
                <w:sz w:val="18"/>
                <w:szCs w:val="18"/>
              </w:rPr>
            </w:pPr>
            <w:r>
              <w:rPr>
                <w:rFonts w:hint="eastAsia" w:ascii="宋体" w:hAnsi="宋体" w:eastAsia="宋体" w:cs="宋体"/>
                <w:sz w:val="18"/>
                <w:szCs w:val="18"/>
              </w:rPr>
              <w:t>根据投标人是否具备压力机、推制机、热处理炉、焊接设备等，具有10000吨压力机、具有中频加热推制机、具有自动焊接设备、具有酸洗钝化车间，具有得化学成份分析，硬度仪，超声检测UT、磁粉检测MT和液体渗透检测PT等无损检测能力，具有得强度试验能力，热处理自有制造能力、由评委进行评议并在</w:t>
            </w:r>
            <w:r>
              <w:rPr>
                <w:rFonts w:hint="eastAsia" w:cs="宋体"/>
                <w:color w:val="FF0000"/>
                <w:sz w:val="18"/>
                <w:szCs w:val="18"/>
                <w:lang w:val="en-US" w:eastAsia="zh-CN"/>
              </w:rPr>
              <w:t>0~8</w:t>
            </w:r>
            <w:r>
              <w:rPr>
                <w:rFonts w:hint="eastAsia" w:ascii="宋体" w:hAnsi="宋体" w:eastAsia="宋体" w:cs="宋体"/>
                <w:sz w:val="18"/>
                <w:szCs w:val="18"/>
              </w:rPr>
              <w:t>分之间进行评分。以上需要投标人提供相关证明（如照片等），不提供者不得分。</w:t>
            </w:r>
          </w:p>
          <w:p>
            <w:pPr>
              <w:pStyle w:val="30"/>
              <w:jc w:val="both"/>
              <w:rPr>
                <w:rFonts w:ascii="宋体" w:hAnsi="宋体" w:eastAsia="宋体" w:cs="宋体"/>
                <w:color w:val="000000" w:themeColor="text1"/>
              </w:rPr>
            </w:pPr>
          </w:p>
        </w:tc>
      </w:tr>
    </w:tbl>
    <w:p>
      <w:pPr>
        <w:pStyle w:val="2"/>
        <w:numPr>
          <w:ilvl w:val="0"/>
          <w:numId w:val="0"/>
        </w:numPr>
        <w:rPr>
          <w:lang w:eastAsia="zh-CN"/>
        </w:rPr>
      </w:pPr>
    </w:p>
    <w:p>
      <w:pPr>
        <w:spacing w:line="360" w:lineRule="auto"/>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报价</w:t>
      </w:r>
      <w:r>
        <w:rPr>
          <w:color w:val="000000" w:themeColor="text1"/>
          <w:sz w:val="24"/>
          <w:szCs w:val="24"/>
          <w:lang w:eastAsia="zh-CN"/>
        </w:rPr>
        <w:t>评分：</w:t>
      </w:r>
    </w:p>
    <w:p>
      <w:pPr>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根据评标细则规定对投标报价进行算术性错误修正。投标人的投标报价经上述修正后，计算出报价评标价。</w:t>
      </w:r>
    </w:p>
    <w:p>
      <w:pPr>
        <w:spacing w:line="360" w:lineRule="auto"/>
        <w:ind w:firstLine="480" w:firstLineChars="200"/>
        <w:rPr>
          <w:color w:val="000000" w:themeColor="text1"/>
          <w:sz w:val="24"/>
          <w:szCs w:val="24"/>
          <w:lang w:eastAsia="zh-CN"/>
        </w:rPr>
      </w:pPr>
      <w:r>
        <w:rPr>
          <w:color w:val="000000" w:themeColor="text1"/>
          <w:sz w:val="24"/>
          <w:szCs w:val="24"/>
          <w:lang w:eastAsia="zh-CN"/>
        </w:rPr>
        <w:t>报价评分得分计算公式（取小数点后的2位数）</w:t>
      </w:r>
    </w:p>
    <w:p>
      <w:pPr>
        <w:spacing w:line="360" w:lineRule="auto"/>
        <w:ind w:firstLine="720" w:firstLineChars="300"/>
        <w:rPr>
          <w:rFonts w:hint="default"/>
          <w:color w:val="000000" w:themeColor="text1"/>
          <w:sz w:val="24"/>
          <w:szCs w:val="24"/>
          <w:lang w:val="en-US" w:eastAsia="zh-CN"/>
        </w:rPr>
      </w:pPr>
      <w:r>
        <w:rPr>
          <w:color w:val="000000" w:themeColor="text1"/>
          <w:sz w:val="24"/>
          <w:szCs w:val="24"/>
          <w:lang w:eastAsia="zh-CN"/>
        </w:rPr>
        <w:t>P＝</w:t>
      </w:r>
      <w:r>
        <w:rPr>
          <w:rFonts w:hint="eastAsia"/>
          <w:color w:val="000000" w:themeColor="text1"/>
          <w:sz w:val="24"/>
          <w:szCs w:val="24"/>
          <w:lang w:val="en-US" w:eastAsia="zh-CN"/>
        </w:rPr>
        <w:t>85</w:t>
      </w:r>
      <w:r>
        <w:rPr>
          <w:rFonts w:hint="eastAsia"/>
          <w:color w:val="000000" w:themeColor="text1"/>
          <w:sz w:val="24"/>
          <w:szCs w:val="24"/>
          <w:lang w:eastAsia="zh-CN"/>
        </w:rPr>
        <w:t>*</w:t>
      </w:r>
      <w:r>
        <w:rPr>
          <w:rFonts w:hint="eastAsia"/>
          <w:color w:val="000000" w:themeColor="text1"/>
          <w:sz w:val="24"/>
          <w:szCs w:val="24"/>
          <w:lang w:val="en-US" w:eastAsia="zh-CN"/>
        </w:rPr>
        <w:t>(</w:t>
      </w:r>
      <w:r>
        <w:rPr>
          <w:rFonts w:hint="eastAsia"/>
          <w:color w:val="000000" w:themeColor="text1"/>
          <w:sz w:val="24"/>
          <w:szCs w:val="24"/>
          <w:lang w:eastAsia="zh-CN"/>
        </w:rPr>
        <w:t>C/Bn</w:t>
      </w:r>
      <w:r>
        <w:rPr>
          <w:rFonts w:hint="eastAsia"/>
          <w:color w:val="000000" w:themeColor="text1"/>
          <w:sz w:val="24"/>
          <w:szCs w:val="24"/>
          <w:lang w:val="en-US" w:eastAsia="zh-CN"/>
        </w:rPr>
        <w:t>)</w:t>
      </w:r>
    </w:p>
    <w:p>
      <w:pPr>
        <w:spacing w:line="360" w:lineRule="auto"/>
        <w:ind w:firstLine="720" w:firstLineChars="300"/>
        <w:rPr>
          <w:color w:val="000000" w:themeColor="text1"/>
          <w:sz w:val="24"/>
          <w:szCs w:val="24"/>
          <w:lang w:eastAsia="zh-CN"/>
        </w:rPr>
      </w:pPr>
      <w:r>
        <w:rPr>
          <w:color w:val="000000" w:themeColor="text1"/>
          <w:sz w:val="24"/>
          <w:szCs w:val="24"/>
          <w:lang w:eastAsia="zh-CN"/>
        </w:rPr>
        <w:t>式中：P——投标评审价得分</w:t>
      </w:r>
    </w:p>
    <w:p>
      <w:pPr>
        <w:widowControl/>
        <w:spacing w:line="460" w:lineRule="exact"/>
        <w:ind w:firstLine="480"/>
        <w:textAlignment w:val="baseline"/>
        <w:rPr>
          <w:color w:val="000000" w:themeColor="text1"/>
          <w:sz w:val="24"/>
          <w:szCs w:val="24"/>
          <w:lang w:eastAsia="zh-CN"/>
        </w:rPr>
      </w:pPr>
      <w:r>
        <w:rPr>
          <w:color w:val="000000" w:themeColor="text1"/>
          <w:sz w:val="24"/>
          <w:szCs w:val="24"/>
          <w:lang w:eastAsia="zh-CN"/>
        </w:rPr>
        <w:t xml:space="preserve">  </w:t>
      </w:r>
      <w:r>
        <w:rPr>
          <w:rFonts w:hint="eastAsia"/>
          <w:color w:val="000000"/>
          <w:sz w:val="24"/>
          <w:lang w:eastAsia="zh-CN" w:bidi="ar"/>
        </w:rPr>
        <w:t>Bn</w:t>
      </w:r>
      <w:r>
        <w:rPr>
          <w:color w:val="000000" w:themeColor="text1"/>
          <w:sz w:val="24"/>
          <w:szCs w:val="24"/>
          <w:lang w:eastAsia="zh-CN"/>
        </w:rPr>
        <w:t>——</w:t>
      </w:r>
      <w:r>
        <w:rPr>
          <w:rFonts w:hint="eastAsia"/>
          <w:color w:val="000000"/>
          <w:sz w:val="24"/>
          <w:lang w:eastAsia="zh-CN" w:bidi="ar"/>
        </w:rPr>
        <w:t>Bn为有效投标人的报价评标价；</w:t>
      </w:r>
    </w:p>
    <w:p>
      <w:pPr>
        <w:spacing w:line="360" w:lineRule="auto"/>
        <w:ind w:firstLine="480" w:firstLineChars="200"/>
        <w:rPr>
          <w:color w:val="000000" w:themeColor="text1"/>
          <w:sz w:val="24"/>
          <w:szCs w:val="24"/>
          <w:lang w:eastAsia="zh-CN"/>
        </w:rPr>
      </w:pPr>
      <w:r>
        <w:rPr>
          <w:color w:val="000000" w:themeColor="text1"/>
          <w:sz w:val="24"/>
          <w:szCs w:val="24"/>
          <w:lang w:eastAsia="zh-CN"/>
        </w:rPr>
        <w:t xml:space="preserve">  </w:t>
      </w:r>
      <w:r>
        <w:rPr>
          <w:rFonts w:hint="eastAsia"/>
          <w:color w:val="000000"/>
          <w:sz w:val="24"/>
          <w:lang w:eastAsia="zh-CN" w:bidi="ar"/>
        </w:rPr>
        <w:t>C</w:t>
      </w:r>
      <w:r>
        <w:rPr>
          <w:color w:val="000000" w:themeColor="text1"/>
          <w:sz w:val="24"/>
          <w:szCs w:val="24"/>
          <w:lang w:eastAsia="zh-CN"/>
        </w:rPr>
        <w:t>——</w:t>
      </w:r>
      <w:r>
        <w:rPr>
          <w:rFonts w:hint="eastAsia"/>
          <w:color w:val="000000"/>
          <w:sz w:val="24"/>
          <w:lang w:eastAsia="zh-CN" w:bidi="ar"/>
        </w:rPr>
        <w:t>C为各有效投标人报价评标价中的最低价</w:t>
      </w:r>
    </w:p>
    <w:p>
      <w:pPr>
        <w:spacing w:line="360" w:lineRule="auto"/>
        <w:ind w:firstLine="442" w:firstLineChars="200"/>
        <w:rPr>
          <w:b/>
          <w:spacing w:val="-2"/>
          <w:lang w:eastAsia="zh-CN"/>
        </w:rPr>
      </w:pPr>
      <w:r>
        <w:rPr>
          <w:rFonts w:hint="eastAsia"/>
          <w:b/>
          <w:color w:val="FF0000"/>
          <w:lang w:eastAsia="zh-CN"/>
        </w:rPr>
        <w:t>本项目设置最高控制价</w:t>
      </w:r>
      <w:r>
        <w:rPr>
          <w:rFonts w:hint="eastAsia"/>
          <w:b/>
          <w:color w:val="FF0000"/>
          <w:lang w:val="en-US" w:eastAsia="zh-CN"/>
        </w:rPr>
        <w:t>119</w:t>
      </w:r>
      <w:r>
        <w:rPr>
          <w:rFonts w:hint="eastAsia"/>
          <w:b/>
          <w:color w:val="FF0000"/>
          <w:lang w:eastAsia="zh-CN"/>
        </w:rPr>
        <w:t>万元整（含税包干总价）</w:t>
      </w:r>
      <w:r>
        <w:rPr>
          <w:rFonts w:hint="eastAsia"/>
          <w:lang w:eastAsia="zh-CN"/>
        </w:rPr>
        <w:t>。参选人所填报的报价高于本项目最高限价的,</w:t>
      </w:r>
      <w:r>
        <w:rPr>
          <w:color w:val="000000" w:themeColor="text1"/>
          <w:sz w:val="24"/>
          <w:szCs w:val="24"/>
          <w:lang w:eastAsia="zh-CN"/>
        </w:rPr>
        <w:t>本项最低得分为0分。</w:t>
      </w:r>
    </w:p>
    <w:p>
      <w:pPr>
        <w:spacing w:line="360" w:lineRule="auto"/>
        <w:ind w:firstLine="458" w:firstLineChars="200"/>
        <w:rPr>
          <w:rFonts w:asciiTheme="minorEastAsia" w:hAnsiTheme="minorEastAsia" w:eastAsiaTheme="minorEastAsia"/>
          <w:b/>
          <w:sz w:val="24"/>
          <w:szCs w:val="24"/>
          <w:lang w:eastAsia="zh-CN"/>
        </w:rPr>
      </w:pPr>
      <w:r>
        <w:rPr>
          <w:rFonts w:asciiTheme="minorEastAsia" w:hAnsiTheme="minorEastAsia" w:eastAsiaTheme="minorEastAsia"/>
          <w:b/>
          <w:w w:val="95"/>
          <w:sz w:val="24"/>
          <w:szCs w:val="24"/>
          <w:lang w:eastAsia="zh-CN"/>
        </w:rPr>
        <w:t>四、以下情况作废选处理：</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1.对比选文件提出的实质性要求和条件，参选文件未能在实质上响应的。</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2.参选文件存在重大偏差的。</w:t>
      </w:r>
    </w:p>
    <w:p>
      <w:pPr>
        <w:pStyle w:val="19"/>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3</w:t>
      </w:r>
      <w:r>
        <w:rPr>
          <w:rFonts w:asciiTheme="minorEastAsia" w:hAnsiTheme="minorEastAsia" w:eastAsiaTheme="minorEastAsia"/>
          <w:lang w:eastAsia="zh-CN"/>
        </w:rPr>
        <w:t>.违反规定影响开选评选工作或采取其他方式对比选人施加影响的。</w:t>
      </w:r>
    </w:p>
    <w:p>
      <w:pPr>
        <w:pStyle w:val="19"/>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.参选人串标、相互勾结故意压低标价以排挤竞争对手的公平竞争的，其参选无效。</w:t>
      </w:r>
    </w:p>
    <w:p>
      <w:pPr>
        <w:pStyle w:val="2"/>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五、评选</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5"/>
          <w:lang w:eastAsia="zh-CN"/>
        </w:rPr>
        <w:t>比选人将在参选文件截止日期后另行择日组织比选会，参选人选定工作在比选人有关部门监督下，由比选人依法组建的评选委员会负责。</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2.在开选时没有启封和读出的参选文件，在评选时将不予考虑。</w:t>
      </w:r>
    </w:p>
    <w:p>
      <w:pPr>
        <w:pStyle w:val="19"/>
        <w:spacing w:line="360" w:lineRule="auto"/>
        <w:ind w:firstLine="480" w:firstLineChars="200"/>
        <w:rPr>
          <w:lang w:eastAsia="zh-CN"/>
        </w:rPr>
        <w:sectPr>
          <w:pgSz w:w="11910" w:h="16840"/>
          <w:pgMar w:top="1500" w:right="1140" w:bottom="740" w:left="1300" w:header="0" w:footer="551" w:gutter="0"/>
          <w:cols w:space="720" w:num="1"/>
        </w:sectPr>
      </w:pPr>
      <w:r>
        <w:rPr>
          <w:rFonts w:asciiTheme="minorEastAsia" w:hAnsiTheme="minorEastAsia" w:eastAsiaTheme="minorEastAsia"/>
          <w:lang w:eastAsia="zh-CN"/>
        </w:rPr>
        <w:t>3.比选人将做开选记录。</w:t>
      </w:r>
    </w:p>
    <w:p>
      <w:pPr>
        <w:pStyle w:val="59"/>
        <w:rPr>
          <w:sz w:val="24"/>
          <w:szCs w:val="24"/>
        </w:rPr>
      </w:pPr>
    </w:p>
    <w:sectPr>
      <w:footerReference r:id="rId4" w:type="default"/>
      <w:pgSz w:w="11910" w:h="16840"/>
      <w:pgMar w:top="1500" w:right="1680" w:bottom="740" w:left="1134"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13</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EB856"/>
    <w:multiLevelType w:val="singleLevel"/>
    <w:tmpl w:val="B58EB856"/>
    <w:lvl w:ilvl="0" w:tentative="0">
      <w:start w:val="7"/>
      <w:numFmt w:val="chineseCounting"/>
      <w:suff w:val="nothing"/>
      <w:lvlText w:val="%1、"/>
      <w:lvlJc w:val="left"/>
      <w:rPr>
        <w:rFonts w:hint="eastAsia"/>
      </w:rPr>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07D81A4E"/>
    <w:multiLevelType w:val="multilevel"/>
    <w:tmpl w:val="07D81A4E"/>
    <w:lvl w:ilvl="0" w:tentative="0">
      <w:start w:val="1"/>
      <w:numFmt w:val="lowerLetter"/>
      <w:lvlText w:val="%1)"/>
      <w:lvlJc w:val="left"/>
      <w:pPr>
        <w:ind w:left="845" w:hanging="420"/>
      </w:pPr>
    </w:lvl>
    <w:lvl w:ilvl="1" w:tentative="0">
      <w:start w:val="11"/>
      <w:numFmt w:val="bullet"/>
      <w:lvlText w:val="▲"/>
      <w:lvlJc w:val="left"/>
      <w:pPr>
        <w:ind w:left="1205" w:hanging="360"/>
      </w:pPr>
      <w:rPr>
        <w:rFonts w:hint="eastAsia" w:ascii="宋体" w:hAnsi="宋体" w:eastAsia="宋体" w:cs="宋体"/>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13F5FBF4"/>
    <w:multiLevelType w:val="singleLevel"/>
    <w:tmpl w:val="13F5FBF4"/>
    <w:lvl w:ilvl="0" w:tentative="0">
      <w:start w:val="1"/>
      <w:numFmt w:val="decimal"/>
      <w:lvlText w:val="%1."/>
      <w:lvlJc w:val="left"/>
      <w:pPr>
        <w:ind w:left="425" w:hanging="425"/>
      </w:pPr>
      <w:rPr>
        <w:rFonts w:hint="default"/>
      </w:rPr>
    </w:lvl>
  </w:abstractNum>
  <w:abstractNum w:abstractNumId="4">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6">
    <w:nsid w:val="3A451854"/>
    <w:multiLevelType w:val="multilevel"/>
    <w:tmpl w:val="3A451854"/>
    <w:lvl w:ilvl="0" w:tentative="0">
      <w:start w:val="1"/>
      <w:numFmt w:val="chineseCountingThousand"/>
      <w:pStyle w:val="185"/>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6"/>
      <w:lvlText w:val="第%2节"/>
      <w:lvlJc w:val="left"/>
      <w:pPr>
        <w:tabs>
          <w:tab w:val="left" w:pos="992"/>
        </w:tabs>
        <w:ind w:left="0" w:firstLine="0"/>
      </w:pPr>
      <w:rPr>
        <w:rFonts w:hint="eastAsia" w:ascii="宋体" w:eastAsia="宋体"/>
        <w:b/>
        <w:i w:val="0"/>
        <w:sz w:val="30"/>
        <w:szCs w:val="30"/>
      </w:rPr>
    </w:lvl>
    <w:lvl w:ilvl="2" w:tentative="0">
      <w:start w:val="1"/>
      <w:numFmt w:val="decimal"/>
      <w:pStyle w:val="187"/>
      <w:lvlText w:val="%3"/>
      <w:lvlJc w:val="left"/>
      <w:pPr>
        <w:tabs>
          <w:tab w:val="left" w:pos="567"/>
        </w:tabs>
        <w:ind w:left="0" w:firstLine="0"/>
      </w:pPr>
      <w:rPr>
        <w:rFonts w:hint="eastAsia" w:ascii="宋体" w:eastAsia="宋体"/>
        <w:b/>
        <w:i w:val="0"/>
        <w:sz w:val="24"/>
        <w:szCs w:val="24"/>
      </w:rPr>
    </w:lvl>
    <w:lvl w:ilvl="3" w:tentative="0">
      <w:start w:val="1"/>
      <w:numFmt w:val="decimal"/>
      <w:pStyle w:val="188"/>
      <w:lvlText w:val="%3.%4"/>
      <w:lvlJc w:val="left"/>
      <w:pPr>
        <w:tabs>
          <w:tab w:val="left" w:pos="737"/>
        </w:tabs>
        <w:ind w:left="0" w:firstLine="284"/>
      </w:pPr>
      <w:rPr>
        <w:rFonts w:hint="eastAsia" w:ascii="宋体" w:eastAsia="宋体"/>
        <w:b/>
        <w:i w:val="0"/>
        <w:sz w:val="24"/>
        <w:szCs w:val="24"/>
      </w:rPr>
    </w:lvl>
    <w:lvl w:ilvl="4" w:tentative="0">
      <w:start w:val="1"/>
      <w:numFmt w:val="decimal"/>
      <w:pStyle w:val="189"/>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0"/>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20D74B3"/>
    <w:multiLevelType w:val="multilevel"/>
    <w:tmpl w:val="520D74B3"/>
    <w:lvl w:ilvl="0" w:tentative="0">
      <w:start w:val="1"/>
      <w:numFmt w:val="decimal"/>
      <w:suff w:val="space"/>
      <w:lvlText w:val="%1)"/>
      <w:lvlJc w:val="left"/>
      <w:pPr>
        <w:ind w:left="802" w:hanging="390"/>
      </w:pPr>
      <w:rPr>
        <w:rFonts w:hint="default"/>
      </w:rPr>
    </w:lvl>
    <w:lvl w:ilvl="1" w:tentative="0">
      <w:start w:val="1"/>
      <w:numFmt w:val="lowerLetter"/>
      <w:lvlText w:val="%2)"/>
      <w:lvlJc w:val="left"/>
      <w:pPr>
        <w:ind w:left="1776" w:hanging="420"/>
      </w:pPr>
    </w:lvl>
    <w:lvl w:ilvl="2" w:tentative="0">
      <w:start w:val="1"/>
      <w:numFmt w:val="lowerRoman"/>
      <w:lvlText w:val="%3."/>
      <w:lvlJc w:val="right"/>
      <w:pPr>
        <w:ind w:left="2196" w:hanging="420"/>
      </w:pPr>
    </w:lvl>
    <w:lvl w:ilvl="3" w:tentative="0">
      <w:start w:val="1"/>
      <w:numFmt w:val="decimal"/>
      <w:lvlText w:val="%4."/>
      <w:lvlJc w:val="left"/>
      <w:pPr>
        <w:ind w:left="2616" w:hanging="420"/>
      </w:pPr>
    </w:lvl>
    <w:lvl w:ilvl="4" w:tentative="0">
      <w:start w:val="1"/>
      <w:numFmt w:val="lowerLetter"/>
      <w:lvlText w:val="%5)"/>
      <w:lvlJc w:val="left"/>
      <w:pPr>
        <w:ind w:left="3036" w:hanging="420"/>
      </w:pPr>
    </w:lvl>
    <w:lvl w:ilvl="5" w:tentative="0">
      <w:start w:val="1"/>
      <w:numFmt w:val="lowerRoman"/>
      <w:lvlText w:val="%6."/>
      <w:lvlJc w:val="right"/>
      <w:pPr>
        <w:ind w:left="3456" w:hanging="420"/>
      </w:pPr>
    </w:lvl>
    <w:lvl w:ilvl="6" w:tentative="0">
      <w:start w:val="1"/>
      <w:numFmt w:val="decimal"/>
      <w:lvlText w:val="%7."/>
      <w:lvlJc w:val="left"/>
      <w:pPr>
        <w:ind w:left="3876" w:hanging="420"/>
      </w:pPr>
    </w:lvl>
    <w:lvl w:ilvl="7" w:tentative="0">
      <w:start w:val="1"/>
      <w:numFmt w:val="lowerLetter"/>
      <w:lvlText w:val="%8)"/>
      <w:lvlJc w:val="left"/>
      <w:pPr>
        <w:ind w:left="4296" w:hanging="420"/>
      </w:pPr>
    </w:lvl>
    <w:lvl w:ilvl="8" w:tentative="0">
      <w:start w:val="1"/>
      <w:numFmt w:val="lowerRoman"/>
      <w:lvlText w:val="%9."/>
      <w:lvlJc w:val="right"/>
      <w:pPr>
        <w:ind w:left="4716" w:hanging="420"/>
      </w:pPr>
    </w:lvl>
  </w:abstractNum>
  <w:abstractNum w:abstractNumId="8">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8"/>
  </w:num>
  <w:num w:numId="2">
    <w:abstractNumId w:val="1"/>
  </w:num>
  <w:num w:numId="3">
    <w:abstractNumId w:val="4"/>
  </w:num>
  <w:num w:numId="4">
    <w:abstractNumId w:val="5"/>
  </w:num>
  <w:num w:numId="5">
    <w:abstractNumId w:val="6"/>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TM2NDY3NGQzMmJmYjUwZTljNjJiMDRmYmQ5YWM0MjM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771FC"/>
    <w:rsid w:val="000858B5"/>
    <w:rsid w:val="00085CA2"/>
    <w:rsid w:val="00092243"/>
    <w:rsid w:val="0009500D"/>
    <w:rsid w:val="00095BA6"/>
    <w:rsid w:val="000962C0"/>
    <w:rsid w:val="000A1C86"/>
    <w:rsid w:val="000A6182"/>
    <w:rsid w:val="000B0914"/>
    <w:rsid w:val="000B2F35"/>
    <w:rsid w:val="000B45F7"/>
    <w:rsid w:val="000C1FAD"/>
    <w:rsid w:val="000C2CCE"/>
    <w:rsid w:val="000C57EB"/>
    <w:rsid w:val="000C629C"/>
    <w:rsid w:val="000D1175"/>
    <w:rsid w:val="000D1AB8"/>
    <w:rsid w:val="000D35CF"/>
    <w:rsid w:val="000D51F3"/>
    <w:rsid w:val="000D7A41"/>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56FD"/>
    <w:rsid w:val="00283C7E"/>
    <w:rsid w:val="002855A5"/>
    <w:rsid w:val="002859D4"/>
    <w:rsid w:val="00285F4F"/>
    <w:rsid w:val="00287A75"/>
    <w:rsid w:val="00290ADB"/>
    <w:rsid w:val="00290B7A"/>
    <w:rsid w:val="002932D3"/>
    <w:rsid w:val="002971E6"/>
    <w:rsid w:val="002A4126"/>
    <w:rsid w:val="002A68F0"/>
    <w:rsid w:val="002B042F"/>
    <w:rsid w:val="002B3B47"/>
    <w:rsid w:val="002B62C9"/>
    <w:rsid w:val="002B6416"/>
    <w:rsid w:val="002C295E"/>
    <w:rsid w:val="002C6A2D"/>
    <w:rsid w:val="002C7059"/>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0944"/>
    <w:rsid w:val="003C1AF2"/>
    <w:rsid w:val="003D2940"/>
    <w:rsid w:val="003E37C1"/>
    <w:rsid w:val="003E422E"/>
    <w:rsid w:val="003E55EE"/>
    <w:rsid w:val="003E6B15"/>
    <w:rsid w:val="003F3600"/>
    <w:rsid w:val="003F5B96"/>
    <w:rsid w:val="003F614D"/>
    <w:rsid w:val="003F6A6B"/>
    <w:rsid w:val="004022EC"/>
    <w:rsid w:val="0040417A"/>
    <w:rsid w:val="00405092"/>
    <w:rsid w:val="00407E93"/>
    <w:rsid w:val="00410C69"/>
    <w:rsid w:val="0041197D"/>
    <w:rsid w:val="00413501"/>
    <w:rsid w:val="00420DB7"/>
    <w:rsid w:val="0042752C"/>
    <w:rsid w:val="00432036"/>
    <w:rsid w:val="00437706"/>
    <w:rsid w:val="00437CA2"/>
    <w:rsid w:val="0046376D"/>
    <w:rsid w:val="00465443"/>
    <w:rsid w:val="00465D19"/>
    <w:rsid w:val="00465D39"/>
    <w:rsid w:val="00471D55"/>
    <w:rsid w:val="0047282D"/>
    <w:rsid w:val="0047402F"/>
    <w:rsid w:val="00481DEF"/>
    <w:rsid w:val="004835AF"/>
    <w:rsid w:val="00483621"/>
    <w:rsid w:val="00490A62"/>
    <w:rsid w:val="0049126B"/>
    <w:rsid w:val="00492D04"/>
    <w:rsid w:val="004941B1"/>
    <w:rsid w:val="00494C07"/>
    <w:rsid w:val="004A13AF"/>
    <w:rsid w:val="004A2201"/>
    <w:rsid w:val="004A46AD"/>
    <w:rsid w:val="004A498D"/>
    <w:rsid w:val="004C16AE"/>
    <w:rsid w:val="004C4B54"/>
    <w:rsid w:val="004D0637"/>
    <w:rsid w:val="004D4B81"/>
    <w:rsid w:val="004D6A19"/>
    <w:rsid w:val="004E5D4E"/>
    <w:rsid w:val="00500D74"/>
    <w:rsid w:val="00505560"/>
    <w:rsid w:val="005137A9"/>
    <w:rsid w:val="00513D5D"/>
    <w:rsid w:val="00514AFE"/>
    <w:rsid w:val="00530CCC"/>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44D4"/>
    <w:rsid w:val="00595F8F"/>
    <w:rsid w:val="00597477"/>
    <w:rsid w:val="005A4D52"/>
    <w:rsid w:val="005B22E8"/>
    <w:rsid w:val="005B4BA0"/>
    <w:rsid w:val="005B6211"/>
    <w:rsid w:val="005C6A76"/>
    <w:rsid w:val="005D4A9D"/>
    <w:rsid w:val="005D5BB2"/>
    <w:rsid w:val="005E2211"/>
    <w:rsid w:val="005E2CFD"/>
    <w:rsid w:val="005E2EB3"/>
    <w:rsid w:val="005E7AF2"/>
    <w:rsid w:val="005F21D1"/>
    <w:rsid w:val="005F32BA"/>
    <w:rsid w:val="005F4BA4"/>
    <w:rsid w:val="005F4F46"/>
    <w:rsid w:val="005F65A4"/>
    <w:rsid w:val="00603968"/>
    <w:rsid w:val="00606A94"/>
    <w:rsid w:val="00607AD3"/>
    <w:rsid w:val="006104AE"/>
    <w:rsid w:val="00611D91"/>
    <w:rsid w:val="006149C8"/>
    <w:rsid w:val="006152B6"/>
    <w:rsid w:val="00616E03"/>
    <w:rsid w:val="00622985"/>
    <w:rsid w:val="006238C7"/>
    <w:rsid w:val="006238EE"/>
    <w:rsid w:val="00624F51"/>
    <w:rsid w:val="006268B0"/>
    <w:rsid w:val="00626BAB"/>
    <w:rsid w:val="00630128"/>
    <w:rsid w:val="006312AB"/>
    <w:rsid w:val="00631F92"/>
    <w:rsid w:val="00632468"/>
    <w:rsid w:val="00632E52"/>
    <w:rsid w:val="00635DD4"/>
    <w:rsid w:val="00642E61"/>
    <w:rsid w:val="006458DE"/>
    <w:rsid w:val="00646620"/>
    <w:rsid w:val="0065429C"/>
    <w:rsid w:val="00662C51"/>
    <w:rsid w:val="006631EB"/>
    <w:rsid w:val="00663FF4"/>
    <w:rsid w:val="00664A57"/>
    <w:rsid w:val="00664E56"/>
    <w:rsid w:val="0067747B"/>
    <w:rsid w:val="00684001"/>
    <w:rsid w:val="00684F98"/>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E8C"/>
    <w:rsid w:val="006D4F84"/>
    <w:rsid w:val="006D4F96"/>
    <w:rsid w:val="006D6EE0"/>
    <w:rsid w:val="006E0A7C"/>
    <w:rsid w:val="006E0FCB"/>
    <w:rsid w:val="006E25FB"/>
    <w:rsid w:val="006E3B36"/>
    <w:rsid w:val="006E6D55"/>
    <w:rsid w:val="006E791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67E7"/>
    <w:rsid w:val="0073742A"/>
    <w:rsid w:val="007422CA"/>
    <w:rsid w:val="00743C75"/>
    <w:rsid w:val="00745001"/>
    <w:rsid w:val="00745779"/>
    <w:rsid w:val="00746DBA"/>
    <w:rsid w:val="00751B1E"/>
    <w:rsid w:val="00753C0F"/>
    <w:rsid w:val="00753C69"/>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39C5"/>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46BB"/>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6786"/>
    <w:rsid w:val="00967702"/>
    <w:rsid w:val="00970BD9"/>
    <w:rsid w:val="00971BD1"/>
    <w:rsid w:val="00974883"/>
    <w:rsid w:val="00975EAC"/>
    <w:rsid w:val="00976FB5"/>
    <w:rsid w:val="00977F9C"/>
    <w:rsid w:val="00981B41"/>
    <w:rsid w:val="00986280"/>
    <w:rsid w:val="00986E55"/>
    <w:rsid w:val="009873FF"/>
    <w:rsid w:val="009928C9"/>
    <w:rsid w:val="00992DC8"/>
    <w:rsid w:val="00995F84"/>
    <w:rsid w:val="00996C67"/>
    <w:rsid w:val="0099730F"/>
    <w:rsid w:val="009A5EA2"/>
    <w:rsid w:val="009A6FD0"/>
    <w:rsid w:val="009B054A"/>
    <w:rsid w:val="009B2858"/>
    <w:rsid w:val="009B2DE5"/>
    <w:rsid w:val="009B34B8"/>
    <w:rsid w:val="009C75E5"/>
    <w:rsid w:val="009D49AE"/>
    <w:rsid w:val="009D501D"/>
    <w:rsid w:val="009D7449"/>
    <w:rsid w:val="009E1058"/>
    <w:rsid w:val="009F0778"/>
    <w:rsid w:val="009F6299"/>
    <w:rsid w:val="00A04106"/>
    <w:rsid w:val="00A149E5"/>
    <w:rsid w:val="00A153FC"/>
    <w:rsid w:val="00A201E4"/>
    <w:rsid w:val="00A2542D"/>
    <w:rsid w:val="00A278D7"/>
    <w:rsid w:val="00A33603"/>
    <w:rsid w:val="00A36581"/>
    <w:rsid w:val="00A367C8"/>
    <w:rsid w:val="00A37693"/>
    <w:rsid w:val="00A45CA3"/>
    <w:rsid w:val="00A45F18"/>
    <w:rsid w:val="00A510E5"/>
    <w:rsid w:val="00A56D8B"/>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0E23"/>
    <w:rsid w:val="00AD202A"/>
    <w:rsid w:val="00AD24EC"/>
    <w:rsid w:val="00AD258E"/>
    <w:rsid w:val="00AD4DAF"/>
    <w:rsid w:val="00AD66E2"/>
    <w:rsid w:val="00AF42BA"/>
    <w:rsid w:val="00AF45D7"/>
    <w:rsid w:val="00AF5870"/>
    <w:rsid w:val="00B045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926"/>
    <w:rsid w:val="00B67AF9"/>
    <w:rsid w:val="00B7542E"/>
    <w:rsid w:val="00B81287"/>
    <w:rsid w:val="00B8397A"/>
    <w:rsid w:val="00B84124"/>
    <w:rsid w:val="00B841E6"/>
    <w:rsid w:val="00B86648"/>
    <w:rsid w:val="00B908A4"/>
    <w:rsid w:val="00B912C6"/>
    <w:rsid w:val="00B92794"/>
    <w:rsid w:val="00B936AF"/>
    <w:rsid w:val="00B93AEA"/>
    <w:rsid w:val="00B97B69"/>
    <w:rsid w:val="00BA373F"/>
    <w:rsid w:val="00BA4E15"/>
    <w:rsid w:val="00BA5358"/>
    <w:rsid w:val="00BA5C95"/>
    <w:rsid w:val="00BA76D8"/>
    <w:rsid w:val="00BB028C"/>
    <w:rsid w:val="00BB56DE"/>
    <w:rsid w:val="00BB7676"/>
    <w:rsid w:val="00BB7853"/>
    <w:rsid w:val="00BC11B8"/>
    <w:rsid w:val="00BC1268"/>
    <w:rsid w:val="00BC19FE"/>
    <w:rsid w:val="00BD5816"/>
    <w:rsid w:val="00BD607C"/>
    <w:rsid w:val="00BD77D8"/>
    <w:rsid w:val="00BF0B81"/>
    <w:rsid w:val="00BF0BA0"/>
    <w:rsid w:val="00BF10C8"/>
    <w:rsid w:val="00BF1841"/>
    <w:rsid w:val="00BF1A08"/>
    <w:rsid w:val="00BF524A"/>
    <w:rsid w:val="00BF71FC"/>
    <w:rsid w:val="00C04D6E"/>
    <w:rsid w:val="00C05D72"/>
    <w:rsid w:val="00C074CA"/>
    <w:rsid w:val="00C10DC9"/>
    <w:rsid w:val="00C113D3"/>
    <w:rsid w:val="00C13082"/>
    <w:rsid w:val="00C13286"/>
    <w:rsid w:val="00C13DB0"/>
    <w:rsid w:val="00C14D2D"/>
    <w:rsid w:val="00C20605"/>
    <w:rsid w:val="00C257AE"/>
    <w:rsid w:val="00C267A5"/>
    <w:rsid w:val="00C31D86"/>
    <w:rsid w:val="00C36CCA"/>
    <w:rsid w:val="00C41EDF"/>
    <w:rsid w:val="00C44957"/>
    <w:rsid w:val="00C518F0"/>
    <w:rsid w:val="00C5267D"/>
    <w:rsid w:val="00C53E9A"/>
    <w:rsid w:val="00C563B3"/>
    <w:rsid w:val="00C6183F"/>
    <w:rsid w:val="00C620EB"/>
    <w:rsid w:val="00C6491F"/>
    <w:rsid w:val="00C71916"/>
    <w:rsid w:val="00C76112"/>
    <w:rsid w:val="00C8060B"/>
    <w:rsid w:val="00C84B51"/>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184A"/>
    <w:rsid w:val="00D033EB"/>
    <w:rsid w:val="00D0533F"/>
    <w:rsid w:val="00D10EC7"/>
    <w:rsid w:val="00D14D07"/>
    <w:rsid w:val="00D20FBB"/>
    <w:rsid w:val="00D22372"/>
    <w:rsid w:val="00D23A9B"/>
    <w:rsid w:val="00D265B9"/>
    <w:rsid w:val="00D328B1"/>
    <w:rsid w:val="00D33933"/>
    <w:rsid w:val="00D33CA0"/>
    <w:rsid w:val="00D3426F"/>
    <w:rsid w:val="00D41F02"/>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392"/>
    <w:rsid w:val="00D96B6A"/>
    <w:rsid w:val="00D96DE6"/>
    <w:rsid w:val="00D9778F"/>
    <w:rsid w:val="00DA5752"/>
    <w:rsid w:val="00DA6F33"/>
    <w:rsid w:val="00DA7F1E"/>
    <w:rsid w:val="00DB240A"/>
    <w:rsid w:val="00DC7F30"/>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59CB"/>
    <w:rsid w:val="00E56799"/>
    <w:rsid w:val="00E6494A"/>
    <w:rsid w:val="00E70964"/>
    <w:rsid w:val="00E739AE"/>
    <w:rsid w:val="00E80BDD"/>
    <w:rsid w:val="00E82397"/>
    <w:rsid w:val="00E85991"/>
    <w:rsid w:val="00E93446"/>
    <w:rsid w:val="00E94724"/>
    <w:rsid w:val="00E95E9D"/>
    <w:rsid w:val="00E975FE"/>
    <w:rsid w:val="00E97CE7"/>
    <w:rsid w:val="00EA5A6E"/>
    <w:rsid w:val="00EC4D7E"/>
    <w:rsid w:val="00EC50D4"/>
    <w:rsid w:val="00EC5462"/>
    <w:rsid w:val="00EC6DE4"/>
    <w:rsid w:val="00ED19AE"/>
    <w:rsid w:val="00ED20C8"/>
    <w:rsid w:val="00ED2C9E"/>
    <w:rsid w:val="00ED4FC5"/>
    <w:rsid w:val="00EF1FCA"/>
    <w:rsid w:val="00EF24FA"/>
    <w:rsid w:val="00EF5762"/>
    <w:rsid w:val="00EF6FC7"/>
    <w:rsid w:val="00EF7961"/>
    <w:rsid w:val="00F017C7"/>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44274"/>
    <w:rsid w:val="00F51F3C"/>
    <w:rsid w:val="00F53D9C"/>
    <w:rsid w:val="00F5592F"/>
    <w:rsid w:val="00F6409E"/>
    <w:rsid w:val="00F67332"/>
    <w:rsid w:val="00F73211"/>
    <w:rsid w:val="00F77283"/>
    <w:rsid w:val="00F772C3"/>
    <w:rsid w:val="00F80338"/>
    <w:rsid w:val="00F806B7"/>
    <w:rsid w:val="00F81A93"/>
    <w:rsid w:val="00F84F93"/>
    <w:rsid w:val="00F8501D"/>
    <w:rsid w:val="00F87E61"/>
    <w:rsid w:val="00FA06A1"/>
    <w:rsid w:val="00FA12B9"/>
    <w:rsid w:val="00FA164C"/>
    <w:rsid w:val="00FA2073"/>
    <w:rsid w:val="00FA334D"/>
    <w:rsid w:val="00FA78C0"/>
    <w:rsid w:val="00FB0C70"/>
    <w:rsid w:val="00FB7A38"/>
    <w:rsid w:val="00FB7EFE"/>
    <w:rsid w:val="00FB7FD1"/>
    <w:rsid w:val="00FC6A22"/>
    <w:rsid w:val="00FD0D54"/>
    <w:rsid w:val="00FD1B14"/>
    <w:rsid w:val="00FD1DC9"/>
    <w:rsid w:val="00FD29D5"/>
    <w:rsid w:val="00FE65F9"/>
    <w:rsid w:val="00FF49E8"/>
    <w:rsid w:val="00FF5F83"/>
    <w:rsid w:val="0367315B"/>
    <w:rsid w:val="061139E5"/>
    <w:rsid w:val="06400AB4"/>
    <w:rsid w:val="06F50B00"/>
    <w:rsid w:val="076E1278"/>
    <w:rsid w:val="08D1141D"/>
    <w:rsid w:val="0A363AB9"/>
    <w:rsid w:val="0B296DE2"/>
    <w:rsid w:val="10294AA3"/>
    <w:rsid w:val="10E40CA0"/>
    <w:rsid w:val="136130D9"/>
    <w:rsid w:val="13805E8A"/>
    <w:rsid w:val="14762538"/>
    <w:rsid w:val="15800409"/>
    <w:rsid w:val="173600E6"/>
    <w:rsid w:val="18441AE4"/>
    <w:rsid w:val="18DD4F7E"/>
    <w:rsid w:val="195B58A2"/>
    <w:rsid w:val="1989465C"/>
    <w:rsid w:val="1E085A14"/>
    <w:rsid w:val="1EDA2286"/>
    <w:rsid w:val="1FF43DDB"/>
    <w:rsid w:val="21933AA2"/>
    <w:rsid w:val="25BF356F"/>
    <w:rsid w:val="25DB0C2D"/>
    <w:rsid w:val="269469E7"/>
    <w:rsid w:val="26EF5299"/>
    <w:rsid w:val="27EE0826"/>
    <w:rsid w:val="29827FB4"/>
    <w:rsid w:val="2998140D"/>
    <w:rsid w:val="29FC3B14"/>
    <w:rsid w:val="2B11792E"/>
    <w:rsid w:val="2E5B3AAE"/>
    <w:rsid w:val="2F724BD0"/>
    <w:rsid w:val="31C54755"/>
    <w:rsid w:val="3216608C"/>
    <w:rsid w:val="34CE14C6"/>
    <w:rsid w:val="34D84CEC"/>
    <w:rsid w:val="37364CEA"/>
    <w:rsid w:val="37AF5AB7"/>
    <w:rsid w:val="3B1C3371"/>
    <w:rsid w:val="3CC23198"/>
    <w:rsid w:val="3D402416"/>
    <w:rsid w:val="3DDF4815"/>
    <w:rsid w:val="3FE669E5"/>
    <w:rsid w:val="41B76D2C"/>
    <w:rsid w:val="462A54F2"/>
    <w:rsid w:val="49403B9A"/>
    <w:rsid w:val="4A6A5207"/>
    <w:rsid w:val="4DDF3E76"/>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232D2D"/>
    <w:rsid w:val="6F5354F8"/>
    <w:rsid w:val="727810B8"/>
    <w:rsid w:val="740A2BDE"/>
    <w:rsid w:val="751839E0"/>
    <w:rsid w:val="76274F93"/>
    <w:rsid w:val="7971595E"/>
    <w:rsid w:val="79EB3F2F"/>
    <w:rsid w:val="79FD3C4B"/>
    <w:rsid w:val="7B11789E"/>
    <w:rsid w:val="7D250FF6"/>
    <w:rsid w:val="7D9711E5"/>
    <w:rsid w:val="7DC94A0A"/>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0"/>
    <w:qFormat/>
    <w:uiPriority w:val="1"/>
    <w:pPr>
      <w:ind w:left="538"/>
      <w:outlineLvl w:val="0"/>
    </w:pPr>
    <w:rPr>
      <w:b/>
      <w:bCs/>
      <w:sz w:val="28"/>
      <w:szCs w:val="28"/>
    </w:rPr>
  </w:style>
  <w:style w:type="paragraph" w:styleId="3">
    <w:name w:val="heading 2"/>
    <w:basedOn w:val="1"/>
    <w:next w:val="1"/>
    <w:link w:val="61"/>
    <w:qFormat/>
    <w:uiPriority w:val="0"/>
    <w:pPr>
      <w:ind w:left="629"/>
      <w:outlineLvl w:val="1"/>
    </w:pPr>
    <w:rPr>
      <w:b/>
      <w:bCs/>
      <w:sz w:val="24"/>
      <w:szCs w:val="24"/>
    </w:rPr>
  </w:style>
  <w:style w:type="paragraph" w:styleId="4">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5"/>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70"/>
    <w:qFormat/>
    <w:uiPriority w:val="1"/>
    <w:rPr>
      <w:sz w:val="24"/>
      <w:szCs w:val="24"/>
    </w:rPr>
  </w:style>
  <w:style w:type="paragraph" w:styleId="20">
    <w:name w:val="Body Text Indent"/>
    <w:basedOn w:val="1"/>
    <w:link w:val="9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71"/>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100"/>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9"/>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7"/>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72"/>
    <w:qFormat/>
    <w:uiPriority w:val="99"/>
    <w:pPr>
      <w:tabs>
        <w:tab w:val="center" w:pos="4153"/>
        <w:tab w:val="right" w:pos="8306"/>
      </w:tabs>
      <w:snapToGrid w:val="0"/>
    </w:pPr>
    <w:rPr>
      <w:sz w:val="18"/>
      <w:szCs w:val="18"/>
    </w:rPr>
  </w:style>
  <w:style w:type="paragraph" w:styleId="30">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11"/>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8"/>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1"/>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103"/>
    <w:qFormat/>
    <w:uiPriority w:val="0"/>
    <w:pPr>
      <w:widowControl/>
    </w:pPr>
    <w:rPr>
      <w:b/>
      <w:bCs/>
      <w:sz w:val="24"/>
      <w:szCs w:val="24"/>
    </w:rPr>
  </w:style>
  <w:style w:type="paragraph" w:styleId="45">
    <w:name w:val="Body Text First Indent"/>
    <w:basedOn w:val="19"/>
    <w:link w:val="102"/>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2490F8"/>
      <w:u w:val="none"/>
    </w:rPr>
  </w:style>
  <w:style w:type="character" w:styleId="52">
    <w:name w:val="Emphasis"/>
    <w:basedOn w:val="48"/>
    <w:qFormat/>
    <w:uiPriority w:val="0"/>
  </w:style>
  <w:style w:type="character" w:styleId="53">
    <w:name w:val="HTML Definition"/>
    <w:basedOn w:val="48"/>
    <w:semiHidden/>
    <w:unhideWhenUsed/>
    <w:qFormat/>
    <w:uiPriority w:val="0"/>
  </w:style>
  <w:style w:type="character" w:styleId="54">
    <w:name w:val="HTML Variable"/>
    <w:basedOn w:val="48"/>
    <w:semiHidden/>
    <w:unhideWhenUsed/>
    <w:qFormat/>
    <w:uiPriority w:val="0"/>
  </w:style>
  <w:style w:type="character" w:styleId="55">
    <w:name w:val="Hyperlink"/>
    <w:basedOn w:val="48"/>
    <w:qFormat/>
    <w:uiPriority w:val="0"/>
    <w:rPr>
      <w:color w:val="0000FF" w:themeColor="hyperlink"/>
      <w:u w:val="single"/>
    </w:rPr>
  </w:style>
  <w:style w:type="character" w:styleId="56">
    <w:name w:val="HTML Code"/>
    <w:basedOn w:val="48"/>
    <w:semiHidden/>
    <w:unhideWhenUsed/>
    <w:qFormat/>
    <w:uiPriority w:val="0"/>
    <w:rPr>
      <w:rFonts w:ascii="Courier New" w:hAnsi="Courier New"/>
      <w:sz w:val="20"/>
    </w:rPr>
  </w:style>
  <w:style w:type="character" w:styleId="57">
    <w:name w:val="annotation reference"/>
    <w:basedOn w:val="48"/>
    <w:qFormat/>
    <w:uiPriority w:val="0"/>
    <w:rPr>
      <w:sz w:val="21"/>
      <w:szCs w:val="21"/>
    </w:rPr>
  </w:style>
  <w:style w:type="character" w:styleId="58">
    <w:name w:val="HTML Cite"/>
    <w:basedOn w:val="48"/>
    <w:semiHidden/>
    <w:unhideWhenUsed/>
    <w:qFormat/>
    <w:uiPriority w:val="0"/>
  </w:style>
  <w:style w:type="paragraph" w:customStyle="1" w:styleId="59">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0">
    <w:name w:val="标题 1 Char"/>
    <w:basedOn w:val="48"/>
    <w:link w:val="2"/>
    <w:qFormat/>
    <w:uiPriority w:val="0"/>
    <w:rPr>
      <w:rFonts w:ascii="宋体" w:hAnsi="宋体" w:cs="宋体"/>
      <w:b/>
      <w:bCs/>
      <w:sz w:val="28"/>
      <w:szCs w:val="28"/>
      <w:lang w:eastAsia="en-US"/>
    </w:rPr>
  </w:style>
  <w:style w:type="character" w:customStyle="1" w:styleId="61">
    <w:name w:val="标题 2 Char"/>
    <w:basedOn w:val="48"/>
    <w:link w:val="3"/>
    <w:qFormat/>
    <w:uiPriority w:val="0"/>
    <w:rPr>
      <w:rFonts w:ascii="宋体" w:hAnsi="宋体" w:cs="宋体"/>
      <w:b/>
      <w:bCs/>
      <w:sz w:val="24"/>
      <w:szCs w:val="24"/>
      <w:lang w:eastAsia="en-US"/>
    </w:rPr>
  </w:style>
  <w:style w:type="character" w:customStyle="1" w:styleId="62">
    <w:name w:val="标题 3 Char"/>
    <w:basedOn w:val="48"/>
    <w:link w:val="4"/>
    <w:qFormat/>
    <w:uiPriority w:val="0"/>
    <w:rPr>
      <w:b/>
      <w:bCs/>
      <w:kern w:val="2"/>
      <w:sz w:val="32"/>
      <w:szCs w:val="32"/>
    </w:rPr>
  </w:style>
  <w:style w:type="character" w:customStyle="1" w:styleId="63">
    <w:name w:val="标题 4 Char"/>
    <w:basedOn w:val="48"/>
    <w:link w:val="5"/>
    <w:qFormat/>
    <w:uiPriority w:val="0"/>
    <w:rPr>
      <w:b/>
      <w:kern w:val="2"/>
      <w:sz w:val="24"/>
      <w:szCs w:val="24"/>
    </w:rPr>
  </w:style>
  <w:style w:type="character" w:customStyle="1" w:styleId="64">
    <w:name w:val="标题 5 Char"/>
    <w:basedOn w:val="48"/>
    <w:link w:val="6"/>
    <w:qFormat/>
    <w:uiPriority w:val="0"/>
    <w:rPr>
      <w:b/>
      <w:bCs/>
      <w:kern w:val="2"/>
      <w:sz w:val="28"/>
      <w:szCs w:val="28"/>
    </w:rPr>
  </w:style>
  <w:style w:type="character" w:customStyle="1" w:styleId="65">
    <w:name w:val="标题 6 Char"/>
    <w:basedOn w:val="48"/>
    <w:link w:val="7"/>
    <w:qFormat/>
    <w:uiPriority w:val="0"/>
    <w:rPr>
      <w:b/>
      <w:sz w:val="24"/>
    </w:rPr>
  </w:style>
  <w:style w:type="character" w:customStyle="1" w:styleId="66">
    <w:name w:val="正文缩进 Char"/>
    <w:basedOn w:val="48"/>
    <w:link w:val="9"/>
    <w:qFormat/>
    <w:uiPriority w:val="0"/>
    <w:rPr>
      <w:sz w:val="24"/>
    </w:rPr>
  </w:style>
  <w:style w:type="character" w:customStyle="1" w:styleId="67">
    <w:name w:val="标题 7 Char"/>
    <w:basedOn w:val="48"/>
    <w:link w:val="8"/>
    <w:qFormat/>
    <w:uiPriority w:val="0"/>
    <w:rPr>
      <w:b/>
      <w:kern w:val="2"/>
      <w:sz w:val="24"/>
    </w:rPr>
  </w:style>
  <w:style w:type="character" w:customStyle="1" w:styleId="68">
    <w:name w:val="标题 8 Char"/>
    <w:basedOn w:val="48"/>
    <w:link w:val="10"/>
    <w:qFormat/>
    <w:uiPriority w:val="0"/>
    <w:rPr>
      <w:rFonts w:ascii="Arial" w:hAnsi="Arial" w:eastAsia="黑体"/>
      <w:kern w:val="2"/>
      <w:sz w:val="24"/>
    </w:rPr>
  </w:style>
  <w:style w:type="character" w:customStyle="1" w:styleId="69">
    <w:name w:val="标题 9 Char"/>
    <w:basedOn w:val="48"/>
    <w:link w:val="11"/>
    <w:qFormat/>
    <w:uiPriority w:val="0"/>
    <w:rPr>
      <w:rFonts w:ascii="Arial" w:hAnsi="Arial" w:eastAsia="黑体"/>
      <w:kern w:val="2"/>
      <w:sz w:val="21"/>
    </w:rPr>
  </w:style>
  <w:style w:type="character" w:customStyle="1" w:styleId="70">
    <w:name w:val="正文文本 Char1"/>
    <w:basedOn w:val="48"/>
    <w:link w:val="19"/>
    <w:qFormat/>
    <w:uiPriority w:val="1"/>
    <w:rPr>
      <w:rFonts w:ascii="宋体" w:hAnsi="宋体" w:cs="宋体"/>
      <w:sz w:val="24"/>
      <w:szCs w:val="24"/>
      <w:lang w:eastAsia="en-US"/>
    </w:rPr>
  </w:style>
  <w:style w:type="character" w:customStyle="1" w:styleId="71">
    <w:name w:val="纯文本 Char"/>
    <w:basedOn w:val="48"/>
    <w:link w:val="24"/>
    <w:qFormat/>
    <w:uiPriority w:val="0"/>
    <w:rPr>
      <w:rFonts w:ascii="宋体" w:hAnsi="Courier New" w:cs="Courier New"/>
      <w:sz w:val="22"/>
      <w:szCs w:val="21"/>
      <w:lang w:eastAsia="en-US"/>
    </w:rPr>
  </w:style>
  <w:style w:type="character" w:customStyle="1" w:styleId="72">
    <w:name w:val="页脚 Char"/>
    <w:basedOn w:val="48"/>
    <w:link w:val="29"/>
    <w:qFormat/>
    <w:uiPriority w:val="99"/>
    <w:rPr>
      <w:rFonts w:ascii="宋体" w:hAnsi="宋体" w:cs="宋体"/>
      <w:sz w:val="18"/>
      <w:szCs w:val="18"/>
      <w:lang w:eastAsia="en-US"/>
    </w:rPr>
  </w:style>
  <w:style w:type="character" w:customStyle="1" w:styleId="73">
    <w:name w:val="页眉 Char"/>
    <w:basedOn w:val="48"/>
    <w:link w:val="30"/>
    <w:qFormat/>
    <w:uiPriority w:val="0"/>
    <w:rPr>
      <w:rFonts w:ascii="宋体" w:hAnsi="宋体" w:cs="宋体"/>
      <w:sz w:val="18"/>
      <w:szCs w:val="22"/>
      <w:lang w:eastAsia="en-US"/>
    </w:rPr>
  </w:style>
  <w:style w:type="table" w:customStyle="1" w:styleId="74">
    <w:name w:val="Table Normal"/>
    <w:semiHidden/>
    <w:unhideWhenUsed/>
    <w:qFormat/>
    <w:uiPriority w:val="2"/>
    <w:tblPr>
      <w:tblCellMar>
        <w:top w:w="0" w:type="dxa"/>
        <w:left w:w="0" w:type="dxa"/>
        <w:bottom w:w="0" w:type="dxa"/>
        <w:right w:w="0" w:type="dxa"/>
      </w:tblCellMar>
    </w:tblPr>
  </w:style>
  <w:style w:type="paragraph" w:styleId="75">
    <w:name w:val="List Paragraph"/>
    <w:basedOn w:val="1"/>
    <w:link w:val="209"/>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8"/>
    <w:link w:val="18"/>
    <w:qFormat/>
    <w:uiPriority w:val="0"/>
    <w:rPr>
      <w:b/>
      <w:kern w:val="2"/>
      <w:sz w:val="21"/>
    </w:rPr>
  </w:style>
  <w:style w:type="character" w:customStyle="1" w:styleId="81">
    <w:name w:val="普通(网站) Char"/>
    <w:basedOn w:val="48"/>
    <w:link w:val="41"/>
    <w:qFormat/>
    <w:locked/>
    <w:uiPriority w:val="0"/>
    <w:rPr>
      <w:rFonts w:ascii="宋体" w:hAnsi="宋体" w:cs="宋体"/>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qFormat/>
    <w:uiPriority w:val="0"/>
    <w:rPr>
      <w:rFonts w:ascii="Calibri" w:hAnsi="Calibri"/>
      <w:sz w:val="22"/>
      <w:szCs w:val="22"/>
    </w:rPr>
  </w:style>
  <w:style w:type="paragraph" w:styleId="85">
    <w:name w:val="No Spacing"/>
    <w:link w:val="84"/>
    <w:qFormat/>
    <w:uiPriority w:val="0"/>
    <w:rPr>
      <w:rFonts w:ascii="Calibri" w:hAnsi="Calibri" w:eastAsia="宋体" w:cs="Times New Roman"/>
      <w:sz w:val="22"/>
      <w:szCs w:val="22"/>
      <w:lang w:val="en-US" w:eastAsia="zh-CN" w:bidi="ar-SA"/>
    </w:rPr>
  </w:style>
  <w:style w:type="character" w:customStyle="1" w:styleId="86">
    <w:name w:val="批注文字 Char"/>
    <w:basedOn w:val="48"/>
    <w:link w:val="16"/>
    <w:qFormat/>
    <w:uiPriority w:val="0"/>
    <w:rPr>
      <w:kern w:val="2"/>
      <w:sz w:val="21"/>
    </w:rPr>
  </w:style>
  <w:style w:type="character" w:customStyle="1" w:styleId="87">
    <w:name w:val="批注框文本 Char"/>
    <w:basedOn w:val="48"/>
    <w:link w:val="28"/>
    <w:qFormat/>
    <w:uiPriority w:val="0"/>
    <w:rPr>
      <w:kern w:val="2"/>
      <w:sz w:val="18"/>
      <w:szCs w:val="18"/>
    </w:rPr>
  </w:style>
  <w:style w:type="character" w:customStyle="1" w:styleId="88">
    <w:name w:val="正文文本缩进 3 Char"/>
    <w:basedOn w:val="48"/>
    <w:link w:val="35"/>
    <w:qFormat/>
    <w:uiPriority w:val="0"/>
    <w:rPr>
      <w:kern w:val="2"/>
      <w:sz w:val="28"/>
    </w:rPr>
  </w:style>
  <w:style w:type="character" w:customStyle="1" w:styleId="89">
    <w:name w:val="正文文本缩进 2 Char"/>
    <w:basedOn w:val="48"/>
    <w:link w:val="27"/>
    <w:qFormat/>
    <w:uiPriority w:val="0"/>
    <w:rPr>
      <w:rFonts w:ascii="宋体" w:hAnsi="宋体"/>
      <w:iCs/>
      <w:kern w:val="2"/>
      <w:sz w:val="24"/>
      <w:szCs w:val="24"/>
    </w:rPr>
  </w:style>
  <w:style w:type="character" w:customStyle="1" w:styleId="90">
    <w:name w:val="正文文本 Char"/>
    <w:basedOn w:val="48"/>
    <w:qFormat/>
    <w:uiPriority w:val="1"/>
    <w:rPr>
      <w:rFonts w:eastAsia="宋体"/>
      <w:sz w:val="24"/>
      <w:szCs w:val="24"/>
      <w:lang w:val="en-US" w:eastAsia="zh-CN" w:bidi="ar-SA"/>
    </w:rPr>
  </w:style>
  <w:style w:type="character" w:customStyle="1" w:styleId="91">
    <w:name w:val="en1"/>
    <w:basedOn w:val="48"/>
    <w:qFormat/>
    <w:uiPriority w:val="0"/>
    <w:rPr>
      <w:b/>
      <w:bCs/>
      <w:color w:val="154C7F"/>
      <w:sz w:val="24"/>
      <w:szCs w:val="24"/>
    </w:rPr>
  </w:style>
  <w:style w:type="character" w:customStyle="1" w:styleId="92">
    <w:name w:val="font01"/>
    <w:basedOn w:val="48"/>
    <w:qFormat/>
    <w:uiPriority w:val="0"/>
    <w:rPr>
      <w:rFonts w:hint="eastAsia" w:ascii="宋体" w:hAnsi="宋体" w:eastAsia="宋体" w:cs="宋体"/>
      <w:color w:val="000000"/>
      <w:sz w:val="20"/>
      <w:szCs w:val="20"/>
      <w:u w:val="none"/>
    </w:rPr>
  </w:style>
  <w:style w:type="character" w:customStyle="1" w:styleId="93">
    <w:name w:val="标题 Char"/>
    <w:basedOn w:val="48"/>
    <w:link w:val="43"/>
    <w:qFormat/>
    <w:uiPriority w:val="0"/>
    <w:rPr>
      <w:rFonts w:ascii="Arial" w:hAnsi="Arial" w:cs="Arial"/>
      <w:b/>
      <w:bCs/>
      <w:sz w:val="44"/>
      <w:szCs w:val="32"/>
    </w:rPr>
  </w:style>
  <w:style w:type="character" w:customStyle="1" w:styleId="94">
    <w:name w:val="正文文本缩进 Char"/>
    <w:basedOn w:val="48"/>
    <w:link w:val="20"/>
    <w:qFormat/>
    <w:uiPriority w:val="0"/>
    <w:rPr>
      <w:i/>
      <w:iCs/>
      <w:kern w:val="2"/>
      <w:sz w:val="21"/>
    </w:rPr>
  </w:style>
  <w:style w:type="character" w:customStyle="1" w:styleId="95">
    <w:name w:val="正文文本 3 Char"/>
    <w:basedOn w:val="48"/>
    <w:link w:val="17"/>
    <w:qFormat/>
    <w:uiPriority w:val="0"/>
    <w:rPr>
      <w:color w:val="0000FF"/>
      <w:kern w:val="2"/>
      <w:sz w:val="24"/>
      <w:szCs w:val="24"/>
    </w:rPr>
  </w:style>
  <w:style w:type="character" w:customStyle="1" w:styleId="96">
    <w:name w:val="font11"/>
    <w:basedOn w:val="48"/>
    <w:qFormat/>
    <w:uiPriority w:val="0"/>
    <w:rPr>
      <w:rFonts w:hint="default" w:ascii="Times New Roman" w:hAnsi="Times New Roman" w:cs="Times New Roman"/>
      <w:color w:val="000000"/>
      <w:sz w:val="20"/>
      <w:szCs w:val="20"/>
      <w:u w:val="none"/>
    </w:rPr>
  </w:style>
  <w:style w:type="character" w:customStyle="1" w:styleId="97">
    <w:name w:val="glossaryitem"/>
    <w:basedOn w:val="48"/>
    <w:qFormat/>
    <w:uiPriority w:val="0"/>
    <w:rPr>
      <w:u w:val="none"/>
    </w:rPr>
  </w:style>
  <w:style w:type="character" w:customStyle="1" w:styleId="98">
    <w:name w:val="HTML 预设格式 Char"/>
    <w:basedOn w:val="48"/>
    <w:link w:val="40"/>
    <w:qFormat/>
    <w:uiPriority w:val="0"/>
    <w:rPr>
      <w:rFonts w:ascii="Arial Unicode MS" w:hAnsi="Arial Unicode MS" w:eastAsia="Courier New" w:cs="Courier New"/>
    </w:rPr>
  </w:style>
  <w:style w:type="character" w:customStyle="1" w:styleId="99">
    <w:name w:val="文档结构图 Char"/>
    <w:basedOn w:val="48"/>
    <w:link w:val="15"/>
    <w:qFormat/>
    <w:uiPriority w:val="0"/>
    <w:rPr>
      <w:rFonts w:ascii="宋体"/>
      <w:sz w:val="28"/>
      <w:shd w:val="clear" w:color="auto" w:fill="000080"/>
    </w:rPr>
  </w:style>
  <w:style w:type="character" w:customStyle="1" w:styleId="100">
    <w:name w:val="日期 Char"/>
    <w:basedOn w:val="48"/>
    <w:link w:val="26"/>
    <w:qFormat/>
    <w:uiPriority w:val="0"/>
    <w:rPr>
      <w:kern w:val="2"/>
      <w:sz w:val="21"/>
      <w:szCs w:val="24"/>
    </w:rPr>
  </w:style>
  <w:style w:type="character" w:customStyle="1" w:styleId="101">
    <w:name w:val="正文文本 2 Char"/>
    <w:basedOn w:val="48"/>
    <w:link w:val="38"/>
    <w:qFormat/>
    <w:uiPriority w:val="0"/>
    <w:rPr>
      <w:kern w:val="2"/>
      <w:sz w:val="21"/>
      <w:szCs w:val="24"/>
    </w:rPr>
  </w:style>
  <w:style w:type="character" w:customStyle="1" w:styleId="102">
    <w:name w:val="正文首行缩进 Char"/>
    <w:basedOn w:val="90"/>
    <w:link w:val="45"/>
    <w:qFormat/>
    <w:uiPriority w:val="0"/>
    <w:rPr>
      <w:rFonts w:eastAsia="宋体"/>
      <w:sz w:val="21"/>
      <w:szCs w:val="21"/>
      <w:lang w:val="en-US" w:eastAsia="zh-CN" w:bidi="ar-SA"/>
    </w:rPr>
  </w:style>
  <w:style w:type="character" w:customStyle="1" w:styleId="103">
    <w:name w:val="批注主题 Char"/>
    <w:basedOn w:val="86"/>
    <w:link w:val="44"/>
    <w:qFormat/>
    <w:uiPriority w:val="0"/>
    <w:rPr>
      <w:b/>
      <w:bCs/>
      <w:kern w:val="2"/>
      <w:sz w:val="24"/>
      <w:szCs w:val="24"/>
    </w:rPr>
  </w:style>
  <w:style w:type="paragraph" w:customStyle="1" w:styleId="104">
    <w:name w:val="标题3(小3号)"/>
    <w:basedOn w:val="4"/>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qFormat/>
    <w:uiPriority w:val="0"/>
    <w:rPr>
      <w:rFonts w:ascii="宋体" w:hAnsi="宋体" w:cs="宋体"/>
      <w:sz w:val="24"/>
      <w:szCs w:val="24"/>
      <w:lang w:eastAsia="en-US"/>
    </w:rPr>
  </w:style>
  <w:style w:type="character" w:customStyle="1" w:styleId="107">
    <w:name w:val="信息标题 Char"/>
    <w:basedOn w:val="48"/>
    <w:link w:val="39"/>
    <w:qFormat/>
    <w:uiPriority w:val="0"/>
    <w:rPr>
      <w:rFonts w:ascii="Arial" w:hAnsi="Arial" w:cs="Arial"/>
      <w:kern w:val="2"/>
      <w:sz w:val="24"/>
      <w:szCs w:val="24"/>
      <w:shd w:val="pct20" w:color="auto" w:fill="auto"/>
    </w:rPr>
  </w:style>
  <w:style w:type="character" w:customStyle="1" w:styleId="108">
    <w:name w:val="正文文本 3 Char1"/>
    <w:basedOn w:val="48"/>
    <w:qFormat/>
    <w:uiPriority w:val="0"/>
    <w:rPr>
      <w:rFonts w:ascii="宋体" w:hAnsi="宋体" w:cs="宋体"/>
      <w:sz w:val="16"/>
      <w:szCs w:val="16"/>
      <w:lang w:eastAsia="en-US"/>
    </w:rPr>
  </w:style>
  <w:style w:type="paragraph" w:customStyle="1" w:styleId="109">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8"/>
    <w:qFormat/>
    <w:uiPriority w:val="0"/>
    <w:rPr>
      <w:rFonts w:ascii="宋体" w:hAnsi="宋体" w:cs="宋体"/>
      <w:sz w:val="22"/>
      <w:szCs w:val="22"/>
      <w:lang w:eastAsia="en-US"/>
    </w:rPr>
  </w:style>
  <w:style w:type="character" w:customStyle="1" w:styleId="112">
    <w:name w:val="批注文字 Char1"/>
    <w:basedOn w:val="48"/>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8"/>
    <w:qFormat/>
    <w:uiPriority w:val="0"/>
    <w:rPr>
      <w:rFonts w:ascii="宋体" w:hAnsi="宋体" w:cs="宋体"/>
      <w:sz w:val="18"/>
      <w:szCs w:val="18"/>
      <w:lang w:eastAsia="en-US"/>
    </w:rPr>
  </w:style>
  <w:style w:type="character" w:customStyle="1" w:styleId="117">
    <w:name w:val="日期 Char1"/>
    <w:basedOn w:val="48"/>
    <w:qFormat/>
    <w:uiPriority w:val="0"/>
    <w:rPr>
      <w:rFonts w:ascii="宋体" w:hAnsi="宋体" w:cs="宋体"/>
      <w:sz w:val="22"/>
      <w:szCs w:val="22"/>
      <w:lang w:eastAsia="en-US"/>
    </w:rPr>
  </w:style>
  <w:style w:type="paragraph" w:customStyle="1" w:styleId="118">
    <w:name w:val="标题3(3号)"/>
    <w:basedOn w:val="4"/>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8"/>
    <w:qFormat/>
    <w:uiPriority w:val="0"/>
    <w:rPr>
      <w:rFonts w:ascii="Courier New" w:hAnsi="Courier New" w:cs="Courier New"/>
      <w:lang w:eastAsia="en-US"/>
    </w:rPr>
  </w:style>
  <w:style w:type="character" w:customStyle="1" w:styleId="122">
    <w:name w:val="正文文本缩进 Char1"/>
    <w:basedOn w:val="48"/>
    <w:qFormat/>
    <w:uiPriority w:val="0"/>
    <w:rPr>
      <w:rFonts w:ascii="宋体" w:hAnsi="宋体" w:cs="宋体"/>
      <w:sz w:val="22"/>
      <w:szCs w:val="22"/>
      <w:lang w:eastAsia="en-US"/>
    </w:rPr>
  </w:style>
  <w:style w:type="paragraph" w:customStyle="1" w:styleId="123">
    <w:name w:val="标题2(小3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2"/>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8"/>
    <w:qFormat/>
    <w:uiPriority w:val="0"/>
    <w:rPr>
      <w:rFonts w:ascii="宋体" w:hAnsi="宋体" w:cs="宋体"/>
      <w:sz w:val="22"/>
      <w:szCs w:val="22"/>
      <w:lang w:eastAsia="en-US"/>
    </w:rPr>
  </w:style>
  <w:style w:type="character" w:customStyle="1" w:styleId="130">
    <w:name w:val="标题 Char1"/>
    <w:basedOn w:val="48"/>
    <w:qFormat/>
    <w:uiPriority w:val="0"/>
    <w:rPr>
      <w:rFonts w:asciiTheme="majorHAnsi" w:hAnsiTheme="majorHAnsi" w:cstheme="majorBidi"/>
      <w:b/>
      <w:bCs/>
      <w:sz w:val="32"/>
      <w:szCs w:val="32"/>
      <w:lang w:eastAsia="en-US"/>
    </w:rPr>
  </w:style>
  <w:style w:type="character" w:customStyle="1" w:styleId="131">
    <w:name w:val="正文文本缩进 3 Char1"/>
    <w:basedOn w:val="48"/>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8"/>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4"/>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4"/>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4"/>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2"/>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3"/>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2"/>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2"/>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2"/>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3"/>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3"/>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numPr>
        <w:ilvl w:val="3"/>
      </w:numPr>
      <w:outlineLvl w:val="3"/>
    </w:pPr>
  </w:style>
  <w:style w:type="paragraph" w:customStyle="1" w:styleId="189">
    <w:name w:val="大纲5"/>
    <w:basedOn w:val="188"/>
    <w:qFormat/>
    <w:uiPriority w:val="0"/>
    <w:pPr>
      <w:numPr>
        <w:ilvl w:val="4"/>
      </w:numPr>
      <w:tabs>
        <w:tab w:val="left" w:pos="360"/>
      </w:tabs>
      <w:outlineLvl w:val="4"/>
    </w:pPr>
    <w:rPr>
      <w:b w:val="0"/>
      <w:szCs w:val="36"/>
    </w:rPr>
  </w:style>
  <w:style w:type="paragraph" w:customStyle="1" w:styleId="190">
    <w:name w:val="大纲6"/>
    <w:basedOn w:val="189"/>
    <w:qFormat/>
    <w:uiPriority w:val="0"/>
    <w:pPr>
      <w:numPr>
        <w:ilvl w:val="5"/>
      </w:num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8"/>
    <w:qFormat/>
    <w:uiPriority w:val="0"/>
  </w:style>
  <w:style w:type="character" w:customStyle="1" w:styleId="208">
    <w:name w:val="xdrichtextbox3"/>
    <w:basedOn w:val="48"/>
    <w:qFormat/>
    <w:uiPriority w:val="0"/>
    <w:rPr>
      <w:color w:val="auto"/>
      <w:u w:val="none"/>
      <w:bdr w:val="single" w:color="DCDCDC" w:sz="8" w:space="0"/>
      <w:shd w:val="clear" w:color="auto" w:fill="FFFFFF"/>
    </w:rPr>
  </w:style>
  <w:style w:type="character" w:customStyle="1" w:styleId="209">
    <w:name w:val="列出段落 Char"/>
    <w:link w:val="75"/>
    <w:qFormat/>
    <w:uiPriority w:val="34"/>
    <w:rPr>
      <w:rFonts w:ascii="宋体" w:hAnsi="宋体" w:cs="宋体"/>
      <w:sz w:val="22"/>
      <w:szCs w:val="22"/>
      <w:lang w:eastAsia="en-US"/>
    </w:rPr>
  </w:style>
  <w:style w:type="paragraph" w:customStyle="1" w:styleId="210">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1">
    <w:name w:val="副标题 Char"/>
    <w:link w:val="33"/>
    <w:qFormat/>
    <w:uiPriority w:val="0"/>
    <w:rPr>
      <w:rFonts w:ascii="Cambria" w:hAnsi="Cambria"/>
      <w:b/>
      <w:bCs/>
      <w:kern w:val="28"/>
      <w:sz w:val="24"/>
      <w:szCs w:val="32"/>
    </w:rPr>
  </w:style>
  <w:style w:type="character" w:customStyle="1" w:styleId="212">
    <w:name w:val="副标题 Char1"/>
    <w:basedOn w:val="48"/>
    <w:qFormat/>
    <w:uiPriority w:val="0"/>
    <w:rPr>
      <w:rFonts w:asciiTheme="majorHAnsi" w:hAnsiTheme="majorHAnsi" w:cstheme="majorBidi"/>
      <w:b/>
      <w:bCs/>
      <w:kern w:val="28"/>
      <w:sz w:val="32"/>
      <w:szCs w:val="32"/>
      <w:lang w:eastAsia="en-US"/>
    </w:rPr>
  </w:style>
  <w:style w:type="paragraph" w:customStyle="1" w:styleId="213">
    <w:name w:val="CM7"/>
    <w:basedOn w:val="78"/>
    <w:next w:val="78"/>
    <w:unhideWhenUsed/>
    <w:qFormat/>
    <w:uiPriority w:val="99"/>
    <w:pPr>
      <w:spacing w:after="320"/>
    </w:pPr>
  </w:style>
  <w:style w:type="paragraph" w:customStyle="1" w:styleId="214">
    <w:name w:val="WPS Plain"/>
    <w:qFormat/>
    <w:uiPriority w:val="0"/>
    <w:rPr>
      <w:rFonts w:ascii="Times New Roman" w:hAnsi="Times New Roman" w:eastAsia="宋体" w:cs="Times New Roman"/>
      <w:lang w:val="en-US" w:eastAsia="zh-CN" w:bidi="ar-SA"/>
    </w:rPr>
  </w:style>
  <w:style w:type="paragraph" w:customStyle="1" w:styleId="215">
    <w:name w:val="Bg"/>
    <w:basedOn w:val="1"/>
    <w:qFormat/>
    <w:uiPriority w:val="0"/>
    <w:pPr>
      <w:topLinePunct/>
      <w:snapToGrid w:val="0"/>
      <w:spacing w:before="60" w:after="60"/>
      <w:jc w:val="center"/>
    </w:pPr>
    <w:rPr>
      <w:kern w:val="2"/>
      <w:sz w:val="18"/>
    </w:rPr>
  </w:style>
  <w:style w:type="paragraph" w:customStyle="1" w:styleId="216">
    <w:name w:val="正文格式"/>
    <w:basedOn w:val="1"/>
    <w:qFormat/>
    <w:uiPriority w:val="0"/>
    <w:pPr>
      <w:topLinePunct/>
      <w:ind w:firstLine="420" w:firstLineChars="200"/>
    </w:pPr>
    <w:rPr>
      <w:kern w:val="2"/>
      <w:sz w:val="21"/>
    </w:rPr>
  </w:style>
  <w:style w:type="paragraph" w:customStyle="1" w:styleId="217">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8">
    <w:name w:val="特点 Char"/>
    <w:qFormat/>
    <w:locked/>
    <w:uiPriority w:val="0"/>
    <w:rPr>
      <w:rFonts w:eastAsia="宋体"/>
      <w:kern w:val="2"/>
      <w:sz w:val="21"/>
      <w:lang w:val="en-US" w:eastAsia="zh-CN" w:bidi="ar-SA"/>
    </w:rPr>
  </w:style>
  <w:style w:type="paragraph" w:customStyle="1" w:styleId="219">
    <w:name w:val="_Style 4"/>
    <w:basedOn w:val="1"/>
    <w:qFormat/>
    <w:uiPriority w:val="1"/>
    <w:pPr>
      <w:autoSpaceDE/>
      <w:autoSpaceDN/>
      <w:ind w:left="400" w:firstLine="420"/>
      <w:jc w:val="both"/>
    </w:pPr>
    <w:rPr>
      <w:rFonts w:asciiTheme="minorHAnsi" w:hAnsiTheme="minorHAnsi" w:eastAsiaTheme="minorEastAsia" w:cstheme="minorBidi"/>
      <w:kern w:val="2"/>
      <w:sz w:val="21"/>
      <w:lang w:eastAsia="zh-CN"/>
    </w:rPr>
  </w:style>
  <w:style w:type="paragraph" w:customStyle="1" w:styleId="220">
    <w:name w:val="_Style 1"/>
    <w:basedOn w:val="1"/>
    <w:qFormat/>
    <w:uiPriority w:val="1"/>
    <w:pPr>
      <w:autoSpaceDE/>
      <w:autoSpaceDN/>
      <w:ind w:left="400" w:firstLine="420"/>
      <w:jc w:val="both"/>
    </w:pPr>
    <w:rPr>
      <w:rFonts w:asciiTheme="minorHAnsi" w:hAnsiTheme="minorHAnsi" w:eastAsiaTheme="minorEastAsia" w:cstheme="minorBidi"/>
      <w:kern w:val="2"/>
      <w:sz w:val="21"/>
      <w:lang w:eastAsia="zh-CN"/>
    </w:rPr>
  </w:style>
  <w:style w:type="character" w:customStyle="1" w:styleId="221">
    <w:name w:val="after"/>
    <w:basedOn w:val="48"/>
    <w:qFormat/>
    <w:uiPriority w:val="0"/>
    <w:rPr>
      <w:sz w:val="0"/>
      <w:szCs w:val="0"/>
    </w:rPr>
  </w:style>
  <w:style w:type="character" w:customStyle="1" w:styleId="222">
    <w:name w:val="icontext1"/>
    <w:basedOn w:val="48"/>
    <w:qFormat/>
    <w:uiPriority w:val="0"/>
  </w:style>
  <w:style w:type="character" w:customStyle="1" w:styleId="223">
    <w:name w:val="icontext11"/>
    <w:basedOn w:val="48"/>
    <w:qFormat/>
    <w:uiPriority w:val="0"/>
  </w:style>
  <w:style w:type="character" w:customStyle="1" w:styleId="224">
    <w:name w:val="icontext12"/>
    <w:basedOn w:val="48"/>
    <w:qFormat/>
    <w:uiPriority w:val="0"/>
  </w:style>
  <w:style w:type="character" w:customStyle="1" w:styleId="225">
    <w:name w:val="cdropright"/>
    <w:basedOn w:val="48"/>
    <w:qFormat/>
    <w:uiPriority w:val="0"/>
  </w:style>
  <w:style w:type="character" w:customStyle="1" w:styleId="226">
    <w:name w:val="pagechatarealistclose_box"/>
    <w:basedOn w:val="48"/>
    <w:qFormat/>
    <w:uiPriority w:val="0"/>
  </w:style>
  <w:style w:type="character" w:customStyle="1" w:styleId="227">
    <w:name w:val="iconline2"/>
    <w:basedOn w:val="48"/>
    <w:qFormat/>
    <w:uiPriority w:val="0"/>
  </w:style>
  <w:style w:type="character" w:customStyle="1" w:styleId="228">
    <w:name w:val="iconline21"/>
    <w:basedOn w:val="48"/>
    <w:qFormat/>
    <w:uiPriority w:val="0"/>
  </w:style>
  <w:style w:type="character" w:customStyle="1" w:styleId="229">
    <w:name w:val="first-child"/>
    <w:basedOn w:val="48"/>
    <w:qFormat/>
    <w:uiPriority w:val="0"/>
  </w:style>
  <w:style w:type="character" w:customStyle="1" w:styleId="230">
    <w:name w:val="button4"/>
    <w:basedOn w:val="48"/>
    <w:qFormat/>
    <w:uiPriority w:val="0"/>
  </w:style>
  <w:style w:type="character" w:customStyle="1" w:styleId="231">
    <w:name w:val="choosename"/>
    <w:basedOn w:val="48"/>
    <w:qFormat/>
    <w:uiPriority w:val="0"/>
  </w:style>
  <w:style w:type="character" w:customStyle="1" w:styleId="232">
    <w:name w:val="icontext3"/>
    <w:basedOn w:val="48"/>
    <w:qFormat/>
    <w:uiPriority w:val="0"/>
  </w:style>
  <w:style w:type="character" w:customStyle="1" w:styleId="233">
    <w:name w:val="tmpztreemove_arrow"/>
    <w:basedOn w:val="48"/>
    <w:qFormat/>
    <w:uiPriority w:val="0"/>
  </w:style>
  <w:style w:type="character" w:customStyle="1" w:styleId="234">
    <w:name w:val="w32"/>
    <w:basedOn w:val="48"/>
    <w:qFormat/>
    <w:uiPriority w:val="0"/>
  </w:style>
  <w:style w:type="character" w:customStyle="1" w:styleId="235">
    <w:name w:val="cy"/>
    <w:basedOn w:val="48"/>
    <w:qFormat/>
    <w:uiPriority w:val="0"/>
  </w:style>
  <w:style w:type="character" w:customStyle="1" w:styleId="236">
    <w:name w:val="ico1654"/>
    <w:basedOn w:val="48"/>
    <w:qFormat/>
    <w:uiPriority w:val="0"/>
  </w:style>
  <w:style w:type="character" w:customStyle="1" w:styleId="237">
    <w:name w:val="ico1655"/>
    <w:basedOn w:val="48"/>
    <w:qFormat/>
    <w:uiPriority w:val="0"/>
  </w:style>
  <w:style w:type="character" w:customStyle="1" w:styleId="238">
    <w:name w:val="hover40"/>
    <w:basedOn w:val="48"/>
    <w:qFormat/>
    <w:uiPriority w:val="0"/>
    <w:rPr>
      <w:color w:val="FFFFFF"/>
    </w:rPr>
  </w:style>
  <w:style w:type="character" w:customStyle="1" w:styleId="239">
    <w:name w:val="icontext2"/>
    <w:basedOn w:val="48"/>
    <w:qFormat/>
    <w:uiPriority w:val="0"/>
  </w:style>
  <w:style w:type="character" w:customStyle="1" w:styleId="240">
    <w:name w:val="associateddata"/>
    <w:basedOn w:val="48"/>
    <w:qFormat/>
    <w:uiPriority w:val="0"/>
    <w:rPr>
      <w:shd w:val="clear" w:fill="50A6F9"/>
    </w:rPr>
  </w:style>
  <w:style w:type="character" w:customStyle="1" w:styleId="241">
    <w:name w:val="cdropleft"/>
    <w:basedOn w:val="48"/>
    <w:qFormat/>
    <w:uiPriority w:val="0"/>
  </w:style>
  <w:style w:type="character" w:customStyle="1" w:styleId="242">
    <w:name w:val="drapbtn"/>
    <w:basedOn w:val="48"/>
    <w:qFormat/>
    <w:uiPriority w:val="0"/>
  </w:style>
  <w:style w:type="character" w:customStyle="1" w:styleId="243">
    <w:name w:val="hilite6"/>
    <w:basedOn w:val="48"/>
    <w:qFormat/>
    <w:uiPriority w:val="0"/>
    <w:rPr>
      <w:color w:val="FFFFFF"/>
      <w:shd w:val="clear" w:fill="666666"/>
    </w:rPr>
  </w:style>
  <w:style w:type="character" w:customStyle="1" w:styleId="244">
    <w:name w:val="active5"/>
    <w:basedOn w:val="48"/>
    <w:qFormat/>
    <w:uiPriority w:val="0"/>
    <w:rPr>
      <w:color w:val="00FF00"/>
      <w:shd w:val="clear" w:fill="111111"/>
    </w:rPr>
  </w:style>
  <w:style w:type="character" w:customStyle="1" w:styleId="245">
    <w:name w:val="active6"/>
    <w:basedOn w:val="48"/>
    <w:qFormat/>
    <w:uiPriority w:val="0"/>
    <w:rPr>
      <w:shd w:val="clear" w:fill="EC3535"/>
    </w:rPr>
  </w:style>
  <w:style w:type="character" w:customStyle="1" w:styleId="246">
    <w:name w:val="layui-layer-tabnow"/>
    <w:basedOn w:val="48"/>
    <w:qFormat/>
    <w:uiPriority w:val="0"/>
    <w:rPr>
      <w:bdr w:val="single" w:color="CCCCCC" w:sz="6" w:space="0"/>
      <w:shd w:val="clear" w:fill="FFFFFF"/>
    </w:rPr>
  </w:style>
  <w:style w:type="character" w:customStyle="1" w:styleId="247">
    <w:name w:val="hover41"/>
    <w:basedOn w:val="48"/>
    <w:qFormat/>
    <w:uiPriority w:val="0"/>
    <w:rPr>
      <w:color w:val="FFFFFF"/>
    </w:rPr>
  </w:style>
  <w:style w:type="character" w:customStyle="1" w:styleId="248">
    <w:name w:val="active"/>
    <w:basedOn w:val="48"/>
    <w:qFormat/>
    <w:uiPriority w:val="0"/>
    <w:rPr>
      <w:shd w:val="clear" w:fill="EC3535"/>
    </w:rPr>
  </w:style>
  <w:style w:type="character" w:customStyle="1" w:styleId="249">
    <w:name w:val="biggerthanmax"/>
    <w:basedOn w:val="48"/>
    <w:qFormat/>
    <w:uiPriority w:val="0"/>
    <w:rPr>
      <w:shd w:val="clear" w:fill="FFFF00"/>
    </w:rPr>
  </w:style>
  <w:style w:type="character" w:customStyle="1" w:styleId="250">
    <w:name w:val="button"/>
    <w:basedOn w:val="48"/>
    <w:qFormat/>
    <w:uiPriority w:val="0"/>
  </w:style>
  <w:style w:type="character" w:customStyle="1" w:styleId="251">
    <w:name w:val="ico1653"/>
    <w:basedOn w:val="48"/>
    <w:qFormat/>
    <w:uiPriority w:val="0"/>
  </w:style>
  <w:style w:type="character" w:customStyle="1" w:styleId="252">
    <w:name w:val="pagechatarealistclose_box1"/>
    <w:basedOn w:val="48"/>
    <w:qFormat/>
    <w:uiPriority w:val="0"/>
  </w:style>
  <w:style w:type="character" w:customStyle="1" w:styleId="253">
    <w:name w:val="edit_class"/>
    <w:basedOn w:val="48"/>
    <w:qFormat/>
    <w:uiPriority w:val="0"/>
  </w:style>
  <w:style w:type="character" w:customStyle="1" w:styleId="254">
    <w:name w:val="xdrichtextbox4"/>
    <w:basedOn w:val="48"/>
    <w:qFormat/>
    <w:uiPriority w:val="0"/>
  </w:style>
  <w:style w:type="character" w:customStyle="1" w:styleId="255">
    <w:name w:val="design_class"/>
    <w:basedOn w:val="48"/>
    <w:qFormat/>
    <w:uiPriority w:val="0"/>
  </w:style>
  <w:style w:type="paragraph" w:customStyle="1" w:styleId="256">
    <w:name w:val="Heading 1"/>
    <w:basedOn w:val="1"/>
    <w:qFormat/>
    <w:uiPriority w:val="1"/>
    <w:pPr>
      <w:spacing w:line="702" w:lineRule="exact"/>
      <w:outlineLvl w:val="1"/>
    </w:pPr>
    <w:rPr>
      <w:rFonts w:ascii="Microsoft JhengHei" w:hAnsi="Microsoft JhengHei" w:eastAsia="Microsoft JhengHei" w:cs="Microsoft JhengHei"/>
      <w:b/>
      <w:bCs/>
      <w:sz w:val="44"/>
      <w:szCs w:val="44"/>
    </w:rPr>
  </w:style>
  <w:style w:type="paragraph" w:customStyle="1" w:styleId="257">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正文_1"/>
    <w:next w:val="2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标题 6_0"/>
    <w:basedOn w:val="258"/>
    <w:next w:val="260"/>
    <w:unhideWhenUsed/>
    <w:qFormat/>
    <w:uiPriority w:val="9"/>
    <w:pPr>
      <w:keepNext/>
      <w:adjustRightInd w:val="0"/>
      <w:snapToGrid w:val="0"/>
      <w:spacing w:before="240" w:after="64" w:line="317" w:lineRule="auto"/>
      <w:jc w:val="both"/>
      <w:outlineLvl w:val="5"/>
    </w:pPr>
    <w:rPr>
      <w:rFonts w:ascii="Arial" w:hAnsi="Arial" w:eastAsia="黑体"/>
      <w:b/>
      <w:snapToGrid w:val="0"/>
      <w:color w:val="000000"/>
      <w:sz w:val="24"/>
    </w:rPr>
  </w:style>
  <w:style w:type="paragraph" w:customStyle="1" w:styleId="260">
    <w:name w:val="正文_1_0_0"/>
    <w:next w:val="259"/>
    <w:qFormat/>
    <w:uiPriority w:val="1"/>
    <w:pPr>
      <w:widowControl w:val="0"/>
      <w:autoSpaceDE w:val="0"/>
      <w:autoSpaceDN w:val="0"/>
    </w:pPr>
    <w:rPr>
      <w:rFonts w:ascii="宋体" w:hAnsi="宋体" w:eastAsia="宋体" w:cs="宋体"/>
      <w:sz w:val="22"/>
      <w:szCs w:val="22"/>
      <w:lang w:val="zh-CN" w:eastAsia="zh-CN" w:bidi="zh-CN"/>
    </w:rPr>
  </w:style>
  <w:style w:type="paragraph" w:customStyle="1" w:styleId="261">
    <w:name w:val="正文文本_0"/>
    <w:basedOn w:val="262"/>
    <w:unhideWhenUsed/>
    <w:qFormat/>
    <w:uiPriority w:val="99"/>
    <w:pPr>
      <w:spacing w:after="120" w:afterLines="0" w:afterAutospacing="0"/>
    </w:pPr>
    <w:rPr>
      <w:rFonts w:ascii="Calibri" w:hAnsi="Calibri"/>
    </w:rPr>
  </w:style>
  <w:style w:type="paragraph" w:customStyle="1" w:styleId="262">
    <w:name w:val="正文_0_0"/>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3">
    <w:name w:val="纯文本_0"/>
    <w:basedOn w:val="264"/>
    <w:unhideWhenUsed/>
    <w:qFormat/>
    <w:uiPriority w:val="99"/>
    <w:rPr>
      <w:rFonts w:ascii="宋体" w:hAnsi="Courier New"/>
    </w:rPr>
  </w:style>
  <w:style w:type="paragraph" w:customStyle="1" w:styleId="264">
    <w:name w:val="正文_0_0_0"/>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Heading 1_0"/>
    <w:basedOn w:val="262"/>
    <w:qFormat/>
    <w:uiPriority w:val="1"/>
    <w:pPr>
      <w:spacing w:line="702" w:lineRule="exact"/>
      <w:outlineLvl w:val="1"/>
    </w:pPr>
    <w:rPr>
      <w:rFonts w:ascii="Microsoft JhengHei" w:hAnsi="Microsoft JhengHei" w:eastAsia="Microsoft JhengHei" w:cs="Microsoft JhengHei"/>
      <w:b/>
      <w:bCs/>
      <w:sz w:val="44"/>
      <w:szCs w:val="44"/>
    </w:rPr>
  </w:style>
  <w:style w:type="paragraph" w:customStyle="1" w:styleId="266">
    <w:name w:val="标题 3_1"/>
    <w:basedOn w:val="267"/>
    <w:next w:val="258"/>
    <w:unhideWhenUsed/>
    <w:qFormat/>
    <w:uiPriority w:val="9"/>
    <w:pPr>
      <w:keepNext/>
      <w:keepLines/>
      <w:spacing w:before="260" w:after="260" w:line="416" w:lineRule="auto"/>
      <w:outlineLvl w:val="2"/>
    </w:pPr>
    <w:rPr>
      <w:rFonts w:ascii="Calibri" w:hAnsi="Calibri" w:eastAsia="宋体"/>
      <w:b/>
      <w:bCs/>
      <w:sz w:val="32"/>
      <w:szCs w:val="32"/>
    </w:rPr>
  </w:style>
  <w:style w:type="paragraph" w:customStyle="1" w:styleId="267">
    <w:name w:val="正文_13"/>
    <w:next w:val="26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8">
    <w:name w:val="标题 6_1"/>
    <w:basedOn w:val="267"/>
    <w:next w:val="267"/>
    <w:unhideWhenUsed/>
    <w:qFormat/>
    <w:uiPriority w:val="9"/>
    <w:pPr>
      <w:keepNext/>
      <w:adjustRightInd w:val="0"/>
      <w:snapToGrid w:val="0"/>
      <w:spacing w:before="240" w:after="64" w:line="317" w:lineRule="auto"/>
      <w:jc w:val="both"/>
      <w:outlineLvl w:val="5"/>
    </w:pPr>
    <w:rPr>
      <w:rFonts w:ascii="Arial" w:hAnsi="Arial" w:eastAsia="黑体"/>
      <w:b/>
      <w:snapToGrid w:val="0"/>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41FFA-4B7E-4C13-8E60-54406B6D487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9</Pages>
  <Words>4011</Words>
  <Characters>4281</Characters>
  <Lines>137</Lines>
  <Paragraphs>38</Paragraphs>
  <TotalTime>16</TotalTime>
  <ScaleCrop>false</ScaleCrop>
  <LinksUpToDate>false</LinksUpToDate>
  <CharactersWithSpaces>4417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xumx</cp:lastModifiedBy>
  <dcterms:modified xsi:type="dcterms:W3CDTF">2022-12-29T03:21:09Z</dcterms:modified>
  <dc:title>公开招标文件（货物服务类）</dc:title>
  <cp:revision>500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2052-11.1.0.12763</vt:lpwstr>
  </property>
  <property fmtid="{D5CDD505-2E9C-101B-9397-08002B2CF9AE}" pid="6" name="ICV">
    <vt:lpwstr>7EFD1898B78A4345BC21372367C648C1</vt:lpwstr>
  </property>
</Properties>
</file>